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24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spacing w:after="0"/>
        <w:tabs>
          <w:tab w:leader="none" w:pos="3020" w:val="left"/>
        </w:tabs>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Arial" w:cs="Arial" w:eastAsia="Arial" w:hAnsi="Arial"/>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Preliminary Proxy Statement</w:t>
      </w:r>
    </w:p>
    <w:p>
      <w:pPr>
        <w:spacing w:after="0" w:line="171" w:lineRule="exact"/>
        <w:rPr>
          <w:rFonts w:ascii="Wingdings" w:cs="Wingdings" w:eastAsia="Wingdings" w:hAnsi="Wingdings"/>
          <w:sz w:val="18"/>
          <w:szCs w:val="18"/>
          <w:b w:val="1"/>
          <w:bCs w:val="1"/>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Confidential, for Use of the Commission Only (as permitted by Rule 14a-6(e)(2))</w:t>
      </w:r>
    </w:p>
    <w:p>
      <w:pPr>
        <w:spacing w:after="0" w:line="17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ind w:left="460" w:hanging="434"/>
        <w:spacing w:after="0"/>
        <w:tabs>
          <w:tab w:leader="none" w:pos="46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Definitive Additional Materials</w:t>
      </w:r>
    </w:p>
    <w:p>
      <w:pPr>
        <w:spacing w:after="0" w:line="171" w:lineRule="exact"/>
        <w:rPr>
          <w:rFonts w:ascii="Wingdings" w:cs="Wingdings" w:eastAsia="Wingdings" w:hAnsi="Wingdings"/>
          <w:sz w:val="18"/>
          <w:szCs w:val="18"/>
          <w:b w:val="1"/>
          <w:bCs w:val="1"/>
          <w:color w:val="auto"/>
        </w:rPr>
      </w:pPr>
    </w:p>
    <w:p>
      <w:pPr>
        <w:ind w:left="460" w:hanging="434"/>
        <w:spacing w:after="0"/>
        <w:tabs>
          <w:tab w:leader="none" w:pos="46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under §240.14a-12</w:t>
      </w:r>
    </w:p>
    <w:p>
      <w:pPr>
        <w:spacing w:after="0" w:line="217" w:lineRule="exact"/>
        <w:rPr>
          <w:sz w:val="24"/>
          <w:szCs w:val="24"/>
          <w:color w:val="auto"/>
        </w:rPr>
      </w:pPr>
    </w:p>
    <w:p>
      <w:pPr>
        <w:ind w:left="660"/>
        <w:spacing w:after="0"/>
        <w:rPr>
          <w:sz w:val="20"/>
          <w:szCs w:val="20"/>
          <w:color w:val="auto"/>
        </w:rPr>
      </w:pPr>
      <w:r>
        <w:rPr>
          <w:rFonts w:ascii="Arial" w:cs="Arial" w:eastAsia="Arial" w:hAnsi="Arial"/>
          <w:sz w:val="22"/>
          <w:szCs w:val="22"/>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165100</wp:posOffset>
            </wp:positionV>
            <wp:extent cx="120840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840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XEROX HOLDINGS CORPORATION</w:t>
      </w:r>
    </w:p>
    <w:p>
      <w:pPr>
        <w:spacing w:after="0" w:line="56"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(Name of Registrant as Specified In Its Charter)</w:t>
      </w:r>
    </w:p>
    <w:p>
      <w:pPr>
        <w:spacing w:after="0" w:line="15" w:lineRule="exact"/>
        <w:rPr>
          <w:sz w:val="24"/>
          <w:szCs w:val="24"/>
          <w:color w:val="auto"/>
        </w:rPr>
      </w:pPr>
    </w:p>
    <w:p>
      <w:pPr>
        <w:ind w:left="660"/>
        <w:spacing w:after="0"/>
        <w:rPr>
          <w:sz w:val="20"/>
          <w:szCs w:val="20"/>
          <w:color w:val="auto"/>
        </w:rPr>
      </w:pPr>
      <w:r>
        <w:rPr>
          <w:rFonts w:ascii="Arial" w:cs="Arial" w:eastAsia="Arial" w:hAnsi="Arial"/>
          <w:sz w:val="22"/>
          <w:szCs w:val="22"/>
          <w:color w:val="auto"/>
        </w:rPr>
        <w:t>_______________________________________________________________</w:t>
      </w:r>
    </w:p>
    <w:p>
      <w:pPr>
        <w:spacing w:after="0" w:line="20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58" w:lineRule="exact"/>
        <w:rPr>
          <w:sz w:val="24"/>
          <w:szCs w:val="24"/>
          <w:color w:val="auto"/>
        </w:rPr>
      </w:pPr>
    </w:p>
    <w:p>
      <w:pPr>
        <w:ind w:left="460" w:hanging="434"/>
        <w:spacing w:after="0"/>
        <w:tabs>
          <w:tab w:leader="none" w:pos="46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171" w:lineRule="exact"/>
        <w:rPr>
          <w:sz w:val="24"/>
          <w:szCs w:val="24"/>
          <w:color w:val="auto"/>
        </w:rPr>
      </w:pPr>
    </w:p>
    <w:p>
      <w:pPr>
        <w:ind w:left="460" w:hanging="434"/>
        <w:spacing w:after="0"/>
        <w:tabs>
          <w:tab w:leader="none" w:pos="460" w:val="left"/>
        </w:tabs>
        <w:numPr>
          <w:ilvl w:val="0"/>
          <w:numId w:val="5"/>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71" w:lineRule="exact"/>
        <w:rPr>
          <w:rFonts w:ascii="Wingdings" w:cs="Wingdings" w:eastAsia="Wingdings" w:hAnsi="Wingdings"/>
          <w:sz w:val="18"/>
          <w:szCs w:val="18"/>
          <w:b w:val="1"/>
          <w:bCs w:val="1"/>
          <w:color w:val="auto"/>
        </w:rPr>
      </w:pPr>
    </w:p>
    <w:p>
      <w:pPr>
        <w:ind w:left="460" w:hanging="434"/>
        <w:spacing w:after="0"/>
        <w:tabs>
          <w:tab w:leader="none" w:pos="460" w:val="left"/>
        </w:tabs>
        <w:numPr>
          <w:ilvl w:val="0"/>
          <w:numId w:val="5"/>
        </w:numPr>
        <w:rPr>
          <w:rFonts w:ascii="Wingdings" w:cs="Wingdings" w:eastAsia="Wingdings" w:hAnsi="Wingdings"/>
          <w:sz w:val="18"/>
          <w:szCs w:val="18"/>
          <w:b w:val="1"/>
          <w:bCs w:val="1"/>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0" w:right="1440" w:bottom="1440" w:gutter="0" w:footer="0" w:header="0"/>
        </w:sectPr>
      </w:pPr>
    </w:p>
    <w:bookmarkStart w:id="1" w:name="page2"/>
    <w:bookmarkEnd w:id="1"/>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2994025</wp:posOffset>
            </wp:positionH>
            <wp:positionV relativeFrom="page">
              <wp:posOffset>671830</wp:posOffset>
            </wp:positionV>
            <wp:extent cx="156019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2743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Xerox Holdings Corporation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92231"/>
        </w:rPr>
        <w:t>YOUR VOTE IS VERY IMPORTANT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 are cordially invited to attend the 2026 Annual Meeting of Shareholders (Annual Meeting) of Xerox Holdings Corporation (Xerox), to be held at 9:00 a.m., Eastern Time, on Wednesday, May 20, 2026, at 501 Merritt 7 in Norwalk, Connecticut. Your Board of Directors and management look forward to greeting those shareholders who are able to attend.</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the Annual Meeting you will be asked to consider and vote upon proposals to: (i) elect nine directors to our Board of Directors; (ii) ratify the appointment of PricewaterhouseCoopers LLP as our independent registered public accounting firm for the fiscal year ending December 31, 2026; (iii) approve, on an advisory basis, the 2025 compensation of our named executive officers; and (iv) approve an amendment to the Xerox Holdings Corporation 2024 Equity and Performance Incentive Plan to increase the share reserve.</w:t>
      </w:r>
    </w:p>
    <w:p>
      <w:pPr>
        <w:spacing w:after="0" w:line="68"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b w:val="1"/>
          <w:bCs w:val="1"/>
          <w:color w:val="auto"/>
        </w:rPr>
        <w:t>Our Board unanimously recommends that you vote “FOR” all nominees for director, “FOR” ratification of the appointment of PricewaterhouseCoopers LLP as our independent registered public accounting firm for the fiscal year ending December 31, 2026, “FOR” approval, on an advisory basis, of the 2025 compensation of our named executive officers, and “FOR” approval of an amendment to the Xerox Holdings Corporation 2024 Equity and Performance Incentive Plan to increase the share reserve.</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Your vote is important — no matter how many or how few shares you may own. Whether or not you plan to attend the Annual Meeting, please submit your proxy as soon as possible. You may submit a proxy via the internet, by telephone or, if applicable, by signing, dating, and mailing the proxy card. Specific instructions for shareholders of record who wish to use internet or telephone proxy procedures are included in the enclosed Proxy Statement. Any shareholder attending the Annual Meeting may vote at the Annual Meeting even if a proxy has been returned.</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accompanying notice of meeting and the Proxy Statement provide specific information about the Annual Meeting and explain the various proposals. Please read these materials carefully.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Xerox.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360680</wp:posOffset>
            </wp:positionV>
            <wp:extent cx="737235" cy="402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235" cy="4025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394970</wp:posOffset>
            </wp:positionV>
            <wp:extent cx="822960"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3346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Letier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Louis J. Pastor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ectPr>
          <w:pgSz w:w="11900" w:h="16838" w:orient="portrait"/>
          <w:cols w:equalWidth="0" w:num="2">
            <w:col w:w="4920" w:space="720"/>
            <w:col w:w="5580"/>
          </w:cols>
          <w:pgMar w:left="320" w:top="1440" w:right="359" w:bottom="1440" w:gutter="0" w:footer="0" w:header="0"/>
          <w:type w:val="continuous"/>
        </w:sectPr>
      </w:pPr>
    </w:p>
    <w:p>
      <w:pPr>
        <w:spacing w:after="0"/>
        <w:rPr>
          <w:sz w:val="20"/>
          <w:szCs w:val="20"/>
          <w:color w:val="auto"/>
        </w:rPr>
      </w:pPr>
      <w:r>
        <w:rPr>
          <w:rFonts w:ascii="Arial" w:cs="Arial" w:eastAsia="Arial" w:hAnsi="Arial"/>
          <w:sz w:val="18"/>
          <w:szCs w:val="18"/>
          <w:color w:val="auto"/>
        </w:rPr>
        <w:t>The accompanying Proxy Statement is dated April 7, 2026 and is first being distributed to shareholders on or about 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671830</wp:posOffset>
            </wp:positionV>
            <wp:extent cx="185991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59915" cy="325755"/>
                    </a:xfrm>
                    <a:prstGeom prst="rect">
                      <a:avLst/>
                    </a:prstGeom>
                    <a:noFill/>
                  </pic:spPr>
                </pic:pic>
              </a:graphicData>
            </a:graphic>
          </wp:anchor>
        </w:drawing>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92231"/>
        </w:rPr>
        <w:t>NOTICE OF 2026 ANNUAL MEETING OF SHAREHOLDERS</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You are cordially invited to attend the 2026 Annual Meeting of Shareholders of Xerox Holdings Corporation to be held at 9:00 a.m., Eastern Time, on Wednesday, May 20, 2026, at 501 Merritt 7, Norwalk, CT 06851. We look forward to meeting our shareholders who are able to attend.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will be asked to:</w:t>
      </w:r>
    </w:p>
    <w:p>
      <w:pPr>
        <w:spacing w:after="0" w:line="239"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each of the nine directors named in the enclosed Proxy Statement;</w:t>
      </w:r>
    </w:p>
    <w:p>
      <w:pPr>
        <w:spacing w:after="0" w:line="252" w:lineRule="exact"/>
        <w:rPr>
          <w:rFonts w:ascii="Arial" w:cs="Arial" w:eastAsia="Arial" w:hAnsi="Arial"/>
          <w:sz w:val="18"/>
          <w:szCs w:val="18"/>
          <w:color w:val="auto"/>
        </w:rPr>
      </w:pPr>
    </w:p>
    <w:p>
      <w:pPr>
        <w:ind w:left="660" w:right="320" w:hanging="328"/>
        <w:spacing w:after="0" w:line="28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PricewaterhouseCoopers LLP (PwC) as our independent registered public accounting firm for the fiscal year ending December 31, 2026;</w:t>
      </w:r>
    </w:p>
    <w:p>
      <w:pPr>
        <w:spacing w:after="0" w:line="179"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on an advisory basis, the 2025 compensation of our named executive officers; and</w:t>
      </w:r>
    </w:p>
    <w:p>
      <w:pPr>
        <w:spacing w:after="0" w:line="252" w:lineRule="exact"/>
        <w:rPr>
          <w:rFonts w:ascii="Arial" w:cs="Arial" w:eastAsia="Arial" w:hAnsi="Arial"/>
          <w:sz w:val="18"/>
          <w:szCs w:val="18"/>
          <w:color w:val="auto"/>
        </w:rPr>
      </w:pPr>
    </w:p>
    <w:p>
      <w:pPr>
        <w:ind w:left="660" w:right="540" w:hanging="328"/>
        <w:spacing w:after="0" w:line="287"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an amendment to the Xerox Holdings Corporation 2024 Equity and Performance Incentive Plan to increase the share reserve.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Shareholders will also be asked to consider such other business as may properly come before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are eligible to vote if you were a shareholder of record at the close of business on March 27,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Ensure that your shares are represented at the meeting by voting in one of several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103505</wp:posOffset>
            </wp:positionV>
            <wp:extent cx="2489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920" cy="154305"/>
                    </a:xfrm>
                    <a:prstGeom prst="rect">
                      <a:avLst/>
                    </a:prstGeom>
                    <a:noFill/>
                  </pic:spPr>
                </pic:pic>
              </a:graphicData>
            </a:graphic>
          </wp:anchor>
        </w:drawing>
      </w:r>
    </w:p>
    <w:p>
      <w:pPr>
        <w:spacing w:after="0" w:line="19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52070</wp:posOffset>
            </wp:positionV>
            <wp:extent cx="15430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 cy="274320"/>
                    </a:xfrm>
                    <a:prstGeom prst="rect">
                      <a:avLst/>
                    </a:prstGeom>
                    <a:noFill/>
                  </pic:spPr>
                </pic:pic>
              </a:graphicData>
            </a:graphic>
          </wp:anchor>
        </w:drawing>
      </w:r>
    </w:p>
    <w:p>
      <w:pPr>
        <w:spacing w:after="0" w:line="20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111760</wp:posOffset>
            </wp:positionV>
            <wp:extent cx="205740" cy="213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213995"/>
                    </a:xfrm>
                    <a:prstGeom prst="rect">
                      <a:avLst/>
                    </a:prstGeom>
                    <a:noFill/>
                  </pic:spPr>
                </pic:pic>
              </a:graphicData>
            </a:graphic>
          </wp:anchor>
        </w:drawing>
      </w:r>
    </w:p>
    <w:p>
      <w:pPr>
        <w:spacing w:after="0" w:line="24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86360</wp:posOffset>
            </wp:positionV>
            <wp:extent cx="2825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180340"/>
                    </a:xfrm>
                    <a:prstGeom prst="rect">
                      <a:avLst/>
                    </a:prstGeom>
                    <a:noFill/>
                  </pic:spPr>
                </pic:pic>
              </a:graphicData>
            </a:graphic>
          </wp:anchor>
        </w:drawing>
      </w:r>
    </w:p>
    <w:p>
      <w:pPr>
        <w:spacing w:after="0" w:line="17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AT THE ANNUAL MEETING.</w:t>
      </w:r>
    </w:p>
    <w:p>
      <w:pPr>
        <w:spacing w:after="0" w:line="27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Please review the Notice of Internet Availability of Proxy Materials or accompanying proxy card for voting instructions, and submit your proxy as soon as possible to ensure that your shares are represented, even if you plan to attend the Annual Meeting. Voting now will not limit your right to change your vote or to attend the Annual Meeting.</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92231"/>
        </w:rPr>
        <w:t>Important Notice Regarding the Availability of Proxy Materials for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92231"/>
        </w:rPr>
        <w:t>Annual Meeting of Shareholders to be Held on 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92231"/>
        </w:rPr>
        <w:t>The Proxy Statement and 2026 Annual Report are available at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D92231"/>
        </w:rPr>
        <w:t>www.xerox.com/investor</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have any questions or require assistance in voting your shares, you should call HKL &amp; Co., LLC, Xerox’s proxy solicitor for the Annual Meeting, toll-free at (800) 339-9883 (from the U.S. and Canada) or at (203) 564-1402 (from other locations) (Banks and Brokerage firms may call collect at (203) 564-1402). Alternatively, you can email HKL &amp; Co., LLC at Xerox@hklco.com.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7160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Flor M. Colón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Corporate Secretary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Norwalk,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686"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5"/>
          </w:tcPr>
          <w:p>
            <w:pPr>
              <w:ind w:left="40"/>
              <w:spacing w:after="0"/>
              <w:rPr>
                <w:sz w:val="20"/>
                <w:szCs w:val="20"/>
                <w:color w:val="auto"/>
              </w:rPr>
            </w:pPr>
            <w:r>
              <w:rPr>
                <w:rFonts w:ascii="Arial" w:cs="Arial" w:eastAsia="Arial" w:hAnsi="Arial"/>
                <w:sz w:val="18"/>
                <w:szCs w:val="18"/>
                <w:b w:val="1"/>
                <w:bCs w:val="1"/>
                <w:color w:val="DA2031"/>
              </w:rPr>
              <w:t>TABLE OF CONTENTS</w:t>
            </w:r>
          </w:p>
        </w:tc>
        <w:tc>
          <w:tcPr>
            <w:tcW w:w="1680" w:type="dxa"/>
            <w:vAlign w:val="bottom"/>
          </w:tcPr>
          <w:p>
            <w:pPr>
              <w:spacing w:after="0"/>
              <w:rPr>
                <w:sz w:val="21"/>
                <w:szCs w:val="21"/>
                <w:color w:val="auto"/>
              </w:rPr>
            </w:pPr>
          </w:p>
        </w:tc>
      </w:tr>
      <w:tr>
        <w:trPr>
          <w:trHeight w:val="347"/>
        </w:trPr>
        <w:tc>
          <w:tcPr>
            <w:tcW w:w="8040" w:type="dxa"/>
            <w:vAlign w:val="bottom"/>
            <w:gridSpan w:val="45"/>
          </w:tcPr>
          <w:p>
            <w:pPr>
              <w:spacing w:after="0"/>
              <w:rPr>
                <w:sz w:val="20"/>
                <w:szCs w:val="20"/>
                <w:color w:val="auto"/>
              </w:rPr>
            </w:pPr>
            <w:r>
              <w:rPr>
                <w:rFonts w:ascii="Arial" w:cs="Arial" w:eastAsia="Arial" w:hAnsi="Arial"/>
                <w:sz w:val="18"/>
                <w:szCs w:val="18"/>
                <w:color w:val="D92231"/>
              </w:rPr>
              <w:t>NOTICE OF 2026 ANNUAL MEETING OF SHAREHOLDERS</w:t>
            </w:r>
          </w:p>
        </w:tc>
        <w:tc>
          <w:tcPr>
            <w:tcW w:w="1680" w:type="dxa"/>
            <w:vAlign w:val="bottom"/>
          </w:tcPr>
          <w:p>
            <w:pPr>
              <w:spacing w:after="0"/>
              <w:rPr>
                <w:sz w:val="24"/>
                <w:szCs w:val="24"/>
                <w:color w:val="auto"/>
              </w:rPr>
            </w:pPr>
          </w:p>
        </w:tc>
      </w:tr>
      <w:tr>
        <w:trPr>
          <w:trHeight w:val="194"/>
        </w:trPr>
        <w:tc>
          <w:tcPr>
            <w:tcW w:w="4900" w:type="dxa"/>
            <w:vAlign w:val="bottom"/>
            <w:tcBorders>
              <w:bottom w:val="single" w:sz="8" w:color="D92231"/>
            </w:tcBorders>
            <w:gridSpan w:val="41"/>
          </w:tcPr>
          <w:p>
            <w:pPr>
              <w:spacing w:after="0" w:line="195" w:lineRule="exact"/>
              <w:rPr>
                <w:sz w:val="20"/>
                <w:szCs w:val="20"/>
                <w:color w:val="auto"/>
              </w:rPr>
            </w:pPr>
            <w:r>
              <w:rPr>
                <w:rFonts w:ascii="Arial" w:cs="Arial" w:eastAsia="Arial" w:hAnsi="Arial"/>
                <w:sz w:val="18"/>
                <w:szCs w:val="18"/>
                <w:color w:val="D92231"/>
                <w:w w:val="99"/>
              </w:rPr>
              <w:t>GENERAL INFORMATION ABOUT THE ANNUAL MEETING</w:t>
            </w:r>
          </w:p>
        </w:tc>
        <w:tc>
          <w:tcPr>
            <w:tcW w:w="3140" w:type="dxa"/>
            <w:vAlign w:val="bottom"/>
            <w:gridSpan w:val="4"/>
          </w:tcPr>
          <w:p>
            <w:pPr>
              <w:spacing w:after="0"/>
              <w:rPr>
                <w:sz w:val="16"/>
                <w:szCs w:val="16"/>
                <w:color w:val="auto"/>
              </w:rPr>
            </w:pPr>
          </w:p>
        </w:tc>
        <w:tc>
          <w:tcPr>
            <w:tcW w:w="1680" w:type="dxa"/>
            <w:vAlign w:val="bottom"/>
          </w:tcPr>
          <w:p>
            <w:pPr>
              <w:jc w:val="right"/>
              <w:spacing w:after="0" w:line="195" w:lineRule="exact"/>
              <w:rPr>
                <w:sz w:val="20"/>
                <w:szCs w:val="20"/>
                <w:color w:val="auto"/>
              </w:rPr>
            </w:pPr>
            <w:r>
              <w:rPr>
                <w:rFonts w:ascii="Arial" w:cs="Arial" w:eastAsia="Arial" w:hAnsi="Arial"/>
                <w:sz w:val="18"/>
                <w:szCs w:val="18"/>
                <w:color w:val="D92231"/>
              </w:rPr>
              <w:t>1</w:t>
            </w:r>
          </w:p>
        </w:tc>
      </w:tr>
      <w:tr>
        <w:trPr>
          <w:trHeight w:val="209"/>
        </w:trPr>
        <w:tc>
          <w:tcPr>
            <w:tcW w:w="320" w:type="dxa"/>
            <w:vAlign w:val="bottom"/>
          </w:tcPr>
          <w:p>
            <w:pPr>
              <w:spacing w:after="0"/>
              <w:rPr>
                <w:sz w:val="18"/>
                <w:szCs w:val="18"/>
                <w:color w:val="auto"/>
              </w:rPr>
            </w:pPr>
          </w:p>
        </w:tc>
        <w:tc>
          <w:tcPr>
            <w:tcW w:w="164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9"/>
              </w:rPr>
              <w:t>The Annual Meeting</w:t>
            </w:r>
          </w:p>
        </w:tc>
        <w:tc>
          <w:tcPr>
            <w:tcW w:w="6080" w:type="dxa"/>
            <w:vAlign w:val="bottom"/>
            <w:gridSpan w:val="39"/>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320" w:type="dxa"/>
            <w:vAlign w:val="bottom"/>
          </w:tcPr>
          <w:p>
            <w:pPr>
              <w:spacing w:after="0"/>
              <w:rPr>
                <w:sz w:val="18"/>
                <w:szCs w:val="18"/>
                <w:color w:val="auto"/>
              </w:rPr>
            </w:pPr>
          </w:p>
        </w:tc>
        <w:tc>
          <w:tcPr>
            <w:tcW w:w="3520" w:type="dxa"/>
            <w:vAlign w:val="bottom"/>
            <w:tcBorders>
              <w:bottom w:val="single" w:sz="8" w:color="0000FF"/>
            </w:tcBorders>
            <w:gridSpan w:val="31"/>
          </w:tcPr>
          <w:p>
            <w:pPr>
              <w:ind w:left="20"/>
              <w:spacing w:after="0"/>
              <w:rPr>
                <w:sz w:val="20"/>
                <w:szCs w:val="20"/>
                <w:color w:val="auto"/>
              </w:rPr>
            </w:pPr>
            <w:r>
              <w:rPr>
                <w:rFonts w:ascii="Arial" w:cs="Arial" w:eastAsia="Arial" w:hAnsi="Arial"/>
                <w:sz w:val="18"/>
                <w:szCs w:val="18"/>
                <w:color w:val="0000FF"/>
                <w:w w:val="99"/>
              </w:rPr>
              <w:t>What is the purpose of the Annual Meeting?</w:t>
            </w:r>
          </w:p>
        </w:tc>
        <w:tc>
          <w:tcPr>
            <w:tcW w:w="4200" w:type="dxa"/>
            <w:vAlign w:val="bottom"/>
            <w:gridSpan w:val="13"/>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320" w:type="dxa"/>
            <w:vAlign w:val="bottom"/>
          </w:tcPr>
          <w:p>
            <w:pPr>
              <w:spacing w:after="0"/>
              <w:rPr>
                <w:sz w:val="18"/>
                <w:szCs w:val="18"/>
                <w:color w:val="auto"/>
              </w:rPr>
            </w:pPr>
          </w:p>
        </w:tc>
        <w:tc>
          <w:tcPr>
            <w:tcW w:w="122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How do I vote?</w:t>
            </w:r>
          </w:p>
        </w:tc>
        <w:tc>
          <w:tcPr>
            <w:tcW w:w="6500" w:type="dxa"/>
            <w:vAlign w:val="bottom"/>
            <w:gridSpan w:val="42"/>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How does the Board recommend that I vote?</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Who can attend the Annual Meeting? How do I attend the Annual Meeting?</w:t>
            </w: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320" w:type="dxa"/>
            <w:vAlign w:val="bottom"/>
          </w:tcPr>
          <w:p>
            <w:pPr>
              <w:spacing w:after="0"/>
              <w:rPr>
                <w:sz w:val="18"/>
                <w:szCs w:val="18"/>
                <w:color w:val="auto"/>
              </w:rPr>
            </w:pPr>
          </w:p>
        </w:tc>
        <w:tc>
          <w:tcPr>
            <w:tcW w:w="5900" w:type="dxa"/>
            <w:vAlign w:val="bottom"/>
            <w:tcBorders>
              <w:top w:val="single" w:sz="8" w:color="0000FF"/>
              <w:bottom w:val="single" w:sz="8" w:color="0000FF"/>
            </w:tcBorders>
            <w:gridSpan w:val="42"/>
          </w:tcPr>
          <w:p>
            <w:pPr>
              <w:ind w:left="20"/>
              <w:spacing w:after="0"/>
              <w:rPr>
                <w:sz w:val="20"/>
                <w:szCs w:val="20"/>
                <w:color w:val="auto"/>
              </w:rPr>
            </w:pPr>
            <w:r>
              <w:rPr>
                <w:rFonts w:ascii="Arial" w:cs="Arial" w:eastAsia="Arial" w:hAnsi="Arial"/>
                <w:sz w:val="18"/>
                <w:szCs w:val="18"/>
                <w:color w:val="0000FF"/>
                <w:w w:val="99"/>
              </w:rPr>
              <w:t>How do I register for the Annual Meeting and receive an admission ticket?</w:t>
            </w:r>
          </w:p>
        </w:tc>
        <w:tc>
          <w:tcPr>
            <w:tcW w:w="80" w:type="dxa"/>
            <w:vAlign w:val="bottom"/>
            <w:tcBorders>
              <w:top w:val="single" w:sz="8" w:color="0000FF"/>
            </w:tcBorders>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3740" w:type="dxa"/>
            <w:vAlign w:val="bottom"/>
            <w:tcBorders>
              <w:bottom w:val="single" w:sz="8" w:color="D92231"/>
            </w:tcBorders>
            <w:gridSpan w:val="29"/>
          </w:tcPr>
          <w:p>
            <w:pPr>
              <w:spacing w:after="0"/>
              <w:rPr>
                <w:sz w:val="20"/>
                <w:szCs w:val="20"/>
                <w:color w:val="auto"/>
              </w:rPr>
            </w:pPr>
            <w:r>
              <w:rPr>
                <w:rFonts w:ascii="Arial" w:cs="Arial" w:eastAsia="Arial" w:hAnsi="Arial"/>
                <w:sz w:val="18"/>
                <w:szCs w:val="18"/>
                <w:color w:val="D92231"/>
                <w:w w:val="99"/>
              </w:rPr>
              <w:t>PROPOSAL 1 — ELECTION OF DIRECTORS</w:t>
            </w:r>
          </w:p>
        </w:tc>
        <w:tc>
          <w:tcPr>
            <w:tcW w:w="4300" w:type="dxa"/>
            <w:vAlign w:val="bottom"/>
            <w:gridSpan w:val="16"/>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D92231"/>
              </w:rPr>
              <w:t>4</w:t>
            </w:r>
          </w:p>
        </w:tc>
      </w:tr>
      <w:tr>
        <w:trPr>
          <w:trHeight w:val="210"/>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Board Qualifications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320" w:type="dxa"/>
            <w:vAlign w:val="bottom"/>
          </w:tcPr>
          <w:p>
            <w:pPr>
              <w:spacing w:after="0"/>
              <w:rPr>
                <w:sz w:val="18"/>
                <w:szCs w:val="18"/>
                <w:color w:val="auto"/>
              </w:rPr>
            </w:pPr>
          </w:p>
        </w:tc>
        <w:tc>
          <w:tcPr>
            <w:tcW w:w="1500" w:type="dxa"/>
            <w:vAlign w:val="bottom"/>
            <w:tcBorders>
              <w:top w:val="single" w:sz="8" w:color="0000FF"/>
              <w:bottom w:val="single" w:sz="8" w:color="0000FF"/>
            </w:tcBorders>
            <w:gridSpan w:val="3"/>
          </w:tcPr>
          <w:p>
            <w:pPr>
              <w:ind w:left="20"/>
              <w:spacing w:after="0"/>
              <w:rPr>
                <w:sz w:val="20"/>
                <w:szCs w:val="20"/>
                <w:color w:val="auto"/>
              </w:rPr>
            </w:pPr>
            <w:r>
              <w:rPr>
                <w:rFonts w:ascii="Arial" w:cs="Arial" w:eastAsia="Arial" w:hAnsi="Arial"/>
                <w:sz w:val="18"/>
                <w:szCs w:val="18"/>
                <w:color w:val="0000FF"/>
                <w:w w:val="97"/>
              </w:rPr>
              <w:t>Board Skills Matrix</w:t>
            </w:r>
          </w:p>
        </w:tc>
        <w:tc>
          <w:tcPr>
            <w:tcW w:w="120" w:type="dxa"/>
            <w:vAlign w:val="bottom"/>
            <w:tcBorders>
              <w:top w:val="single" w:sz="8" w:color="0000FF"/>
            </w:tcBorders>
          </w:tcPr>
          <w:p>
            <w:pPr>
              <w:spacing w:after="0"/>
              <w:rPr>
                <w:sz w:val="18"/>
                <w:szCs w:val="18"/>
                <w:color w:val="auto"/>
              </w:rPr>
            </w:pPr>
          </w:p>
        </w:tc>
        <w:tc>
          <w:tcPr>
            <w:tcW w:w="6100" w:type="dxa"/>
            <w:vAlign w:val="bottom"/>
            <w:gridSpan w:val="40"/>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320" w:type="dxa"/>
            <w:vAlign w:val="bottom"/>
          </w:tcPr>
          <w:p>
            <w:pPr>
              <w:spacing w:after="0"/>
              <w:rPr>
                <w:sz w:val="18"/>
                <w:szCs w:val="18"/>
                <w:color w:val="auto"/>
              </w:rPr>
            </w:pPr>
          </w:p>
        </w:tc>
        <w:tc>
          <w:tcPr>
            <w:tcW w:w="3440" w:type="dxa"/>
            <w:vAlign w:val="bottom"/>
            <w:tcBorders>
              <w:bottom w:val="single" w:sz="8" w:color="0000FF"/>
            </w:tcBorders>
            <w:gridSpan w:val="29"/>
          </w:tcPr>
          <w:p>
            <w:pPr>
              <w:ind w:left="20"/>
              <w:spacing w:after="0"/>
              <w:rPr>
                <w:sz w:val="20"/>
                <w:szCs w:val="20"/>
                <w:color w:val="auto"/>
              </w:rPr>
            </w:pPr>
            <w:r>
              <w:rPr>
                <w:rFonts w:ascii="Arial" w:cs="Arial" w:eastAsia="Arial" w:hAnsi="Arial"/>
                <w:sz w:val="18"/>
                <w:szCs w:val="18"/>
                <w:color w:val="0000FF"/>
                <w:w w:val="99"/>
              </w:rPr>
              <w:t>2021 Nomination and Standstill Agreement</w:t>
            </w:r>
          </w:p>
        </w:tc>
        <w:tc>
          <w:tcPr>
            <w:tcW w:w="4280" w:type="dxa"/>
            <w:vAlign w:val="bottom"/>
            <w:gridSpan w:val="15"/>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3380" w:type="dxa"/>
            <w:vAlign w:val="bottom"/>
            <w:tcBorders>
              <w:bottom w:val="single" w:sz="8" w:color="D92231"/>
            </w:tcBorders>
            <w:gridSpan w:val="24"/>
          </w:tcPr>
          <w:p>
            <w:pPr>
              <w:spacing w:after="0"/>
              <w:rPr>
                <w:sz w:val="20"/>
                <w:szCs w:val="20"/>
                <w:color w:val="auto"/>
              </w:rPr>
            </w:pPr>
            <w:r>
              <w:rPr>
                <w:rFonts w:ascii="Arial" w:cs="Arial" w:eastAsia="Arial" w:hAnsi="Arial"/>
                <w:sz w:val="18"/>
                <w:szCs w:val="18"/>
                <w:color w:val="D92231"/>
                <w:w w:val="99"/>
              </w:rPr>
              <w:t>CORPORATE SOCIAL RESPONSIBILITY</w:t>
            </w:r>
          </w:p>
        </w:tc>
        <w:tc>
          <w:tcPr>
            <w:tcW w:w="4660" w:type="dxa"/>
            <w:vAlign w:val="bottom"/>
            <w:gridSpan w:val="21"/>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D92231"/>
              </w:rPr>
              <w:t>10</w:t>
            </w:r>
          </w:p>
        </w:tc>
      </w:tr>
      <w:tr>
        <w:trPr>
          <w:trHeight w:val="209"/>
        </w:trPr>
        <w:tc>
          <w:tcPr>
            <w:tcW w:w="320" w:type="dxa"/>
            <w:vAlign w:val="bottom"/>
          </w:tcPr>
          <w:p>
            <w:pPr>
              <w:spacing w:after="0"/>
              <w:rPr>
                <w:sz w:val="18"/>
                <w:szCs w:val="18"/>
                <w:color w:val="auto"/>
              </w:rPr>
            </w:pPr>
          </w:p>
        </w:tc>
        <w:tc>
          <w:tcPr>
            <w:tcW w:w="2240" w:type="dxa"/>
            <w:vAlign w:val="bottom"/>
            <w:tcBorders>
              <w:bottom w:val="single" w:sz="8" w:color="0000FF"/>
            </w:tcBorders>
            <w:gridSpan w:val="14"/>
          </w:tcPr>
          <w:p>
            <w:pPr>
              <w:ind w:left="20"/>
              <w:spacing w:after="0"/>
              <w:rPr>
                <w:sz w:val="20"/>
                <w:szCs w:val="20"/>
                <w:color w:val="auto"/>
              </w:rPr>
            </w:pPr>
            <w:r>
              <w:rPr>
                <w:rFonts w:ascii="Arial" w:cs="Arial" w:eastAsia="Arial" w:hAnsi="Arial"/>
                <w:sz w:val="18"/>
                <w:szCs w:val="18"/>
                <w:color w:val="0000FF"/>
                <w:w w:val="99"/>
              </w:rPr>
              <w:t>Reaching Net Zero by 2040</w:t>
            </w:r>
          </w:p>
        </w:tc>
        <w:tc>
          <w:tcPr>
            <w:tcW w:w="5480" w:type="dxa"/>
            <w:vAlign w:val="bottom"/>
            <w:gridSpan w:val="30"/>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Our Corporate Social Responsibility Goals</w:t>
            </w: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320" w:type="dxa"/>
            <w:vAlign w:val="bottom"/>
          </w:tcPr>
          <w:p>
            <w:pPr>
              <w:spacing w:after="0"/>
              <w:rPr>
                <w:sz w:val="18"/>
                <w:szCs w:val="18"/>
                <w:color w:val="auto"/>
              </w:rPr>
            </w:pPr>
          </w:p>
        </w:tc>
        <w:tc>
          <w:tcPr>
            <w:tcW w:w="3380" w:type="dxa"/>
            <w:vAlign w:val="bottom"/>
            <w:tcBorders>
              <w:top w:val="single" w:sz="8" w:color="0000FF"/>
            </w:tcBorders>
            <w:gridSpan w:val="26"/>
          </w:tcPr>
          <w:p>
            <w:pPr>
              <w:ind w:left="20"/>
              <w:spacing w:after="0"/>
              <w:rPr>
                <w:sz w:val="20"/>
                <w:szCs w:val="20"/>
                <w:color w:val="auto"/>
              </w:rPr>
            </w:pPr>
            <w:r>
              <w:rPr>
                <w:rFonts w:ascii="Arial" w:cs="Arial" w:eastAsia="Arial" w:hAnsi="Arial"/>
                <w:sz w:val="18"/>
                <w:szCs w:val="18"/>
                <w:color w:val="0000FF"/>
              </w:rPr>
              <w:t>Connection and Belonging</w:t>
            </w:r>
          </w:p>
        </w:tc>
        <w:tc>
          <w:tcPr>
            <w:tcW w:w="4340" w:type="dxa"/>
            <w:vAlign w:val="bottom"/>
            <w:gridSpan w:val="18"/>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320" w:type="dxa"/>
            <w:vAlign w:val="bottom"/>
          </w:tcPr>
          <w:p>
            <w:pPr>
              <w:spacing w:after="0"/>
              <w:rPr>
                <w:sz w:val="18"/>
                <w:szCs w:val="18"/>
                <w:color w:val="auto"/>
              </w:rPr>
            </w:pPr>
          </w:p>
        </w:tc>
        <w:tc>
          <w:tcPr>
            <w:tcW w:w="122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7"/>
              </w:rPr>
              <w:t>CSR Reporting</w:t>
            </w:r>
          </w:p>
        </w:tc>
        <w:tc>
          <w:tcPr>
            <w:tcW w:w="900" w:type="dxa"/>
            <w:vAlign w:val="bottom"/>
            <w:tcBorders>
              <w:top w:val="single" w:sz="8" w:color="0000FF"/>
            </w:tcBorders>
            <w:gridSpan w:val="8"/>
          </w:tcPr>
          <w:p>
            <w:pPr>
              <w:spacing w:after="0"/>
              <w:rPr>
                <w:sz w:val="18"/>
                <w:szCs w:val="18"/>
                <w:color w:val="auto"/>
              </w:rPr>
            </w:pPr>
          </w:p>
        </w:tc>
        <w:tc>
          <w:tcPr>
            <w:tcW w:w="5600" w:type="dxa"/>
            <w:vAlign w:val="bottom"/>
            <w:gridSpan w:val="34"/>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2520" w:type="dxa"/>
            <w:vAlign w:val="bottom"/>
            <w:tcBorders>
              <w:bottom w:val="single" w:sz="8" w:color="D92231"/>
            </w:tcBorders>
            <w:gridSpan w:val="13"/>
          </w:tcPr>
          <w:p>
            <w:pPr>
              <w:spacing w:after="0"/>
              <w:rPr>
                <w:sz w:val="20"/>
                <w:szCs w:val="20"/>
                <w:color w:val="auto"/>
              </w:rPr>
            </w:pPr>
            <w:r>
              <w:rPr>
                <w:rFonts w:ascii="Arial" w:cs="Arial" w:eastAsia="Arial" w:hAnsi="Arial"/>
                <w:sz w:val="18"/>
                <w:szCs w:val="18"/>
                <w:color w:val="D92231"/>
              </w:rPr>
              <w:t>CORPORATE GOVERNANCE</w:t>
            </w:r>
          </w:p>
        </w:tc>
        <w:tc>
          <w:tcPr>
            <w:tcW w:w="5520" w:type="dxa"/>
            <w:vAlign w:val="bottom"/>
            <w:gridSpan w:val="32"/>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D92231"/>
              </w:rPr>
              <w:t>14</w:t>
            </w:r>
          </w:p>
        </w:tc>
      </w:tr>
      <w:tr>
        <w:trPr>
          <w:trHeight w:val="209"/>
        </w:trPr>
        <w:tc>
          <w:tcPr>
            <w:tcW w:w="320" w:type="dxa"/>
            <w:vAlign w:val="bottom"/>
          </w:tcPr>
          <w:p>
            <w:pPr>
              <w:spacing w:after="0"/>
              <w:rPr>
                <w:sz w:val="18"/>
                <w:szCs w:val="18"/>
                <w:color w:val="auto"/>
              </w:rPr>
            </w:pPr>
          </w:p>
        </w:tc>
        <w:tc>
          <w:tcPr>
            <w:tcW w:w="3040" w:type="dxa"/>
            <w:vAlign w:val="bottom"/>
            <w:tcBorders>
              <w:bottom w:val="single" w:sz="8" w:color="0000FF"/>
            </w:tcBorders>
            <w:gridSpan w:val="22"/>
          </w:tcPr>
          <w:p>
            <w:pPr>
              <w:ind w:left="20"/>
              <w:spacing w:after="0"/>
              <w:rPr>
                <w:sz w:val="20"/>
                <w:szCs w:val="20"/>
                <w:color w:val="auto"/>
              </w:rPr>
            </w:pPr>
            <w:r>
              <w:rPr>
                <w:rFonts w:ascii="Arial" w:cs="Arial" w:eastAsia="Arial" w:hAnsi="Arial"/>
                <w:sz w:val="18"/>
                <w:szCs w:val="18"/>
                <w:color w:val="0000FF"/>
                <w:w w:val="99"/>
              </w:rPr>
              <w:t>Code of Business Conduct and Ethics</w:t>
            </w:r>
          </w:p>
        </w:tc>
        <w:tc>
          <w:tcPr>
            <w:tcW w:w="4680" w:type="dxa"/>
            <w:vAlign w:val="bottom"/>
            <w:gridSpan w:val="22"/>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320" w:type="dxa"/>
            <w:vAlign w:val="bottom"/>
          </w:tcPr>
          <w:p>
            <w:pPr>
              <w:spacing w:after="0"/>
              <w:rPr>
                <w:sz w:val="18"/>
                <w:szCs w:val="18"/>
                <w:color w:val="auto"/>
              </w:rPr>
            </w:pPr>
          </w:p>
        </w:tc>
        <w:tc>
          <w:tcPr>
            <w:tcW w:w="2300" w:type="dxa"/>
            <w:vAlign w:val="bottom"/>
            <w:tcBorders>
              <w:bottom w:val="single" w:sz="8" w:color="0000FF"/>
            </w:tcBorders>
            <w:gridSpan w:val="16"/>
          </w:tcPr>
          <w:p>
            <w:pPr>
              <w:ind w:left="20"/>
              <w:spacing w:after="0"/>
              <w:rPr>
                <w:sz w:val="20"/>
                <w:szCs w:val="20"/>
                <w:color w:val="auto"/>
              </w:rPr>
            </w:pPr>
            <w:r>
              <w:rPr>
                <w:rFonts w:ascii="Arial" w:cs="Arial" w:eastAsia="Arial" w:hAnsi="Arial"/>
                <w:sz w:val="18"/>
                <w:szCs w:val="18"/>
                <w:color w:val="0000FF"/>
                <w:w w:val="98"/>
              </w:rPr>
              <w:t>Director Nomination Process</w:t>
            </w:r>
          </w:p>
        </w:tc>
        <w:tc>
          <w:tcPr>
            <w:tcW w:w="5420" w:type="dxa"/>
            <w:vAlign w:val="bottom"/>
            <w:gridSpan w:val="28"/>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Director Onboarding and Continuing Education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320" w:type="dxa"/>
            <w:vAlign w:val="bottom"/>
          </w:tcPr>
          <w:p>
            <w:pPr>
              <w:spacing w:after="0"/>
              <w:rPr>
                <w:sz w:val="18"/>
                <w:szCs w:val="18"/>
                <w:color w:val="auto"/>
              </w:rPr>
            </w:pPr>
          </w:p>
        </w:tc>
        <w:tc>
          <w:tcPr>
            <w:tcW w:w="2140" w:type="dxa"/>
            <w:vAlign w:val="bottom"/>
            <w:tcBorders>
              <w:top w:val="single" w:sz="8" w:color="0000FF"/>
              <w:bottom w:val="single" w:sz="8" w:color="0000FF"/>
            </w:tcBorders>
            <w:gridSpan w:val="11"/>
          </w:tcPr>
          <w:p>
            <w:pPr>
              <w:ind w:left="20"/>
              <w:spacing w:after="0"/>
              <w:rPr>
                <w:sz w:val="20"/>
                <w:szCs w:val="20"/>
                <w:color w:val="auto"/>
              </w:rPr>
            </w:pPr>
            <w:r>
              <w:rPr>
                <w:rFonts w:ascii="Arial" w:cs="Arial" w:eastAsia="Arial" w:hAnsi="Arial"/>
                <w:sz w:val="18"/>
                <w:szCs w:val="18"/>
                <w:color w:val="0000FF"/>
                <w:w w:val="98"/>
              </w:rPr>
              <w:t>Shareholder Proxy Access</w:t>
            </w:r>
          </w:p>
        </w:tc>
        <w:tc>
          <w:tcPr>
            <w:tcW w:w="1600" w:type="dxa"/>
            <w:vAlign w:val="bottom"/>
            <w:tcBorders>
              <w:top w:val="single" w:sz="8" w:color="0000FF"/>
            </w:tcBorders>
            <w:gridSpan w:val="23"/>
          </w:tcPr>
          <w:p>
            <w:pPr>
              <w:spacing w:after="0"/>
              <w:rPr>
                <w:sz w:val="18"/>
                <w:szCs w:val="18"/>
                <w:color w:val="auto"/>
              </w:rPr>
            </w:pPr>
          </w:p>
        </w:tc>
        <w:tc>
          <w:tcPr>
            <w:tcW w:w="3980" w:type="dxa"/>
            <w:vAlign w:val="bottom"/>
            <w:gridSpan w:val="10"/>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Shareholder Nomination of Directors</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Shareholder Right to Call a Special Meeting</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320" w:type="dxa"/>
            <w:vAlign w:val="bottom"/>
          </w:tcPr>
          <w:p>
            <w:pPr>
              <w:spacing w:after="0"/>
              <w:rPr>
                <w:sz w:val="18"/>
                <w:szCs w:val="18"/>
                <w:color w:val="auto"/>
              </w:rPr>
            </w:pPr>
          </w:p>
        </w:tc>
        <w:tc>
          <w:tcPr>
            <w:tcW w:w="3120" w:type="dxa"/>
            <w:vAlign w:val="bottom"/>
            <w:tcBorders>
              <w:top w:val="single" w:sz="8" w:color="0000FF"/>
              <w:bottom w:val="single" w:sz="8" w:color="0000FF"/>
            </w:tcBorders>
            <w:gridSpan w:val="25"/>
          </w:tcPr>
          <w:p>
            <w:pPr>
              <w:ind w:left="20"/>
              <w:spacing w:after="0"/>
              <w:rPr>
                <w:sz w:val="20"/>
                <w:szCs w:val="20"/>
                <w:color w:val="auto"/>
              </w:rPr>
            </w:pPr>
            <w:r>
              <w:rPr>
                <w:rFonts w:ascii="Arial" w:cs="Arial" w:eastAsia="Arial" w:hAnsi="Arial"/>
                <w:sz w:val="18"/>
                <w:szCs w:val="18"/>
                <w:color w:val="0000FF"/>
                <w:w w:val="98"/>
              </w:rPr>
              <w:t>Shareholder Action by Written Consent</w:t>
            </w:r>
          </w:p>
        </w:tc>
        <w:tc>
          <w:tcPr>
            <w:tcW w:w="380" w:type="dxa"/>
            <w:vAlign w:val="bottom"/>
            <w:tcBorders>
              <w:top w:val="single" w:sz="8" w:color="0000FF"/>
            </w:tcBorders>
            <w:gridSpan w:val="5"/>
          </w:tcPr>
          <w:p>
            <w:pPr>
              <w:spacing w:after="0"/>
              <w:rPr>
                <w:sz w:val="18"/>
                <w:szCs w:val="18"/>
                <w:color w:val="auto"/>
              </w:rPr>
            </w:pPr>
          </w:p>
        </w:tc>
        <w:tc>
          <w:tcPr>
            <w:tcW w:w="4220" w:type="dxa"/>
            <w:vAlign w:val="bottom"/>
            <w:gridSpan w:val="14"/>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320" w:type="dxa"/>
            <w:vAlign w:val="bottom"/>
          </w:tcPr>
          <w:p>
            <w:pPr>
              <w:spacing w:after="0"/>
              <w:rPr>
                <w:sz w:val="18"/>
                <w:szCs w:val="18"/>
                <w:color w:val="auto"/>
              </w:rPr>
            </w:pPr>
          </w:p>
        </w:tc>
        <w:tc>
          <w:tcPr>
            <w:tcW w:w="222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9"/>
              </w:rPr>
              <w:t>Board Leadership Structure</w:t>
            </w:r>
          </w:p>
        </w:tc>
        <w:tc>
          <w:tcPr>
            <w:tcW w:w="5500" w:type="dxa"/>
            <w:vAlign w:val="bottom"/>
            <w:gridSpan w:val="31"/>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320" w:type="dxa"/>
            <w:vAlign w:val="bottom"/>
          </w:tcPr>
          <w:p>
            <w:pPr>
              <w:spacing w:after="0"/>
              <w:rPr>
                <w:sz w:val="18"/>
                <w:szCs w:val="18"/>
                <w:color w:val="auto"/>
              </w:rPr>
            </w:pPr>
          </w:p>
        </w:tc>
        <w:tc>
          <w:tcPr>
            <w:tcW w:w="11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7"/>
              </w:rPr>
              <w:t>Risk Oversight</w:t>
            </w:r>
          </w:p>
        </w:tc>
        <w:tc>
          <w:tcPr>
            <w:tcW w:w="6540" w:type="dxa"/>
            <w:vAlign w:val="bottom"/>
            <w:gridSpan w:val="43"/>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320" w:type="dxa"/>
            <w:vAlign w:val="bottom"/>
          </w:tcPr>
          <w:p>
            <w:pPr>
              <w:spacing w:after="0"/>
              <w:rPr>
                <w:sz w:val="18"/>
                <w:szCs w:val="18"/>
                <w:color w:val="auto"/>
              </w:rPr>
            </w:pPr>
          </w:p>
        </w:tc>
        <w:tc>
          <w:tcPr>
            <w:tcW w:w="184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8"/>
              </w:rPr>
              <w:t>Director Independence</w:t>
            </w:r>
          </w:p>
        </w:tc>
        <w:tc>
          <w:tcPr>
            <w:tcW w:w="5880" w:type="dxa"/>
            <w:vAlign w:val="bottom"/>
            <w:gridSpan w:val="38"/>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8040" w:type="dxa"/>
            <w:vAlign w:val="bottom"/>
            <w:gridSpan w:val="45"/>
          </w:tcPr>
          <w:p>
            <w:pPr>
              <w:spacing w:after="0"/>
              <w:rPr>
                <w:sz w:val="20"/>
                <w:szCs w:val="20"/>
                <w:color w:val="auto"/>
              </w:rPr>
            </w:pPr>
            <w:r>
              <w:rPr>
                <w:rFonts w:ascii="Arial" w:cs="Arial" w:eastAsia="Arial" w:hAnsi="Arial"/>
                <w:sz w:val="18"/>
                <w:szCs w:val="18"/>
                <w:color w:val="D92231"/>
              </w:rPr>
              <w:t>CERTAIN RELATIONSHIPS AND RELATED PERSON TRANSACTIONS</w:t>
            </w:r>
          </w:p>
        </w:tc>
        <w:tc>
          <w:tcPr>
            <w:tcW w:w="1680" w:type="dxa"/>
            <w:vAlign w:val="bottom"/>
          </w:tcPr>
          <w:p>
            <w:pPr>
              <w:jc w:val="right"/>
              <w:spacing w:after="0"/>
              <w:rPr>
                <w:sz w:val="20"/>
                <w:szCs w:val="20"/>
                <w:color w:val="auto"/>
              </w:rPr>
            </w:pPr>
            <w:r>
              <w:rPr>
                <w:rFonts w:ascii="Arial" w:cs="Arial" w:eastAsia="Arial" w:hAnsi="Arial"/>
                <w:sz w:val="18"/>
                <w:szCs w:val="18"/>
                <w:color w:val="D92231"/>
              </w:rPr>
              <w:t>16</w:t>
            </w:r>
          </w:p>
        </w:tc>
      </w:tr>
      <w:tr>
        <w:trPr>
          <w:trHeight w:val="209"/>
        </w:trPr>
        <w:tc>
          <w:tcPr>
            <w:tcW w:w="320" w:type="dxa"/>
            <w:vAlign w:val="bottom"/>
            <w:tcBorders>
              <w:top w:val="single" w:sz="8" w:color="D92231"/>
            </w:tcBorders>
          </w:tcPr>
          <w:p>
            <w:pPr>
              <w:spacing w:after="0"/>
              <w:rPr>
                <w:sz w:val="18"/>
                <w:szCs w:val="18"/>
                <w:color w:val="auto"/>
              </w:rPr>
            </w:pPr>
          </w:p>
        </w:tc>
        <w:tc>
          <w:tcPr>
            <w:tcW w:w="5500" w:type="dxa"/>
            <w:vAlign w:val="bottom"/>
            <w:tcBorders>
              <w:top w:val="single" w:sz="8" w:color="D92231"/>
            </w:tcBorders>
            <w:gridSpan w:val="41"/>
          </w:tcPr>
          <w:p>
            <w:pPr>
              <w:ind w:left="20"/>
              <w:spacing w:after="0"/>
              <w:rPr>
                <w:sz w:val="20"/>
                <w:szCs w:val="20"/>
                <w:color w:val="auto"/>
              </w:rPr>
            </w:pPr>
            <w:r>
              <w:rPr>
                <w:rFonts w:ascii="Arial" w:cs="Arial" w:eastAsia="Arial" w:hAnsi="Arial"/>
                <w:sz w:val="18"/>
                <w:szCs w:val="18"/>
                <w:color w:val="0000FF"/>
              </w:rPr>
              <w:t>Related Person Transactions</w:t>
            </w:r>
          </w:p>
        </w:tc>
        <w:tc>
          <w:tcPr>
            <w:tcW w:w="2220" w:type="dxa"/>
            <w:vAlign w:val="bottom"/>
            <w:gridSpan w:val="3"/>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320" w:type="dxa"/>
            <w:vAlign w:val="bottom"/>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8040" w:type="dxa"/>
            <w:vAlign w:val="bottom"/>
            <w:gridSpan w:val="45"/>
          </w:tcPr>
          <w:p>
            <w:pPr>
              <w:spacing w:after="0"/>
              <w:rPr>
                <w:sz w:val="20"/>
                <w:szCs w:val="20"/>
                <w:color w:val="auto"/>
              </w:rPr>
            </w:pPr>
            <w:r>
              <w:rPr>
                <w:rFonts w:ascii="Arial" w:cs="Arial" w:eastAsia="Arial" w:hAnsi="Arial"/>
                <w:sz w:val="18"/>
                <w:szCs w:val="18"/>
                <w:color w:val="D92231"/>
              </w:rPr>
              <w:t>BOARD OF DIRECTORS AND BOARD COMMITTEES</w:t>
            </w:r>
          </w:p>
        </w:tc>
        <w:tc>
          <w:tcPr>
            <w:tcW w:w="1680" w:type="dxa"/>
            <w:vAlign w:val="bottom"/>
          </w:tcPr>
          <w:p>
            <w:pPr>
              <w:jc w:val="right"/>
              <w:spacing w:after="0"/>
              <w:rPr>
                <w:sz w:val="20"/>
                <w:szCs w:val="20"/>
                <w:color w:val="auto"/>
              </w:rPr>
            </w:pPr>
            <w:r>
              <w:rPr>
                <w:rFonts w:ascii="Arial" w:cs="Arial" w:eastAsia="Arial" w:hAnsi="Arial"/>
                <w:sz w:val="18"/>
                <w:szCs w:val="18"/>
                <w:color w:val="D92231"/>
              </w:rPr>
              <w:t>18</w:t>
            </w:r>
          </w:p>
        </w:tc>
      </w:tr>
      <w:tr>
        <w:trPr>
          <w:trHeight w:val="210"/>
        </w:trPr>
        <w:tc>
          <w:tcPr>
            <w:tcW w:w="320" w:type="dxa"/>
            <w:vAlign w:val="bottom"/>
            <w:tcBorders>
              <w:top w:val="single" w:sz="8" w:color="D92231"/>
            </w:tcBorders>
          </w:tcPr>
          <w:p>
            <w:pPr>
              <w:spacing w:after="0"/>
              <w:rPr>
                <w:sz w:val="18"/>
                <w:szCs w:val="18"/>
                <w:color w:val="auto"/>
              </w:rPr>
            </w:pPr>
          </w:p>
        </w:tc>
        <w:tc>
          <w:tcPr>
            <w:tcW w:w="4100" w:type="dxa"/>
            <w:vAlign w:val="bottom"/>
            <w:tcBorders>
              <w:top w:val="single" w:sz="8" w:color="D92231"/>
            </w:tcBorders>
            <w:gridSpan w:val="37"/>
          </w:tcPr>
          <w:p>
            <w:pPr>
              <w:ind w:left="20"/>
              <w:spacing w:after="0"/>
              <w:rPr>
                <w:sz w:val="20"/>
                <w:szCs w:val="20"/>
                <w:color w:val="auto"/>
              </w:rPr>
            </w:pPr>
            <w:r>
              <w:rPr>
                <w:rFonts w:ascii="Arial" w:cs="Arial" w:eastAsia="Arial" w:hAnsi="Arial"/>
                <w:sz w:val="18"/>
                <w:szCs w:val="18"/>
                <w:color w:val="0000FF"/>
              </w:rPr>
              <w:t>Committee Functions, Membership and Meetings</w:t>
            </w:r>
          </w:p>
        </w:tc>
        <w:tc>
          <w:tcPr>
            <w:tcW w:w="3620" w:type="dxa"/>
            <w:vAlign w:val="bottom"/>
            <w:gridSpan w:val="7"/>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320" w:type="dxa"/>
            <w:vAlign w:val="bottom"/>
          </w:tcPr>
          <w:p>
            <w:pPr>
              <w:spacing w:after="0"/>
              <w:rPr>
                <w:sz w:val="18"/>
                <w:szCs w:val="18"/>
                <w:color w:val="auto"/>
              </w:rPr>
            </w:pPr>
          </w:p>
        </w:tc>
        <w:tc>
          <w:tcPr>
            <w:tcW w:w="1900" w:type="dxa"/>
            <w:vAlign w:val="bottom"/>
            <w:tcBorders>
              <w:top w:val="single" w:sz="8" w:color="0000FF"/>
              <w:bottom w:val="single" w:sz="8" w:color="0000FF"/>
            </w:tcBorders>
            <w:gridSpan w:val="7"/>
          </w:tcPr>
          <w:p>
            <w:pPr>
              <w:ind w:left="20"/>
              <w:spacing w:after="0"/>
              <w:rPr>
                <w:sz w:val="20"/>
                <w:szCs w:val="20"/>
                <w:color w:val="auto"/>
              </w:rPr>
            </w:pPr>
            <w:r>
              <w:rPr>
                <w:rFonts w:ascii="Arial" w:cs="Arial" w:eastAsia="Arial" w:hAnsi="Arial"/>
                <w:sz w:val="18"/>
                <w:szCs w:val="18"/>
                <w:color w:val="0000FF"/>
                <w:w w:val="98"/>
              </w:rPr>
              <w:t>Attendance of Directors</w:t>
            </w:r>
          </w:p>
        </w:tc>
        <w:tc>
          <w:tcPr>
            <w:tcW w:w="2020" w:type="dxa"/>
            <w:vAlign w:val="bottom"/>
            <w:tcBorders>
              <w:top w:val="single" w:sz="8" w:color="0000FF"/>
            </w:tcBorders>
            <w:gridSpan w:val="29"/>
          </w:tcPr>
          <w:p>
            <w:pPr>
              <w:spacing w:after="0"/>
              <w:rPr>
                <w:sz w:val="18"/>
                <w:szCs w:val="18"/>
                <w:color w:val="auto"/>
              </w:rPr>
            </w:pPr>
          </w:p>
        </w:tc>
        <w:tc>
          <w:tcPr>
            <w:tcW w:w="3800" w:type="dxa"/>
            <w:vAlign w:val="bottom"/>
            <w:gridSpan w:val="8"/>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8040" w:type="dxa"/>
            <w:vAlign w:val="bottom"/>
            <w:gridSpan w:val="45"/>
          </w:tcPr>
          <w:p>
            <w:pPr>
              <w:spacing w:after="0"/>
              <w:rPr>
                <w:sz w:val="20"/>
                <w:szCs w:val="20"/>
                <w:color w:val="auto"/>
              </w:rPr>
            </w:pPr>
            <w:r>
              <w:rPr>
                <w:rFonts w:ascii="Arial" w:cs="Arial" w:eastAsia="Arial" w:hAnsi="Arial"/>
                <w:sz w:val="18"/>
                <w:szCs w:val="18"/>
                <w:color w:val="D92231"/>
              </w:rPr>
              <w:t>SUMMARY OF DIRECTOR ANNUAL COMPENSATION</w:t>
            </w:r>
          </w:p>
        </w:tc>
        <w:tc>
          <w:tcPr>
            <w:tcW w:w="1680" w:type="dxa"/>
            <w:vAlign w:val="bottom"/>
          </w:tcPr>
          <w:p>
            <w:pPr>
              <w:jc w:val="right"/>
              <w:spacing w:after="0"/>
              <w:rPr>
                <w:sz w:val="20"/>
                <w:szCs w:val="20"/>
                <w:color w:val="auto"/>
              </w:rPr>
            </w:pPr>
            <w:r>
              <w:rPr>
                <w:rFonts w:ascii="Arial" w:cs="Arial" w:eastAsia="Arial" w:hAnsi="Arial"/>
                <w:sz w:val="18"/>
                <w:szCs w:val="18"/>
                <w:color w:val="D92231"/>
              </w:rPr>
              <w:t>21</w:t>
            </w:r>
          </w:p>
        </w:tc>
      </w:tr>
      <w:tr>
        <w:trPr>
          <w:trHeight w:val="209"/>
        </w:trPr>
        <w:tc>
          <w:tcPr>
            <w:tcW w:w="320" w:type="dxa"/>
            <w:vAlign w:val="bottom"/>
            <w:tcBorders>
              <w:top w:val="single" w:sz="8" w:color="D92231"/>
            </w:tcBorders>
          </w:tcPr>
          <w:p>
            <w:pPr>
              <w:spacing w:after="0"/>
              <w:rPr>
                <w:sz w:val="18"/>
                <w:szCs w:val="18"/>
                <w:color w:val="auto"/>
              </w:rPr>
            </w:pPr>
          </w:p>
        </w:tc>
        <w:tc>
          <w:tcPr>
            <w:tcW w:w="2600" w:type="dxa"/>
            <w:vAlign w:val="bottom"/>
            <w:tcBorders>
              <w:top w:val="single" w:sz="8" w:color="D92231"/>
              <w:bottom w:val="single" w:sz="8" w:color="0000FF"/>
            </w:tcBorders>
            <w:gridSpan w:val="19"/>
          </w:tcPr>
          <w:p>
            <w:pPr>
              <w:ind w:left="20"/>
              <w:spacing w:after="0"/>
              <w:rPr>
                <w:sz w:val="20"/>
                <w:szCs w:val="20"/>
                <w:color w:val="auto"/>
              </w:rPr>
            </w:pPr>
            <w:r>
              <w:rPr>
                <w:rFonts w:ascii="Arial" w:cs="Arial" w:eastAsia="Arial" w:hAnsi="Arial"/>
                <w:sz w:val="18"/>
                <w:szCs w:val="18"/>
                <w:color w:val="0000FF"/>
                <w:w w:val="99"/>
              </w:rPr>
              <w:t>2025 Compensation of Directors</w:t>
            </w:r>
          </w:p>
        </w:tc>
        <w:tc>
          <w:tcPr>
            <w:tcW w:w="1560" w:type="dxa"/>
            <w:vAlign w:val="bottom"/>
            <w:tcBorders>
              <w:top w:val="single" w:sz="8" w:color="D92231"/>
            </w:tcBorders>
            <w:gridSpan w:val="19"/>
          </w:tcPr>
          <w:p>
            <w:pPr>
              <w:spacing w:after="0"/>
              <w:rPr>
                <w:sz w:val="18"/>
                <w:szCs w:val="18"/>
                <w:color w:val="auto"/>
              </w:rPr>
            </w:pPr>
          </w:p>
        </w:tc>
        <w:tc>
          <w:tcPr>
            <w:tcW w:w="3560" w:type="dxa"/>
            <w:vAlign w:val="bottom"/>
            <w:gridSpan w:val="6"/>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8040" w:type="dxa"/>
            <w:vAlign w:val="bottom"/>
            <w:gridSpan w:val="45"/>
          </w:tcPr>
          <w:p>
            <w:pPr>
              <w:spacing w:after="0"/>
              <w:rPr>
                <w:sz w:val="20"/>
                <w:szCs w:val="20"/>
                <w:color w:val="auto"/>
              </w:rPr>
            </w:pPr>
            <w:r>
              <w:rPr>
                <w:rFonts w:ascii="Arial" w:cs="Arial" w:eastAsia="Arial" w:hAnsi="Arial"/>
                <w:sz w:val="18"/>
                <w:szCs w:val="18"/>
                <w:color w:val="D92231"/>
              </w:rPr>
              <w:t>SECURITIES OWNERSHIP</w:t>
            </w:r>
          </w:p>
        </w:tc>
        <w:tc>
          <w:tcPr>
            <w:tcW w:w="1680" w:type="dxa"/>
            <w:vAlign w:val="bottom"/>
          </w:tcPr>
          <w:p>
            <w:pPr>
              <w:jc w:val="right"/>
              <w:spacing w:after="0"/>
              <w:rPr>
                <w:sz w:val="20"/>
                <w:szCs w:val="20"/>
                <w:color w:val="auto"/>
              </w:rPr>
            </w:pPr>
            <w:r>
              <w:rPr>
                <w:rFonts w:ascii="Arial" w:cs="Arial" w:eastAsia="Arial" w:hAnsi="Arial"/>
                <w:sz w:val="18"/>
                <w:szCs w:val="18"/>
                <w:color w:val="D92231"/>
              </w:rPr>
              <w:t>23</w:t>
            </w:r>
          </w:p>
        </w:tc>
      </w:tr>
      <w:tr>
        <w:trPr>
          <w:trHeight w:val="20"/>
        </w:trPr>
        <w:tc>
          <w:tcPr>
            <w:tcW w:w="320" w:type="dxa"/>
            <w:vAlign w:val="bottom"/>
            <w:shd w:val="clear" w:color="auto" w:fill="D92231"/>
          </w:tcPr>
          <w:p>
            <w:pPr>
              <w:spacing w:after="0" w:line="20" w:lineRule="exact"/>
              <w:rPr>
                <w:sz w:val="1"/>
                <w:szCs w:val="1"/>
                <w:color w:val="auto"/>
              </w:rPr>
            </w:pPr>
          </w:p>
        </w:tc>
        <w:tc>
          <w:tcPr>
            <w:tcW w:w="1920" w:type="dxa"/>
            <w:vAlign w:val="bottom"/>
            <w:gridSpan w:val="8"/>
            <w:shd w:val="clear" w:color="auto" w:fill="D9223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74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9"/>
              </w:rPr>
              <w:t>Ownership of Company Securities</w:t>
            </w:r>
          </w:p>
        </w:tc>
        <w:tc>
          <w:tcPr>
            <w:tcW w:w="4980" w:type="dxa"/>
            <w:vAlign w:val="bottom"/>
            <w:gridSpan w:val="24"/>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8040" w:type="dxa"/>
            <w:vAlign w:val="bottom"/>
            <w:gridSpan w:val="45"/>
          </w:tcPr>
          <w:p>
            <w:pPr>
              <w:spacing w:after="0"/>
              <w:rPr>
                <w:sz w:val="20"/>
                <w:szCs w:val="20"/>
                <w:color w:val="auto"/>
              </w:rPr>
            </w:pPr>
            <w:r>
              <w:rPr>
                <w:rFonts w:ascii="Arial" w:cs="Arial" w:eastAsia="Arial" w:hAnsi="Arial"/>
                <w:sz w:val="18"/>
                <w:szCs w:val="18"/>
                <w:color w:val="D92231"/>
              </w:rPr>
              <w:t>DELINQUENT SECTION 16(a) REPORTS</w:t>
            </w:r>
          </w:p>
        </w:tc>
        <w:tc>
          <w:tcPr>
            <w:tcW w:w="1680" w:type="dxa"/>
            <w:vAlign w:val="bottom"/>
          </w:tcPr>
          <w:p>
            <w:pPr>
              <w:jc w:val="right"/>
              <w:spacing w:after="0"/>
              <w:rPr>
                <w:sz w:val="20"/>
                <w:szCs w:val="20"/>
                <w:color w:val="auto"/>
              </w:rPr>
            </w:pPr>
            <w:r>
              <w:rPr>
                <w:rFonts w:ascii="Arial" w:cs="Arial" w:eastAsia="Arial" w:hAnsi="Arial"/>
                <w:sz w:val="18"/>
                <w:szCs w:val="18"/>
                <w:color w:val="D92231"/>
              </w:rPr>
              <w:t>25</w:t>
            </w:r>
          </w:p>
        </w:tc>
      </w:tr>
      <w:tr>
        <w:trPr>
          <w:trHeight w:val="20"/>
        </w:trPr>
        <w:tc>
          <w:tcPr>
            <w:tcW w:w="2320" w:type="dxa"/>
            <w:vAlign w:val="bottom"/>
            <w:gridSpan w:val="10"/>
            <w:shd w:val="clear" w:color="auto" w:fill="D92231"/>
          </w:tcPr>
          <w:p>
            <w:pPr>
              <w:spacing w:after="0" w:line="20" w:lineRule="exact"/>
              <w:rPr>
                <w:sz w:val="1"/>
                <w:szCs w:val="1"/>
                <w:color w:val="auto"/>
              </w:rPr>
            </w:pPr>
          </w:p>
        </w:tc>
        <w:tc>
          <w:tcPr>
            <w:tcW w:w="200" w:type="dxa"/>
            <w:vAlign w:val="bottom"/>
            <w:tcBorders>
              <w:right w:val="single" w:sz="8" w:color="D92231"/>
            </w:tcBorders>
            <w:gridSpan w:val="3"/>
            <w:shd w:val="clear" w:color="auto" w:fill="D92231"/>
          </w:tcPr>
          <w:p>
            <w:pPr>
              <w:spacing w:after="0" w:line="20" w:lineRule="exact"/>
              <w:rPr>
                <w:sz w:val="1"/>
                <w:szCs w:val="1"/>
                <w:color w:val="auto"/>
              </w:rPr>
            </w:pPr>
          </w:p>
        </w:tc>
        <w:tc>
          <w:tcPr>
            <w:tcW w:w="60" w:type="dxa"/>
            <w:vAlign w:val="bottom"/>
            <w:gridSpan w:val="3"/>
            <w:shd w:val="clear" w:color="auto" w:fill="D92231"/>
          </w:tcPr>
          <w:p>
            <w:pPr>
              <w:spacing w:after="0" w:line="20" w:lineRule="exact"/>
              <w:rPr>
                <w:sz w:val="1"/>
                <w:szCs w:val="1"/>
                <w:color w:val="auto"/>
              </w:rPr>
            </w:pPr>
          </w:p>
        </w:tc>
        <w:tc>
          <w:tcPr>
            <w:tcW w:w="320" w:type="dxa"/>
            <w:vAlign w:val="bottom"/>
            <w:gridSpan w:val="3"/>
            <w:shd w:val="clear" w:color="auto" w:fill="D92231"/>
          </w:tcPr>
          <w:p>
            <w:pPr>
              <w:spacing w:after="0" w:line="20" w:lineRule="exact"/>
              <w:rPr>
                <w:sz w:val="1"/>
                <w:szCs w:val="1"/>
                <w:color w:val="auto"/>
              </w:rPr>
            </w:pPr>
          </w:p>
        </w:tc>
        <w:tc>
          <w:tcPr>
            <w:tcW w:w="160" w:type="dxa"/>
            <w:vAlign w:val="bottom"/>
            <w:gridSpan w:val="2"/>
            <w:shd w:val="clear" w:color="auto" w:fill="D92231"/>
          </w:tcPr>
          <w:p>
            <w:pPr>
              <w:spacing w:after="0" w:line="20" w:lineRule="exact"/>
              <w:rPr>
                <w:sz w:val="1"/>
                <w:szCs w:val="1"/>
                <w:color w:val="auto"/>
              </w:rPr>
            </w:pPr>
          </w:p>
        </w:tc>
        <w:tc>
          <w:tcPr>
            <w:tcW w:w="180" w:type="dxa"/>
            <w:vAlign w:val="bottom"/>
            <w:tcBorders>
              <w:right w:val="single" w:sz="8" w:color="D92231"/>
            </w:tcBorders>
            <w:shd w:val="clear" w:color="auto" w:fill="D92231"/>
          </w:tcPr>
          <w:p>
            <w:pPr>
              <w:spacing w:after="0" w:line="20" w:lineRule="exact"/>
              <w:rPr>
                <w:sz w:val="1"/>
                <w:szCs w:val="1"/>
                <w:color w:val="auto"/>
              </w:rPr>
            </w:pPr>
          </w:p>
        </w:tc>
        <w:tc>
          <w:tcPr>
            <w:tcW w:w="160" w:type="dxa"/>
            <w:vAlign w:val="bottom"/>
            <w:gridSpan w:val="3"/>
            <w:shd w:val="clear" w:color="auto" w:fill="D9223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8040" w:type="dxa"/>
            <w:vAlign w:val="bottom"/>
            <w:gridSpan w:val="45"/>
          </w:tcPr>
          <w:p>
            <w:pPr>
              <w:spacing w:after="0"/>
              <w:rPr>
                <w:sz w:val="20"/>
                <w:szCs w:val="20"/>
                <w:color w:val="auto"/>
              </w:rPr>
            </w:pPr>
            <w:r>
              <w:rPr>
                <w:rFonts w:ascii="Arial" w:cs="Arial" w:eastAsia="Arial" w:hAnsi="Arial"/>
                <w:sz w:val="18"/>
                <w:szCs w:val="18"/>
                <w:color w:val="D92231"/>
              </w:rPr>
              <w:t>COMPENSATION DISCUSSION AND ANALYSIS</w:t>
            </w:r>
          </w:p>
        </w:tc>
        <w:tc>
          <w:tcPr>
            <w:tcW w:w="1680" w:type="dxa"/>
            <w:vAlign w:val="bottom"/>
          </w:tcPr>
          <w:p>
            <w:pPr>
              <w:jc w:val="right"/>
              <w:spacing w:after="0"/>
              <w:rPr>
                <w:sz w:val="20"/>
                <w:szCs w:val="20"/>
                <w:color w:val="auto"/>
              </w:rPr>
            </w:pPr>
            <w:r>
              <w:rPr>
                <w:rFonts w:ascii="Arial" w:cs="Arial" w:eastAsia="Arial" w:hAnsi="Arial"/>
                <w:sz w:val="18"/>
                <w:szCs w:val="18"/>
                <w:color w:val="D92231"/>
              </w:rPr>
              <w:t>26</w:t>
            </w:r>
          </w:p>
        </w:tc>
      </w:tr>
      <w:tr>
        <w:trPr>
          <w:trHeight w:val="210"/>
        </w:trPr>
        <w:tc>
          <w:tcPr>
            <w:tcW w:w="320" w:type="dxa"/>
            <w:vAlign w:val="bottom"/>
            <w:tcBorders>
              <w:top w:val="single" w:sz="8" w:color="D92231"/>
            </w:tcBorders>
          </w:tcPr>
          <w:p>
            <w:pPr>
              <w:spacing w:after="0"/>
              <w:rPr>
                <w:sz w:val="18"/>
                <w:szCs w:val="18"/>
                <w:color w:val="auto"/>
              </w:rPr>
            </w:pPr>
          </w:p>
        </w:tc>
        <w:tc>
          <w:tcPr>
            <w:tcW w:w="2580" w:type="dxa"/>
            <w:vAlign w:val="bottom"/>
            <w:tcBorders>
              <w:top w:val="single" w:sz="8" w:color="D92231"/>
              <w:bottom w:val="single" w:sz="8" w:color="0000FF"/>
            </w:tcBorders>
            <w:gridSpan w:val="18"/>
          </w:tcPr>
          <w:p>
            <w:pPr>
              <w:ind w:left="20"/>
              <w:spacing w:after="0"/>
              <w:rPr>
                <w:sz w:val="20"/>
                <w:szCs w:val="20"/>
                <w:color w:val="auto"/>
              </w:rPr>
            </w:pPr>
            <w:r>
              <w:rPr>
                <w:rFonts w:ascii="Arial" w:cs="Arial" w:eastAsia="Arial" w:hAnsi="Arial"/>
                <w:sz w:val="18"/>
                <w:szCs w:val="18"/>
                <w:color w:val="0000FF"/>
                <w:w w:val="98"/>
              </w:rPr>
              <w:t>Letter from the Committee Chair</w:t>
            </w:r>
          </w:p>
        </w:tc>
        <w:tc>
          <w:tcPr>
            <w:tcW w:w="1060" w:type="dxa"/>
            <w:vAlign w:val="bottom"/>
            <w:tcBorders>
              <w:top w:val="single" w:sz="8" w:color="D92231"/>
            </w:tcBorders>
            <w:gridSpan w:val="15"/>
          </w:tcPr>
          <w:p>
            <w:pPr>
              <w:spacing w:after="0"/>
              <w:rPr>
                <w:sz w:val="18"/>
                <w:szCs w:val="18"/>
                <w:color w:val="auto"/>
              </w:rPr>
            </w:pPr>
          </w:p>
        </w:tc>
        <w:tc>
          <w:tcPr>
            <w:tcW w:w="4080" w:type="dxa"/>
            <w:vAlign w:val="bottom"/>
            <w:gridSpan w:val="11"/>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Executive Compensation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20" w:type="dxa"/>
            <w:vAlign w:val="bottom"/>
          </w:tcPr>
          <w:p>
            <w:pPr>
              <w:spacing w:after="0" w:line="20" w:lineRule="exact"/>
              <w:rPr>
                <w:sz w:val="1"/>
                <w:szCs w:val="1"/>
                <w:color w:val="auto"/>
              </w:rPr>
            </w:pPr>
          </w:p>
        </w:tc>
        <w:tc>
          <w:tcPr>
            <w:tcW w:w="2000" w:type="dxa"/>
            <w:vAlign w:val="bottom"/>
            <w:gridSpan w:val="9"/>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Say-on-Pay and Shareholder Engagement</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320" w:type="dxa"/>
            <w:vAlign w:val="bottom"/>
          </w:tcPr>
          <w:p>
            <w:pPr>
              <w:spacing w:after="0"/>
              <w:rPr>
                <w:sz w:val="24"/>
                <w:szCs w:val="24"/>
                <w:color w:val="auto"/>
              </w:rPr>
            </w:pPr>
          </w:p>
        </w:tc>
        <w:tc>
          <w:tcPr>
            <w:tcW w:w="2920" w:type="dxa"/>
            <w:vAlign w:val="bottom"/>
            <w:tcBorders>
              <w:top w:val="single" w:sz="8" w:color="0000FF"/>
              <w:bottom w:val="single" w:sz="8" w:color="0000FF"/>
            </w:tcBorders>
            <w:gridSpan w:val="21"/>
          </w:tcPr>
          <w:p>
            <w:pPr>
              <w:ind w:left="20"/>
              <w:spacing w:after="0"/>
              <w:rPr>
                <w:sz w:val="20"/>
                <w:szCs w:val="20"/>
                <w:color w:val="auto"/>
              </w:rPr>
            </w:pPr>
            <w:r>
              <w:rPr>
                <w:rFonts w:ascii="Arial" w:cs="Arial" w:eastAsia="Arial" w:hAnsi="Arial"/>
                <w:sz w:val="18"/>
                <w:szCs w:val="18"/>
                <w:color w:val="0000FF"/>
                <w:w w:val="99"/>
              </w:rPr>
              <w:t>Fiscal Year 2026 Strategic Priorities</w:t>
            </w:r>
          </w:p>
        </w:tc>
        <w:tc>
          <w:tcPr>
            <w:tcW w:w="480" w:type="dxa"/>
            <w:vAlign w:val="bottom"/>
            <w:tcBorders>
              <w:top w:val="single" w:sz="8" w:color="0000FF"/>
            </w:tcBorders>
            <w:gridSpan w:val="6"/>
          </w:tcPr>
          <w:p>
            <w:pPr>
              <w:spacing w:after="0"/>
              <w:rPr>
                <w:sz w:val="24"/>
                <w:szCs w:val="24"/>
                <w:color w:val="auto"/>
              </w:rPr>
            </w:pPr>
          </w:p>
        </w:tc>
        <w:tc>
          <w:tcPr>
            <w:tcW w:w="4320" w:type="dxa"/>
            <w:vAlign w:val="bottom"/>
            <w:gridSpan w:val="17"/>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320" w:type="dxa"/>
            <w:vAlign w:val="bottom"/>
          </w:tcPr>
          <w:p>
            <w:pPr>
              <w:spacing w:after="0"/>
              <w:rPr>
                <w:sz w:val="18"/>
                <w:szCs w:val="18"/>
                <w:color w:val="auto"/>
              </w:rPr>
            </w:pPr>
          </w:p>
        </w:tc>
        <w:tc>
          <w:tcPr>
            <w:tcW w:w="3860" w:type="dxa"/>
            <w:vAlign w:val="bottom"/>
            <w:tcBorders>
              <w:bottom w:val="single" w:sz="8" w:color="0000FF"/>
            </w:tcBorders>
            <w:gridSpan w:val="35"/>
          </w:tcPr>
          <w:p>
            <w:pPr>
              <w:ind w:left="20"/>
              <w:spacing w:after="0"/>
              <w:rPr>
                <w:sz w:val="20"/>
                <w:szCs w:val="20"/>
                <w:color w:val="auto"/>
              </w:rPr>
            </w:pPr>
            <w:r>
              <w:rPr>
                <w:rFonts w:ascii="Arial" w:cs="Arial" w:eastAsia="Arial" w:hAnsi="Arial"/>
                <w:sz w:val="18"/>
                <w:szCs w:val="18"/>
                <w:color w:val="0000FF"/>
                <w:w w:val="99"/>
              </w:rPr>
              <w:t>Our Executive Compensation Guiding Principles</w:t>
            </w:r>
          </w:p>
        </w:tc>
        <w:tc>
          <w:tcPr>
            <w:tcW w:w="3860" w:type="dxa"/>
            <w:vAlign w:val="bottom"/>
            <w:gridSpan w:val="9"/>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Process for Setting Compensation</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320" w:type="dxa"/>
            <w:vAlign w:val="bottom"/>
          </w:tcPr>
          <w:p>
            <w:pPr>
              <w:spacing w:after="0"/>
              <w:rPr>
                <w:sz w:val="18"/>
                <w:szCs w:val="18"/>
                <w:color w:val="auto"/>
              </w:rPr>
            </w:pPr>
          </w:p>
        </w:tc>
        <w:tc>
          <w:tcPr>
            <w:tcW w:w="2740" w:type="dxa"/>
            <w:vAlign w:val="bottom"/>
            <w:tcBorders>
              <w:top w:val="single" w:sz="8" w:color="0000FF"/>
            </w:tcBorders>
            <w:gridSpan w:val="20"/>
          </w:tcPr>
          <w:p>
            <w:pPr>
              <w:ind w:left="20"/>
              <w:spacing w:after="0"/>
              <w:rPr>
                <w:sz w:val="20"/>
                <w:szCs w:val="20"/>
                <w:color w:val="auto"/>
              </w:rPr>
            </w:pPr>
            <w:r>
              <w:rPr>
                <w:rFonts w:ascii="Arial" w:cs="Arial" w:eastAsia="Arial" w:hAnsi="Arial"/>
                <w:sz w:val="18"/>
                <w:szCs w:val="18"/>
                <w:color w:val="0000FF"/>
              </w:rPr>
              <w:t>2025 Compensation Actions</w:t>
            </w:r>
          </w:p>
        </w:tc>
        <w:tc>
          <w:tcPr>
            <w:tcW w:w="4980" w:type="dxa"/>
            <w:vAlign w:val="bottom"/>
            <w:gridSpan w:val="24"/>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20" w:type="dxa"/>
            <w:vAlign w:val="bottom"/>
          </w:tcPr>
          <w:p>
            <w:pPr>
              <w:spacing w:after="0" w:line="20" w:lineRule="exact"/>
              <w:rPr>
                <w:sz w:val="1"/>
                <w:szCs w:val="1"/>
                <w:color w:val="auto"/>
              </w:rPr>
            </w:pPr>
          </w:p>
        </w:tc>
        <w:tc>
          <w:tcPr>
            <w:tcW w:w="2200" w:type="dxa"/>
            <w:vAlign w:val="bottom"/>
            <w:tcBorders>
              <w:right w:val="single" w:sz="8" w:color="0000FF"/>
            </w:tcBorders>
            <w:gridSpan w:val="1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20" w:type="dxa"/>
            <w:vAlign w:val="bottom"/>
            <w:gridSpan w:val="24"/>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280" w:type="dxa"/>
            <w:vAlign w:val="bottom"/>
            <w:tcBorders>
              <w:bottom w:val="single" w:sz="8" w:color="0000FF"/>
            </w:tcBorders>
            <w:gridSpan w:val="39"/>
          </w:tcPr>
          <w:p>
            <w:pPr>
              <w:ind w:left="20"/>
              <w:spacing w:after="0"/>
              <w:rPr>
                <w:sz w:val="20"/>
                <w:szCs w:val="20"/>
                <w:color w:val="auto"/>
              </w:rPr>
            </w:pPr>
            <w:r>
              <w:rPr>
                <w:rFonts w:ascii="Arial" w:cs="Arial" w:eastAsia="Arial" w:hAnsi="Arial"/>
                <w:sz w:val="18"/>
                <w:szCs w:val="18"/>
                <w:color w:val="0000FF"/>
                <w:w w:val="99"/>
              </w:rPr>
              <w:t>Governance of the Executive Compensation Program</w:t>
            </w:r>
          </w:p>
        </w:tc>
        <w:tc>
          <w:tcPr>
            <w:tcW w:w="3440" w:type="dxa"/>
            <w:vAlign w:val="bottom"/>
            <w:gridSpan w:val="5"/>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320" w:type="dxa"/>
            <w:vAlign w:val="bottom"/>
          </w:tcPr>
          <w:p>
            <w:pPr>
              <w:spacing w:after="0"/>
              <w:rPr>
                <w:sz w:val="18"/>
                <w:szCs w:val="18"/>
                <w:color w:val="auto"/>
              </w:rPr>
            </w:pPr>
          </w:p>
        </w:tc>
        <w:tc>
          <w:tcPr>
            <w:tcW w:w="7720" w:type="dxa"/>
            <w:vAlign w:val="bottom"/>
            <w:gridSpan w:val="44"/>
          </w:tcPr>
          <w:p>
            <w:pPr>
              <w:ind w:left="20"/>
              <w:spacing w:after="0"/>
              <w:rPr>
                <w:sz w:val="20"/>
                <w:szCs w:val="20"/>
                <w:color w:val="auto"/>
              </w:rPr>
            </w:pPr>
            <w:r>
              <w:rPr>
                <w:rFonts w:ascii="Arial" w:cs="Arial" w:eastAsia="Arial" w:hAnsi="Arial"/>
                <w:sz w:val="18"/>
                <w:szCs w:val="18"/>
                <w:color w:val="0000FF"/>
              </w:rPr>
              <w:t>Pension and Savings Plans</w:t>
            </w: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3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FF"/>
            </w:tcBorders>
            <w:gridSpan w:val="16"/>
          </w:tcPr>
          <w:p>
            <w:pPr>
              <w:ind w:left="20"/>
              <w:spacing w:after="0"/>
              <w:rPr>
                <w:sz w:val="20"/>
                <w:szCs w:val="20"/>
                <w:color w:val="auto"/>
              </w:rPr>
            </w:pPr>
            <w:r>
              <w:rPr>
                <w:rFonts w:ascii="Arial" w:cs="Arial" w:eastAsia="Arial" w:hAnsi="Arial"/>
                <w:sz w:val="18"/>
                <w:szCs w:val="18"/>
                <w:color w:val="0000FF"/>
                <w:w w:val="99"/>
              </w:rPr>
              <w:t>Perquisites and Personal Benefits</w:t>
            </w:r>
          </w:p>
        </w:tc>
        <w:tc>
          <w:tcPr>
            <w:tcW w:w="6160" w:type="dxa"/>
            <w:vAlign w:val="bottom"/>
            <w:gridSpan w:val="30"/>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Change in Control Benefits</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Employment and Separation</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Borders>
              <w:bottom w:val="single" w:sz="8" w:color="0000FF"/>
            </w:tcBorders>
            <w:gridSpan w:val="32"/>
          </w:tcPr>
          <w:p>
            <w:pPr>
              <w:ind w:left="20"/>
              <w:spacing w:after="0"/>
              <w:rPr>
                <w:sz w:val="20"/>
                <w:szCs w:val="20"/>
                <w:color w:val="auto"/>
              </w:rPr>
            </w:pPr>
            <w:r>
              <w:rPr>
                <w:rFonts w:ascii="Arial" w:cs="Arial" w:eastAsia="Arial" w:hAnsi="Arial"/>
                <w:sz w:val="18"/>
                <w:szCs w:val="18"/>
                <w:color w:val="0000FF"/>
                <w:w w:val="99"/>
              </w:rPr>
              <w:t>Other Features of Our Executive Compensation Program</w:t>
            </w:r>
          </w:p>
        </w:tc>
        <w:tc>
          <w:tcPr>
            <w:tcW w:w="4320" w:type="dxa"/>
            <w:vAlign w:val="bottom"/>
            <w:gridSpan w:val="1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Certain Tax Implications of Executive Compensation</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tcBorders>
              <w:bottom w:val="single" w:sz="8" w:color="0000FF"/>
            </w:tcBorders>
            <w:gridSpan w:val="28"/>
          </w:tcPr>
          <w:p>
            <w:pPr>
              <w:ind w:left="20"/>
              <w:spacing w:after="0"/>
              <w:rPr>
                <w:sz w:val="20"/>
                <w:szCs w:val="20"/>
                <w:color w:val="auto"/>
              </w:rPr>
            </w:pPr>
            <w:r>
              <w:rPr>
                <w:rFonts w:ascii="Arial" w:cs="Arial" w:eastAsia="Arial" w:hAnsi="Arial"/>
                <w:sz w:val="18"/>
                <w:szCs w:val="18"/>
                <w:color w:val="0000FF"/>
                <w:w w:val="99"/>
              </w:rPr>
              <w:t>Compensation and Human Capital Committee Report</w:t>
            </w:r>
          </w:p>
        </w:tc>
        <w:tc>
          <w:tcPr>
            <w:tcW w:w="4600" w:type="dxa"/>
            <w:vAlign w:val="bottom"/>
            <w:gridSpan w:val="18"/>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Borders>
              <w:bottom w:val="single" w:sz="8" w:color="0000FF"/>
            </w:tcBorders>
            <w:gridSpan w:val="14"/>
          </w:tcPr>
          <w:p>
            <w:pPr>
              <w:ind w:left="20"/>
              <w:spacing w:after="0"/>
              <w:rPr>
                <w:sz w:val="20"/>
                <w:szCs w:val="20"/>
                <w:color w:val="auto"/>
              </w:rPr>
            </w:pPr>
            <w:r>
              <w:rPr>
                <w:rFonts w:ascii="Arial" w:cs="Arial" w:eastAsia="Arial" w:hAnsi="Arial"/>
                <w:sz w:val="18"/>
                <w:szCs w:val="18"/>
                <w:color w:val="0000FF"/>
                <w:w w:val="98"/>
              </w:rPr>
              <w:t>Summary Compensation Table</w:t>
            </w:r>
          </w:p>
        </w:tc>
        <w:tc>
          <w:tcPr>
            <w:tcW w:w="6400" w:type="dxa"/>
            <w:vAlign w:val="bottom"/>
            <w:gridSpan w:val="3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8"/>
              </w:rPr>
              <w:t>Grants of Plan-Based Awards in 2025</w:t>
            </w:r>
          </w:p>
        </w:tc>
        <w:tc>
          <w:tcPr>
            <w:tcW w:w="5860" w:type="dxa"/>
            <w:vAlign w:val="bottom"/>
            <w:gridSpan w:val="26"/>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Outstanding Equity Awards at 2025 Fiscal Year-End</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Borders>
              <w:top w:val="single" w:sz="8" w:color="0000FF"/>
            </w:tcBorders>
            <w:gridSpan w:val="26"/>
          </w:tcPr>
          <w:p>
            <w:pPr>
              <w:ind w:left="20"/>
              <w:spacing w:after="0"/>
              <w:rPr>
                <w:sz w:val="20"/>
                <w:szCs w:val="20"/>
                <w:color w:val="auto"/>
              </w:rPr>
            </w:pPr>
            <w:r>
              <w:rPr>
                <w:rFonts w:ascii="Arial" w:cs="Arial" w:eastAsia="Arial" w:hAnsi="Arial"/>
                <w:sz w:val="18"/>
                <w:szCs w:val="18"/>
                <w:color w:val="0000FF"/>
              </w:rPr>
              <w:t>Option Exercises and Stock Vested in 2025</w:t>
            </w:r>
          </w:p>
        </w:tc>
        <w:tc>
          <w:tcPr>
            <w:tcW w:w="4720" w:type="dxa"/>
            <w:vAlign w:val="bottom"/>
            <w:gridSpan w:val="20"/>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tcBorders>
              <w:top w:val="single" w:sz="8" w:color="0000FF"/>
            </w:tcBorders>
            <w:gridSpan w:val="24"/>
          </w:tcPr>
          <w:p>
            <w:pPr>
              <w:ind w:left="20"/>
              <w:spacing w:after="0"/>
              <w:rPr>
                <w:sz w:val="20"/>
                <w:szCs w:val="20"/>
                <w:color w:val="auto"/>
              </w:rPr>
            </w:pPr>
            <w:r>
              <w:rPr>
                <w:rFonts w:ascii="Arial" w:cs="Arial" w:eastAsia="Arial" w:hAnsi="Arial"/>
                <w:sz w:val="18"/>
                <w:szCs w:val="18"/>
                <w:color w:val="0000FF"/>
              </w:rPr>
              <w:t>Pension Benefits for the 2025 Fiscal Year</w:t>
            </w:r>
          </w:p>
        </w:tc>
        <w:tc>
          <w:tcPr>
            <w:tcW w:w="5420" w:type="dxa"/>
            <w:vAlign w:val="bottom"/>
            <w:gridSpan w:val="2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tcBorders>
              <w:bottom w:val="single" w:sz="8" w:color="0000FF"/>
            </w:tcBorders>
            <w:gridSpan w:val="36"/>
          </w:tcPr>
          <w:p>
            <w:pPr>
              <w:ind w:left="20"/>
              <w:spacing w:after="0"/>
              <w:rPr>
                <w:sz w:val="20"/>
                <w:szCs w:val="20"/>
                <w:color w:val="auto"/>
              </w:rPr>
            </w:pPr>
            <w:r>
              <w:rPr>
                <w:rFonts w:ascii="Arial" w:cs="Arial" w:eastAsia="Arial" w:hAnsi="Arial"/>
                <w:sz w:val="18"/>
                <w:szCs w:val="18"/>
                <w:color w:val="0000FF"/>
                <w:w w:val="99"/>
              </w:rPr>
              <w:t>Non-Qualified Deferred Compensation for the 2025 Fiscal Year</w:t>
            </w:r>
          </w:p>
        </w:tc>
        <w:tc>
          <w:tcPr>
            <w:tcW w:w="3860" w:type="dxa"/>
            <w:vAlign w:val="bottom"/>
            <w:gridSpan w:val="10"/>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40" w:type="dxa"/>
            <w:vAlign w:val="bottom"/>
            <w:tcBorders>
              <w:bottom w:val="single" w:sz="8" w:color="0000FF"/>
            </w:tcBorders>
            <w:gridSpan w:val="34"/>
          </w:tcPr>
          <w:p>
            <w:pPr>
              <w:ind w:left="20"/>
              <w:spacing w:after="0"/>
              <w:rPr>
                <w:sz w:val="20"/>
                <w:szCs w:val="20"/>
                <w:color w:val="auto"/>
              </w:rPr>
            </w:pPr>
            <w:r>
              <w:rPr>
                <w:rFonts w:ascii="Arial" w:cs="Arial" w:eastAsia="Arial" w:hAnsi="Arial"/>
                <w:sz w:val="18"/>
                <w:szCs w:val="18"/>
                <w:color w:val="0000FF"/>
                <w:w w:val="99"/>
              </w:rPr>
              <w:t>Potential Payments Upon Termination or Change in Control</w:t>
            </w:r>
          </w:p>
        </w:tc>
        <w:tc>
          <w:tcPr>
            <w:tcW w:w="4140" w:type="dxa"/>
            <w:vAlign w:val="bottom"/>
            <w:gridSpan w:val="1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Equity Compensation Plan Information</w:t>
            </w: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3"/>
          </w:tcPr>
          <w:p>
            <w:pPr>
              <w:ind w:left="20"/>
              <w:spacing w:after="0"/>
              <w:rPr>
                <w:sz w:val="20"/>
                <w:szCs w:val="20"/>
                <w:color w:val="auto"/>
              </w:rPr>
            </w:pPr>
            <w:r>
              <w:rPr>
                <w:rFonts w:ascii="Arial" w:cs="Arial" w:eastAsia="Arial" w:hAnsi="Arial"/>
                <w:sz w:val="18"/>
                <w:szCs w:val="18"/>
                <w:color w:val="0000FF"/>
                <w:w w:val="98"/>
              </w:rPr>
              <w:t>CEO Pay Ratio</w:t>
            </w:r>
          </w:p>
        </w:tc>
        <w:tc>
          <w:tcPr>
            <w:tcW w:w="1840" w:type="dxa"/>
            <w:vAlign w:val="bottom"/>
            <w:tcBorders>
              <w:top w:val="single" w:sz="8" w:color="0000FF"/>
            </w:tcBorders>
            <w:gridSpan w:val="18"/>
          </w:tcPr>
          <w:p>
            <w:pPr>
              <w:spacing w:after="0"/>
              <w:rPr>
                <w:sz w:val="18"/>
                <w:szCs w:val="18"/>
                <w:color w:val="auto"/>
              </w:rPr>
            </w:pPr>
          </w:p>
        </w:tc>
        <w:tc>
          <w:tcPr>
            <w:tcW w:w="5800" w:type="dxa"/>
            <w:vAlign w:val="bottom"/>
            <w:gridSpan w:val="2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97"/>
              </w:rPr>
              <w:t>Pay Versus Performance</w:t>
            </w:r>
          </w:p>
        </w:tc>
        <w:tc>
          <w:tcPr>
            <w:tcW w:w="6880" w:type="dxa"/>
            <w:vAlign w:val="bottom"/>
            <w:gridSpan w:val="36"/>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D92231"/>
            </w:tcBorders>
            <w:gridSpan w:val="8"/>
          </w:tcPr>
          <w:p>
            <w:pPr>
              <w:spacing w:after="0"/>
              <w:rPr>
                <w:sz w:val="20"/>
                <w:szCs w:val="20"/>
                <w:color w:val="auto"/>
              </w:rPr>
            </w:pPr>
            <w:r>
              <w:rPr>
                <w:rFonts w:ascii="Arial" w:cs="Arial" w:eastAsia="Arial" w:hAnsi="Arial"/>
                <w:sz w:val="18"/>
                <w:szCs w:val="18"/>
                <w:color w:val="D92231"/>
                <w:w w:val="98"/>
              </w:rPr>
              <w:t>OTHER INFORMATION</w:t>
            </w:r>
          </w:p>
        </w:tc>
        <w:tc>
          <w:tcPr>
            <w:tcW w:w="7260" w:type="dxa"/>
            <w:vAlign w:val="bottom"/>
            <w:gridSpan w:val="40"/>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D92231"/>
              </w:rPr>
              <w:t>75</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Indemnification Actions</w:t>
            </w: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Borders>
              <w:bottom w:val="single" w:sz="8" w:color="0000FF"/>
            </w:tcBorders>
            <w:gridSpan w:val="29"/>
          </w:tcPr>
          <w:p>
            <w:pPr>
              <w:ind w:left="20"/>
              <w:spacing w:after="0"/>
              <w:rPr>
                <w:sz w:val="20"/>
                <w:szCs w:val="20"/>
                <w:color w:val="auto"/>
              </w:rPr>
            </w:pPr>
            <w:r>
              <w:rPr>
                <w:rFonts w:ascii="Arial" w:cs="Arial" w:eastAsia="Arial" w:hAnsi="Arial"/>
                <w:sz w:val="18"/>
                <w:szCs w:val="18"/>
                <w:color w:val="0000FF"/>
                <w:w w:val="99"/>
              </w:rPr>
              <w:t>Directors and Officers Liability Insurance and Indemnity</w:t>
            </w:r>
          </w:p>
        </w:tc>
        <w:tc>
          <w:tcPr>
            <w:tcW w:w="4460" w:type="dxa"/>
            <w:vAlign w:val="bottom"/>
            <w:gridSpan w:val="17"/>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85"/>
        </w:trPr>
        <w:tc>
          <w:tcPr>
            <w:tcW w:w="3020" w:type="dxa"/>
            <w:vAlign w:val="bottom"/>
            <w:tcBorders>
              <w:bottom w:val="single" w:sz="8" w:color="D92231"/>
            </w:tcBorders>
            <w:gridSpan w:val="17"/>
          </w:tcPr>
          <w:p>
            <w:pPr>
              <w:spacing w:after="0"/>
              <w:rPr>
                <w:sz w:val="20"/>
                <w:szCs w:val="20"/>
                <w:color w:val="auto"/>
              </w:rPr>
            </w:pPr>
            <w:r>
              <w:rPr>
                <w:rFonts w:ascii="Arial" w:cs="Arial" w:eastAsia="Arial" w:hAnsi="Arial"/>
                <w:sz w:val="18"/>
                <w:szCs w:val="18"/>
                <w:color w:val="D92231"/>
                <w:w w:val="99"/>
              </w:rPr>
              <w:t>NON-GAAP FINANCIAL MEASURES</w:t>
            </w:r>
          </w:p>
        </w:tc>
        <w:tc>
          <w:tcPr>
            <w:tcW w:w="6180" w:type="dxa"/>
            <w:vAlign w:val="bottom"/>
            <w:gridSpan w:val="3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D92231"/>
              </w:rPr>
              <w:t>76</w:t>
            </w:r>
          </w:p>
        </w:tc>
        <w:tc>
          <w:tcPr>
            <w:tcW w:w="0" w:type="dxa"/>
            <w:vAlign w:val="bottom"/>
          </w:tcPr>
          <w:p>
            <w:pPr>
              <w:spacing w:after="0"/>
              <w:rPr>
                <w:sz w:val="1"/>
                <w:szCs w:val="1"/>
                <w:color w:val="auto"/>
              </w:rPr>
            </w:pPr>
          </w:p>
        </w:tc>
      </w:tr>
      <w:tr>
        <w:trPr>
          <w:trHeight w:val="223"/>
        </w:trPr>
        <w:tc>
          <w:tcPr>
            <w:tcW w:w="9200" w:type="dxa"/>
            <w:vAlign w:val="bottom"/>
            <w:gridSpan w:val="48"/>
          </w:tcPr>
          <w:p>
            <w:pPr>
              <w:spacing w:after="0"/>
              <w:rPr>
                <w:sz w:val="20"/>
                <w:szCs w:val="20"/>
                <w:color w:val="auto"/>
              </w:rPr>
            </w:pPr>
            <w:r>
              <w:rPr>
                <w:rFonts w:ascii="Arial" w:cs="Arial" w:eastAsia="Arial" w:hAnsi="Arial"/>
                <w:sz w:val="18"/>
                <w:szCs w:val="18"/>
                <w:color w:val="D92231"/>
              </w:rPr>
              <w:t>PROPOSAL 2 — RATIFICATION OF APPOINTMENT OF INDEPENDENT REGISTERED PUBLIC</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D92231"/>
              </w:rPr>
              <w:t>79</w:t>
            </w:r>
          </w:p>
        </w:tc>
        <w:tc>
          <w:tcPr>
            <w:tcW w:w="0" w:type="dxa"/>
            <w:vAlign w:val="bottom"/>
          </w:tcPr>
          <w:p>
            <w:pPr>
              <w:spacing w:after="0"/>
              <w:rPr>
                <w:sz w:val="1"/>
                <w:szCs w:val="1"/>
                <w:color w:val="auto"/>
              </w:rPr>
            </w:pPr>
          </w:p>
        </w:tc>
      </w:tr>
      <w:tr>
        <w:trPr>
          <w:trHeight w:val="156"/>
        </w:trPr>
        <w:tc>
          <w:tcPr>
            <w:tcW w:w="160" w:type="dxa"/>
            <w:vAlign w:val="bottom"/>
            <w:tcBorders>
              <w:top w:val="single" w:sz="8" w:color="D92231"/>
            </w:tcBorders>
          </w:tcPr>
          <w:p>
            <w:pPr>
              <w:spacing w:after="0"/>
              <w:rPr>
                <w:sz w:val="13"/>
                <w:szCs w:val="13"/>
                <w:color w:val="auto"/>
              </w:rPr>
            </w:pPr>
          </w:p>
        </w:tc>
        <w:tc>
          <w:tcPr>
            <w:tcW w:w="7720" w:type="dxa"/>
            <w:vAlign w:val="bottom"/>
            <w:tcBorders>
              <w:top w:val="single" w:sz="8" w:color="D92231"/>
            </w:tcBorders>
            <w:gridSpan w:val="41"/>
          </w:tcPr>
          <w:p>
            <w:pPr>
              <w:spacing w:after="0" w:line="142" w:lineRule="exact"/>
              <w:rPr>
                <w:sz w:val="20"/>
                <w:szCs w:val="20"/>
                <w:color w:val="auto"/>
              </w:rPr>
            </w:pPr>
            <w:r>
              <w:rPr>
                <w:rFonts w:ascii="Arial" w:cs="Arial" w:eastAsia="Arial" w:hAnsi="Arial"/>
                <w:sz w:val="16"/>
                <w:szCs w:val="16"/>
                <w:color w:val="D92231"/>
              </w:rPr>
              <w:t>ACCOUNTING FIRM</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D92231"/>
          </w:tcPr>
          <w:p>
            <w:pPr>
              <w:spacing w:after="0" w:line="20" w:lineRule="exact"/>
              <w:rPr>
                <w:sz w:val="1"/>
                <w:szCs w:val="1"/>
                <w:color w:val="auto"/>
              </w:rPr>
            </w:pPr>
          </w:p>
        </w:tc>
        <w:tc>
          <w:tcPr>
            <w:tcW w:w="180" w:type="dxa"/>
            <w:vAlign w:val="bottom"/>
            <w:shd w:val="clear" w:color="auto" w:fill="D92231"/>
          </w:tcPr>
          <w:p>
            <w:pPr>
              <w:spacing w:after="0" w:line="20" w:lineRule="exact"/>
              <w:rPr>
                <w:sz w:val="1"/>
                <w:szCs w:val="1"/>
                <w:color w:val="auto"/>
              </w:rPr>
            </w:pPr>
          </w:p>
        </w:tc>
        <w:tc>
          <w:tcPr>
            <w:tcW w:w="1040" w:type="dxa"/>
            <w:vAlign w:val="bottom"/>
            <w:shd w:val="clear" w:color="auto" w:fill="D92231"/>
          </w:tcPr>
          <w:p>
            <w:pPr>
              <w:spacing w:after="0" w:line="20" w:lineRule="exact"/>
              <w:rPr>
                <w:sz w:val="1"/>
                <w:szCs w:val="1"/>
                <w:color w:val="auto"/>
              </w:rPr>
            </w:pPr>
          </w:p>
        </w:tc>
        <w:tc>
          <w:tcPr>
            <w:tcW w:w="120" w:type="dxa"/>
            <w:vAlign w:val="bottom"/>
            <w:gridSpan w:val="2"/>
            <w:shd w:val="clear" w:color="auto" w:fill="D92231"/>
          </w:tcPr>
          <w:p>
            <w:pPr>
              <w:spacing w:after="0" w:line="20" w:lineRule="exact"/>
              <w:rPr>
                <w:sz w:val="1"/>
                <w:szCs w:val="1"/>
                <w:color w:val="auto"/>
              </w:rPr>
            </w:pPr>
          </w:p>
        </w:tc>
        <w:tc>
          <w:tcPr>
            <w:tcW w:w="200" w:type="dxa"/>
            <w:vAlign w:val="bottom"/>
            <w:shd w:val="clear" w:color="auto" w:fill="D9223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Principal Auditor Fees and Services</w:t>
            </w: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Borders>
              <w:top w:val="single" w:sz="8" w:color="0000FF"/>
              <w:bottom w:val="single" w:sz="8" w:color="0000FF"/>
            </w:tcBorders>
            <w:gridSpan w:val="9"/>
          </w:tcPr>
          <w:p>
            <w:pPr>
              <w:ind w:left="20"/>
              <w:spacing w:after="0"/>
              <w:rPr>
                <w:sz w:val="20"/>
                <w:szCs w:val="20"/>
                <w:color w:val="auto"/>
              </w:rPr>
            </w:pPr>
            <w:r>
              <w:rPr>
                <w:rFonts w:ascii="Arial" w:cs="Arial" w:eastAsia="Arial" w:hAnsi="Arial"/>
                <w:sz w:val="18"/>
                <w:szCs w:val="18"/>
                <w:color w:val="0000FF"/>
                <w:w w:val="98"/>
              </w:rPr>
              <w:t>Audit Committee Report</w:t>
            </w:r>
          </w:p>
        </w:tc>
        <w:tc>
          <w:tcPr>
            <w:tcW w:w="920" w:type="dxa"/>
            <w:vAlign w:val="bottom"/>
            <w:tcBorders>
              <w:top w:val="single" w:sz="8" w:color="0000FF"/>
            </w:tcBorders>
            <w:gridSpan w:val="9"/>
          </w:tcPr>
          <w:p>
            <w:pPr>
              <w:spacing w:after="0"/>
              <w:rPr>
                <w:sz w:val="18"/>
                <w:szCs w:val="18"/>
                <w:color w:val="auto"/>
              </w:rPr>
            </w:pPr>
          </w:p>
        </w:tc>
        <w:tc>
          <w:tcPr>
            <w:tcW w:w="6020" w:type="dxa"/>
            <w:vAlign w:val="bottom"/>
            <w:gridSpan w:val="28"/>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9200" w:type="dxa"/>
            <w:vAlign w:val="bottom"/>
            <w:gridSpan w:val="48"/>
          </w:tcPr>
          <w:p>
            <w:pPr>
              <w:spacing w:after="0"/>
              <w:rPr>
                <w:sz w:val="20"/>
                <w:szCs w:val="20"/>
                <w:color w:val="auto"/>
              </w:rPr>
            </w:pPr>
            <w:r>
              <w:rPr>
                <w:rFonts w:ascii="Arial" w:cs="Arial" w:eastAsia="Arial" w:hAnsi="Arial"/>
                <w:sz w:val="18"/>
                <w:szCs w:val="18"/>
                <w:color w:val="D92231"/>
              </w:rPr>
              <w:t>PROPOSAL 3 — PROPOSAL TO APPROVE, ON AN ADVISORY BASIS, THE 2025 COMPENSATION OF</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D92231"/>
              </w:rPr>
              <w:t>81</w:t>
            </w:r>
          </w:p>
        </w:tc>
        <w:tc>
          <w:tcPr>
            <w:tcW w:w="0" w:type="dxa"/>
            <w:vAlign w:val="bottom"/>
          </w:tcPr>
          <w:p>
            <w:pPr>
              <w:spacing w:after="0"/>
              <w:rPr>
                <w:sz w:val="1"/>
                <w:szCs w:val="1"/>
                <w:color w:val="auto"/>
              </w:rPr>
            </w:pPr>
          </w:p>
        </w:tc>
      </w:tr>
      <w:tr>
        <w:trPr>
          <w:trHeight w:val="155"/>
        </w:trPr>
        <w:tc>
          <w:tcPr>
            <w:tcW w:w="160" w:type="dxa"/>
            <w:vAlign w:val="bottom"/>
            <w:tcBorders>
              <w:top w:val="single" w:sz="8" w:color="D92231"/>
            </w:tcBorders>
          </w:tcPr>
          <w:p>
            <w:pPr>
              <w:spacing w:after="0"/>
              <w:rPr>
                <w:sz w:val="13"/>
                <w:szCs w:val="13"/>
                <w:color w:val="auto"/>
              </w:rPr>
            </w:pPr>
          </w:p>
        </w:tc>
        <w:tc>
          <w:tcPr>
            <w:tcW w:w="3140" w:type="dxa"/>
            <w:vAlign w:val="bottom"/>
            <w:tcBorders>
              <w:top w:val="single" w:sz="8" w:color="D92231"/>
              <w:bottom w:val="single" w:sz="8" w:color="D92231"/>
            </w:tcBorders>
            <w:gridSpan w:val="20"/>
          </w:tcPr>
          <w:p>
            <w:pPr>
              <w:spacing w:after="0" w:line="142" w:lineRule="exact"/>
              <w:rPr>
                <w:sz w:val="20"/>
                <w:szCs w:val="20"/>
                <w:color w:val="auto"/>
              </w:rPr>
            </w:pPr>
            <w:r>
              <w:rPr>
                <w:rFonts w:ascii="Arial" w:cs="Arial" w:eastAsia="Arial" w:hAnsi="Arial"/>
                <w:sz w:val="16"/>
                <w:szCs w:val="16"/>
                <w:color w:val="D92231"/>
              </w:rPr>
              <w:t>OUR NAMED EXECUTIVE OFFICERS</w:t>
            </w:r>
          </w:p>
        </w:tc>
        <w:tc>
          <w:tcPr>
            <w:tcW w:w="5260" w:type="dxa"/>
            <w:vAlign w:val="bottom"/>
            <w:tcBorders>
              <w:top w:val="single" w:sz="8" w:color="D92231"/>
            </w:tcBorders>
            <w:gridSpan w:val="24"/>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0" w:type="dxa"/>
            <w:vAlign w:val="bottom"/>
            <w:gridSpan w:val="48"/>
          </w:tcPr>
          <w:p>
            <w:pPr>
              <w:spacing w:after="0"/>
              <w:rPr>
                <w:sz w:val="20"/>
                <w:szCs w:val="20"/>
                <w:color w:val="auto"/>
              </w:rPr>
            </w:pPr>
            <w:r>
              <w:rPr>
                <w:rFonts w:ascii="Arial" w:cs="Arial" w:eastAsia="Arial" w:hAnsi="Arial"/>
                <w:sz w:val="18"/>
                <w:szCs w:val="18"/>
                <w:color w:val="D92231"/>
              </w:rPr>
              <w:t xml:space="preserve">PROPOSAL 4 </w:t>
            </w:r>
            <w:r>
              <w:rPr>
                <w:rFonts w:ascii="Arial" w:cs="Arial" w:eastAsia="Arial" w:hAnsi="Arial"/>
                <w:sz w:val="18"/>
                <w:szCs w:val="18"/>
                <w:b w:val="1"/>
                <w:bCs w:val="1"/>
                <w:color w:val="D92231"/>
              </w:rPr>
              <w:t>—</w:t>
            </w:r>
            <w:r>
              <w:rPr>
                <w:rFonts w:ascii="Arial" w:cs="Arial" w:eastAsia="Arial" w:hAnsi="Arial"/>
                <w:sz w:val="18"/>
                <w:szCs w:val="18"/>
                <w:color w:val="D92231"/>
              </w:rPr>
              <w:t xml:space="preserve"> PROPOSAL TO APPROVE AN AMENDMENT TO THE XEROX HOLDINGS CORPORATION</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D92231"/>
              </w:rPr>
              <w:t>82</w:t>
            </w:r>
          </w:p>
        </w:tc>
        <w:tc>
          <w:tcPr>
            <w:tcW w:w="0" w:type="dxa"/>
            <w:vAlign w:val="bottom"/>
          </w:tcPr>
          <w:p>
            <w:pPr>
              <w:spacing w:after="0"/>
              <w:rPr>
                <w:sz w:val="1"/>
                <w:szCs w:val="1"/>
                <w:color w:val="auto"/>
              </w:rPr>
            </w:pPr>
          </w:p>
        </w:tc>
      </w:tr>
      <w:tr>
        <w:trPr>
          <w:trHeight w:val="155"/>
        </w:trPr>
        <w:tc>
          <w:tcPr>
            <w:tcW w:w="160" w:type="dxa"/>
            <w:vAlign w:val="bottom"/>
            <w:tcBorders>
              <w:top w:val="single" w:sz="8" w:color="D92231"/>
            </w:tcBorders>
          </w:tcPr>
          <w:p>
            <w:pPr>
              <w:spacing w:after="0"/>
              <w:rPr>
                <w:sz w:val="13"/>
                <w:szCs w:val="13"/>
                <w:color w:val="auto"/>
              </w:rPr>
            </w:pPr>
          </w:p>
        </w:tc>
        <w:tc>
          <w:tcPr>
            <w:tcW w:w="7380" w:type="dxa"/>
            <w:vAlign w:val="bottom"/>
            <w:tcBorders>
              <w:top w:val="single" w:sz="8" w:color="D92231"/>
              <w:bottom w:val="single" w:sz="8" w:color="D92231"/>
            </w:tcBorders>
            <w:gridSpan w:val="39"/>
          </w:tcPr>
          <w:p>
            <w:pPr>
              <w:spacing w:after="0" w:line="142" w:lineRule="exact"/>
              <w:rPr>
                <w:sz w:val="20"/>
                <w:szCs w:val="20"/>
                <w:color w:val="auto"/>
              </w:rPr>
            </w:pPr>
            <w:r>
              <w:rPr>
                <w:rFonts w:ascii="Arial" w:cs="Arial" w:eastAsia="Arial" w:hAnsi="Arial"/>
                <w:sz w:val="16"/>
                <w:szCs w:val="16"/>
                <w:color w:val="D92231"/>
              </w:rPr>
              <w:t>2024 EQUITY AND PERFORMANCE INCENTIVE PLAN TO INCREASE SHARE RESERVE</w:t>
            </w:r>
          </w:p>
        </w:tc>
        <w:tc>
          <w:tcPr>
            <w:tcW w:w="1360" w:type="dxa"/>
            <w:vAlign w:val="bottom"/>
            <w:tcBorders>
              <w:top w:val="single" w:sz="8" w:color="D92231"/>
            </w:tcBorders>
            <w:gridSpan w:val="7"/>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D92231"/>
            </w:tcBorders>
            <w:gridSpan w:val="4"/>
          </w:tcPr>
          <w:p>
            <w:pPr>
              <w:spacing w:after="0"/>
              <w:rPr>
                <w:sz w:val="20"/>
                <w:szCs w:val="20"/>
                <w:color w:val="auto"/>
              </w:rPr>
            </w:pPr>
            <w:r>
              <w:rPr>
                <w:rFonts w:ascii="Arial" w:cs="Arial" w:eastAsia="Arial" w:hAnsi="Arial"/>
                <w:sz w:val="18"/>
                <w:szCs w:val="18"/>
                <w:color w:val="D92231"/>
                <w:w w:val="98"/>
              </w:rPr>
              <w:t>OTHER MATTERS</w:t>
            </w:r>
          </w:p>
        </w:tc>
        <w:tc>
          <w:tcPr>
            <w:tcW w:w="7660" w:type="dxa"/>
            <w:vAlign w:val="bottom"/>
            <w:gridSpan w:val="44"/>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D92231"/>
              </w:rPr>
              <w:t>93</w:t>
            </w:r>
          </w:p>
        </w:tc>
        <w:tc>
          <w:tcPr>
            <w:tcW w:w="0" w:type="dxa"/>
            <w:vAlign w:val="bottom"/>
          </w:tcPr>
          <w:p>
            <w:pPr>
              <w:spacing w:after="0"/>
              <w:rPr>
                <w:sz w:val="1"/>
                <w:szCs w:val="1"/>
                <w:color w:val="auto"/>
              </w:rPr>
            </w:pPr>
          </w:p>
        </w:tc>
      </w:tr>
      <w:tr>
        <w:trPr>
          <w:trHeight w:val="210"/>
        </w:trPr>
        <w:tc>
          <w:tcPr>
            <w:tcW w:w="9200" w:type="dxa"/>
            <w:vAlign w:val="bottom"/>
            <w:gridSpan w:val="48"/>
          </w:tcPr>
          <w:p>
            <w:pPr>
              <w:spacing w:after="0"/>
              <w:rPr>
                <w:sz w:val="20"/>
                <w:szCs w:val="20"/>
                <w:color w:val="auto"/>
              </w:rPr>
            </w:pPr>
            <w:r>
              <w:rPr>
                <w:rFonts w:ascii="Arial" w:cs="Arial" w:eastAsia="Arial" w:hAnsi="Arial"/>
                <w:sz w:val="18"/>
                <w:szCs w:val="18"/>
                <w:color w:val="D92231"/>
              </w:rPr>
              <w:t>QUESTIONS AND ANSWERS ABOUT THE ANNUAL MEETING</w:t>
            </w:r>
          </w:p>
        </w:tc>
        <w:tc>
          <w:tcPr>
            <w:tcW w:w="520" w:type="dxa"/>
            <w:vAlign w:val="bottom"/>
          </w:tcPr>
          <w:p>
            <w:pPr>
              <w:jc w:val="right"/>
              <w:spacing w:after="0"/>
              <w:rPr>
                <w:sz w:val="20"/>
                <w:szCs w:val="20"/>
                <w:color w:val="auto"/>
              </w:rPr>
            </w:pPr>
            <w:r>
              <w:rPr>
                <w:rFonts w:ascii="Arial" w:cs="Arial" w:eastAsia="Arial" w:hAnsi="Arial"/>
                <w:sz w:val="18"/>
                <w:szCs w:val="18"/>
                <w:color w:val="D92231"/>
              </w:rPr>
              <w:t>94</w:t>
            </w:r>
          </w:p>
        </w:tc>
        <w:tc>
          <w:tcPr>
            <w:tcW w:w="0" w:type="dxa"/>
            <w:vAlign w:val="bottom"/>
          </w:tcPr>
          <w:p>
            <w:pPr>
              <w:spacing w:after="0"/>
              <w:rPr>
                <w:sz w:val="1"/>
                <w:szCs w:val="1"/>
                <w:color w:val="auto"/>
              </w:rPr>
            </w:pPr>
          </w:p>
        </w:tc>
      </w:tr>
      <w:tr>
        <w:trPr>
          <w:trHeight w:val="210"/>
        </w:trPr>
        <w:tc>
          <w:tcPr>
            <w:tcW w:w="160" w:type="dxa"/>
            <w:vAlign w:val="bottom"/>
            <w:tcBorders>
              <w:top w:val="single" w:sz="8" w:color="D92231"/>
            </w:tcBorders>
          </w:tcPr>
          <w:p>
            <w:pPr>
              <w:spacing w:after="0"/>
              <w:rPr>
                <w:sz w:val="18"/>
                <w:szCs w:val="18"/>
                <w:color w:val="auto"/>
              </w:rPr>
            </w:pPr>
          </w:p>
        </w:tc>
        <w:tc>
          <w:tcPr>
            <w:tcW w:w="160" w:type="dxa"/>
            <w:vAlign w:val="bottom"/>
            <w:tcBorders>
              <w:top w:val="single" w:sz="8" w:color="D92231"/>
            </w:tcBorders>
          </w:tcPr>
          <w:p>
            <w:pPr>
              <w:spacing w:after="0"/>
              <w:rPr>
                <w:sz w:val="18"/>
                <w:szCs w:val="18"/>
                <w:color w:val="auto"/>
              </w:rPr>
            </w:pPr>
          </w:p>
        </w:tc>
        <w:tc>
          <w:tcPr>
            <w:tcW w:w="4860" w:type="dxa"/>
            <w:vAlign w:val="bottom"/>
            <w:tcBorders>
              <w:top w:val="single" w:sz="8" w:color="D92231"/>
            </w:tcBorders>
            <w:gridSpan w:val="35"/>
          </w:tcPr>
          <w:p>
            <w:pPr>
              <w:ind w:left="20"/>
              <w:spacing w:after="0"/>
              <w:rPr>
                <w:sz w:val="20"/>
                <w:szCs w:val="20"/>
                <w:color w:val="auto"/>
              </w:rPr>
            </w:pPr>
            <w:r>
              <w:rPr>
                <w:rFonts w:ascii="Arial" w:cs="Arial" w:eastAsia="Arial" w:hAnsi="Arial"/>
                <w:sz w:val="18"/>
                <w:szCs w:val="18"/>
                <w:color w:val="0000FF"/>
              </w:rPr>
              <w:t>Who is entitled to vote?</w:t>
            </w:r>
          </w:p>
        </w:tc>
        <w:tc>
          <w:tcPr>
            <w:tcW w:w="4020" w:type="dxa"/>
            <w:vAlign w:val="bottom"/>
            <w:gridSpan w:val="11"/>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tcBorders>
              <w:bottom w:val="single" w:sz="8" w:color="0000FF"/>
            </w:tcBorders>
            <w:gridSpan w:val="41"/>
          </w:tcPr>
          <w:p>
            <w:pPr>
              <w:ind w:left="20"/>
              <w:spacing w:after="0"/>
              <w:rPr>
                <w:sz w:val="20"/>
                <w:szCs w:val="20"/>
                <w:color w:val="auto"/>
              </w:rPr>
            </w:pPr>
            <w:r>
              <w:rPr>
                <w:rFonts w:ascii="Arial" w:cs="Arial" w:eastAsia="Arial" w:hAnsi="Arial"/>
                <w:sz w:val="18"/>
                <w:szCs w:val="18"/>
                <w:color w:val="0000FF"/>
                <w:w w:val="99"/>
              </w:rPr>
              <w:t>What is the difference between holding shares as a shareholder of record and as a beneficial owner?</w:t>
            </w:r>
          </w:p>
        </w:tc>
        <w:tc>
          <w:tcPr>
            <w:tcW w:w="84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What is a proxy?</w:t>
            </w: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tcBorders>
              <w:bottom w:val="single" w:sz="8" w:color="0000FF"/>
            </w:tcBorders>
            <w:gridSpan w:val="30"/>
          </w:tcPr>
          <w:p>
            <w:pPr>
              <w:ind w:left="20"/>
              <w:spacing w:after="0"/>
              <w:rPr>
                <w:sz w:val="20"/>
                <w:szCs w:val="20"/>
                <w:color w:val="auto"/>
              </w:rPr>
            </w:pPr>
            <w:r>
              <w:rPr>
                <w:rFonts w:ascii="Arial" w:cs="Arial" w:eastAsia="Arial" w:hAnsi="Arial"/>
                <w:sz w:val="18"/>
                <w:szCs w:val="18"/>
                <w:color w:val="0000FF"/>
                <w:w w:val="99"/>
              </w:rPr>
              <w:t>May I change or revoke my vote after I return my proxy?</w:t>
            </w:r>
          </w:p>
        </w:tc>
        <w:tc>
          <w:tcPr>
            <w:tcW w:w="4400" w:type="dxa"/>
            <w:vAlign w:val="bottom"/>
            <w:gridSpan w:val="16"/>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How will my proxy be voted?</w:t>
            </w: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How many shares are required to be present to hold the Annual Meeting?</w:t>
            </w: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60" w:type="dxa"/>
            <w:vAlign w:val="bottom"/>
            <w:tcBorders>
              <w:top w:val="single" w:sz="8" w:color="0000FF"/>
            </w:tcBorders>
            <w:gridSpan w:val="37"/>
          </w:tcPr>
          <w:p>
            <w:pPr>
              <w:ind w:left="20"/>
              <w:spacing w:after="0"/>
              <w:rPr>
                <w:sz w:val="20"/>
                <w:szCs w:val="20"/>
                <w:color w:val="auto"/>
              </w:rPr>
            </w:pPr>
            <w:r>
              <w:rPr>
                <w:rFonts w:ascii="Arial" w:cs="Arial" w:eastAsia="Arial" w:hAnsi="Arial"/>
                <w:sz w:val="18"/>
                <w:szCs w:val="18"/>
                <w:color w:val="0000FF"/>
              </w:rPr>
              <w:t>How many votes are required to approve each proposal?</w:t>
            </w:r>
          </w:p>
        </w:tc>
        <w:tc>
          <w:tcPr>
            <w:tcW w:w="3020" w:type="dxa"/>
            <w:vAlign w:val="bottom"/>
            <w:gridSpan w:val="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60" w:type="dxa"/>
            <w:vAlign w:val="bottom"/>
            <w:tcBorders>
              <w:bottom w:val="single" w:sz="8" w:color="0000FF"/>
            </w:tcBorders>
            <w:gridSpan w:val="33"/>
          </w:tcPr>
          <w:p>
            <w:pPr>
              <w:ind w:left="20"/>
              <w:spacing w:after="0"/>
              <w:rPr>
                <w:sz w:val="20"/>
                <w:szCs w:val="20"/>
                <w:color w:val="auto"/>
              </w:rPr>
            </w:pPr>
            <w:r>
              <w:rPr>
                <w:rFonts w:ascii="Arial" w:cs="Arial" w:eastAsia="Arial" w:hAnsi="Arial"/>
                <w:sz w:val="18"/>
                <w:szCs w:val="18"/>
                <w:color w:val="0000FF"/>
                <w:w w:val="99"/>
              </w:rPr>
              <w:t>What is a broker non-vote and how will it affect the voting?</w:t>
            </w:r>
          </w:p>
        </w:tc>
        <w:tc>
          <w:tcPr>
            <w:tcW w:w="4220" w:type="dxa"/>
            <w:vAlign w:val="bottom"/>
            <w:gridSpan w:val="1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Borders>
              <w:bottom w:val="single" w:sz="8" w:color="0000FF"/>
            </w:tcBorders>
            <w:gridSpan w:val="25"/>
          </w:tcPr>
          <w:p>
            <w:pPr>
              <w:ind w:left="20"/>
              <w:spacing w:after="0"/>
              <w:rPr>
                <w:sz w:val="20"/>
                <w:szCs w:val="20"/>
                <w:color w:val="auto"/>
              </w:rPr>
            </w:pPr>
            <w:r>
              <w:rPr>
                <w:rFonts w:ascii="Arial" w:cs="Arial" w:eastAsia="Arial" w:hAnsi="Arial"/>
                <w:sz w:val="18"/>
                <w:szCs w:val="18"/>
                <w:color w:val="0000FF"/>
                <w:w w:val="99"/>
              </w:rPr>
              <w:t>Who will count the vote? Is my vote confidential?</w:t>
            </w:r>
          </w:p>
        </w:tc>
        <w:tc>
          <w:tcPr>
            <w:tcW w:w="4980" w:type="dxa"/>
            <w:vAlign w:val="bottom"/>
            <w:gridSpan w:val="21"/>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When will the voting results be disclosed?</w:t>
            </w: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Borders>
              <w:top w:val="single" w:sz="8" w:color="0000FF"/>
              <w:bottom w:val="single" w:sz="8" w:color="0000FF"/>
            </w:tcBorders>
            <w:gridSpan w:val="12"/>
          </w:tcPr>
          <w:p>
            <w:pPr>
              <w:ind w:left="20"/>
              <w:spacing w:after="0"/>
              <w:rPr>
                <w:sz w:val="20"/>
                <w:szCs w:val="20"/>
                <w:color w:val="auto"/>
              </w:rPr>
            </w:pPr>
            <w:r>
              <w:rPr>
                <w:rFonts w:ascii="Arial" w:cs="Arial" w:eastAsia="Arial" w:hAnsi="Arial"/>
                <w:sz w:val="18"/>
                <w:szCs w:val="18"/>
                <w:color w:val="0000FF"/>
                <w:w w:val="99"/>
              </w:rPr>
              <w:t>How are proxies solicited?</w:t>
            </w:r>
          </w:p>
        </w:tc>
        <w:tc>
          <w:tcPr>
            <w:tcW w:w="1180" w:type="dxa"/>
            <w:vAlign w:val="bottom"/>
            <w:tcBorders>
              <w:top w:val="single" w:sz="8" w:color="0000FF"/>
            </w:tcBorders>
            <w:gridSpan w:val="11"/>
          </w:tcPr>
          <w:p>
            <w:pPr>
              <w:spacing w:after="0"/>
              <w:rPr>
                <w:sz w:val="18"/>
                <w:szCs w:val="18"/>
                <w:color w:val="auto"/>
              </w:rPr>
            </w:pPr>
          </w:p>
        </w:tc>
        <w:tc>
          <w:tcPr>
            <w:tcW w:w="5540" w:type="dxa"/>
            <w:vAlign w:val="bottom"/>
            <w:gridSpan w:val="2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Why did I receive a notice in the mail regarding internet availability of proxy materials instead of a full set of</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920" w:type="dxa"/>
            <w:vAlign w:val="bottom"/>
            <w:tcBorders>
              <w:top w:val="single" w:sz="8" w:color="0000FF"/>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printed proxy materials?</w:t>
            </w:r>
          </w:p>
        </w:tc>
        <w:tc>
          <w:tcPr>
            <w:tcW w:w="1800" w:type="dxa"/>
            <w:vAlign w:val="bottom"/>
            <w:tcBorders>
              <w:top w:val="single" w:sz="8" w:color="0000FF"/>
            </w:tcBorders>
            <w:gridSpan w:val="14"/>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3360" w:type="dxa"/>
            <w:vAlign w:val="bottom"/>
            <w:tcBorders>
              <w:top w:val="single" w:sz="8" w:color="0000FF"/>
            </w:tcBorders>
            <w:gridSpan w:val="12"/>
          </w:tcPr>
          <w:p>
            <w:pPr>
              <w:spacing w:after="0"/>
              <w:rPr>
                <w:sz w:val="13"/>
                <w:szCs w:val="13"/>
                <w:color w:val="auto"/>
              </w:rPr>
            </w:pPr>
          </w:p>
        </w:tc>
        <w:tc>
          <w:tcPr>
            <w:tcW w:w="640" w:type="dxa"/>
            <w:vAlign w:val="bottom"/>
            <w:tcBorders>
              <w:top w:val="single" w:sz="8" w:color="0000FF"/>
            </w:tcBorders>
            <w:gridSpan w:val="3"/>
          </w:tcPr>
          <w:p>
            <w:pPr>
              <w:spacing w:after="0"/>
              <w:rPr>
                <w:sz w:val="13"/>
                <w:szCs w:val="13"/>
                <w:color w:val="auto"/>
              </w:rPr>
            </w:pPr>
          </w:p>
        </w:tc>
        <w:tc>
          <w:tcPr>
            <w:tcW w:w="32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80" w:type="dxa"/>
            <w:vAlign w:val="bottom"/>
            <w:tcBorders>
              <w:bottom w:val="single" w:sz="8" w:color="0000FF"/>
            </w:tcBorders>
            <w:gridSpan w:val="27"/>
          </w:tcPr>
          <w:p>
            <w:pPr>
              <w:ind w:left="20"/>
              <w:spacing w:after="0"/>
              <w:rPr>
                <w:sz w:val="20"/>
                <w:szCs w:val="20"/>
                <w:color w:val="auto"/>
              </w:rPr>
            </w:pPr>
            <w:r>
              <w:rPr>
                <w:rFonts w:ascii="Arial" w:cs="Arial" w:eastAsia="Arial" w:hAnsi="Arial"/>
                <w:sz w:val="18"/>
                <w:szCs w:val="18"/>
                <w:color w:val="0000FF"/>
                <w:w w:val="99"/>
              </w:rPr>
              <w:t>How can I electronically access the proxy materials?</w:t>
            </w:r>
          </w:p>
        </w:tc>
        <w:tc>
          <w:tcPr>
            <w:tcW w:w="4700" w:type="dxa"/>
            <w:vAlign w:val="bottom"/>
            <w:gridSpan w:val="19"/>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What is the deadline to propose actions (other than Director nominations) for consideration at the 2026</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00" w:type="dxa"/>
            <w:vAlign w:val="bottom"/>
            <w:tcBorders>
              <w:top w:val="single" w:sz="8" w:color="0000FF"/>
            </w:tcBorders>
            <w:gridSpan w:val="41"/>
          </w:tcPr>
          <w:p>
            <w:pPr>
              <w:spacing w:after="0" w:line="142" w:lineRule="exact"/>
              <w:rPr>
                <w:sz w:val="20"/>
                <w:szCs w:val="20"/>
                <w:color w:val="auto"/>
              </w:rPr>
            </w:pPr>
            <w:r>
              <w:rPr>
                <w:rFonts w:ascii="Arial" w:cs="Arial" w:eastAsia="Arial" w:hAnsi="Arial"/>
                <w:sz w:val="16"/>
                <w:szCs w:val="16"/>
                <w:color w:val="0000FF"/>
              </w:rPr>
              <w:t>Annual Meeting of Shareholders?</w:t>
            </w:r>
          </w:p>
        </w:tc>
        <w:tc>
          <w:tcPr>
            <w:tcW w:w="400" w:type="dxa"/>
            <w:vAlign w:val="bottom"/>
            <w:gridSpan w:val="3"/>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1220" w:type="dxa"/>
            <w:vAlign w:val="bottom"/>
            <w:gridSpan w:val="11"/>
            <w:shd w:val="clear" w:color="auto" w:fill="0000FF"/>
          </w:tcPr>
          <w:p>
            <w:pPr>
              <w:spacing w:after="0" w:line="20" w:lineRule="exact"/>
              <w:rPr>
                <w:sz w:val="1"/>
                <w:szCs w:val="1"/>
                <w:color w:val="auto"/>
              </w:rPr>
            </w:pPr>
          </w:p>
        </w:tc>
        <w:tc>
          <w:tcPr>
            <w:tcW w:w="4700" w:type="dxa"/>
            <w:vAlign w:val="bottom"/>
            <w:gridSpan w:val="2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80" w:type="dxa"/>
            <w:vAlign w:val="bottom"/>
            <w:gridSpan w:val="46"/>
          </w:tcPr>
          <w:p>
            <w:pPr>
              <w:ind w:left="20"/>
              <w:spacing w:after="0"/>
              <w:rPr>
                <w:sz w:val="20"/>
                <w:szCs w:val="20"/>
                <w:color w:val="auto"/>
              </w:rPr>
            </w:pPr>
            <w:r>
              <w:rPr>
                <w:rFonts w:ascii="Arial" w:cs="Arial" w:eastAsia="Arial" w:hAnsi="Arial"/>
                <w:sz w:val="18"/>
                <w:szCs w:val="18"/>
                <w:color w:val="0000FF"/>
              </w:rPr>
              <w:t>How may I recommend individuals to serve as Directors and what is the deadline for a Director</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recommendation?</w:t>
            </w:r>
          </w:p>
        </w:tc>
        <w:tc>
          <w:tcPr>
            <w:tcW w:w="5920" w:type="dxa"/>
            <w:vAlign w:val="bottom"/>
            <w:tcBorders>
              <w:top w:val="single" w:sz="8" w:color="0000FF"/>
            </w:tcBorders>
            <w:gridSpan w:val="33"/>
          </w:tcPr>
          <w:p>
            <w:pPr>
              <w:spacing w:after="0"/>
              <w:rPr>
                <w:sz w:val="13"/>
                <w:szCs w:val="13"/>
                <w:color w:val="auto"/>
              </w:rPr>
            </w:pPr>
          </w:p>
        </w:tc>
        <w:tc>
          <w:tcPr>
            <w:tcW w:w="1040" w:type="dxa"/>
            <w:vAlign w:val="bottom"/>
            <w:gridSpan w:val="6"/>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580" w:type="dxa"/>
            <w:vAlign w:val="bottom"/>
            <w:tcBorders>
              <w:bottom w:val="single" w:sz="8" w:color="0000FF"/>
            </w:tcBorders>
            <w:gridSpan w:val="45"/>
          </w:tcPr>
          <w:p>
            <w:pPr>
              <w:ind w:left="20"/>
              <w:spacing w:after="0"/>
              <w:rPr>
                <w:sz w:val="20"/>
                <w:szCs w:val="20"/>
                <w:color w:val="auto"/>
              </w:rPr>
            </w:pPr>
            <w:r>
              <w:rPr>
                <w:rFonts w:ascii="Arial" w:cs="Arial" w:eastAsia="Arial" w:hAnsi="Arial"/>
                <w:sz w:val="18"/>
                <w:szCs w:val="18"/>
                <w:color w:val="0000FF"/>
                <w:w w:val="99"/>
              </w:rPr>
              <w:t>How may I nominate individuals to serve as Directors and what are the deadlines for a Director nomination?</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67" w:right="1440" w:bottom="144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9"/>
              </w:rPr>
              <w:t>How can I contact the Board?</w:t>
            </w:r>
          </w:p>
        </w:tc>
        <w:tc>
          <w:tcPr>
            <w:tcW w:w="6200" w:type="dxa"/>
            <w:vAlign w:val="bottom"/>
            <w:gridSpan w:val="6"/>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9"/>
              </w:rPr>
              <w:t>What if multiple shareholders have the same address?</w:t>
            </w:r>
          </w:p>
        </w:tc>
        <w:tc>
          <w:tcPr>
            <w:tcW w:w="422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580" w:type="dxa"/>
            <w:vAlign w:val="bottom"/>
            <w:gridSpan w:val="7"/>
          </w:tcPr>
          <w:p>
            <w:pPr>
              <w:ind w:left="20"/>
              <w:spacing w:after="0"/>
              <w:rPr>
                <w:sz w:val="20"/>
                <w:szCs w:val="20"/>
                <w:color w:val="auto"/>
              </w:rPr>
            </w:pPr>
            <w:r>
              <w:rPr>
                <w:rFonts w:ascii="Arial" w:cs="Arial" w:eastAsia="Arial" w:hAnsi="Arial"/>
                <w:sz w:val="18"/>
                <w:szCs w:val="18"/>
                <w:color w:val="0000FF"/>
              </w:rPr>
              <w:t>How may I obtain additional copies of the proxy materials?</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580" w:type="dxa"/>
            <w:vAlign w:val="bottom"/>
            <w:gridSpan w:val="7"/>
          </w:tcPr>
          <w:p>
            <w:pPr>
              <w:ind w:left="20"/>
              <w:spacing w:after="0"/>
              <w:rPr>
                <w:sz w:val="20"/>
                <w:szCs w:val="20"/>
                <w:color w:val="auto"/>
              </w:rPr>
            </w:pPr>
            <w:r>
              <w:rPr>
                <w:rFonts w:ascii="Arial" w:cs="Arial" w:eastAsia="Arial" w:hAnsi="Arial"/>
                <w:sz w:val="18"/>
                <w:szCs w:val="18"/>
                <w:color w:val="0000FF"/>
              </w:rPr>
              <w:t>Is there a list of shareholders entitled to vote at the Annual Meeting?</w:t>
            </w: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9"/>
          </w:tcPr>
          <w:p>
            <w:pPr>
              <w:spacing w:after="0"/>
              <w:rPr>
                <w:sz w:val="20"/>
                <w:szCs w:val="20"/>
                <w:color w:val="auto"/>
              </w:rPr>
            </w:pPr>
            <w:r>
              <w:rPr>
                <w:rFonts w:ascii="Arial" w:cs="Arial" w:eastAsia="Arial" w:hAnsi="Arial"/>
                <w:sz w:val="18"/>
                <w:szCs w:val="18"/>
                <w:color w:val="D92231"/>
              </w:rPr>
              <w:t>EXHIBIT A - SECOND AMENDMENT TO THE XEROX HOLDINGS CORPORATION 2024 EQUITY AND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D92231"/>
              </w:rPr>
              <w:t>100</w:t>
            </w:r>
          </w:p>
        </w:tc>
        <w:tc>
          <w:tcPr>
            <w:tcW w:w="0" w:type="dxa"/>
            <w:vAlign w:val="bottom"/>
          </w:tcPr>
          <w:p>
            <w:pPr>
              <w:spacing w:after="0"/>
              <w:rPr>
                <w:sz w:val="1"/>
                <w:szCs w:val="1"/>
                <w:color w:val="auto"/>
              </w:rPr>
            </w:pPr>
          </w:p>
        </w:tc>
      </w:tr>
      <w:tr>
        <w:trPr>
          <w:trHeight w:val="155"/>
        </w:trPr>
        <w:tc>
          <w:tcPr>
            <w:tcW w:w="160" w:type="dxa"/>
            <w:vAlign w:val="bottom"/>
            <w:tcBorders>
              <w:top w:val="single" w:sz="8" w:color="D92231"/>
            </w:tcBorders>
          </w:tcPr>
          <w:p>
            <w:pPr>
              <w:spacing w:after="0"/>
              <w:rPr>
                <w:sz w:val="13"/>
                <w:szCs w:val="13"/>
                <w:color w:val="auto"/>
              </w:rPr>
            </w:pPr>
          </w:p>
        </w:tc>
        <w:tc>
          <w:tcPr>
            <w:tcW w:w="2940" w:type="dxa"/>
            <w:vAlign w:val="bottom"/>
            <w:tcBorders>
              <w:top w:val="single" w:sz="8" w:color="D92231"/>
              <w:bottom w:val="single" w:sz="8" w:color="D92231"/>
            </w:tcBorders>
            <w:gridSpan w:val="3"/>
          </w:tcPr>
          <w:p>
            <w:pPr>
              <w:spacing w:after="0" w:line="142" w:lineRule="exact"/>
              <w:rPr>
                <w:sz w:val="20"/>
                <w:szCs w:val="20"/>
                <w:color w:val="auto"/>
              </w:rPr>
            </w:pPr>
            <w:r>
              <w:rPr>
                <w:rFonts w:ascii="Arial" w:cs="Arial" w:eastAsia="Arial" w:hAnsi="Arial"/>
                <w:sz w:val="16"/>
                <w:szCs w:val="16"/>
                <w:color w:val="D92231"/>
              </w:rPr>
              <w:t>PERFORMANCE INCENTIVE PLAN</w:t>
            </w:r>
          </w:p>
        </w:tc>
        <w:tc>
          <w:tcPr>
            <w:tcW w:w="5260" w:type="dxa"/>
            <w:vAlign w:val="bottom"/>
            <w:tcBorders>
              <w:top w:val="single" w:sz="8" w:color="D92231"/>
            </w:tcBorders>
            <w:gridSpan w:val="4"/>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CAUTIONARY STATEMENT REGARDING FORWARD-LOOKING STATEMENTS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contains certain “forward-looking statements” within the meaning of the Private Securities Litigation Reform Act of 1995 that are subject to risks and uncertainties. The words “anticipate”, “believe”, “estimate”, “expect”, “intend”, “will”, “plan”, “should”, “targeting”, “projecting”, “driving”, and similar expressions, as they relate to us, our business or operations, our performance and/or our technology, are intended to identify forward-looking statements. These statements reflect management’s current beliefs, assumptions, and expectations and are subject to a number of factors that may cause actual results to differ materially, including those factors that are set forth in Xerox and Xerox Corporation’s combined Annual Report on Form 10-K for the year ended December 31, 2025, and Xerox’s and Xerox Corporation’s other filings with the U.S. Securities and Exchange Commission (SEC). These forward-looking statements speak only as of the date of the Proxy Statement or as of the date to which they refer, and Xerox and Xerox Corporation assume no obligation to update any forward-looking statements as a result of new information or future events or developments, except as required by law.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6" w:name="page7"/>
    <w:bookmarkEnd w:id="6"/>
    <w:p>
      <w:pPr>
        <w:ind w:left="4740"/>
        <w:spacing w:after="0"/>
        <w:rPr>
          <w:sz w:val="20"/>
          <w:szCs w:val="20"/>
          <w:color w:val="auto"/>
        </w:rPr>
      </w:pPr>
      <w:r>
        <w:rPr>
          <w:rFonts w:ascii="Arial" w:cs="Arial" w:eastAsia="Arial" w:hAnsi="Arial"/>
          <w:sz w:val="18"/>
          <w:szCs w:val="18"/>
          <w:b w:val="1"/>
          <w:bCs w:val="1"/>
          <w:color w:val="D92231"/>
        </w:rPr>
        <w:t>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GENERAL INFORMATION ABOUT THE ANNUAL MEETING</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following are some of the questions that you may have about this proxy statement (Proxy Statement) and the answers to those questions. The information in this section does not provide all of the information that may be important to you with respect to this Proxy Statement. Therefore, we encourage you to read the entire Proxy Statement, which was first made available on or about April 7, 2026, for more information about these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Annual Meeting</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2026 Annual Meeting of Shareholders (Annual Meeting) of Xerox Holdings Corporation (Xerox or the Company), will be held beginning at 9:00 a.m., Eastern Time, at 501 Merritt 7 in Norwalk, Connecticut, on Wednesday,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shareholders will consider and vote on the following matters:</w:t>
      </w:r>
    </w:p>
    <w:p>
      <w:pPr>
        <w:spacing w:after="0" w:line="117"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nine nominees named in this Proxy Statement to our Board of Directors (Board), each for a term of one year.</w:t>
      </w:r>
    </w:p>
    <w:p>
      <w:pPr>
        <w:spacing w:after="0" w:line="117" w:lineRule="exact"/>
        <w:rPr>
          <w:rFonts w:ascii="Arial" w:cs="Arial" w:eastAsia="Arial" w:hAnsi="Arial"/>
          <w:sz w:val="18"/>
          <w:szCs w:val="18"/>
          <w:color w:val="auto"/>
        </w:rPr>
      </w:pPr>
    </w:p>
    <w:p>
      <w:pPr>
        <w:ind w:left="660" w:right="140" w:hanging="328"/>
        <w:spacing w:after="0" w:line="28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(PwC) as our independent registered public accounting firm for the fiscal year ending December 31, 2026.</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on an advisory basis, of the 2025 compensation of our named executive officers.</w:t>
      </w:r>
    </w:p>
    <w:p>
      <w:pPr>
        <w:spacing w:after="0" w:line="117" w:lineRule="exact"/>
        <w:rPr>
          <w:rFonts w:ascii="Arial" w:cs="Arial" w:eastAsia="Arial" w:hAnsi="Arial"/>
          <w:sz w:val="18"/>
          <w:szCs w:val="18"/>
          <w:color w:val="auto"/>
        </w:rPr>
      </w:pPr>
    </w:p>
    <w:p>
      <w:pPr>
        <w:ind w:left="660" w:right="300" w:hanging="328"/>
        <w:spacing w:after="0" w:line="28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amendment to the Xerox Holdings Corporation 2024 Equity and Performance Incentive Plan to increase the share reserve.</w:t>
      </w:r>
    </w:p>
    <w:p>
      <w:pPr>
        <w:spacing w:after="0" w:line="4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Shareholders will also be asked to consider any other business that may properly come before the Annual Meeting. In addition, our management will respond to appropriate questions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will receive a separate Notice of Internet Availability of Proxy Materials (Notice) with voting instructions from the bank,</w:t>
      </w:r>
      <w:r>
        <w:rPr>
          <w:rFonts w:ascii="Arial" w:cs="Arial" w:eastAsia="Arial" w:hAnsi="Arial"/>
          <w:sz w:val="18"/>
          <w:szCs w:val="18"/>
          <w:i w:val="1"/>
          <w:iCs w:val="1"/>
          <w:color w:val="auto"/>
        </w:rPr>
        <w:t xml:space="preserve"> </w:t>
      </w:r>
      <w:r>
        <w:rPr>
          <w:rFonts w:ascii="Arial" w:cs="Arial" w:eastAsia="Arial" w:hAnsi="Arial"/>
          <w:sz w:val="18"/>
          <w:szCs w:val="18"/>
          <w:color w:val="auto"/>
        </w:rPr>
        <w:t>broker or other holder of record where the shares of common stock, par value $1.00 per share of the Company (Common Stock), or Series A Preferred Stock, par value $1.00 per share, are held. Beneficial owners should follow the instructions from their bank, broker or other holder of record for their shares to be voted. If you hold your shares through a broker, bank, or other nominee and wish to vote your shares at the Annual Meeting, you must obtain a “legal proxy” from your broker, bank, or other nominee in order to vote your shares.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can vote in any one of four ways: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D92231"/>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5835" cy="72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05835" cy="728980"/>
                    </a:xfrm>
                    <a:prstGeom prst="rect">
                      <a:avLst/>
                    </a:prstGeom>
                    <a:noFill/>
                  </pic:spPr>
                </pic:pic>
              </a:graphicData>
            </a:graphic>
          </wp:anchor>
        </w:drawing>
      </w:r>
    </w:p>
    <w:p>
      <w:pPr>
        <w:spacing w:after="0" w:line="20" w:lineRule="exact"/>
        <w:rPr>
          <w:sz w:val="20"/>
          <w:szCs w:val="20"/>
          <w:color w:val="auto"/>
        </w:rPr>
      </w:pPr>
    </w:p>
    <w:p>
      <w:pPr>
        <w:ind w:left="40"/>
        <w:spacing w:after="0" w:line="261" w:lineRule="auto"/>
        <w:rPr>
          <w:sz w:val="20"/>
          <w:szCs w:val="20"/>
          <w:color w:val="auto"/>
        </w:rPr>
      </w:pPr>
      <w:r>
        <w:rPr>
          <w:rFonts w:ascii="Arial" w:cs="Arial" w:eastAsia="Arial" w:hAnsi="Arial"/>
          <w:sz w:val="18"/>
          <w:szCs w:val="18"/>
          <w:color w:val="auto"/>
        </w:rPr>
        <w:t xml:space="preserve">If you have internet access, you may vote your shares by following the “Vote by Internet” instructions included in the Notice or on the proxy card you may have received. If you vote via the Internet,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return your proxy card.</w:t>
      </w:r>
    </w:p>
    <w:p>
      <w:pPr>
        <w:ind w:left="20"/>
        <w:spacing w:after="0"/>
        <w:rPr>
          <w:sz w:val="20"/>
          <w:szCs w:val="20"/>
          <w:color w:val="auto"/>
        </w:rPr>
      </w:pPr>
      <w:r>
        <w:rPr>
          <w:rFonts w:ascii="Arial" w:cs="Arial" w:eastAsia="Arial" w:hAnsi="Arial"/>
          <w:sz w:val="18"/>
          <w:szCs w:val="18"/>
          <w:b w:val="1"/>
          <w:bCs w:val="1"/>
          <w:color w:val="D92231"/>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14725" cy="1560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14725" cy="1560195"/>
                    </a:xfrm>
                    <a:prstGeom prst="rect">
                      <a:avLst/>
                    </a:prstGeom>
                    <a:noFill/>
                  </pic:spPr>
                </pic:pic>
              </a:graphicData>
            </a:graphic>
          </wp:anchor>
        </w:drawing>
      </w:r>
    </w:p>
    <w:p>
      <w:pPr>
        <w:spacing w:after="0" w:line="20" w:lineRule="exact"/>
        <w:rPr>
          <w:sz w:val="20"/>
          <w:szCs w:val="20"/>
          <w:color w:val="auto"/>
        </w:rPr>
      </w:pPr>
    </w:p>
    <w:p>
      <w:pPr>
        <w:ind w:left="40" w:right="40"/>
        <w:spacing w:after="0" w:line="255" w:lineRule="auto"/>
        <w:rPr>
          <w:sz w:val="20"/>
          <w:szCs w:val="20"/>
          <w:color w:val="auto"/>
        </w:rPr>
      </w:pPr>
      <w:r>
        <w:rPr>
          <w:rFonts w:ascii="Arial" w:cs="Arial" w:eastAsia="Arial" w:hAnsi="Arial"/>
          <w:sz w:val="18"/>
          <w:szCs w:val="18"/>
          <w:color w:val="auto"/>
        </w:rPr>
        <w:t>If you received written materials, you may vote by completing and signing the proxy card enclosed with this Proxy Statement and promptly mailing it in the enclosed postage-prepaid envelope. The shares you own will be voted according to your instructions on the proxy card you mail. If you sign and return your proxy card but do not indicate your voting instructions on one or more of the matters listed, the shares you own will be voted by the named proxies in accordance with the recommendations of our Board.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-127635</wp:posOffset>
            </wp:positionV>
            <wp:extent cx="3634740" cy="728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34740" cy="728980"/>
                    </a:xfrm>
                    <a:prstGeom prst="rect">
                      <a:avLst/>
                    </a:prstGeom>
                    <a:noFill/>
                  </pic:spPr>
                </pic:pic>
              </a:graphicData>
            </a:graphic>
          </wp:anchor>
        </w:drawing>
      </w:r>
    </w:p>
    <w:p>
      <w:pPr>
        <w:spacing w:after="0" w:line="20"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 xml:space="preserve">If you received written materials, you may vote your shares by following the “Vote by Telephone” instructions on the enclosed proxy card. If you vote by telephone,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return your proxy card.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3514725" cy="1560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4725" cy="1560195"/>
                    </a:xfrm>
                    <a:prstGeom prst="rect">
                      <a:avLst/>
                    </a:prstGeom>
                    <a:noFill/>
                  </pic:spPr>
                </pic:pic>
              </a:graphicData>
            </a:graphic>
          </wp:anchor>
        </w:drawing>
      </w:r>
    </w:p>
    <w:p>
      <w:pPr>
        <w:spacing w:after="0" w:line="20" w:lineRule="exact"/>
        <w:rPr>
          <w:sz w:val="20"/>
          <w:szCs w:val="20"/>
          <w:color w:val="auto"/>
        </w:rPr>
      </w:pPr>
    </w:p>
    <w:p>
      <w:pPr>
        <w:ind w:left="20" w:right="20"/>
        <w:spacing w:after="0" w:line="254" w:lineRule="auto"/>
        <w:rPr>
          <w:sz w:val="20"/>
          <w:szCs w:val="20"/>
          <w:color w:val="auto"/>
        </w:rPr>
      </w:pPr>
      <w:r>
        <w:rPr>
          <w:rFonts w:ascii="Arial" w:cs="Arial" w:eastAsia="Arial" w:hAnsi="Arial"/>
          <w:sz w:val="18"/>
          <w:szCs w:val="18"/>
          <w:color w:val="auto"/>
        </w:rPr>
        <w:t>We will distribute written ballots to any shareholder of record or authorized representative of a shareholder of record who wants to vote in person at the Annual Meeting instead of by proxy. If you submit a proxy or voting instructions via the internet, telephone or mail, you do not need to vote at the Annual Meeting. Voting in person will revoke any proxy previously given. If you hold your shares through a broker, bank, or other nominee, you must obtain a legal proxy from your broker, bank, or nominee for you to vote at the Annual Meeting. See below under “</w:t>
      </w:r>
      <w:r>
        <w:rPr>
          <w:rFonts w:ascii="Arial" w:cs="Arial" w:eastAsia="Arial" w:hAnsi="Arial"/>
          <w:sz w:val="18"/>
          <w:szCs w:val="18"/>
          <w:i w:val="1"/>
          <w:iCs w:val="1"/>
          <w:color w:val="auto"/>
        </w:rPr>
        <w:t>How can I attend the Annual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40" w:space="400"/>
            <w:col w:w="5440"/>
          </w:cols>
          <w:pgMar w:left="320" w:top="1039" w:right="399" w:bottom="1440" w:gutter="0" w:footer="0" w:header="0"/>
        </w:sectPr>
      </w:pPr>
    </w:p>
    <w:p>
      <w:pPr>
        <w:spacing w:after="0" w:line="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If you vote by internet, telephone or mail, you authorize each of the three directors, whose names are listed on the proxy card accompanying this Proxy Statement, to act as your proxies to represent you and vote your shares 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election of each of the nine directors named in this Proxy Statement.</w:t>
      </w:r>
    </w:p>
    <w:p>
      <w:pPr>
        <w:spacing w:after="0" w:line="117"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ratification of the appointment of PwC as our independent registered public accounting firm for the fiscal year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2026.</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approval, on an advisory basis, of the 2025 compensation of our named executive officers.</w:t>
      </w:r>
    </w:p>
    <w:p>
      <w:pPr>
        <w:spacing w:after="0" w:line="117"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approval of an amendment to the Xerox Holdings Corporation 2024 Equity and Performance Incentive Plan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Annual Meeting? How do I attend the Annual Meeting?</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Only shareholders of record of our Common Stock and Series A Preferred Stock at the close of business on March 27, 2026 (the “Record Date”) or persons holding a valid proxy for the Annual Meeting have a right to attend the Annual Meeting. In-person admission to the Annual Meeting will be on a first-come, first-served basis. We reserve the right to restrict admission to the meeting or limit the number of representatives for any entity that may be admitted to the meeting for security or health and safety reasons, at our sole discretion.</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will be admitted to the Annual Meeting upon providing a valid form of government-issued photo identification,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a driver’s license or passport. Your name will be verified against the list of shareholders of record on the Record Date prior to your admission to the Annual Meeting.</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will be admitted to the Annual Meeting upon providing your most recent brokerage statement, along with a valid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government-issued photo identification, such as a driver’s license or passport, and an admission ticket. Please see </w:t>
      </w:r>
      <w:r>
        <w:rPr>
          <w:rFonts w:ascii="Arial" w:cs="Arial" w:eastAsia="Arial" w:hAnsi="Arial"/>
          <w:sz w:val="18"/>
          <w:szCs w:val="18"/>
          <w:i w:val="1"/>
          <w:iCs w:val="1"/>
          <w:color w:val="auto"/>
        </w:rPr>
        <w:t>“How do I register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Annual Meeting and receive an admission ticket?” </w:t>
      </w:r>
      <w:r>
        <w:rPr>
          <w:rFonts w:ascii="Arial" w:cs="Arial" w:eastAsia="Arial" w:hAnsi="Arial"/>
          <w:sz w:val="18"/>
          <w:szCs w:val="18"/>
          <w:color w:val="auto"/>
        </w:rPr>
        <w:t>If you own shares in street name and wish to vote those shares at the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you must obtain a “legal proxy” from your broker, bank or nominee.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8" w:name="page9"/>
    <w:bookmarkEnd w:id="8"/>
    <w:p>
      <w:pPr>
        <w:ind w:right="140"/>
        <w:spacing w:after="0" w:line="287" w:lineRule="auto"/>
        <w:rPr>
          <w:sz w:val="20"/>
          <w:szCs w:val="20"/>
          <w:color w:val="auto"/>
        </w:rPr>
      </w:pPr>
      <w:r>
        <w:rPr>
          <w:rFonts w:ascii="Arial" w:cs="Arial" w:eastAsia="Arial" w:hAnsi="Arial"/>
          <w:sz w:val="18"/>
          <w:szCs w:val="18"/>
          <w:color w:val="auto"/>
        </w:rPr>
        <w:t>No cameras, recording equipment, large bags, or packages will be permitted at the Annual Meeting. The use of cell phones, smart phones, tablets, and other personal communication devices for any reason during the Annual Meeting is strictly prohibited.</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live audio-only webcast of the Annual Meeting will be available at www.news.xerox.com/investors for shareholders that wish to listen to the meeting as a guest. You will not be able to vote your shares or submit questions during the meeting if you listen to the meeting through the webcast.</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event that it is not possible or advisable to hold our Annual Meeting in person, we will announce alternative arrangements for the meeting in additional proxy materials filed with the SEC and included on our investor website at www.news.xerox.com/investors as promptly as practicable, which may include holding the meeting solely by means of remote communication. Please monitor the www.news.xerox.com/investors website for updated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questions regarding admission to the Annual Meeting, please call Xerox Shareholder Services at (203) 849-2315.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register for the Annual Meeting and receive an admission ticket?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ensure that we are able to accommodate all shareholders that seek to attend while also administering our special health and safety protocols in an orderly fashion, we are requiring beneficial owners that wish to attend the Annual Meeting in person to request an admission ticket in advance by calling Xerox Shareholder Services at (203) 849-2315, or by mailing a written request, along with proof of your ownership of our Common Stock or Series A Preferred Stock as of the Record Date, to Xerox Holdings Corporation, Shareholder Services, 401 Merritt 7, Norwalk, CT 06851 — Attention: Corporate Secretary.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calls and written requests for admission tickets must be received by no later than the close of business on May 12,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D92231"/>
        </w:rPr>
        <w:t>PROPOSAL 1 — ELECTION OF DIRECTORS</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Shareholders annually elect directors to serve for one year and until their successors have been elected and have been qualified. Based on the director nomination process described below, the nine persons whose biographies appear below have been nominated by the Board to serve as directors. All of the director nominees currently serve on the Board.</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Mr. Scott Letier is being nominated by the Board pursuant to the Nomination and Standstill Agreement, dated January 26, 2021, between the Company and Darwin Deason. See </w:t>
      </w:r>
      <w:r>
        <w:rPr>
          <w:rFonts w:ascii="Arial" w:cs="Arial" w:eastAsia="Arial" w:hAnsi="Arial"/>
          <w:sz w:val="18"/>
          <w:szCs w:val="18"/>
          <w:i w:val="1"/>
          <w:iCs w:val="1"/>
          <w:color w:val="auto"/>
        </w:rPr>
        <w:t>2021 Nomination and Standstill Agreement</w:t>
      </w:r>
      <w:r>
        <w:rPr>
          <w:rFonts w:ascii="Arial" w:cs="Arial" w:eastAsia="Arial" w:hAnsi="Arial"/>
          <w:sz w:val="18"/>
          <w:szCs w:val="18"/>
          <w:color w:val="auto"/>
        </w:rPr>
        <w:t xml:space="preserve"> for further information.</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nominee brings to us valuable experience from a variety of fields. The biographical information presented regarding each nominee’s specific experience, qualifications, attributes, and skills led our Board to the conclusion that he or she should serve as a director. We believe that each of the nominees has demonstrated business acumen, an ability to exercise independent and sound judgment, an understanding of the Company’s business, and a commitment to serve the Company and our Board. We also value their significant experience on other public company boards of directors and board committees in addition to their experience as senior managers with other companies. The Board has determined that each of the nominees (other than Louis J. Pastor, Chief Executive Officer of the Company, and John Bruno) are independent under The Nasdaq Stock Market LLC (Nasdaq) corporate governance rules and the Company’s independence standards.</w:t>
      </w:r>
    </w:p>
    <w:p>
      <w:pPr>
        <w:spacing w:after="0" w:line="7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It is expected that all nominees proposed by our Board will be able to serve on the Board if elected. Although not anticipated, if for any reason a nominee is unable to serve, the proxies may use their discretion to vote for a substitute nominated by the Board.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Qualifications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Board is continuously seeking highly qualified candidates to add to the range of skills and experiences represented on our Board. The nine individuals nominated for election at our 2026 Annual Meeting offer a variety of perspectives, personal and professional experiences, and backgrounds. Although each director nominee brings numerous valuable skills and other attributes to the Board, the three key areas of specialization of each director nominee on which the Board relies most heavily are set forth in the table below.</w:t>
      </w:r>
    </w:p>
    <w:p>
      <w:pPr>
        <w:spacing w:after="0" w:line="6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Board Skills Matrix</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of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92075</wp:posOffset>
            </wp:positionV>
            <wp:extent cx="8255"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92075</wp:posOffset>
            </wp:positionV>
            <wp:extent cx="889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92075</wp:posOffset>
            </wp:positionV>
            <wp:extent cx="8255"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92075</wp:posOffset>
            </wp:positionV>
            <wp:extent cx="825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92075</wp:posOffset>
            </wp:positionV>
            <wp:extent cx="889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92075</wp:posOffset>
            </wp:positionV>
            <wp:extent cx="825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92075</wp:posOffset>
            </wp:positionV>
            <wp:extent cx="8255"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92075</wp:posOffset>
            </wp:positionV>
            <wp:extent cx="889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21463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shd w:val="clear" w:color="auto" w:fill="D92231"/>
          </w:tcPr>
          <w:p>
            <w:pPr>
              <w:spacing w:after="0"/>
              <w:rPr>
                <w:sz w:val="14"/>
                <w:szCs w:val="14"/>
                <w:color w:val="auto"/>
              </w:rPr>
            </w:pPr>
          </w:p>
        </w:tc>
        <w:tc>
          <w:tcPr>
            <w:tcW w:w="1100" w:type="dxa"/>
            <w:vAlign w:val="bottom"/>
            <w:vMerge w:val="restart"/>
            <w:shd w:val="clear" w:color="auto" w:fill="D92231"/>
          </w:tcPr>
          <w:p>
            <w:pPr>
              <w:jc w:val="center"/>
              <w:ind w:left="130"/>
              <w:spacing w:after="0"/>
              <w:rPr>
                <w:sz w:val="20"/>
                <w:szCs w:val="20"/>
                <w:color w:val="auto"/>
              </w:rPr>
            </w:pPr>
            <w:r>
              <w:rPr>
                <w:rFonts w:ascii="Arial" w:cs="Arial" w:eastAsia="Arial" w:hAnsi="Arial"/>
                <w:sz w:val="14"/>
                <w:szCs w:val="14"/>
                <w:b w:val="1"/>
                <w:bCs w:val="1"/>
                <w:color w:val="FFFFFF"/>
              </w:rPr>
              <w:t>Bruno</w:t>
            </w:r>
          </w:p>
        </w:tc>
        <w:tc>
          <w:tcPr>
            <w:tcW w:w="880" w:type="dxa"/>
            <w:vAlign w:val="bottom"/>
            <w:vMerge w:val="restart"/>
            <w:shd w:val="clear" w:color="auto" w:fill="D92231"/>
          </w:tcPr>
          <w:p>
            <w:pPr>
              <w:jc w:val="center"/>
              <w:spacing w:after="0"/>
              <w:rPr>
                <w:sz w:val="20"/>
                <w:szCs w:val="20"/>
                <w:color w:val="auto"/>
              </w:rPr>
            </w:pPr>
            <w:r>
              <w:rPr>
                <w:rFonts w:ascii="Arial" w:cs="Arial" w:eastAsia="Arial" w:hAnsi="Arial"/>
                <w:sz w:val="14"/>
                <w:szCs w:val="14"/>
                <w:b w:val="1"/>
                <w:bCs w:val="1"/>
                <w:color w:val="FFFFFF"/>
              </w:rPr>
              <w:t>Erwin</w:t>
            </w:r>
          </w:p>
        </w:tc>
        <w:tc>
          <w:tcPr>
            <w:tcW w:w="840" w:type="dxa"/>
            <w:vAlign w:val="bottom"/>
            <w:vMerge w:val="restart"/>
            <w:shd w:val="clear" w:color="auto" w:fill="D92231"/>
          </w:tcPr>
          <w:p>
            <w:pPr>
              <w:jc w:val="center"/>
              <w:spacing w:after="0"/>
              <w:rPr>
                <w:sz w:val="20"/>
                <w:szCs w:val="20"/>
                <w:color w:val="auto"/>
              </w:rPr>
            </w:pPr>
            <w:r>
              <w:rPr>
                <w:rFonts w:ascii="Arial" w:cs="Arial" w:eastAsia="Arial" w:hAnsi="Arial"/>
                <w:sz w:val="14"/>
                <w:szCs w:val="14"/>
                <w:b w:val="1"/>
                <w:bCs w:val="1"/>
                <w:color w:val="FFFFFF"/>
              </w:rPr>
              <w:t>Hung</w:t>
            </w:r>
          </w:p>
        </w:tc>
        <w:tc>
          <w:tcPr>
            <w:tcW w:w="820" w:type="dxa"/>
            <w:vAlign w:val="bottom"/>
            <w:vMerge w:val="restart"/>
            <w:shd w:val="clear" w:color="auto" w:fill="D92231"/>
          </w:tcPr>
          <w:p>
            <w:pPr>
              <w:jc w:val="center"/>
              <w:spacing w:after="0"/>
              <w:rPr>
                <w:sz w:val="20"/>
                <w:szCs w:val="20"/>
                <w:color w:val="auto"/>
              </w:rPr>
            </w:pPr>
            <w:r>
              <w:rPr>
                <w:rFonts w:ascii="Arial" w:cs="Arial" w:eastAsia="Arial" w:hAnsi="Arial"/>
                <w:sz w:val="14"/>
                <w:szCs w:val="14"/>
                <w:b w:val="1"/>
                <w:bCs w:val="1"/>
                <w:color w:val="FFFFFF"/>
              </w:rPr>
              <w:t>Letier</w:t>
            </w:r>
          </w:p>
        </w:tc>
        <w:tc>
          <w:tcPr>
            <w:tcW w:w="960" w:type="dxa"/>
            <w:vAlign w:val="bottom"/>
            <w:shd w:val="clear" w:color="auto" w:fill="D92231"/>
          </w:tcPr>
          <w:p>
            <w:pPr>
              <w:jc w:val="center"/>
              <w:spacing w:after="0"/>
              <w:rPr>
                <w:sz w:val="20"/>
                <w:szCs w:val="20"/>
                <w:color w:val="auto"/>
              </w:rPr>
            </w:pPr>
            <w:r>
              <w:rPr>
                <w:rFonts w:ascii="Arial" w:cs="Arial" w:eastAsia="Arial" w:hAnsi="Arial"/>
                <w:sz w:val="14"/>
                <w:szCs w:val="14"/>
                <w:b w:val="1"/>
                <w:bCs w:val="1"/>
                <w:color w:val="FFFFFF"/>
              </w:rPr>
              <w:t>Maynard-</w:t>
            </w:r>
          </w:p>
        </w:tc>
        <w:tc>
          <w:tcPr>
            <w:tcW w:w="1220" w:type="dxa"/>
            <w:vAlign w:val="bottom"/>
            <w:vMerge w:val="restart"/>
            <w:shd w:val="clear" w:color="auto" w:fill="D92231"/>
          </w:tcPr>
          <w:p>
            <w:pPr>
              <w:jc w:val="center"/>
              <w:ind w:right="30"/>
              <w:spacing w:after="0"/>
              <w:rPr>
                <w:sz w:val="20"/>
                <w:szCs w:val="20"/>
                <w:color w:val="auto"/>
              </w:rPr>
            </w:pPr>
            <w:r>
              <w:rPr>
                <w:rFonts w:ascii="Arial" w:cs="Arial" w:eastAsia="Arial" w:hAnsi="Arial"/>
                <w:sz w:val="14"/>
                <w:szCs w:val="14"/>
                <w:b w:val="1"/>
                <w:bCs w:val="1"/>
                <w:color w:val="FFFFFF"/>
              </w:rPr>
              <w:t>McLaughlin</w:t>
            </w:r>
          </w:p>
        </w:tc>
        <w:tc>
          <w:tcPr>
            <w:tcW w:w="1000" w:type="dxa"/>
            <w:vAlign w:val="bottom"/>
            <w:vMerge w:val="restart"/>
            <w:shd w:val="clear" w:color="auto" w:fill="D92231"/>
          </w:tcPr>
          <w:p>
            <w:pPr>
              <w:jc w:val="center"/>
              <w:spacing w:after="0"/>
              <w:rPr>
                <w:sz w:val="20"/>
                <w:szCs w:val="20"/>
                <w:color w:val="auto"/>
              </w:rPr>
            </w:pPr>
            <w:r>
              <w:rPr>
                <w:rFonts w:ascii="Arial" w:cs="Arial" w:eastAsia="Arial" w:hAnsi="Arial"/>
                <w:sz w:val="14"/>
                <w:szCs w:val="14"/>
                <w:b w:val="1"/>
                <w:bCs w:val="1"/>
                <w:color w:val="FFFFFF"/>
              </w:rPr>
              <w:t>Pastor</w:t>
            </w:r>
          </w:p>
        </w:tc>
        <w:tc>
          <w:tcPr>
            <w:tcW w:w="900" w:type="dxa"/>
            <w:vAlign w:val="bottom"/>
            <w:vMerge w:val="restart"/>
            <w:shd w:val="clear" w:color="auto" w:fill="D92231"/>
          </w:tcPr>
          <w:p>
            <w:pPr>
              <w:jc w:val="center"/>
              <w:ind w:left="10"/>
              <w:spacing w:after="0"/>
              <w:rPr>
                <w:sz w:val="20"/>
                <w:szCs w:val="20"/>
                <w:color w:val="auto"/>
              </w:rPr>
            </w:pPr>
            <w:r>
              <w:rPr>
                <w:rFonts w:ascii="Arial" w:cs="Arial" w:eastAsia="Arial" w:hAnsi="Arial"/>
                <w:sz w:val="14"/>
                <w:szCs w:val="14"/>
                <w:b w:val="1"/>
                <w:bCs w:val="1"/>
                <w:color w:val="FFFFFF"/>
                <w:w w:val="99"/>
              </w:rPr>
              <w:t>Roese</w:t>
            </w:r>
          </w:p>
        </w:tc>
        <w:tc>
          <w:tcPr>
            <w:tcW w:w="900" w:type="dxa"/>
            <w:vAlign w:val="bottom"/>
            <w:vMerge w:val="restart"/>
            <w:shd w:val="clear" w:color="auto" w:fill="D92231"/>
          </w:tcPr>
          <w:p>
            <w:pPr>
              <w:jc w:val="center"/>
              <w:spacing w:after="0"/>
              <w:rPr>
                <w:sz w:val="20"/>
                <w:szCs w:val="20"/>
                <w:color w:val="auto"/>
              </w:rPr>
            </w:pPr>
            <w:r>
              <w:rPr>
                <w:rFonts w:ascii="Arial" w:cs="Arial" w:eastAsia="Arial" w:hAnsi="Arial"/>
                <w:sz w:val="14"/>
                <w:szCs w:val="14"/>
                <w:b w:val="1"/>
                <w:bCs w:val="1"/>
                <w:color w:val="FFFFFF"/>
              </w:rPr>
              <w:t>Schwetz</w:t>
            </w:r>
          </w:p>
        </w:tc>
        <w:tc>
          <w:tcPr>
            <w:tcW w:w="0" w:type="dxa"/>
            <w:vAlign w:val="bottom"/>
          </w:tcPr>
          <w:p>
            <w:pPr>
              <w:spacing w:after="0"/>
              <w:rPr>
                <w:sz w:val="1"/>
                <w:szCs w:val="1"/>
                <w:color w:val="auto"/>
              </w:rPr>
            </w:pPr>
          </w:p>
        </w:tc>
      </w:tr>
      <w:tr>
        <w:trPr>
          <w:trHeight w:val="115"/>
        </w:trPr>
        <w:tc>
          <w:tcPr>
            <w:tcW w:w="2320" w:type="dxa"/>
            <w:vAlign w:val="bottom"/>
            <w:shd w:val="clear" w:color="auto" w:fill="D92231"/>
          </w:tcPr>
          <w:p>
            <w:pPr>
              <w:spacing w:after="0"/>
              <w:rPr>
                <w:sz w:val="10"/>
                <w:szCs w:val="10"/>
                <w:color w:val="auto"/>
              </w:rPr>
            </w:pPr>
          </w:p>
        </w:tc>
        <w:tc>
          <w:tcPr>
            <w:tcW w:w="1100" w:type="dxa"/>
            <w:vAlign w:val="bottom"/>
            <w:vMerge w:val="continue"/>
            <w:shd w:val="clear" w:color="auto" w:fill="D92231"/>
          </w:tcPr>
          <w:p>
            <w:pPr>
              <w:spacing w:after="0"/>
              <w:rPr>
                <w:sz w:val="10"/>
                <w:szCs w:val="10"/>
                <w:color w:val="auto"/>
              </w:rPr>
            </w:pPr>
          </w:p>
        </w:tc>
        <w:tc>
          <w:tcPr>
            <w:tcW w:w="880" w:type="dxa"/>
            <w:vAlign w:val="bottom"/>
            <w:vMerge w:val="continue"/>
            <w:shd w:val="clear" w:color="auto" w:fill="D92231"/>
          </w:tcPr>
          <w:p>
            <w:pPr>
              <w:spacing w:after="0"/>
              <w:rPr>
                <w:sz w:val="10"/>
                <w:szCs w:val="10"/>
                <w:color w:val="auto"/>
              </w:rPr>
            </w:pPr>
          </w:p>
        </w:tc>
        <w:tc>
          <w:tcPr>
            <w:tcW w:w="840" w:type="dxa"/>
            <w:vAlign w:val="bottom"/>
            <w:vMerge w:val="continue"/>
            <w:shd w:val="clear" w:color="auto" w:fill="D92231"/>
          </w:tcPr>
          <w:p>
            <w:pPr>
              <w:spacing w:after="0"/>
              <w:rPr>
                <w:sz w:val="10"/>
                <w:szCs w:val="10"/>
                <w:color w:val="auto"/>
              </w:rPr>
            </w:pPr>
          </w:p>
        </w:tc>
        <w:tc>
          <w:tcPr>
            <w:tcW w:w="820" w:type="dxa"/>
            <w:vAlign w:val="bottom"/>
            <w:vMerge w:val="continue"/>
            <w:shd w:val="clear" w:color="auto" w:fill="D92231"/>
          </w:tcPr>
          <w:p>
            <w:pPr>
              <w:spacing w:after="0"/>
              <w:rPr>
                <w:sz w:val="10"/>
                <w:szCs w:val="10"/>
                <w:color w:val="auto"/>
              </w:rPr>
            </w:pPr>
          </w:p>
        </w:tc>
        <w:tc>
          <w:tcPr>
            <w:tcW w:w="960" w:type="dxa"/>
            <w:vAlign w:val="bottom"/>
            <w:vMerge w:val="restart"/>
            <w:shd w:val="clear" w:color="auto" w:fill="D92231"/>
          </w:tcPr>
          <w:p>
            <w:pPr>
              <w:jc w:val="center"/>
              <w:spacing w:after="0"/>
              <w:rPr>
                <w:sz w:val="20"/>
                <w:szCs w:val="20"/>
                <w:color w:val="auto"/>
              </w:rPr>
            </w:pPr>
            <w:r>
              <w:rPr>
                <w:rFonts w:ascii="Arial" w:cs="Arial" w:eastAsia="Arial" w:hAnsi="Arial"/>
                <w:sz w:val="14"/>
                <w:szCs w:val="14"/>
                <w:b w:val="1"/>
                <w:bCs w:val="1"/>
                <w:color w:val="FFFFFF"/>
              </w:rPr>
              <w:t>Elliott</w:t>
            </w:r>
          </w:p>
        </w:tc>
        <w:tc>
          <w:tcPr>
            <w:tcW w:w="1220" w:type="dxa"/>
            <w:vAlign w:val="bottom"/>
            <w:vMerge w:val="continue"/>
            <w:shd w:val="clear" w:color="auto" w:fill="D92231"/>
          </w:tcPr>
          <w:p>
            <w:pPr>
              <w:spacing w:after="0"/>
              <w:rPr>
                <w:sz w:val="10"/>
                <w:szCs w:val="10"/>
                <w:color w:val="auto"/>
              </w:rPr>
            </w:pPr>
          </w:p>
        </w:tc>
        <w:tc>
          <w:tcPr>
            <w:tcW w:w="1000" w:type="dxa"/>
            <w:vAlign w:val="bottom"/>
            <w:vMerge w:val="continue"/>
            <w:shd w:val="clear" w:color="auto" w:fill="D92231"/>
          </w:tcPr>
          <w:p>
            <w:pPr>
              <w:spacing w:after="0"/>
              <w:rPr>
                <w:sz w:val="10"/>
                <w:szCs w:val="10"/>
                <w:color w:val="auto"/>
              </w:rPr>
            </w:pPr>
          </w:p>
        </w:tc>
        <w:tc>
          <w:tcPr>
            <w:tcW w:w="900" w:type="dxa"/>
            <w:vAlign w:val="bottom"/>
            <w:vMerge w:val="continue"/>
            <w:shd w:val="clear" w:color="auto" w:fill="D92231"/>
          </w:tcPr>
          <w:p>
            <w:pPr>
              <w:spacing w:after="0"/>
              <w:rPr>
                <w:sz w:val="10"/>
                <w:szCs w:val="10"/>
                <w:color w:val="auto"/>
              </w:rPr>
            </w:pPr>
          </w:p>
        </w:tc>
        <w:tc>
          <w:tcPr>
            <w:tcW w:w="900" w:type="dxa"/>
            <w:vAlign w:val="bottom"/>
            <w:vMerge w:val="continue"/>
            <w:shd w:val="clear" w:color="auto" w:fill="D92231"/>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320" w:type="dxa"/>
            <w:vAlign w:val="bottom"/>
            <w:shd w:val="clear" w:color="auto" w:fill="D92231"/>
          </w:tcPr>
          <w:p>
            <w:pPr>
              <w:spacing w:after="0"/>
              <w:rPr>
                <w:sz w:val="6"/>
                <w:szCs w:val="6"/>
                <w:color w:val="auto"/>
              </w:rPr>
            </w:pPr>
          </w:p>
        </w:tc>
        <w:tc>
          <w:tcPr>
            <w:tcW w:w="1100" w:type="dxa"/>
            <w:vAlign w:val="bottom"/>
            <w:shd w:val="clear" w:color="auto" w:fill="D92231"/>
          </w:tcPr>
          <w:p>
            <w:pPr>
              <w:spacing w:after="0"/>
              <w:rPr>
                <w:sz w:val="6"/>
                <w:szCs w:val="6"/>
                <w:color w:val="auto"/>
              </w:rPr>
            </w:pPr>
          </w:p>
        </w:tc>
        <w:tc>
          <w:tcPr>
            <w:tcW w:w="880" w:type="dxa"/>
            <w:vAlign w:val="bottom"/>
            <w:shd w:val="clear" w:color="auto" w:fill="D92231"/>
          </w:tcPr>
          <w:p>
            <w:pPr>
              <w:spacing w:after="0"/>
              <w:rPr>
                <w:sz w:val="6"/>
                <w:szCs w:val="6"/>
                <w:color w:val="auto"/>
              </w:rPr>
            </w:pPr>
          </w:p>
        </w:tc>
        <w:tc>
          <w:tcPr>
            <w:tcW w:w="840" w:type="dxa"/>
            <w:vAlign w:val="bottom"/>
            <w:shd w:val="clear" w:color="auto" w:fill="D92231"/>
          </w:tcPr>
          <w:p>
            <w:pPr>
              <w:spacing w:after="0"/>
              <w:rPr>
                <w:sz w:val="6"/>
                <w:szCs w:val="6"/>
                <w:color w:val="auto"/>
              </w:rPr>
            </w:pPr>
          </w:p>
        </w:tc>
        <w:tc>
          <w:tcPr>
            <w:tcW w:w="820" w:type="dxa"/>
            <w:vAlign w:val="bottom"/>
            <w:shd w:val="clear" w:color="auto" w:fill="D92231"/>
          </w:tcPr>
          <w:p>
            <w:pPr>
              <w:spacing w:after="0"/>
              <w:rPr>
                <w:sz w:val="6"/>
                <w:szCs w:val="6"/>
                <w:color w:val="auto"/>
              </w:rPr>
            </w:pPr>
          </w:p>
        </w:tc>
        <w:tc>
          <w:tcPr>
            <w:tcW w:w="960" w:type="dxa"/>
            <w:vAlign w:val="bottom"/>
            <w:vMerge w:val="continue"/>
            <w:shd w:val="clear" w:color="auto" w:fill="D92231"/>
          </w:tcPr>
          <w:p>
            <w:pPr>
              <w:spacing w:after="0"/>
              <w:rPr>
                <w:sz w:val="6"/>
                <w:szCs w:val="6"/>
                <w:color w:val="auto"/>
              </w:rPr>
            </w:pPr>
          </w:p>
        </w:tc>
        <w:tc>
          <w:tcPr>
            <w:tcW w:w="1220" w:type="dxa"/>
            <w:vAlign w:val="bottom"/>
            <w:shd w:val="clear" w:color="auto" w:fill="D92231"/>
          </w:tcPr>
          <w:p>
            <w:pPr>
              <w:spacing w:after="0"/>
              <w:rPr>
                <w:sz w:val="6"/>
                <w:szCs w:val="6"/>
                <w:color w:val="auto"/>
              </w:rPr>
            </w:pPr>
          </w:p>
        </w:tc>
        <w:tc>
          <w:tcPr>
            <w:tcW w:w="1000" w:type="dxa"/>
            <w:vAlign w:val="bottom"/>
            <w:shd w:val="clear" w:color="auto" w:fill="D92231"/>
          </w:tcPr>
          <w:p>
            <w:pPr>
              <w:spacing w:after="0"/>
              <w:rPr>
                <w:sz w:val="6"/>
                <w:szCs w:val="6"/>
                <w:color w:val="auto"/>
              </w:rPr>
            </w:pPr>
          </w:p>
        </w:tc>
        <w:tc>
          <w:tcPr>
            <w:tcW w:w="900" w:type="dxa"/>
            <w:vAlign w:val="bottom"/>
            <w:shd w:val="clear" w:color="auto" w:fill="D92231"/>
          </w:tcPr>
          <w:p>
            <w:pPr>
              <w:spacing w:after="0"/>
              <w:rPr>
                <w:sz w:val="6"/>
                <w:szCs w:val="6"/>
                <w:color w:val="auto"/>
              </w:rPr>
            </w:pPr>
          </w:p>
        </w:tc>
        <w:tc>
          <w:tcPr>
            <w:tcW w:w="900" w:type="dxa"/>
            <w:vAlign w:val="bottom"/>
            <w:shd w:val="clear" w:color="auto" w:fill="D92231"/>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b w:val="1"/>
                <w:bCs w:val="1"/>
                <w:color w:val="D92231"/>
              </w:rPr>
              <w:t>Key Skills &amp; Experience</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Technology</w:t>
            </w:r>
          </w:p>
        </w:tc>
        <w:tc>
          <w:tcPr>
            <w:tcW w:w="1100" w:type="dxa"/>
            <w:vAlign w:val="bottom"/>
            <w:shd w:val="clear" w:color="auto" w:fill="DBDBDB"/>
          </w:tcPr>
          <w:p>
            <w:pPr>
              <w:jc w:val="center"/>
              <w:ind w:left="130"/>
              <w:spacing w:after="0"/>
              <w:rPr>
                <w:sz w:val="20"/>
                <w:szCs w:val="20"/>
                <w:color w:val="auto"/>
              </w:rPr>
            </w:pPr>
            <w:r>
              <w:rPr>
                <w:rFonts w:ascii="Arial" w:cs="Arial" w:eastAsia="Arial" w:hAnsi="Arial"/>
                <w:sz w:val="14"/>
                <w:szCs w:val="14"/>
                <w:b w:val="1"/>
                <w:bCs w:val="1"/>
                <w:color w:val="auto"/>
              </w:rPr>
              <w:t>P</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w:t>
            </w:r>
          </w:p>
        </w:tc>
        <w:tc>
          <w:tcPr>
            <w:tcW w:w="840" w:type="dxa"/>
            <w:vAlign w:val="bottom"/>
            <w:shd w:val="clear" w:color="auto" w:fill="DBDBDB"/>
          </w:tcPr>
          <w:p>
            <w:pPr>
              <w:spacing w:after="0"/>
              <w:rPr>
                <w:sz w:val="19"/>
                <w:szCs w:val="19"/>
                <w:color w:val="auto"/>
              </w:rPr>
            </w:pPr>
          </w:p>
        </w:tc>
        <w:tc>
          <w:tcPr>
            <w:tcW w:w="820" w:type="dxa"/>
            <w:vAlign w:val="bottom"/>
            <w:shd w:val="clear" w:color="auto" w:fill="DBDBDB"/>
          </w:tcPr>
          <w:p>
            <w:pPr>
              <w:jc w:val="center"/>
              <w:ind w:left="10"/>
              <w:spacing w:after="0"/>
              <w:rPr>
                <w:sz w:val="20"/>
                <w:szCs w:val="20"/>
                <w:color w:val="auto"/>
              </w:rPr>
            </w:pPr>
            <w:r>
              <w:rPr>
                <w:rFonts w:ascii="Arial" w:cs="Arial" w:eastAsia="Arial" w:hAnsi="Arial"/>
                <w:sz w:val="14"/>
                <w:szCs w:val="14"/>
                <w:b w:val="1"/>
                <w:bCs w:val="1"/>
                <w:color w:val="auto"/>
              </w:rPr>
              <w:t>P</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w:t>
            </w:r>
          </w:p>
        </w:tc>
        <w:tc>
          <w:tcPr>
            <w:tcW w:w="1220" w:type="dxa"/>
            <w:vAlign w:val="bottom"/>
            <w:shd w:val="clear" w:color="auto" w:fill="DBDBDB"/>
          </w:tcPr>
          <w:p>
            <w:pPr>
              <w:jc w:val="center"/>
              <w:ind w:right="50"/>
              <w:spacing w:after="0"/>
              <w:rPr>
                <w:sz w:val="20"/>
                <w:szCs w:val="20"/>
                <w:color w:val="auto"/>
              </w:rPr>
            </w:pPr>
            <w:r>
              <w:rPr>
                <w:rFonts w:ascii="Arial" w:cs="Arial" w:eastAsia="Arial" w:hAnsi="Arial"/>
                <w:sz w:val="14"/>
                <w:szCs w:val="14"/>
                <w:b w:val="1"/>
                <w:bCs w:val="1"/>
                <w:color w:val="auto"/>
              </w:rPr>
              <w:t>P</w:t>
            </w:r>
          </w:p>
        </w:tc>
        <w:tc>
          <w:tcPr>
            <w:tcW w:w="1000" w:type="dxa"/>
            <w:vAlign w:val="bottom"/>
            <w:shd w:val="clear" w:color="auto" w:fill="DBDBDB"/>
          </w:tcPr>
          <w:p>
            <w:pPr>
              <w:spacing w:after="0"/>
              <w:rPr>
                <w:sz w:val="19"/>
                <w:szCs w:val="19"/>
                <w:color w:val="auto"/>
              </w:rPr>
            </w:pPr>
          </w:p>
        </w:tc>
        <w:tc>
          <w:tcPr>
            <w:tcW w:w="900" w:type="dxa"/>
            <w:vAlign w:val="bottom"/>
            <w:shd w:val="clear" w:color="auto" w:fill="DBDBDB"/>
          </w:tcPr>
          <w:p>
            <w:pPr>
              <w:jc w:val="center"/>
              <w:ind w:left="10"/>
              <w:spacing w:after="0"/>
              <w:rPr>
                <w:sz w:val="20"/>
                <w:szCs w:val="20"/>
                <w:color w:val="auto"/>
              </w:rPr>
            </w:pPr>
            <w:r>
              <w:rPr>
                <w:rFonts w:ascii="Arial" w:cs="Arial" w:eastAsia="Arial" w:hAnsi="Arial"/>
                <w:sz w:val="14"/>
                <w:szCs w:val="14"/>
                <w:b w:val="1"/>
                <w:bCs w:val="1"/>
                <w:color w:val="auto"/>
              </w:rPr>
              <w:t>P</w:t>
            </w:r>
          </w:p>
        </w:tc>
        <w:tc>
          <w:tcPr>
            <w:tcW w:w="9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6"/>
                <w:szCs w:val="16"/>
                <w:color w:val="auto"/>
              </w:rPr>
              <w:t>M&amp;A and Strategy</w:t>
            </w: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P</w:t>
            </w:r>
          </w:p>
        </w:tc>
        <w:tc>
          <w:tcPr>
            <w:tcW w:w="8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w:t>
            </w:r>
          </w:p>
        </w:tc>
        <w:tc>
          <w:tcPr>
            <w:tcW w:w="1220" w:type="dxa"/>
            <w:vAlign w:val="bottom"/>
          </w:tcPr>
          <w:p>
            <w:pPr>
              <w:jc w:val="center"/>
              <w:ind w:right="50"/>
              <w:spacing w:after="0"/>
              <w:rPr>
                <w:sz w:val="20"/>
                <w:szCs w:val="20"/>
                <w:color w:val="auto"/>
              </w:rPr>
            </w:pPr>
            <w:r>
              <w:rPr>
                <w:rFonts w:ascii="Arial" w:cs="Arial" w:eastAsia="Arial" w:hAnsi="Arial"/>
                <w:sz w:val="14"/>
                <w:szCs w:val="14"/>
                <w:b w:val="1"/>
                <w:bCs w:val="1"/>
                <w:color w:val="auto"/>
              </w:rPr>
              <w:t>P</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w:t>
            </w:r>
          </w:p>
        </w:tc>
        <w:tc>
          <w:tcPr>
            <w:tcW w:w="9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w:t>
            </w:r>
          </w:p>
        </w:tc>
        <w:tc>
          <w:tcPr>
            <w:tcW w:w="0" w:type="dxa"/>
            <w:vAlign w:val="bottom"/>
          </w:tcPr>
          <w:p>
            <w:pPr>
              <w:spacing w:after="0"/>
              <w:rPr>
                <w:sz w:val="1"/>
                <w:szCs w:val="1"/>
                <w:color w:val="auto"/>
              </w:rPr>
            </w:pPr>
          </w:p>
        </w:tc>
      </w:tr>
      <w:tr>
        <w:trPr>
          <w:trHeight w:val="230"/>
        </w:trPr>
        <w:tc>
          <w:tcPr>
            <w:tcW w:w="2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Finance</w:t>
            </w:r>
          </w:p>
        </w:tc>
        <w:tc>
          <w:tcPr>
            <w:tcW w:w="110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840" w:type="dxa"/>
            <w:vAlign w:val="bottom"/>
            <w:shd w:val="clear" w:color="auto" w:fill="DBDBDB"/>
          </w:tcPr>
          <w:p>
            <w:pPr>
              <w:spacing w:after="0"/>
              <w:rPr>
                <w:sz w:val="20"/>
                <w:szCs w:val="20"/>
                <w:color w:val="auto"/>
              </w:rPr>
            </w:pPr>
          </w:p>
        </w:tc>
        <w:tc>
          <w:tcPr>
            <w:tcW w:w="820" w:type="dxa"/>
            <w:vAlign w:val="bottom"/>
            <w:shd w:val="clear" w:color="auto" w:fill="DBDBDB"/>
          </w:tcPr>
          <w:p>
            <w:pPr>
              <w:jc w:val="center"/>
              <w:ind w:left="10"/>
              <w:spacing w:after="0"/>
              <w:rPr>
                <w:sz w:val="20"/>
                <w:szCs w:val="20"/>
                <w:color w:val="auto"/>
              </w:rPr>
            </w:pPr>
            <w:r>
              <w:rPr>
                <w:rFonts w:ascii="Arial" w:cs="Arial" w:eastAsia="Arial" w:hAnsi="Arial"/>
                <w:sz w:val="14"/>
                <w:szCs w:val="14"/>
                <w:b w:val="1"/>
                <w:bCs w:val="1"/>
                <w:color w:val="auto"/>
              </w:rPr>
              <w:t>P</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w:t>
            </w:r>
          </w:p>
        </w:tc>
        <w:tc>
          <w:tcPr>
            <w:tcW w:w="122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9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6"/>
                <w:szCs w:val="16"/>
                <w:color w:val="auto"/>
              </w:rPr>
              <w:t>Business Operations</w:t>
            </w:r>
          </w:p>
        </w:tc>
        <w:tc>
          <w:tcPr>
            <w:tcW w:w="1100" w:type="dxa"/>
            <w:vAlign w:val="bottom"/>
          </w:tcPr>
          <w:p>
            <w:pPr>
              <w:jc w:val="center"/>
              <w:ind w:left="130"/>
              <w:spacing w:after="0"/>
              <w:rPr>
                <w:sz w:val="20"/>
                <w:szCs w:val="20"/>
                <w:color w:val="auto"/>
              </w:rPr>
            </w:pPr>
            <w:r>
              <w:rPr>
                <w:rFonts w:ascii="Arial" w:cs="Arial" w:eastAsia="Arial" w:hAnsi="Arial"/>
                <w:sz w:val="14"/>
                <w:szCs w:val="14"/>
                <w:b w:val="1"/>
                <w:bCs w:val="1"/>
                <w:color w:val="auto"/>
              </w:rPr>
              <w:t>P</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P</w:t>
            </w:r>
          </w:p>
        </w:tc>
        <w:tc>
          <w:tcPr>
            <w:tcW w:w="820" w:type="dxa"/>
            <w:vAlign w:val="bottom"/>
          </w:tcPr>
          <w:p>
            <w:pPr>
              <w:jc w:val="center"/>
              <w:ind w:left="10"/>
              <w:spacing w:after="0"/>
              <w:rPr>
                <w:sz w:val="20"/>
                <w:szCs w:val="20"/>
                <w:color w:val="auto"/>
              </w:rPr>
            </w:pPr>
            <w:r>
              <w:rPr>
                <w:rFonts w:ascii="Arial" w:cs="Arial" w:eastAsia="Arial" w:hAnsi="Arial"/>
                <w:sz w:val="14"/>
                <w:szCs w:val="14"/>
                <w:b w:val="1"/>
                <w:bCs w:val="1"/>
                <w:color w:val="auto"/>
              </w:rPr>
              <w:t>P</w:t>
            </w:r>
          </w:p>
        </w:tc>
        <w:tc>
          <w:tcPr>
            <w:tcW w:w="96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4"/>
                <w:szCs w:val="14"/>
                <w:b w:val="1"/>
                <w:bCs w:val="1"/>
                <w:color w:val="auto"/>
              </w:rPr>
              <w:t>P</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w:t>
            </w:r>
          </w:p>
        </w:tc>
        <w:tc>
          <w:tcPr>
            <w:tcW w:w="900" w:type="dxa"/>
            <w:vAlign w:val="bottom"/>
          </w:tcPr>
          <w:p>
            <w:pPr>
              <w:jc w:val="center"/>
              <w:ind w:left="10"/>
              <w:spacing w:after="0"/>
              <w:rPr>
                <w:sz w:val="20"/>
                <w:szCs w:val="20"/>
                <w:color w:val="auto"/>
              </w:rPr>
            </w:pPr>
            <w:r>
              <w:rPr>
                <w:rFonts w:ascii="Arial" w:cs="Arial" w:eastAsia="Arial" w:hAnsi="Arial"/>
                <w:sz w:val="14"/>
                <w:szCs w:val="14"/>
                <w:b w:val="1"/>
                <w:bCs w:val="1"/>
                <w:color w:val="auto"/>
              </w:rPr>
              <w:t>P</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w:t>
            </w:r>
          </w:p>
        </w:tc>
        <w:tc>
          <w:tcPr>
            <w:tcW w:w="0" w:type="dxa"/>
            <w:vAlign w:val="bottom"/>
          </w:tcPr>
          <w:p>
            <w:pPr>
              <w:spacing w:after="0"/>
              <w:rPr>
                <w:sz w:val="1"/>
                <w:szCs w:val="1"/>
                <w:color w:val="auto"/>
              </w:rPr>
            </w:pPr>
          </w:p>
        </w:tc>
      </w:tr>
      <w:tr>
        <w:trPr>
          <w:trHeight w:val="230"/>
        </w:trPr>
        <w:tc>
          <w:tcPr>
            <w:tcW w:w="2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Reinvention</w:t>
            </w:r>
          </w:p>
        </w:tc>
        <w:tc>
          <w:tcPr>
            <w:tcW w:w="1100" w:type="dxa"/>
            <w:vAlign w:val="bottom"/>
            <w:shd w:val="clear" w:color="auto" w:fill="DBDBDB"/>
          </w:tcPr>
          <w:p>
            <w:pPr>
              <w:jc w:val="center"/>
              <w:ind w:left="130"/>
              <w:spacing w:after="0"/>
              <w:rPr>
                <w:sz w:val="20"/>
                <w:szCs w:val="20"/>
                <w:color w:val="auto"/>
              </w:rPr>
            </w:pPr>
            <w:r>
              <w:rPr>
                <w:rFonts w:ascii="Arial" w:cs="Arial" w:eastAsia="Arial" w:hAnsi="Arial"/>
                <w:sz w:val="14"/>
                <w:szCs w:val="14"/>
                <w:b w:val="1"/>
                <w:bCs w:val="1"/>
                <w:color w:val="auto"/>
              </w:rPr>
              <w:t>P</w:t>
            </w: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w:t>
            </w:r>
          </w:p>
        </w:tc>
        <w:tc>
          <w:tcPr>
            <w:tcW w:w="84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w:t>
            </w:r>
          </w:p>
        </w:tc>
        <w:tc>
          <w:tcPr>
            <w:tcW w:w="820" w:type="dxa"/>
            <w:vAlign w:val="bottom"/>
            <w:shd w:val="clear" w:color="auto" w:fill="DBDBDB"/>
          </w:tcPr>
          <w:p>
            <w:pPr>
              <w:spacing w:after="0"/>
              <w:rPr>
                <w:sz w:val="20"/>
                <w:szCs w:val="20"/>
                <w:color w:val="auto"/>
              </w:rPr>
            </w:pPr>
          </w:p>
        </w:tc>
        <w:tc>
          <w:tcPr>
            <w:tcW w:w="9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rPr>
              <w:t>P</w:t>
            </w:r>
          </w:p>
        </w:tc>
        <w:tc>
          <w:tcPr>
            <w:tcW w:w="900" w:type="dxa"/>
            <w:vAlign w:val="bottom"/>
            <w:shd w:val="clear" w:color="auto" w:fill="DBDBDB"/>
          </w:tcPr>
          <w:p>
            <w:pPr>
              <w:jc w:val="center"/>
              <w:ind w:left="10"/>
              <w:spacing w:after="0"/>
              <w:rPr>
                <w:sz w:val="20"/>
                <w:szCs w:val="20"/>
                <w:color w:val="auto"/>
              </w:rPr>
            </w:pPr>
            <w:r>
              <w:rPr>
                <w:rFonts w:ascii="Arial" w:cs="Arial" w:eastAsia="Arial" w:hAnsi="Arial"/>
                <w:sz w:val="14"/>
                <w:szCs w:val="14"/>
                <w:b w:val="1"/>
                <w:bCs w:val="1"/>
                <w:color w:val="auto"/>
              </w:rPr>
              <w:t>P</w:t>
            </w:r>
          </w:p>
        </w:tc>
        <w:tc>
          <w:tcPr>
            <w:tcW w:w="9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-436245</wp:posOffset>
            </wp:positionV>
            <wp:extent cx="8255" cy="436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-436245</wp:posOffset>
            </wp:positionV>
            <wp:extent cx="8890" cy="436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43688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-436245</wp:posOffset>
            </wp:positionV>
            <wp:extent cx="8255" cy="436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-436245</wp:posOffset>
            </wp:positionV>
            <wp:extent cx="8255" cy="436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-436245</wp:posOffset>
            </wp:positionV>
            <wp:extent cx="8890" cy="436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43688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-436245</wp:posOffset>
            </wp:positionV>
            <wp:extent cx="8255" cy="436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-436245</wp:posOffset>
            </wp:positionV>
            <wp:extent cx="8255" cy="436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-436245</wp:posOffset>
            </wp:positionV>
            <wp:extent cx="8890" cy="436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43688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-727710</wp:posOffset>
            </wp:positionV>
            <wp:extent cx="825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-727710</wp:posOffset>
            </wp:positionV>
            <wp:extent cx="889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454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-727710</wp:posOffset>
            </wp:positionV>
            <wp:extent cx="825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-727710</wp:posOffset>
            </wp:positionV>
            <wp:extent cx="825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-727710</wp:posOffset>
            </wp:positionV>
            <wp:extent cx="889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4541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-727710</wp:posOffset>
            </wp:positionV>
            <wp:extent cx="825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-727710</wp:posOffset>
            </wp:positionV>
            <wp:extent cx="825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-727710</wp:posOffset>
            </wp:positionV>
            <wp:extent cx="889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45415"/>
                    </a:xfrm>
                    <a:prstGeom prst="rect">
                      <a:avLst/>
                    </a:prstGeom>
                    <a:noFill/>
                  </pic:spPr>
                </pic:pic>
              </a:graphicData>
            </a:graphic>
          </wp:anchor>
        </w:drawing>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we have provided below the principal occupation and other information about the relevant experience, qualifications, attributes, or skills that the Board has concluded qualify each of the nominees to serve as a director of the Company. Each director nominee has consented to being named in this Proxy Statement, and has agreed to serve if elected.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tenure of the current directors who are standing for election at this Annual Meeting averages approximately 2.8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 w:name="page11"/>
    <w:bookmarkEnd w:id="10"/>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997585</wp:posOffset>
            </wp:positionV>
            <wp:extent cx="985520" cy="986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b w:val="1"/>
          <w:bCs w:val="1"/>
          <w:color w:val="D92231"/>
        </w:rPr>
        <w:t>John G. Bruno</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Age: 61 Director since</w:t>
      </w:r>
      <w:r>
        <w:rPr>
          <w:rFonts w:ascii="Arial" w:cs="Arial" w:eastAsia="Arial" w:hAnsi="Arial"/>
          <w:sz w:val="18"/>
          <w:szCs w:val="18"/>
          <w:color w:val="auto"/>
        </w:rPr>
        <w:t>: 2024</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Occupation: </w:t>
      </w:r>
      <w:r>
        <w:rPr>
          <w:rFonts w:ascii="Arial" w:cs="Arial" w:eastAsia="Arial" w:hAnsi="Arial"/>
          <w:sz w:val="18"/>
          <w:szCs w:val="18"/>
          <w:color w:val="auto"/>
        </w:rPr>
        <w:t>Chief Executive Officer of National Veterinary Associates (NVA)</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Board Committees: Integration (Chair)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Public Company Directorships (past 5 years): </w:t>
      </w:r>
      <w:r>
        <w:rPr>
          <w:rFonts w:ascii="Arial" w:cs="Arial" w:eastAsia="Arial" w:hAnsi="Arial"/>
          <w:sz w:val="18"/>
          <w:szCs w:val="18"/>
          <w:color w:val="auto"/>
        </w:rPr>
        <w:t>Global Payments (NYSE: GPN); Valor Latitude Acquisition Corp. (NASDAQ: VLAT).</w:t>
      </w:r>
    </w:p>
    <w:p>
      <w:pPr>
        <w:spacing w:after="0" w:line="225"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i w:val="1"/>
          <w:iCs w:val="1"/>
          <w:color w:val="auto"/>
        </w:rPr>
        <w:t xml:space="preserve">Other Background: </w:t>
      </w:r>
      <w:r>
        <w:rPr>
          <w:rFonts w:ascii="Arial" w:cs="Arial" w:eastAsia="Arial" w:hAnsi="Arial"/>
          <w:sz w:val="17"/>
          <w:szCs w:val="17"/>
          <w:color w:val="auto"/>
        </w:rPr>
        <w:t>Mr. Bruno has served as the Chief Executive Officer of National Veterinary Associates since 2025. Prior to that, Mr. Bruno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President and Chief Operating Officer of Xerox, where he was responsible for the Print, Digital Services, and IT Solutions business units. He has served on the board of directors of Xerox, where he is chair of the Integration Committee, since 2024. Prior to joining Xerox in</w:t>
      </w:r>
    </w:p>
    <w:p>
      <w:pPr>
        <w:spacing w:after="0" w:line="2"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2022, Mr. Bruno was CEO of Storm Ventures LLC. Mr. Bruno served as Chief Operating Officer of Aon, a global professional services firm, and Chief Executive Officer of Data &amp; Analytics Services from 2014-2021. Prior to AON, Mr. Bruno was President, Industry &amp; Field Operations and Executive Vice President of Corporate Development for NCR Corporation from 2008-2014. He has also held senior</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leadership positions with Goldman Sachs, Merrill Lynch, Cisco Systems, and United Parcel Services. Mr. Bruno currently serves on the board of directors of Global Payments Inc., where he is chair of the compensation committee as well as a member of the technology committee. Mr. Bruno also served on the board of directors of Valor Latitude Acquisition Corp. from 2022 to May 2023 where he served as a member of the compensation, audit, and nominating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169545</wp:posOffset>
            </wp:positionV>
            <wp:extent cx="985520" cy="986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25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92231"/>
        </w:rPr>
        <w:t>Tami A. Erwin</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Age: 61 Director since: </w:t>
      </w:r>
      <w:r>
        <w:rPr>
          <w:rFonts w:ascii="Arial" w:cs="Arial" w:eastAsia="Arial" w:hAnsi="Arial"/>
          <w:sz w:val="18"/>
          <w:szCs w:val="18"/>
          <w:color w:val="auto"/>
        </w:rPr>
        <w:t>2024</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Occupation</w:t>
      </w:r>
      <w:r>
        <w:rPr>
          <w:rFonts w:ascii="Arial" w:cs="Arial" w:eastAsia="Arial" w:hAnsi="Arial"/>
          <w:sz w:val="18"/>
          <w:szCs w:val="18"/>
          <w:color w:val="auto"/>
        </w:rPr>
        <w:t>: Former EVP and CEO of Verizon Business Group</w:t>
      </w:r>
    </w:p>
    <w:p>
      <w:pPr>
        <w:spacing w:after="0" w:line="9" w:lineRule="exact"/>
        <w:rPr>
          <w:sz w:val="20"/>
          <w:szCs w:val="20"/>
          <w:color w:val="auto"/>
        </w:rPr>
      </w:pPr>
    </w:p>
    <w:p>
      <w:pPr>
        <w:ind w:left="2060" w:right="60"/>
        <w:spacing w:after="0" w:line="250" w:lineRule="auto"/>
        <w:rPr>
          <w:sz w:val="20"/>
          <w:szCs w:val="20"/>
          <w:color w:val="auto"/>
        </w:rPr>
      </w:pPr>
      <w:r>
        <w:rPr>
          <w:rFonts w:ascii="Arial" w:cs="Arial" w:eastAsia="Arial" w:hAnsi="Arial"/>
          <w:sz w:val="18"/>
          <w:szCs w:val="18"/>
          <w:i w:val="1"/>
          <w:iCs w:val="1"/>
          <w:color w:val="auto"/>
        </w:rPr>
        <w:t>Education</w:t>
      </w:r>
      <w:r>
        <w:rPr>
          <w:rFonts w:ascii="Arial" w:cs="Arial" w:eastAsia="Arial" w:hAnsi="Arial"/>
          <w:sz w:val="18"/>
          <w:szCs w:val="18"/>
          <w:color w:val="auto"/>
        </w:rPr>
        <w:t>: Business Administration, Pacific Union College, Executive Program at the Stanford University Graduate</w:t>
      </w:r>
      <w:r>
        <w:rPr>
          <w:rFonts w:ascii="Arial" w:cs="Arial" w:eastAsia="Arial" w:hAnsi="Arial"/>
          <w:sz w:val="18"/>
          <w:szCs w:val="18"/>
          <w:i w:val="1"/>
          <w:iCs w:val="1"/>
          <w:color w:val="auto"/>
        </w:rPr>
        <w:t xml:space="preserve"> </w:t>
      </w:r>
      <w:r>
        <w:rPr>
          <w:rFonts w:ascii="Arial" w:cs="Arial" w:eastAsia="Arial" w:hAnsi="Arial"/>
          <w:sz w:val="18"/>
          <w:szCs w:val="18"/>
          <w:color w:val="auto"/>
        </w:rPr>
        <w:t>School of Business</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Board Committees</w:t>
      </w:r>
      <w:r>
        <w:rPr>
          <w:rFonts w:ascii="Arial" w:cs="Arial" w:eastAsia="Arial" w:hAnsi="Arial"/>
          <w:sz w:val="18"/>
          <w:szCs w:val="18"/>
          <w:color w:val="auto"/>
        </w:rPr>
        <w:t>:</w:t>
      </w:r>
      <w:r>
        <w:rPr>
          <w:rFonts w:ascii="Arial" w:cs="Arial" w:eastAsia="Arial" w:hAnsi="Arial"/>
          <w:sz w:val="18"/>
          <w:szCs w:val="18"/>
          <w:i w:val="1"/>
          <w:iCs w:val="1"/>
          <w:color w:val="auto"/>
        </w:rPr>
        <w:t xml:space="preserve"> Corporate Governance (Chair), Audit, Integration</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(past 5 years): John Deere (NYSE: DE), F5 (NASDAQ: FFIV) and York Space Systems (NYSE: YSS).</w:t>
      </w:r>
    </w:p>
    <w:p>
      <w:pPr>
        <w:spacing w:after="0" w:line="29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Other Background: Ms. Erwin is a veteran CEO, Fortune 500 director, and expert on digital transformation and growth. She served as EVP and CEO of Verizon Business Group from 2019 to 2022. Prior to becoming EVP and CEO, she served as EVP of Operations at Verizon from 2016 to 2019 and held numerous other senior level positions in the company. As EVP and CEO of Verizon Business, Ms. Erwin led more than 26,000 employees in 60 countries. Over three and a half years, she scaled an organization that delivered significant gains in profitability and revenue ($31+ billion in 2022), and advanced Verizon’s leadership in 5G technology.</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Ms. Erwin built a culture known for high performance, inclusivity, and belonging. Ms. Erwin serves on the boards of John Deere, F5, York Space Systems, and Skylo. She is a member of the advisory council of Dublin-based Aptiv (NYSE:APTV) and also serves in an advisory role at DevRev, an enterprise software start-up company out of the Bay Area. She is an advisor to the CEO of Cohesity, a Senior Fellow of Mission Possible Partnership, and a Champion of Journey to Lead, a nonprofit that works to advance diversity at the top of the private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233680</wp:posOffset>
            </wp:positionV>
            <wp:extent cx="985520" cy="9855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5520" cy="985520"/>
                    </a:xfrm>
                    <a:prstGeom prst="rect">
                      <a:avLst/>
                    </a:prstGeom>
                    <a:noFill/>
                  </pic:spPr>
                </pic:pic>
              </a:graphicData>
            </a:graphic>
          </wp:anchor>
        </w:drawing>
      </w:r>
    </w:p>
    <w:p>
      <w:pPr>
        <w:spacing w:after="0" w:line="35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92231"/>
        </w:rPr>
        <w:t>Priscilla Hung</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59</w:t>
      </w:r>
      <w:r>
        <w:rPr>
          <w:rFonts w:ascii="Arial" w:cs="Arial" w:eastAsia="Arial" w:hAnsi="Arial"/>
          <w:sz w:val="18"/>
          <w:szCs w:val="18"/>
          <w:i w:val="1"/>
          <w:iCs w:val="1"/>
          <w:color w:val="auto"/>
        </w:rPr>
        <w:t xml:space="preserve"> Director since</w:t>
      </w:r>
      <w:r>
        <w:rPr>
          <w:rFonts w:ascii="Arial" w:cs="Arial" w:eastAsia="Arial" w:hAnsi="Arial"/>
          <w:sz w:val="18"/>
          <w:szCs w:val="18"/>
          <w:color w:val="auto"/>
        </w:rPr>
        <w:t>: 2024</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Occupation: </w:t>
      </w:r>
      <w:r>
        <w:rPr>
          <w:rFonts w:ascii="Arial" w:cs="Arial" w:eastAsia="Arial" w:hAnsi="Arial"/>
          <w:sz w:val="18"/>
          <w:szCs w:val="18"/>
          <w:color w:val="auto"/>
        </w:rPr>
        <w:t>Former President &amp; Chief Operating Officer, Guidewire Software</w:t>
      </w:r>
    </w:p>
    <w:p>
      <w:pPr>
        <w:spacing w:after="0" w:line="9" w:lineRule="exact"/>
        <w:rPr>
          <w:sz w:val="20"/>
          <w:szCs w:val="20"/>
          <w:color w:val="auto"/>
        </w:rPr>
      </w:pPr>
    </w:p>
    <w:p>
      <w:pPr>
        <w:ind w:left="2060" w:right="320"/>
        <w:spacing w:after="0" w:line="250" w:lineRule="auto"/>
        <w:rPr>
          <w:sz w:val="20"/>
          <w:szCs w:val="20"/>
          <w:color w:val="auto"/>
        </w:rPr>
      </w:pPr>
      <w:r>
        <w:rPr>
          <w:rFonts w:ascii="Arial" w:cs="Arial" w:eastAsia="Arial" w:hAnsi="Arial"/>
          <w:sz w:val="18"/>
          <w:szCs w:val="18"/>
          <w:i w:val="1"/>
          <w:iCs w:val="1"/>
          <w:color w:val="auto"/>
        </w:rPr>
        <w:t xml:space="preserve">Education: </w:t>
      </w:r>
      <w:r>
        <w:rPr>
          <w:rFonts w:ascii="Arial" w:cs="Arial" w:eastAsia="Arial" w:hAnsi="Arial"/>
          <w:sz w:val="18"/>
          <w:szCs w:val="18"/>
          <w:color w:val="auto"/>
        </w:rPr>
        <w:t>B.A., Computer Science, Mills College; MEng, Operation Research &amp; Industrial Engineering, Cornell</w:t>
      </w:r>
      <w:r>
        <w:rPr>
          <w:rFonts w:ascii="Arial" w:cs="Arial" w:eastAsia="Arial" w:hAnsi="Arial"/>
          <w:sz w:val="18"/>
          <w:szCs w:val="18"/>
          <w:i w:val="1"/>
          <w:iCs w:val="1"/>
          <w:color w:val="auto"/>
        </w:rPr>
        <w:t xml:space="preserve"> </w:t>
      </w:r>
      <w:r>
        <w:rPr>
          <w:rFonts w:ascii="Arial" w:cs="Arial" w:eastAsia="Arial" w:hAnsi="Arial"/>
          <w:sz w:val="18"/>
          <w:szCs w:val="18"/>
          <w:color w:val="auto"/>
        </w:rPr>
        <w:t>University</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Board Committees: </w:t>
      </w:r>
      <w:r>
        <w:rPr>
          <w:rFonts w:ascii="Arial" w:cs="Arial" w:eastAsia="Arial" w:hAnsi="Arial"/>
          <w:sz w:val="18"/>
          <w:szCs w:val="18"/>
          <w:color w:val="auto"/>
        </w:rPr>
        <w:t>Finance, Corporate Governance, Integration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 xml:space="preserve">Other Public Company Directorships (past 5 years): </w:t>
      </w:r>
      <w:r>
        <w:rPr>
          <w:rFonts w:ascii="Arial" w:cs="Arial" w:eastAsia="Arial" w:hAnsi="Arial"/>
          <w:sz w:val="18"/>
          <w:szCs w:val="18"/>
          <w:color w:val="auto"/>
        </w:rPr>
        <w:t>Ethos Technologies Inc. (NASDAQ: LIFE),Veeva Systems (NYSE: VEEV), Waystar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(NASDAQ: WAY), Vonage Holdings (NYSE: VG).</w:t>
      </w:r>
    </w:p>
    <w:p>
      <w:pPr>
        <w:spacing w:after="0" w:line="34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i w:val="1"/>
          <w:iCs w:val="1"/>
          <w:color w:val="auto"/>
        </w:rPr>
        <w:t xml:space="preserve">Other Background: </w:t>
      </w:r>
      <w:r>
        <w:rPr>
          <w:rFonts w:ascii="Arial" w:cs="Arial" w:eastAsia="Arial" w:hAnsi="Arial"/>
          <w:sz w:val="18"/>
          <w:szCs w:val="18"/>
          <w:color w:val="auto"/>
        </w:rPr>
        <w:t>Ms. Hung served as Senior Advisor to Guidewire Software, a provider of cloud-based software for the P&amp;C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from 2024 through 2025 after serving in various management roles since 2005, most recently serving as President and Chief Operating Officer from 2020 to 2023. Prior to that, Ms. Hung held senior roles at various companies including Ariba Technologies, Sun Microsystems, and Oracle. She is currently a member of the board of directors of Veeva Systems, a leading provider of industry cloud solutions for the global life sciences industry, where she is also a member of the audit committee. Ms. Hung also serves as a member of the board of directors of Ethos Technologies, an online life insurance platform where she serves as a member of the compensation committee; Waystar, a cloud-based software platform that simplify healthcare payments, where she also serves as a member of the audit and compensation committees. Ms. Hung was a director of Vonage Holdings from 2019 until its acquisition in 2022, where she served as nominating governance chair and a member of the audit, compensation, and technology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203200</wp:posOffset>
            </wp:positionV>
            <wp:extent cx="985520" cy="986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30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92231"/>
        </w:rPr>
        <w:t>Scott Letier</w:t>
      </w:r>
    </w:p>
    <w:p>
      <w:pPr>
        <w:spacing w:after="0" w:line="63" w:lineRule="exact"/>
        <w:rPr>
          <w:sz w:val="20"/>
          <w:szCs w:val="20"/>
          <w:color w:val="auto"/>
        </w:rPr>
      </w:pPr>
    </w:p>
    <w:p>
      <w:pPr>
        <w:ind w:left="2060"/>
        <w:spacing w:after="0"/>
        <w:tabs>
          <w:tab w:leader="none" w:pos="3020" w:val="left"/>
        </w:tabs>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65</w:t>
      </w:r>
      <w:r>
        <w:rPr>
          <w:sz w:val="20"/>
          <w:szCs w:val="20"/>
          <w:color w:val="auto"/>
        </w:rPr>
        <w:tab/>
      </w:r>
      <w:r>
        <w:rPr>
          <w:rFonts w:ascii="Arial" w:cs="Arial" w:eastAsia="Arial" w:hAnsi="Arial"/>
          <w:sz w:val="17"/>
          <w:szCs w:val="17"/>
          <w:i w:val="1"/>
          <w:iCs w:val="1"/>
          <w:color w:val="auto"/>
        </w:rPr>
        <w:t>Director since</w:t>
      </w:r>
      <w:r>
        <w:rPr>
          <w:rFonts w:ascii="Arial" w:cs="Arial" w:eastAsia="Arial" w:hAnsi="Arial"/>
          <w:sz w:val="17"/>
          <w:szCs w:val="17"/>
          <w:color w:val="auto"/>
        </w:rPr>
        <w:t>: 2018</w:t>
      </w:r>
      <w:r>
        <w:rPr>
          <w:rFonts w:ascii="Arial" w:cs="Arial" w:eastAsia="Arial" w:hAnsi="Arial"/>
          <w:sz w:val="17"/>
          <w:szCs w:val="17"/>
          <w:i w:val="1"/>
          <w:iCs w:val="1"/>
          <w:color w:val="auto"/>
        </w:rPr>
        <w:t>, Chairman of the Board</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Occupation: </w:t>
      </w:r>
      <w:r>
        <w:rPr>
          <w:rFonts w:ascii="Arial" w:cs="Arial" w:eastAsia="Arial" w:hAnsi="Arial"/>
          <w:sz w:val="18"/>
          <w:szCs w:val="18"/>
          <w:color w:val="auto"/>
        </w:rPr>
        <w:t>Chief Investment Officer and Managing Director of Deason Capital Management, LLC</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Education: </w:t>
      </w:r>
      <w:r>
        <w:rPr>
          <w:rFonts w:ascii="Arial" w:cs="Arial" w:eastAsia="Arial" w:hAnsi="Arial"/>
          <w:sz w:val="18"/>
          <w:szCs w:val="18"/>
          <w:color w:val="auto"/>
        </w:rPr>
        <w:t>B.B.A. with a concentration in accounting, Southern Methodist University - Cox School of Business</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Board Committees: </w:t>
      </w:r>
      <w:r>
        <w:rPr>
          <w:rFonts w:ascii="Arial" w:cs="Arial" w:eastAsia="Arial" w:hAnsi="Arial"/>
          <w:sz w:val="18"/>
          <w:szCs w:val="18"/>
          <w:color w:val="auto"/>
        </w:rPr>
        <w:t>Finance (Chair), Corporate Governance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Public Company Directorships (past 5 years): </w:t>
      </w:r>
      <w:r>
        <w:rPr>
          <w:rFonts w:ascii="Arial" w:cs="Arial" w:eastAsia="Arial" w:hAnsi="Arial"/>
          <w:sz w:val="18"/>
          <w:szCs w:val="18"/>
          <w:color w:val="auto"/>
        </w:rPr>
        <w:t>Conduent Incorporated (NASDAQ: CNDT), Perimeter Acquisition Corp (NASDAQ:</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PMTR).</w:t>
      </w:r>
    </w:p>
    <w:p>
      <w:pPr>
        <w:spacing w:after="0" w:line="342"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Other Background: </w:t>
      </w:r>
      <w:r>
        <w:rPr>
          <w:rFonts w:ascii="Arial" w:cs="Arial" w:eastAsia="Arial" w:hAnsi="Arial"/>
          <w:sz w:val="18"/>
          <w:szCs w:val="18"/>
          <w:color w:val="auto"/>
        </w:rPr>
        <w:t>Mr. Letier has served as Chief Investment Officer and Managing Director of Deason Capital Management, LLC (“DCS"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Deason family affiliates), the family office for the Deason Family since July 2014. Prior to joining DCS, Mr. Letier was the Managing Director of JFO Group, LLC, the family office for the Jensen family, from September 2006 to July 2014. Mr. Letier has over 30 years of experience in leadership roles, previously serving as a private equity investment professional and chief financial officer. He began his career in the assurance group at Ernst &amp; Whinney (now Ernst &amp; Young). Mr. Letier has served on numerous boards in the past and currently serves on two other public boards: serving as the chairman of the audit committee and a member of the governance and risk oversight committees of Conduent Incorporated, a provider of business process outsourcing services; and serving as the chairman of the audit committee of Perimeter Acquisition Corp I, a SPAC focused on the defense and aerospace sectors. Mr. Letier serves on the boards of several private companies, including Gardenuity, Inc., a gardening and wellness focused retailer, where he also serves as chairman, Colvin Resources Group, a Dallas-based search and staffing firm, Great American Media Group, LLC the lead investor in partnership with Sony in an entertainment platform with properties in cable TV, fast-channel, and streaming service, Great American Pure Flix, and Terso Solutions, Inc., a manufacturer of secure and temperature controlled enclosures for inventory management. Mr. Letier also serves on the fund advisory boards of Anchor Capital GP, a Dallas-based private equity firm and venture capital fund, Griffis Residential, a Denver-based multi-family real estate management and investment firm, and Willow Hill Partners, LLC, and Dallas-based multi strategy investment group. Mr. Letier was recently appointed to the Board of Trustees of the Dallas Police and Fire Pension System and previously served on the Board and Executive Committee of the Dallas College Foundation for 21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985520" cy="986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24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92231"/>
        </w:rPr>
        <w:t>Nichelle Maynard-Elliott</w:t>
      </w:r>
    </w:p>
    <w:p>
      <w:pPr>
        <w:spacing w:after="0" w:line="63" w:lineRule="exact"/>
        <w:rPr>
          <w:sz w:val="20"/>
          <w:szCs w:val="20"/>
          <w:color w:val="auto"/>
        </w:rPr>
      </w:pPr>
    </w:p>
    <w:p>
      <w:pPr>
        <w:ind w:left="2060"/>
        <w:spacing w:after="0"/>
        <w:tabs>
          <w:tab w:leader="none" w:pos="3020" w:val="left"/>
        </w:tabs>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57</w:t>
      </w:r>
      <w:r>
        <w:rPr>
          <w:sz w:val="20"/>
          <w:szCs w:val="20"/>
          <w:color w:val="auto"/>
        </w:rPr>
        <w:tab/>
      </w:r>
      <w:r>
        <w:rPr>
          <w:rFonts w:ascii="Arial" w:cs="Arial" w:eastAsia="Arial" w:hAnsi="Arial"/>
          <w:sz w:val="17"/>
          <w:szCs w:val="17"/>
          <w:i w:val="1"/>
          <w:iCs w:val="1"/>
          <w:color w:val="auto"/>
        </w:rPr>
        <w:t xml:space="preserve">Director since: </w:t>
      </w:r>
      <w:r>
        <w:rPr>
          <w:rFonts w:ascii="Arial" w:cs="Arial" w:eastAsia="Arial" w:hAnsi="Arial"/>
          <w:sz w:val="17"/>
          <w:szCs w:val="17"/>
          <w:color w:val="auto"/>
        </w:rPr>
        <w:t>2021</w:t>
      </w:r>
    </w:p>
    <w:p>
      <w:pPr>
        <w:spacing w:after="0" w:line="27" w:lineRule="exact"/>
        <w:rPr>
          <w:sz w:val="20"/>
          <w:szCs w:val="20"/>
          <w:color w:val="auto"/>
        </w:rPr>
      </w:pPr>
    </w:p>
    <w:p>
      <w:pPr>
        <w:ind w:left="2060" w:right="400"/>
        <w:spacing w:after="0" w:line="250" w:lineRule="auto"/>
        <w:rPr>
          <w:sz w:val="20"/>
          <w:szCs w:val="20"/>
          <w:color w:val="auto"/>
        </w:rPr>
      </w:pPr>
      <w:r>
        <w:rPr>
          <w:rFonts w:ascii="Arial" w:cs="Arial" w:eastAsia="Arial" w:hAnsi="Arial"/>
          <w:sz w:val="18"/>
          <w:szCs w:val="18"/>
          <w:i w:val="1"/>
          <w:iCs w:val="1"/>
          <w:color w:val="auto"/>
        </w:rPr>
        <w:t xml:space="preserve">Occupation: </w:t>
      </w:r>
      <w:r>
        <w:rPr>
          <w:rFonts w:ascii="Arial" w:cs="Arial" w:eastAsia="Arial" w:hAnsi="Arial"/>
          <w:sz w:val="18"/>
          <w:szCs w:val="18"/>
          <w:color w:val="auto"/>
        </w:rPr>
        <w:t>Former Executive Director, Mergers &amp; Acquisitions, for Praxair, Inc. (a wholly-owned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Linde plc)</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Education: </w:t>
      </w:r>
      <w:r>
        <w:rPr>
          <w:rFonts w:ascii="Arial" w:cs="Arial" w:eastAsia="Arial" w:hAnsi="Arial"/>
          <w:sz w:val="18"/>
          <w:szCs w:val="18"/>
          <w:color w:val="auto"/>
        </w:rPr>
        <w:t>B.A. in Economics, Brown University; J.D., Columbia University School of Law</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Board Committees: </w:t>
      </w:r>
      <w:r>
        <w:rPr>
          <w:rFonts w:ascii="Arial" w:cs="Arial" w:eastAsia="Arial" w:hAnsi="Arial"/>
          <w:sz w:val="18"/>
          <w:szCs w:val="18"/>
          <w:color w:val="auto"/>
        </w:rPr>
        <w:t>Compensation and Human Capital (Chair), Corporate Governance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Public Company Directorships (past 5 years): </w:t>
      </w:r>
      <w:r>
        <w:rPr>
          <w:rFonts w:ascii="Arial" w:cs="Arial" w:eastAsia="Arial" w:hAnsi="Arial"/>
          <w:sz w:val="18"/>
          <w:szCs w:val="18"/>
          <w:color w:val="auto"/>
        </w:rPr>
        <w:t>Element Solutions Inc. (NYSE: ESI); Lucid Group, Inc. (NASDAQ: LCID).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 w:name="page13"/>
    <w:bookmarkEnd w:id="12"/>
    <w:p>
      <w:pPr>
        <w:ind w:right="420"/>
        <w:spacing w:after="0" w:line="251" w:lineRule="auto"/>
        <w:rPr>
          <w:sz w:val="20"/>
          <w:szCs w:val="20"/>
          <w:color w:val="auto"/>
        </w:rPr>
      </w:pPr>
      <w:r>
        <w:rPr>
          <w:rFonts w:ascii="Arial" w:cs="Arial" w:eastAsia="Arial" w:hAnsi="Arial"/>
          <w:sz w:val="17"/>
          <w:szCs w:val="17"/>
          <w:i w:val="1"/>
          <w:iCs w:val="1"/>
          <w:color w:val="auto"/>
        </w:rPr>
        <w:t xml:space="preserve">Other Background: </w:t>
      </w:r>
      <w:r>
        <w:rPr>
          <w:rFonts w:ascii="Arial" w:cs="Arial" w:eastAsia="Arial" w:hAnsi="Arial"/>
          <w:sz w:val="17"/>
          <w:szCs w:val="17"/>
          <w:color w:val="auto"/>
        </w:rPr>
        <w:t>Ms. Maynard-Elliott was Executive Director, Mergers &amp; Acquisitions, for Praxair, Inc., a worldwide industrial gases</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from July 2011 to May 2019, where, among other things, she advised Praxair on its $90 billion merger with the Linde Group in</w:t>
      </w:r>
    </w:p>
    <w:p>
      <w:pPr>
        <w:spacing w:after="0" w:line="1"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2018. In this role, she was responsible for evaluating and negotiating global acquisitions, divestitures, joint ventures, and other business combinations. Ms. Maynard- Elliott joined Praxair in 2003. Prior to Praxair, Ms. Maynard-Elliott served as an associate at the law firms of Kelley Drye &amp; Warren LLP, Pryor Cashman LLP, and Weil, Gotshal &amp; Manges LLP. Ms. Maynard-Elliott served as an independent director of Element Solutions Inc., a global specialty chemicals firm between August 2018 and June 2024. Ms. Maynard-Elliott has served as an</w:t>
      </w:r>
    </w:p>
    <w:p>
      <w:pPr>
        <w:ind w:right="60"/>
        <w:spacing w:after="0" w:line="231" w:lineRule="auto"/>
        <w:rPr>
          <w:sz w:val="20"/>
          <w:szCs w:val="20"/>
          <w:color w:val="auto"/>
        </w:rPr>
      </w:pPr>
      <w:r>
        <w:rPr>
          <w:rFonts w:ascii="Arial" w:cs="Arial" w:eastAsia="Arial" w:hAnsi="Arial"/>
          <w:sz w:val="18"/>
          <w:szCs w:val="18"/>
          <w:color w:val="auto"/>
        </w:rPr>
        <w:t>independent director of Lucid Group, Inc., a manufacturer of electric vehicles, since 2021, and currently serves as a member of its compensation, audit and nominating and corporate governance committees. She also serves as a trustee of The Advisor’s Inner Circle Fund III (and affiliated trusts), where she is chair of its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298450</wp:posOffset>
            </wp:positionV>
            <wp:extent cx="985520" cy="986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92231"/>
        </w:rPr>
        <w:t>Edward G. McLaughlin</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Age: 60 Director since</w:t>
      </w:r>
      <w:r>
        <w:rPr>
          <w:rFonts w:ascii="Arial" w:cs="Arial" w:eastAsia="Arial" w:hAnsi="Arial"/>
          <w:sz w:val="18"/>
          <w:szCs w:val="18"/>
          <w:color w:val="auto"/>
        </w:rPr>
        <w:t>: 2024</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Occupation: </w:t>
      </w:r>
      <w:r>
        <w:rPr>
          <w:rFonts w:ascii="Arial" w:cs="Arial" w:eastAsia="Arial" w:hAnsi="Arial"/>
          <w:sz w:val="18"/>
          <w:szCs w:val="18"/>
          <w:color w:val="auto"/>
        </w:rPr>
        <w:t>President and Chief Technology Officer of Mastercard</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Education: </w:t>
      </w:r>
      <w:r>
        <w:rPr>
          <w:rFonts w:ascii="Arial" w:cs="Arial" w:eastAsia="Arial" w:hAnsi="Arial"/>
          <w:sz w:val="18"/>
          <w:szCs w:val="18"/>
          <w:color w:val="auto"/>
        </w:rPr>
        <w:t>B.A., University of Pennsylvania, Wharton School of Business</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Board Committees: </w:t>
      </w:r>
      <w:r>
        <w:rPr>
          <w:rFonts w:ascii="Arial" w:cs="Arial" w:eastAsia="Arial" w:hAnsi="Arial"/>
          <w:sz w:val="18"/>
          <w:szCs w:val="18"/>
          <w:color w:val="auto"/>
        </w:rPr>
        <w:t>Compensation and Human Capital, Corporate Governance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Public Company Directorships (past 5 years): </w:t>
      </w:r>
      <w:r>
        <w:rPr>
          <w:rFonts w:ascii="Arial" w:cs="Arial" w:eastAsia="Arial" w:hAnsi="Arial"/>
          <w:sz w:val="18"/>
          <w:szCs w:val="18"/>
          <w:color w:val="auto"/>
        </w:rPr>
        <w:t>None.</w:t>
      </w:r>
    </w:p>
    <w:p>
      <w:pPr>
        <w:spacing w:after="0" w:line="3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Other Background: </w:t>
      </w:r>
      <w:r>
        <w:rPr>
          <w:rFonts w:ascii="Arial" w:cs="Arial" w:eastAsia="Arial" w:hAnsi="Arial"/>
          <w:sz w:val="17"/>
          <w:szCs w:val="17"/>
          <w:color w:val="auto"/>
        </w:rPr>
        <w:t>Mr. McLaughlin has served as the President and Chief Technology Officer of Mastercard and a member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committee since 2017. He oversees the company’s technology functions, including the global payments network, enterprise</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platforms, technology infrastructure and operations, information security, and global technology hubs. Prior to this role, he served as Chief Information Officer, directing the development of Mastercard products and services. Prior to joining Mastercard in 2005, Mr. McLaughlin was group Vice President of products and strategy at Metavante (now FIS), which he joined in 2002 through the acquisition of Paytrust, an online payments company of which he was co-founder and CEO. Prior to co-founding Paytrust, Mr. McLaughlin was the Executive Vice President of</w:t>
      </w:r>
    </w:p>
    <w:p>
      <w:pPr>
        <w:spacing w:after="0"/>
        <w:rPr>
          <w:sz w:val="20"/>
          <w:szCs w:val="20"/>
          <w:color w:val="auto"/>
        </w:rPr>
      </w:pPr>
      <w:r>
        <w:rPr>
          <w:rFonts w:ascii="Arial" w:cs="Arial" w:eastAsia="Arial" w:hAnsi="Arial"/>
          <w:sz w:val="18"/>
          <w:szCs w:val="18"/>
          <w:color w:val="auto"/>
        </w:rPr>
        <w:t>products and marketing at LogicWorks, Inc., a data modeling software company. He is a graduate of the University of Pennsylvania, Wharton</w:t>
      </w:r>
    </w:p>
    <w:p>
      <w:pPr>
        <w:spacing w:after="0" w:line="234" w:lineRule="auto"/>
        <w:rPr>
          <w:sz w:val="20"/>
          <w:szCs w:val="20"/>
          <w:color w:val="auto"/>
        </w:rPr>
      </w:pPr>
      <w:r>
        <w:rPr>
          <w:rFonts w:ascii="Arial" w:cs="Arial" w:eastAsia="Arial" w:hAnsi="Arial"/>
          <w:sz w:val="18"/>
          <w:szCs w:val="18"/>
          <w:color w:val="auto"/>
        </w:rPr>
        <w:t>School of Business, and a founding member of the Harvard Kennedy School’s Council on the Responsible Use of Artificial Intelligence. Mr.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McLaughlin was awarded the Forbes CIO Innovation Award for 2019, and named to the CIO Magazine Hall of Fame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246380</wp:posOffset>
            </wp:positionV>
            <wp:extent cx="934085" cy="1003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4085" cy="1003300"/>
                    </a:xfrm>
                    <a:prstGeom prst="rect">
                      <a:avLst/>
                    </a:prstGeom>
                    <a:noFill/>
                  </pic:spPr>
                </pic:pic>
              </a:graphicData>
            </a:graphic>
          </wp:anchor>
        </w:drawing>
      </w:r>
    </w:p>
    <w:p>
      <w:pPr>
        <w:spacing w:after="0" w:line="37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92231"/>
        </w:rPr>
        <w:t>Louis J. Pastor</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41</w:t>
      </w:r>
      <w:r>
        <w:rPr>
          <w:rFonts w:ascii="Arial" w:cs="Arial" w:eastAsia="Arial" w:hAnsi="Arial"/>
          <w:sz w:val="18"/>
          <w:szCs w:val="18"/>
          <w:i w:val="1"/>
          <w:iCs w:val="1"/>
          <w:color w:val="auto"/>
        </w:rPr>
        <w:t xml:space="preserve"> Director since: </w:t>
      </w:r>
      <w:r>
        <w:rPr>
          <w:rFonts w:ascii="Arial" w:cs="Arial" w:eastAsia="Arial" w:hAnsi="Arial"/>
          <w:sz w:val="18"/>
          <w:szCs w:val="18"/>
          <w:color w:val="auto"/>
        </w:rPr>
        <w:t>2026</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Occupation</w:t>
      </w:r>
      <w:r>
        <w:rPr>
          <w:rFonts w:ascii="Arial" w:cs="Arial" w:eastAsia="Arial" w:hAnsi="Arial"/>
          <w:sz w:val="18"/>
          <w:szCs w:val="18"/>
          <w:color w:val="auto"/>
        </w:rPr>
        <w:t>: Chief Executive Officer of Xerox</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Education</w:t>
      </w:r>
      <w:r>
        <w:rPr>
          <w:rFonts w:ascii="Arial" w:cs="Arial" w:eastAsia="Arial" w:hAnsi="Arial"/>
          <w:sz w:val="18"/>
          <w:szCs w:val="18"/>
          <w:color w:val="auto"/>
        </w:rPr>
        <w:t>: B.A., The Ohio State University; J.D., University of Pennsylvania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Public Company Directorships (past 5 years): </w:t>
      </w:r>
      <w:r>
        <w:rPr>
          <w:rFonts w:ascii="Arial" w:cs="Arial" w:eastAsia="Arial" w:hAnsi="Arial"/>
          <w:sz w:val="18"/>
          <w:szCs w:val="18"/>
          <w:color w:val="auto"/>
        </w:rPr>
        <w:t>None.</w:t>
      </w:r>
    </w:p>
    <w:p>
      <w:pPr>
        <w:spacing w:after="0" w:line="293" w:lineRule="exact"/>
        <w:rPr>
          <w:sz w:val="20"/>
          <w:szCs w:val="20"/>
          <w:color w:val="auto"/>
        </w:rPr>
      </w:pPr>
    </w:p>
    <w:p>
      <w:pPr>
        <w:ind w:right="40"/>
        <w:spacing w:after="0"/>
        <w:rPr>
          <w:sz w:val="20"/>
          <w:szCs w:val="20"/>
          <w:color w:val="auto"/>
        </w:rPr>
      </w:pPr>
      <w:r>
        <w:rPr>
          <w:rFonts w:ascii="Arial" w:cs="Arial" w:eastAsia="Arial" w:hAnsi="Arial"/>
          <w:sz w:val="18"/>
          <w:szCs w:val="18"/>
          <w:i w:val="1"/>
          <w:iCs w:val="1"/>
          <w:color w:val="auto"/>
        </w:rPr>
        <w:t xml:space="preserve">Other Background: </w:t>
      </w:r>
      <w:r>
        <w:rPr>
          <w:rFonts w:ascii="Arial" w:cs="Arial" w:eastAsia="Arial" w:hAnsi="Arial"/>
          <w:sz w:val="18"/>
          <w:szCs w:val="18"/>
          <w:color w:val="auto"/>
        </w:rPr>
        <w:t>Mr. Pastor was named Chief Executive Officer of Xerox Holdings Corporation effective March 31, 2026. Prior to his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as Chief Executive Officer, Mr. Pastor served in a variety of senior executive roles since first joining Xerox in 2018, including President, Chief Operating Officer, Chief Administrative Officer, Chief Transformation Officer, Chief Corporate Development Officer and Chief Legal Officer. Mr. Pastor briefly served as an outside consultant to Xerox from April 18, 2023 to January 1, 2024, when he rejoined Xerox as Executive Vice President, Chief Transformation &amp; Administrative Officer. Prior to joining Xerox, Mr. Pastor was deputy general counsel at Icahn Enterprises and began his career as an attorney at Simpson, Thacher &amp; Bartlett LLP. Mr. Pastor earned his law degree from the University of Pennsylvania Law School and a Bachelor of Arts degree from The Ohio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7" w:right="359" w:bottom="1440" w:gutter="0" w:footer="0" w:header="0"/>
        </w:sectPr>
      </w:pPr>
    </w:p>
    <w:bookmarkStart w:id="13" w:name="page14"/>
    <w:bookmarkEnd w:id="13"/>
    <w:p>
      <w:pPr>
        <w:ind w:left="2060"/>
        <w:spacing w:after="0"/>
        <w:rPr>
          <w:sz w:val="20"/>
          <w:szCs w:val="20"/>
          <w:color w:val="auto"/>
        </w:rPr>
      </w:pPr>
      <w:r>
        <w:rPr>
          <w:rFonts w:ascii="Arial" w:cs="Arial" w:eastAsia="Arial" w:hAnsi="Arial"/>
          <w:sz w:val="18"/>
          <w:szCs w:val="18"/>
          <w:b w:val="1"/>
          <w:bCs w:val="1"/>
          <w:color w:val="D92231"/>
        </w:rPr>
        <w:drawing>
          <wp:anchor simplePos="0" relativeHeight="251657728" behindDoc="1" locked="0" layoutInCell="0" allowOverlap="1">
            <wp:simplePos x="0" y="0"/>
            <wp:positionH relativeFrom="page">
              <wp:posOffset>216535</wp:posOffset>
            </wp:positionH>
            <wp:positionV relativeFrom="page">
              <wp:posOffset>620395</wp:posOffset>
            </wp:positionV>
            <wp:extent cx="985520" cy="9855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985520" cy="985520"/>
                    </a:xfrm>
                    <a:prstGeom prst="rect">
                      <a:avLst/>
                    </a:prstGeom>
                    <a:noFill/>
                  </pic:spPr>
                </pic:pic>
              </a:graphicData>
            </a:graphic>
          </wp:anchor>
        </w:drawing>
        <w:t>John J. Roese</w:t>
      </w:r>
    </w:p>
    <w:p>
      <w:pPr>
        <w:spacing w:after="0" w:line="63"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55</w:t>
      </w:r>
      <w:r>
        <w:rPr>
          <w:rFonts w:ascii="Arial" w:cs="Arial" w:eastAsia="Arial" w:hAnsi="Arial"/>
          <w:sz w:val="18"/>
          <w:szCs w:val="18"/>
          <w:i w:val="1"/>
          <w:iCs w:val="1"/>
          <w:color w:val="auto"/>
        </w:rPr>
        <w:t xml:space="preserve"> Director since: 2024</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Occupation: </w:t>
      </w:r>
      <w:r>
        <w:rPr>
          <w:rFonts w:ascii="Arial" w:cs="Arial" w:eastAsia="Arial" w:hAnsi="Arial"/>
          <w:sz w:val="18"/>
          <w:szCs w:val="18"/>
          <w:color w:val="auto"/>
        </w:rPr>
        <w:t>Chief Technology Officer and Chief AI Officer at Dell Technologies</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Education: B.S., University of New Hampshire</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Board Committees: </w:t>
      </w:r>
      <w:r>
        <w:rPr>
          <w:rFonts w:ascii="Arial" w:cs="Arial" w:eastAsia="Arial" w:hAnsi="Arial"/>
          <w:sz w:val="18"/>
          <w:szCs w:val="18"/>
          <w:color w:val="auto"/>
        </w:rPr>
        <w:t>Audit, Finance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Public Company Directorships (past 5 years): </w:t>
      </w:r>
      <w:r>
        <w:rPr>
          <w:rFonts w:ascii="Arial" w:cs="Arial" w:eastAsia="Arial" w:hAnsi="Arial"/>
          <w:sz w:val="18"/>
          <w:szCs w:val="18"/>
          <w:color w:val="auto"/>
        </w:rPr>
        <w:t>None.</w:t>
      </w:r>
    </w:p>
    <w:p>
      <w:pPr>
        <w:spacing w:after="0" w:line="347"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Other Background: </w:t>
      </w:r>
      <w:r>
        <w:rPr>
          <w:rFonts w:ascii="Arial" w:cs="Arial" w:eastAsia="Arial" w:hAnsi="Arial"/>
          <w:sz w:val="17"/>
          <w:szCs w:val="17"/>
          <w:color w:val="auto"/>
        </w:rPr>
        <w:t>Mr. Roese is Global Chief Technology Officer and Chief AI Officer at Dell Technologies. He is responsible for establishing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future-looking technology strategy, accelerating AI adoption for Dell and its customers and establishing Dell as the undisputed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thought leader in the area of Enterprise AI. He fosters a culture of innovation, keeping Dell at the forefront of the industry while anticipating customers’ technology needs before they arise. From quantum to AI, 5G, edge, hybrid cloud, data management and security, Mr. Roese and</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his team are responsible for navigating the latest technology inflection points, accelerating AI-driven outcomes and scaling generative and agentic AI initiatives that lead to human progress.</w:t>
      </w:r>
    </w:p>
    <w:p>
      <w:pPr>
        <w:spacing w:after="0" w:line="19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Mr. Roese has a passion for going places nobody else has been and his career has mirrored this passion with moves across almost every technological domain, from enterprise to telecom to semiconductors to security. Prior to joining Dell in 2012, Mr. Roese was the CTO, CIO, CMO, GM and leader of several technology companies including Nortel, Broadcom, Futurewei, Enterasys and Cabletron Systems.</w:t>
      </w:r>
    </w:p>
    <w:p>
      <w:pPr>
        <w:spacing w:after="0" w:line="19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Roese is an established public speaker, published author and holds more than 20 pending and granted patents in areas such as policy-based networking, location-based services and security. He was recently named #1 on AI Magazine’s list of Top 10 Chief AI Officers, 20th on AI Magazine’s Top 100 Leaders and to the H2O AI 100 list. In addition to his leadership at Dell, Mr. Roese plays a significant role in the broader ecosystem, including company, industry, government and academic boards. He currently serves on the board of directors for Open Source Security Foundation and Purdue Research Foundation. In the past, he has served as a board member for ATIS, OLPC, Blade</w:t>
      </w:r>
    </w:p>
    <w:p>
      <w:pPr>
        <w:spacing w:after="0" w:line="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Networks, Pingtel, Bering Media, Nexoya, Cloud Foundry, Federal Communications Commission CSRIC 8 and the NYU Wireless Industry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169545</wp:posOffset>
            </wp:positionV>
            <wp:extent cx="986155" cy="986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25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D92231"/>
        </w:rPr>
        <w:t>Amy Schwetz</w:t>
      </w:r>
    </w:p>
    <w:p>
      <w:pPr>
        <w:spacing w:after="0" w:line="63" w:lineRule="exact"/>
        <w:rPr>
          <w:sz w:val="20"/>
          <w:szCs w:val="20"/>
          <w:color w:val="auto"/>
        </w:rPr>
      </w:pPr>
    </w:p>
    <w:p>
      <w:pPr>
        <w:ind w:left="2060"/>
        <w:spacing w:after="0"/>
        <w:tabs>
          <w:tab w:leader="none" w:pos="2820" w:val="left"/>
        </w:tabs>
        <w:rPr>
          <w:sz w:val="20"/>
          <w:szCs w:val="20"/>
          <w:color w:val="auto"/>
        </w:rPr>
      </w:pPr>
      <w:r>
        <w:rPr>
          <w:rFonts w:ascii="Arial" w:cs="Arial" w:eastAsia="Arial" w:hAnsi="Arial"/>
          <w:sz w:val="18"/>
          <w:szCs w:val="18"/>
          <w:i w:val="1"/>
          <w:iCs w:val="1"/>
          <w:color w:val="auto"/>
        </w:rPr>
        <w:t>Age</w:t>
      </w:r>
      <w:r>
        <w:rPr>
          <w:rFonts w:ascii="Arial" w:cs="Arial" w:eastAsia="Arial" w:hAnsi="Arial"/>
          <w:sz w:val="18"/>
          <w:szCs w:val="18"/>
          <w:color w:val="auto"/>
        </w:rPr>
        <w:t>: 51</w:t>
      </w:r>
      <w:r>
        <w:rPr>
          <w:sz w:val="20"/>
          <w:szCs w:val="20"/>
          <w:color w:val="auto"/>
        </w:rPr>
        <w:tab/>
      </w:r>
      <w:r>
        <w:rPr>
          <w:rFonts w:ascii="Arial" w:cs="Arial" w:eastAsia="Arial" w:hAnsi="Arial"/>
          <w:sz w:val="17"/>
          <w:szCs w:val="17"/>
          <w:i w:val="1"/>
          <w:iCs w:val="1"/>
          <w:color w:val="auto"/>
        </w:rPr>
        <w:t>Director since</w:t>
      </w:r>
      <w:r>
        <w:rPr>
          <w:rFonts w:ascii="Arial" w:cs="Arial" w:eastAsia="Arial" w:hAnsi="Arial"/>
          <w:sz w:val="17"/>
          <w:szCs w:val="17"/>
          <w:color w:val="auto"/>
        </w:rPr>
        <w:t>: 2024</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 xml:space="preserve">Occupation: </w:t>
      </w:r>
      <w:r>
        <w:rPr>
          <w:rFonts w:ascii="Arial" w:cs="Arial" w:eastAsia="Arial" w:hAnsi="Arial"/>
          <w:sz w:val="18"/>
          <w:szCs w:val="18"/>
          <w:color w:val="auto"/>
        </w:rPr>
        <w:t>SVP &amp; Chief Financial Officer of Flowserve</w:t>
      </w:r>
    </w:p>
    <w:p>
      <w:pPr>
        <w:spacing w:after="0" w:line="9" w:lineRule="exact"/>
        <w:rPr>
          <w:sz w:val="20"/>
          <w:szCs w:val="20"/>
          <w:color w:val="auto"/>
        </w:rPr>
      </w:pPr>
    </w:p>
    <w:p>
      <w:pPr>
        <w:ind w:left="2060" w:right="480"/>
        <w:spacing w:after="0" w:line="266" w:lineRule="auto"/>
        <w:rPr>
          <w:sz w:val="20"/>
          <w:szCs w:val="20"/>
          <w:color w:val="auto"/>
        </w:rPr>
      </w:pPr>
      <w:r>
        <w:rPr>
          <w:rFonts w:ascii="Arial" w:cs="Arial" w:eastAsia="Arial" w:hAnsi="Arial"/>
          <w:sz w:val="18"/>
          <w:szCs w:val="18"/>
          <w:i w:val="1"/>
          <w:iCs w:val="1"/>
          <w:color w:val="auto"/>
        </w:rPr>
        <w:t xml:space="preserve">Education: </w:t>
      </w:r>
      <w:r>
        <w:rPr>
          <w:rFonts w:ascii="Arial" w:cs="Arial" w:eastAsia="Arial" w:hAnsi="Arial"/>
          <w:sz w:val="18"/>
          <w:szCs w:val="18"/>
          <w:color w:val="auto"/>
        </w:rPr>
        <w:t>B.S., Accounting, Indiana University</w:t>
      </w:r>
      <w:r>
        <w:rPr>
          <w:rFonts w:ascii="Arial" w:cs="Arial" w:eastAsia="Arial" w:hAnsi="Arial"/>
          <w:sz w:val="18"/>
          <w:szCs w:val="18"/>
          <w:i w:val="1"/>
          <w:iCs w:val="1"/>
          <w:color w:val="auto"/>
        </w:rPr>
        <w:t xml:space="preserve"> Board Committees: </w:t>
      </w:r>
      <w:r>
        <w:rPr>
          <w:rFonts w:ascii="Arial" w:cs="Arial" w:eastAsia="Arial" w:hAnsi="Arial"/>
          <w:sz w:val="18"/>
          <w:szCs w:val="18"/>
          <w:color w:val="auto"/>
        </w:rPr>
        <w:t>Audit (Chair), Compensation and Human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(past 5 years): Dril-Quip (NYSE: DRQ).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Background: </w:t>
      </w:r>
      <w:r>
        <w:rPr>
          <w:rFonts w:ascii="Arial" w:cs="Arial" w:eastAsia="Arial" w:hAnsi="Arial"/>
          <w:sz w:val="18"/>
          <w:szCs w:val="18"/>
          <w:color w:val="auto"/>
        </w:rPr>
        <w:t>Ms. Schwetz has served as SVP &amp; Chief Financial Officer of Flowserve, a manufacturer of industrial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aftermarket service provider, since 2020. In this role, she oversees accounting, tax, treasury, investor relations, financial planning and analysis, internal audit, and M&amp;A activity. From 2005-2020, Ms. Schwetz held various management roles at Peabody Energy Corporation, where she most recently served as EVP &amp; Chief Financial Officer. Ms. Schwetz began her career at Ernst &amp; Young, where she held multiple audit roles during her tenure. She served as a member of the board of directors of Dril-Quip, Inc., between September 2019 and May 2024, where she also served as chair of the audit committee. Ms. Schwetz serves on the Jesuit Dallas Foundation Board of Trustees (not-for-profit) and has served as a member of the Dean’s Council for the Indiana University School of Business.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92231"/>
        </w:rPr>
        <w:t>The Board unanimously recommends a vote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92231"/>
        </w:rPr>
        <w:t>FOR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92231"/>
        </w:rPr>
        <w:t>the election of each of the nine directors nominated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2021 Nomination and Standstill Agreement</w:t>
      </w:r>
    </w:p>
    <w:p>
      <w:pPr>
        <w:spacing w:after="0" w:line="117"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On January 26, 2021, the Company entered into a Nomination and Standstill Agreement with Darwin Deason ("Deason" and such agreement, the "Nomination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Under the Nomination Agreement, current director Scott Letier was designated as the “Deason Designee” on the Board.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 2025, Darwin Deason passed away. Pursuant to the terms of the Last Will and Testament of Darwin Deason (the "Will") and applicable law, admitted to probate on February 2, 2026, the 15,283,657 Shares beneficially owned by Mr. Deason were transferred to the Trust. As a result, the Nomination Agreement is no longer in force and has been terminated pursuant to its terms. Mr. Letier was nominated to the Board prior to Deason's passing, and will remain a director nominee for the 2026 term year, as provided for in Proposal #1 – Election of Directors.</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foregoing description of the Nomination Agreement does not purport to be complete and is qualified in its entirety by reference to the complete text of such Nomination Agreement, which is filed as Exhibit 10.2 to the Company’s Current Report on Form 8-K dated January 26, 2021, and filed with the SEC.</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D92231"/>
        </w:rPr>
        <w:t>CORPORATE SOCIAL RESPONSIBILITY</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At our core is a deep and long-lasting commitment to CSR, a pledge to inspire and support our people, conduct business ethically across the value chain, and preserve our planet. This commitment stems from our corporate values established over sixty years ago, which include: succeeding through satisfied clients; delivering quality and excellence in all we do; requiring a premium return on assets; using technology to develop market leadership; valuing and empowering our employees; and behaving responsibly as a corporate citizen.</w:t>
      </w:r>
    </w:p>
    <w:p>
      <w:pPr>
        <w:spacing w:after="0" w:line="6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continue this legacy by creating products and services that help our customers be more productive, profitable, and sustainable. We deliver solutions that drive customer success and enable a new, better world. We do this in our own operations, as well as in workplaces, communities, and cities around the world. We recognize the world’s challenges, such as climate change and human rights, and understand the role we play.</w:t>
      </w:r>
    </w:p>
    <w:p>
      <w:pPr>
        <w:spacing w:after="0" w:line="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pledge to inspire and support our people, conduct business ethically, and protect our planet remains at the core of everything we do. At Xerox, we believe in continuously improving, and we apply this mentality to ensure we are finding ways to improve the sustainability of our operations.</w:t>
      </w:r>
    </w:p>
    <w:p>
      <w:pPr>
        <w:spacing w:after="0" w:line="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our earliest days as a company, Xerox has demonstrated a steadfast commitment to corporate social responsibility. Our greatest goal is to facilitate employee-driven philanthropy, with a focus on strengthening our communities, sustainability, education, and disaster relief. Together, Xerox and our employees are creating real impact and sustainable change for the greater good.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Reaching Net-Zero by 2040</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Xerox's net zero goal is 2040, and climate change-related risks and opportunities are integrated into our enterprise risk management. We share our roadmap to reach net zero in our 2025 CSR Report. Our roadmap covers our full value chain and focuses on improving processes and energy efficiency as well as designing products to help our clients meet their goals. We have set interim targets in line with science-based global warming guidelines, which are also validated and approved by the Science Based Targets initiative (SBTi). Our GHG emissions are third-party assured in accordance with the International Organization for Standardization (ISO) 14064-3:2019. We report progress towards our targets within our CSR report and progress summary reports. In 2025, Xerox was named to CDP’s Annual "A List” for climate change transparency and performance. CDP is a nonprofit organization that runs the global disclosure system for investors, companies, and regions to manage their environmental impacts.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Circular economy initiatives remain a part of our business strategy. We continued to expand collection and waste reduction programs, while also bringing to market additional remanufactured and refurbished product offerings. Based on data from 2024 (the latest full year for which data is available), approximately 97% of spent supplies, equipment, and parts returned through the Xerox Supplies Recycling Programs were recycled, reused or remanufactured. We continue to make progress towards increasing the post-consumer recycled content in our eco-label eligible devices.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Social Responsibility Goals</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report our environmental and social goals and a status of our progress toward achieving those goals in our CSR Report, which is available on our website at www.xerox.com/en-us/about/corporate-social-responsibility, as well as in our Corporate Social Responsibility Progress Summary, also available from www.xerox.com under “About Xerox — Corporate Information — Corporate Social Responsibility.” Information about Environment, Health, Safety, and Sustainability at Xerox, including details of our initiatives with respect to carbon footprint, paper, clean air &amp; water, waste, chemical management, and health &amp; safety, is available on our website at www.xerox.com/en-us/about/ehs. Information on the Xerox website, including the above-referenced information and materials, is not incorporated by reference into this Proxy Statement.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Connection and Belonging</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know the power of having a global, inclusive team. It is one of the reasons Xerox has been successful for more than 115 years. By fostering a modern culture where everyone feels connected and that they belong, we gain the benefit of different ways of looking at our business, leading to innovative breakthroughs for our clients, and more engaging work for our people. Research shows that companies that champion connection and belonging have more engaged, productive, and innovative workforces and in turn perform better financially.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ind w:right="100"/>
        <w:spacing w:after="0" w:line="268" w:lineRule="auto"/>
        <w:rPr>
          <w:sz w:val="20"/>
          <w:szCs w:val="20"/>
          <w:color w:val="auto"/>
        </w:rPr>
      </w:pPr>
      <w:r>
        <w:rPr>
          <w:rFonts w:ascii="Arial" w:cs="Arial" w:eastAsia="Arial" w:hAnsi="Arial"/>
          <w:sz w:val="18"/>
          <w:szCs w:val="18"/>
          <w:color w:val="auto"/>
        </w:rPr>
        <w:t>Our connection and belonging strategy reflects the foundation set by our first modern-day Chief Executive Officer, Joseph Wilson. Thanks to his vision, social responsibility, connection and belonging became a part of our value system and helped forge who we are today – a workplace where everyone can thrive and reach full potential.</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the world changes, we continue to evolve to turn today's challenges into opportunities, incorporating new elements within our connection and belonging strategy, including employee listening sessions that educate and cultivate belonging.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CSR Reporting</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Xerox 2025 CSR report describes our management approach related to CSR. Our work aligns with the United Nations Sustainable Development Goals (SDGs), which provide a framework to end poverty, protect the planet and improve the lives and prospects of everyone, everywhere. To ensure we are responsive to all stakeholders, Xerox has also been reporting in accordance with the Sustainability Accounting Standards Board (SASB) and the Global Reporting Initiative (GRI).</w:t>
      </w:r>
    </w:p>
    <w:p>
      <w:pPr>
        <w:spacing w:after="0" w:line="6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2025 CSR Report, SASB report, and GRI report are accessible at www.xerox.com/CSR. The content of our website, including the above-referenced information, is not incorporated by reference into this Proxy Statement.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w:t>
      </w:r>
      <w:r>
        <w:rPr>
          <w:rFonts w:ascii="Arial" w:cs="Arial" w:eastAsia="Arial" w:hAnsi="Arial"/>
          <w:sz w:val="18"/>
          <w:szCs w:val="18"/>
          <w:b w:val="1"/>
          <w:bCs w:val="1"/>
          <w:color w:val="auto"/>
        </w:rPr>
        <w:t>ees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31, 2025, we had approximately 22,900 employees, an increase of approximately 6,100, or 36.3%, since December 31, 2024. The increase primarily relates to the Lexmark Acquisition, partially offset by the impact of the Company's Reinvention, which includes the effects of workforce reduction decisions.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a geographic basis, at December 31, 2025, approximately 9,400 employees were located in the United States and approximately 13,500 employees were located outside the United States. Approximately 10,100 employees, or approximately 45% of our total employees, were engaged in providing services to customers (direct service and managed services) and approximately 2,400 employees were engaged in direct sales.</w:t>
      </w:r>
    </w:p>
    <w:p>
      <w:pPr>
        <w:spacing w:after="0" w:line="6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Approximately 15% of our employees are represented by unions or similar organizations, such as workers' councils with approximately 90% located outside the United States. As of December 31, 2025, approximately 30% of our employees were women and approximately 30% of our U.S. employees self-identified as diverse.</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Following the Lexmark Acquisition, the Company began the process of integrating the legacy Xerox and Lexmark organizations. In October 2025, the Company announced a targeted workforce reduction, with actions to be taken across all levels and areas of the combined organization. Reductions are subject to formal consultation with local works councils and employee representative bodies, where applicable, and we fully comply with all required notifications, including U.S. state WARN laws, at the appropriate time. We believe the decision to reduce our workforce was a difficult but necessary step to accelerate our Reinvention journey and position Xerox for long-term, profitable, and sustainable growth. We are committed to providing transition support for affected employees.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Safety</w:t>
      </w:r>
    </w:p>
    <w:p>
      <w:pPr>
        <w:spacing w:after="0" w:line="115"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At Xerox, we are committed to maintaining a safe workplace for our employees. We use an incident reporting process, regular safety inspections, and hazard analyses to identify opportunities for reducing or preventing incidents. To further promote safety awareness, we implement site-specific hazard management programs, share off-the-job safety information, and communicate proactively about safety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concerns</w:t>
      </w:r>
      <w:r>
        <w:rPr>
          <w:rFonts w:ascii="Arial" w:cs="Arial" w:eastAsia="Arial" w:hAnsi="Arial"/>
          <w:sz w:val="21"/>
          <w:szCs w:val="2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and Talent Development</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Xerox remains committed to continuously revitalizing our employee experience and supporting employees through the shift to our new operating model, which is driving our Reinvention and Xerox's transformation. To facilitate these ongoing changes, we began strengthening our change management capabilities by creating a proactive, consistent global approach, upskilling our employees, and enabling new ways of working. We improved our ability to make data-driven decisions and streamlined various processes to unlock our people's potential.</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To support the employee experience, we have enhanced manager enablement resources and strengthened our leadership capability model that help our managers excel. Additionally, we offer other benefits including paid parental leave in the U.S.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standardized the way employee performance is evaluated. By evolving our performance management processes, we have driven accountability and ensured employees received feedback and coaching to reach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their highest potential. With a specific focus on sales performance, we have redesigned and simplified our sales compensation plans.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Xerox sponsors numerous corporate development initiatives for targeted populations (i.e., high potentials, emerging technology professionals, and senior leaders, etc.), and corporate processes such as succession planning to ensure that we have a clear leadership pipeline for critical organizational roles.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Learning Innovation</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Xerox delivers a technology-enabled, blended learning ecosystem designed to support the company’s Reinvention strategy and long-term workforce readiness. Through TEK@Xerox (Talent, Education &amp; Knowledge), learning is structured around the Xerox Competency Framework, ensuring that development activities build the skills, knowledge, and behaviors required for success across roles and career stages.</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approach integrates formal education, digital learning, on-the-job experience, coaching, and community-based knowledge sharing to enable continuous capability growth across the organization. This model supports Xerox’s priorities of business agility, digital transformation, and talent mobility, ensuring employees can adapt to evolving technologies, customer expectations, and market demands.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Employees access learning through Xerox Learning Central (XLC), our global learning platform that delivers personalized learning pathways aligned to role expectations and future career aspirations. The platform integrates a structured skills taxonomy, competency mapping, and analytics to help employees, managers, and leaders identify capability gaps and accelerate development through targeted learning journeys.</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XLC provides access to a global portfolio of learning experiences, including digital courses, virtual instructor-led sessions, simulations, job aids, certifications, gamification, and communities of practice. These resources are designed to deliver learning at point of need, supporting performance improvement, faster onboarding, and continuous professional development across the workforce.</w:t>
      </w:r>
    </w:p>
    <w:p>
      <w:pPr>
        <w:spacing w:after="0" w:line="63"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TEK@Xerox partners closely with business leaders to design capability-building programs aligned to strategic priorities, new offerings, and evolving workforce needs. By connecting learning data, competency progression, and workforce insights, the organization is able to identify emerging skill requirements and proactively develop the capabilities needed to sustain Xerox’s competitiveness and innovation.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During 2025, over 95% of Xerox employees completed at least one formal learning offering, including both required and voluntary training.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Xerox Learning Central recorded over 201,000 course completions, totaling over 270,000 hours of learning by our employees and Partners.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Rewards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Xerox's ability to execute on its strategy depends on attracting, retaining, and motivating a highly productive, global workforce. To support this objective, we offer a comprehensive Total Rewards program that includes compensation, benefits, and work-life programs. These programs are designed to align employee rewards with business performance, promote consistency and fairness, and support the Company’s overall strategy. Our Total Rewards programs are guided by the following principles:</w:t>
      </w:r>
    </w:p>
    <w:p>
      <w:pPr>
        <w:spacing w:after="0" w:line="6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EE2724"/>
        </w:rPr>
      </w:pPr>
      <w:r>
        <w:rPr>
          <w:rFonts w:ascii="Arial" w:cs="Arial" w:eastAsia="Arial" w:hAnsi="Arial"/>
          <w:sz w:val="18"/>
          <w:szCs w:val="18"/>
          <w:b w:val="1"/>
          <w:bCs w:val="1"/>
          <w:color w:val="D92231"/>
        </w:rPr>
        <w:t>Drive shareholder value</w:t>
      </w:r>
      <w:r>
        <w:rPr>
          <w:rFonts w:ascii="Arial" w:cs="Arial" w:eastAsia="Arial" w:hAnsi="Arial"/>
          <w:sz w:val="18"/>
          <w:szCs w:val="18"/>
          <w:color w:val="000000"/>
        </w:rPr>
        <w:t>: Align rewards with sustainable performance, operational efficiency, and long-term shareholder value.</w:t>
      </w:r>
    </w:p>
    <w:p>
      <w:pPr>
        <w:spacing w:after="0" w:line="117" w:lineRule="exact"/>
        <w:rPr>
          <w:rFonts w:ascii="Arial" w:cs="Arial" w:eastAsia="Arial" w:hAnsi="Arial"/>
          <w:sz w:val="18"/>
          <w:szCs w:val="18"/>
          <w:color w:val="EE2724"/>
        </w:rPr>
      </w:pPr>
    </w:p>
    <w:p>
      <w:pPr>
        <w:ind w:left="660" w:right="940" w:hanging="328"/>
        <w:spacing w:after="0" w:line="287" w:lineRule="auto"/>
        <w:tabs>
          <w:tab w:leader="none" w:pos="655" w:val="left"/>
        </w:tabs>
        <w:numPr>
          <w:ilvl w:val="0"/>
          <w:numId w:val="9"/>
        </w:numPr>
        <w:rPr>
          <w:rFonts w:ascii="Arial" w:cs="Arial" w:eastAsia="Arial" w:hAnsi="Arial"/>
          <w:sz w:val="18"/>
          <w:szCs w:val="18"/>
          <w:color w:val="EE2724"/>
        </w:rPr>
      </w:pPr>
      <w:r>
        <w:rPr>
          <w:rFonts w:ascii="Arial" w:cs="Arial" w:eastAsia="Arial" w:hAnsi="Arial"/>
          <w:sz w:val="18"/>
          <w:szCs w:val="18"/>
          <w:b w:val="1"/>
          <w:bCs w:val="1"/>
          <w:color w:val="D92231"/>
        </w:rPr>
        <w:t xml:space="preserve">Reinforce performance alignment: </w:t>
      </w:r>
      <w:r>
        <w:rPr>
          <w:rFonts w:ascii="Arial" w:cs="Arial" w:eastAsia="Arial" w:hAnsi="Arial"/>
          <w:sz w:val="18"/>
          <w:szCs w:val="18"/>
          <w:color w:val="000000"/>
        </w:rPr>
        <w:t>Differentiate rewards based on performance and contributions, with an emphasis on</w:t>
      </w:r>
      <w:r>
        <w:rPr>
          <w:rFonts w:ascii="Arial" w:cs="Arial" w:eastAsia="Arial" w:hAnsi="Arial"/>
          <w:sz w:val="18"/>
          <w:szCs w:val="18"/>
          <w:b w:val="1"/>
          <w:bCs w:val="1"/>
          <w:color w:val="D92231"/>
        </w:rPr>
        <w:t xml:space="preserve"> </w:t>
      </w:r>
      <w:r>
        <w:rPr>
          <w:rFonts w:ascii="Arial" w:cs="Arial" w:eastAsia="Arial" w:hAnsi="Arial"/>
          <w:sz w:val="18"/>
          <w:szCs w:val="18"/>
          <w:color w:val="000000"/>
        </w:rPr>
        <w:t>accountability and results.</w:t>
      </w:r>
    </w:p>
    <w:p>
      <w:pPr>
        <w:spacing w:after="0" w:line="44" w:lineRule="exact"/>
        <w:rPr>
          <w:rFonts w:ascii="Arial" w:cs="Arial" w:eastAsia="Arial" w:hAnsi="Arial"/>
          <w:sz w:val="18"/>
          <w:szCs w:val="18"/>
          <w:color w:val="EE2724"/>
        </w:rPr>
      </w:pPr>
    </w:p>
    <w:p>
      <w:pPr>
        <w:ind w:left="660" w:right="180" w:hanging="328"/>
        <w:spacing w:after="0" w:line="287" w:lineRule="auto"/>
        <w:tabs>
          <w:tab w:leader="none" w:pos="655" w:val="left"/>
        </w:tabs>
        <w:numPr>
          <w:ilvl w:val="0"/>
          <w:numId w:val="9"/>
        </w:numPr>
        <w:rPr>
          <w:rFonts w:ascii="Arial" w:cs="Arial" w:eastAsia="Arial" w:hAnsi="Arial"/>
          <w:sz w:val="18"/>
          <w:szCs w:val="18"/>
          <w:b w:val="1"/>
          <w:bCs w:val="1"/>
          <w:color w:val="EE2724"/>
        </w:rPr>
      </w:pPr>
      <w:r>
        <w:rPr>
          <w:rFonts w:ascii="Arial" w:cs="Arial" w:eastAsia="Arial" w:hAnsi="Arial"/>
          <w:sz w:val="18"/>
          <w:szCs w:val="18"/>
          <w:b w:val="1"/>
          <w:bCs w:val="1"/>
          <w:color w:val="D92231"/>
        </w:rPr>
        <w:t xml:space="preserve">Support </w:t>
      </w:r>
      <w:r>
        <w:rPr>
          <w:rFonts w:ascii="Arial" w:cs="Arial" w:eastAsia="Arial" w:hAnsi="Arial"/>
          <w:sz w:val="18"/>
          <w:szCs w:val="18"/>
          <w:b w:val="1"/>
          <w:bCs w:val="1"/>
          <w:color w:val="EE2724"/>
        </w:rPr>
        <w:t>workforce needs</w:t>
      </w:r>
      <w:r>
        <w:rPr>
          <w:rFonts w:ascii="Arial" w:cs="Arial" w:eastAsia="Arial" w:hAnsi="Arial"/>
          <w:sz w:val="18"/>
          <w:szCs w:val="18"/>
          <w:color w:val="EE2724"/>
        </w:rPr>
        <w:t>:</w:t>
      </w:r>
      <w:r>
        <w:rPr>
          <w:rFonts w:ascii="Arial" w:cs="Arial" w:eastAsia="Arial" w:hAnsi="Arial"/>
          <w:sz w:val="18"/>
          <w:szCs w:val="18"/>
          <w:b w:val="1"/>
          <w:bCs w:val="1"/>
          <w:color w:val="D92231"/>
        </w:rPr>
        <w:t xml:space="preserve"> </w:t>
      </w:r>
      <w:r>
        <w:rPr>
          <w:rFonts w:ascii="Arial" w:cs="Arial" w:eastAsia="Arial" w:hAnsi="Arial"/>
          <w:sz w:val="18"/>
          <w:szCs w:val="18"/>
          <w:color w:val="000000"/>
        </w:rPr>
        <w:t>Maintain competitive and equitable programs that support attraction, retention, and engagement of our</w:t>
      </w:r>
      <w:r>
        <w:rPr>
          <w:rFonts w:ascii="Arial" w:cs="Arial" w:eastAsia="Arial" w:hAnsi="Arial"/>
          <w:sz w:val="18"/>
          <w:szCs w:val="18"/>
          <w:b w:val="1"/>
          <w:bCs w:val="1"/>
          <w:color w:val="D92231"/>
        </w:rPr>
        <w:t xml:space="preserve"> </w:t>
      </w:r>
      <w:r>
        <w:rPr>
          <w:rFonts w:ascii="Arial" w:cs="Arial" w:eastAsia="Arial" w:hAnsi="Arial"/>
          <w:sz w:val="18"/>
          <w:szCs w:val="18"/>
          <w:color w:val="000000"/>
        </w:rPr>
        <w:t>global workforce.</w:t>
      </w:r>
    </w:p>
    <w:p>
      <w:pPr>
        <w:spacing w:after="0" w:line="4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 with most global companies, our compensation and benefits vary based on employee eligibility, local practices and regulations. We benchmark our programs to ensure we remain competitive with our peers and the markets we serve, and to maintain alignment with our short-term and long-term business goals.</w:t>
      </w:r>
    </w:p>
    <w:p>
      <w:pPr>
        <w:spacing w:after="0" w:line="63"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Our compensation offerings include base pay, as well as short-term and long-term incentive programs. Our short-term programs include: a Management Incentive Plan (MIP), designed to drive Xerox’s annual pay for performance culture and incentivize our leaders to help Xerox achieve sustainable growth and profitability; and a sales compensation program that tightly aligns our sales force with business goals. Our Long-Term Incentive (LTI) equity-based program reinforces alignment of our leaders and key talent with shareholders.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ind w:right="340"/>
        <w:spacing w:after="0" w:line="268" w:lineRule="auto"/>
        <w:rPr>
          <w:sz w:val="20"/>
          <w:szCs w:val="20"/>
          <w:color w:val="auto"/>
        </w:rPr>
      </w:pPr>
      <w:r>
        <w:rPr>
          <w:rFonts w:ascii="Arial" w:cs="Arial" w:eastAsia="Arial" w:hAnsi="Arial"/>
          <w:sz w:val="18"/>
          <w:szCs w:val="18"/>
          <w:color w:val="auto"/>
        </w:rPr>
        <w:t>Our benefit offerings provide our employees with choice and flexibility to help them reach their health and financial goals. Our offerings include the following core programs: health care, wellness, retirement, paid time off, life and disability insurance, and access to voluntary benefits.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Philanthropy and Community Involvement</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From our earliest days as a company, Xerox has demonstrated a steadfast commitment to corporate social responsibility. Our greatest goal is to facilitate employee-driven philanthropy. Together, Xerox and our employees are creating real impact and sustainable change for the greater good. In 2025, Xerox employees volunteered for approximately 42,000 hours.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efforts are focused on four strategic areas to maximize change:</w:t>
      </w:r>
    </w:p>
    <w:p>
      <w:pPr>
        <w:spacing w:after="0" w:line="117" w:lineRule="exact"/>
        <w:rPr>
          <w:sz w:val="20"/>
          <w:szCs w:val="20"/>
          <w:color w:val="auto"/>
        </w:rPr>
      </w:pPr>
    </w:p>
    <w:p>
      <w:pPr>
        <w:ind w:left="660" w:right="60" w:hanging="328"/>
        <w:spacing w:after="0" w:line="262" w:lineRule="auto"/>
        <w:tabs>
          <w:tab w:leader="none" w:pos="655" w:val="left"/>
        </w:tabs>
        <w:numPr>
          <w:ilvl w:val="0"/>
          <w:numId w:val="10"/>
        </w:numPr>
        <w:rPr>
          <w:rFonts w:ascii="Arial" w:cs="Arial" w:eastAsia="Arial" w:hAnsi="Arial"/>
          <w:sz w:val="18"/>
          <w:szCs w:val="18"/>
          <w:color w:val="EE2724"/>
        </w:rPr>
      </w:pPr>
      <w:r>
        <w:rPr>
          <w:rFonts w:ascii="Arial" w:cs="Arial" w:eastAsia="Arial" w:hAnsi="Arial"/>
          <w:sz w:val="18"/>
          <w:szCs w:val="18"/>
          <w:b w:val="1"/>
          <w:bCs w:val="1"/>
          <w:color w:val="D92231"/>
        </w:rPr>
        <w:t>Strong vibrant communities</w:t>
      </w:r>
      <w:r>
        <w:rPr>
          <w:rFonts w:ascii="Arial" w:cs="Arial" w:eastAsia="Arial" w:hAnsi="Arial"/>
          <w:sz w:val="18"/>
          <w:szCs w:val="18"/>
          <w:color w:val="000000"/>
        </w:rPr>
        <w:t>: Xerox invests in communities where our people and clients live and work, strengthening ties with our</w:t>
      </w:r>
      <w:r>
        <w:rPr>
          <w:rFonts w:ascii="Arial" w:cs="Arial" w:eastAsia="Arial" w:hAnsi="Arial"/>
          <w:sz w:val="18"/>
          <w:szCs w:val="18"/>
          <w:b w:val="1"/>
          <w:bCs w:val="1"/>
          <w:color w:val="D92231"/>
        </w:rPr>
        <w:t xml:space="preserve"> </w:t>
      </w:r>
      <w:r>
        <w:rPr>
          <w:rFonts w:ascii="Arial" w:cs="Arial" w:eastAsia="Arial" w:hAnsi="Arial"/>
          <w:sz w:val="18"/>
          <w:szCs w:val="18"/>
          <w:color w:val="000000"/>
        </w:rPr>
        <w:t>stakeholders, and embedding Xerox into the fabric of communities around the world. We encourage our people to give back to the causes they believe in, by providing employees with a day each year to volunteer at a cause of their choice. Xerox also offers a limited employee match to certain charitable organizations.</w:t>
      </w:r>
    </w:p>
    <w:p>
      <w:pPr>
        <w:spacing w:after="0" w:line="68" w:lineRule="exact"/>
        <w:rPr>
          <w:rFonts w:ascii="Arial" w:cs="Arial" w:eastAsia="Arial" w:hAnsi="Arial"/>
          <w:sz w:val="18"/>
          <w:szCs w:val="18"/>
          <w:color w:val="EE2724"/>
        </w:rPr>
      </w:pPr>
    </w:p>
    <w:p>
      <w:pPr>
        <w:ind w:left="660" w:right="200" w:hanging="328"/>
        <w:spacing w:after="0" w:line="268" w:lineRule="auto"/>
        <w:tabs>
          <w:tab w:leader="none" w:pos="655" w:val="left"/>
        </w:tabs>
        <w:numPr>
          <w:ilvl w:val="0"/>
          <w:numId w:val="10"/>
        </w:numPr>
        <w:rPr>
          <w:rFonts w:ascii="Arial" w:cs="Arial" w:eastAsia="Arial" w:hAnsi="Arial"/>
          <w:sz w:val="18"/>
          <w:szCs w:val="18"/>
          <w:color w:val="EE2724"/>
        </w:rPr>
      </w:pPr>
      <w:r>
        <w:rPr>
          <w:rFonts w:ascii="Arial" w:cs="Arial" w:eastAsia="Arial" w:hAnsi="Arial"/>
          <w:sz w:val="18"/>
          <w:szCs w:val="18"/>
          <w:b w:val="1"/>
          <w:bCs w:val="1"/>
          <w:color w:val="D92231"/>
        </w:rPr>
        <w:t>Education and workforce preparedness</w:t>
      </w:r>
      <w:r>
        <w:rPr>
          <w:rFonts w:ascii="Arial" w:cs="Arial" w:eastAsia="Arial" w:hAnsi="Arial"/>
          <w:sz w:val="18"/>
          <w:szCs w:val="18"/>
          <w:color w:val="000000"/>
        </w:rPr>
        <w:t>: Xerox supports the role of education in society, through colleges, universities, science,</w:t>
      </w:r>
      <w:r>
        <w:rPr>
          <w:rFonts w:ascii="Arial" w:cs="Arial" w:eastAsia="Arial" w:hAnsi="Arial"/>
          <w:sz w:val="18"/>
          <w:szCs w:val="18"/>
          <w:b w:val="1"/>
          <w:bCs w:val="1"/>
          <w:color w:val="D92231"/>
        </w:rPr>
        <w:t xml:space="preserve"> </w:t>
      </w:r>
      <w:r>
        <w:rPr>
          <w:rFonts w:ascii="Arial" w:cs="Arial" w:eastAsia="Arial" w:hAnsi="Arial"/>
          <w:sz w:val="18"/>
          <w:szCs w:val="18"/>
          <w:color w:val="000000"/>
        </w:rPr>
        <w:t>technology, engineering, and math (STEM) education programs, and workforce development programs that prepare the next generation of leaders, inventors, and scientists.</w:t>
      </w:r>
    </w:p>
    <w:p>
      <w:pPr>
        <w:spacing w:after="0" w:line="62" w:lineRule="exact"/>
        <w:rPr>
          <w:rFonts w:ascii="Arial" w:cs="Arial" w:eastAsia="Arial" w:hAnsi="Arial"/>
          <w:sz w:val="18"/>
          <w:szCs w:val="18"/>
          <w:color w:val="EE2724"/>
        </w:rPr>
      </w:pPr>
    </w:p>
    <w:p>
      <w:pPr>
        <w:ind w:left="660" w:right="580" w:hanging="328"/>
        <w:spacing w:after="0" w:line="287" w:lineRule="auto"/>
        <w:tabs>
          <w:tab w:leader="none" w:pos="655" w:val="left"/>
        </w:tabs>
        <w:numPr>
          <w:ilvl w:val="0"/>
          <w:numId w:val="10"/>
        </w:numPr>
        <w:rPr>
          <w:rFonts w:ascii="Arial" w:cs="Arial" w:eastAsia="Arial" w:hAnsi="Arial"/>
          <w:sz w:val="18"/>
          <w:szCs w:val="18"/>
          <w:color w:val="EE2724"/>
        </w:rPr>
      </w:pPr>
      <w:r>
        <w:rPr>
          <w:rFonts w:ascii="Arial" w:cs="Arial" w:eastAsia="Arial" w:hAnsi="Arial"/>
          <w:sz w:val="18"/>
          <w:szCs w:val="18"/>
          <w:b w:val="1"/>
          <w:bCs w:val="1"/>
          <w:color w:val="D92231"/>
        </w:rPr>
        <w:t>Sustainability</w:t>
      </w:r>
      <w:r>
        <w:rPr>
          <w:rFonts w:ascii="Arial" w:cs="Arial" w:eastAsia="Arial" w:hAnsi="Arial"/>
          <w:sz w:val="18"/>
          <w:szCs w:val="18"/>
          <w:color w:val="000000"/>
        </w:rPr>
        <w:t>: Xerox invests in and supports the people and programs working to address climate change, reforestation and</w:t>
      </w:r>
      <w:r>
        <w:rPr>
          <w:rFonts w:ascii="Arial" w:cs="Arial" w:eastAsia="Arial" w:hAnsi="Arial"/>
          <w:sz w:val="18"/>
          <w:szCs w:val="18"/>
          <w:b w:val="1"/>
          <w:bCs w:val="1"/>
          <w:color w:val="D92231"/>
        </w:rPr>
        <w:t xml:space="preserve"> </w:t>
      </w:r>
      <w:r>
        <w:rPr>
          <w:rFonts w:ascii="Arial" w:cs="Arial" w:eastAsia="Arial" w:hAnsi="Arial"/>
          <w:sz w:val="18"/>
          <w:szCs w:val="18"/>
          <w:color w:val="000000"/>
        </w:rPr>
        <w:t>biodiversity, as well as preserving clean air, water, and land.</w:t>
      </w:r>
    </w:p>
    <w:p>
      <w:pPr>
        <w:spacing w:after="0" w:line="44" w:lineRule="exact"/>
        <w:rPr>
          <w:rFonts w:ascii="Arial" w:cs="Arial" w:eastAsia="Arial" w:hAnsi="Arial"/>
          <w:sz w:val="18"/>
          <w:szCs w:val="18"/>
          <w:color w:val="EE2724"/>
        </w:rPr>
      </w:pPr>
    </w:p>
    <w:p>
      <w:pPr>
        <w:ind w:left="660" w:hanging="328"/>
        <w:spacing w:after="0"/>
        <w:tabs>
          <w:tab w:leader="none" w:pos="660" w:val="left"/>
        </w:tabs>
        <w:numPr>
          <w:ilvl w:val="0"/>
          <w:numId w:val="10"/>
        </w:numPr>
        <w:rPr>
          <w:rFonts w:ascii="Arial" w:cs="Arial" w:eastAsia="Arial" w:hAnsi="Arial"/>
          <w:sz w:val="18"/>
          <w:szCs w:val="18"/>
          <w:color w:val="EE2724"/>
        </w:rPr>
      </w:pPr>
      <w:r>
        <w:rPr>
          <w:rFonts w:ascii="Arial" w:cs="Arial" w:eastAsia="Arial" w:hAnsi="Arial"/>
          <w:sz w:val="18"/>
          <w:szCs w:val="18"/>
          <w:b w:val="1"/>
          <w:bCs w:val="1"/>
          <w:color w:val="D92231"/>
        </w:rPr>
        <w:t>Disaster relief</w:t>
      </w:r>
      <w:r>
        <w:rPr>
          <w:rFonts w:ascii="Arial" w:cs="Arial" w:eastAsia="Arial" w:hAnsi="Arial"/>
          <w:sz w:val="18"/>
          <w:szCs w:val="18"/>
          <w:color w:val="000000"/>
        </w:rPr>
        <w:t>: Xerox provides aid to our employees and their neighbors in crises during natural disasters.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CSR Governance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Corporate Governance Committee of the Board has oversight for CSR. The Committee reviews significant shareholder relations issues, and environmental and CSR matters, ensuring that our actions align with our core values and citizenship priorities. The CSR Council, comprised of senior executives who manage specific CSR topic areas, has centralized oversight of the Company’s management approach, including policies, goals, strategies, and actions to drive progress. The primary mission of the CSR Council is to drive global strategies with a client-centric impact to advance our legacy and leadership in corporate sustainability. Actions taken must meet the expectations of our stakeholders, including clients, employees, investors, regulators, and communities worldwide.</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Annual training regarding ethics, privacy, and security are required for all of our employees. Additional specialized training is required for certain roles and numerous training programs are available for employees to take on their own initiative.</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Xerox takes data protection very seriously. Xerox’s data protection and information security practices and privacy programs are designed to comply with applicable laws and regulations and are based on industry standards and best practices such as the National Institute of Standards and Technology (NIST) Cybersecurity Framework and ISO 27001. Xerox's privacy and data protection practices are designed to protect the confidentiality, integrity, and availability of data and to ensure that the processing of personal data is based on the subject’s consent. Please refer to Xerox’s privacy website at www.xerox.com/privacy for further information. The content of our website, including the above-referenced information, is not incorporated by reference in this Proxy Statement unless expressly noted.</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Adherence to our policies and procedures governing data protection is enforced through a combination of technical and organizational measures and safeguards over our systems and facilities, disciplinary actions against employees, audit rights, and contractual rights against our vendors.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DA2031"/>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Xerox is committed to the highest standards of business integrity and corporate governance. All of our directors, officers, and employees are required to act ethically under our codes of conduct. In addition, our directors must act in accordance with our Code of Business Conduct and Ethics for Members of the Board, and all of our executives, officers, and other employees must act in accordance with our Code of Business Conduct. Each of these codes of conduct can be accessed through our website at www.xerox.com/en-us/about/corporate-social-responsibility/governance. Our Corporate Governance Guidelines and the charters of our Audit, Compensation and Human Capital, Corporate Governance, and Finance Committees can be accessed through our website at xerox.com/en-us/about/corporate-social-responsibility/governance. They are also available to any shareholder who requests them in writing addressed to Xerox Holdings Corporation, 401 Merritt 7, Norwalk, CT 06851, Attention: Corporate Secretary. We will disclose any future amendments to, or waivers from, provisions of our Code of Business Conduct and Ethics for Members of the Board, and our Code of Business Conduct for our officers, on our website as promptly as practicable and in accordance with applicable U.S. Securities and Exchange Commission (SEC) and Nasdaq rules. The Corporate Governance Committee of the Board periodically reviews and reassesses the adequacy of our overall corporate governance, Corporate Governance Guidelines, and committee charters.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Corporate Governance Committee considers candidates for Board membership recommended by Board members, management, shareholders, and others (see below). The Corporate Governance Guidelines require that a substantial majority of the Board consist of independent directors, and that management representation on the Board should be limited to Company senior management. There are no specific minimum qualifications that the Corporate Governance Committee believes must be met by prospective candidates; however, the Corporate Governance Committee applies the criteria set forth in our Corporate Governance Guidelines. These criteria include, among other things, the candidate’s broad perspective, integrity, independence of judgment, experience, expertise, ability to make independent analytical inquiries, understanding of the Company’s business environment, and willingness to devote adequate time and effort to Board responsibilities. The Corporate Governance Committee does not assign specific weight to particular criteria, and no particular criterion is necessarily applicable to all prospective nominees.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Nomination Agreement discussed above, current director Scott Letier was the Deason Designee.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Onboarding and Continuing Education</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to the regularly scheduled Board and Committee meetings during the 2025 Board service year, the Company's Directors as a group attended focused informational sessions with members of the Company's management to gain additional insights into the Company's business, and stimulate 360-degree discussion and feedback on critical topics.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Proxy Access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2020, the Board adopted Amended and Restated By-Laws which added Section 13 to Article I of the By-Laws, to permit a shareholder, or a group of up to twenty (20) shareholders, owning three percent (3%) or more of the Company’s outstanding Common Stock continuously for at least three (3) years, to nominate and include in the Company’s proxy materials director candidates constituting up to the greater of two (2) directors or twenty percent (20%) of the Board, provided that the shareholder(s) and the nominee(s) satisfy the requirements specified in the By-Laws, including the requirement to provide timely notice of the proxy access nomination to the Company. For the 2027 Annual Meeting of Shareholders, to be considered timely, such notice of proxy access nomination must be received by the Company no earlier than November 8, 2026, and no later than December 8, 2026. The By-Laws are available on our website at www.xerox.com/en-us/about/corporate-social-responsibility/governance (under By-Laws).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 of Directors</w:t>
      </w:r>
    </w:p>
    <w:p>
      <w:pPr>
        <w:spacing w:after="0" w:line="11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Shareholders who wish to recommend individuals for consideration by the Corporate Governance Committee may do so by submitting a written recommendation to the Secretary of the Company at Xerox Holdings Corporation, 401 Merritt 7, Norwalk, CT 06851. Submissions must include sufficient biographical information concerning the recommended individual, including age, employment, and current board memberships (if any) for the Corporate Governance Committee to consider. The submission must be accompanied by the written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0" w:name="page21"/>
    <w:bookmarkEnd w:id="20"/>
    <w:p>
      <w:pPr>
        <w:jc w:val="both"/>
        <w:ind w:right="540"/>
        <w:spacing w:after="0" w:line="268" w:lineRule="auto"/>
        <w:rPr>
          <w:sz w:val="20"/>
          <w:szCs w:val="20"/>
          <w:color w:val="auto"/>
        </w:rPr>
      </w:pPr>
      <w:r>
        <w:rPr>
          <w:rFonts w:ascii="Arial" w:cs="Arial" w:eastAsia="Arial" w:hAnsi="Arial"/>
          <w:sz w:val="18"/>
          <w:szCs w:val="18"/>
          <w:color w:val="auto"/>
        </w:rPr>
        <w:t>consent of the nominee to stand for election if nominated by the Board and to serve if elected by the shareholders. Recommendations received no earlier than November 8, 2026, and no later than December 8, 2026, will be considered for nomination at the 2027 Annual Meeting of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 to Call a Special Shareholder Meeting</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February 2022, the Board amended the Company’s By-Laws to permit shareholders holding a combined 20% of the Company’s voting stock to call a special meeting of shareholders. The By-Laws are available on our website at www.xerox.com/en-us/about/corporate-social-responsibility/governance (under By-Laws).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Action by Written Consent</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Company’s amended and restated Certificate of Incorporation permits shareholders entitled to cast the minimum number of votes that would be necessary to authorize an action at a meeting at which all shareholders entitled to vote thereon were present and voting to act by written consent to take any action permitted to be taken by shareholders under applicable New York law and our By-Laws.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Board’s goal is to achieve the best board leadership structure for effective oversight and management of the Company’s affairs. The Board believes that there is no single, generally accepted approach to providing board leadership, and that each possible leadership structure must be considered in the context of the individuals involved and the specific circumstances facing a company. Accordingly, what the Board believes is the right board leadership structure may vary as circumstances warrant.</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Company’s governance documents provide the Board with flexibility to select the appropriate leadership structure for the Company. Our policies do not preclude the Chief Executive Officer (CEO) from also serving as Chairman of the Board. This flexibility has allowed the Board to utilize its experience and knowledge to appoint the most qualified director as Chairman of the Board, while maintaining the ability to separate the Chairman of the Board and CEO roles when desirable.</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current leadership structure separates the roles of Chairman and CEO. This structure allows our CEO to focus on the operations of our business while the independent Chairman focuses on leading the Board in its responsibilities. The Board deems this overall board governance structure appropriate, as it benefits from the CEO’s knowledge of the Company operations and substantial board experience, while maintaining Board independence in the Chairman role. Our independent Chairman leads the Board in its responsibilities by performing the following duties: presiding at executive sessions of the independent directors; calling special meetings of the independent directors, as needed; addressing individual Board member performance matters, as needed; and serving as liaison on Board-wide issues between the independent directors and the CEO.</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Under our Corporate Governance Guidelines, each regularly scheduled Board meeting must include an executive session of all directors and the CEO, and a separate executive session attended only by the independent directors.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78% of the Board currently is comprised of directors who qualify as independent directors. We have an independent Chairman and each of our standing Board committees is comprised solely of independent directors, including our Corporate Governance Committee, which establishes our corporate governance policy and monitors the effectiveness of this policy at the Board level.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Board has ultimate oversight responsibility for our Enterprise Risk Management (ERM) process. The Board oversees our ERM process through the Audit Committee, which previews the ERM assessment and process for subsequent review by the Board. Our ERM process is designed to strengthen our risk-management capability and to identify, assess, monitor, and manage all categories of business risk, including strategic, operational, compliance, and financial reporting. The Company’s Chief Financial Officer (CFO) has executive responsibility for the Company’s ERM function and leads the Enterprise Risk Steering Committee, which includes the majority of the direct reports to the CEO, as well as our Chief Information Officer, our Controller, and our Chief Audit Executive. The Enterprise Risk Steering Committee inspects risk mitigation plans and progress, identifies and addresses emerging risks, and shares mitigation best practices across the Company. Additionally, to ensure that ERM is integrated with our business management, the Company’s Executive Committee, the Business Ethics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and Compliance Office, and various internal control committees monitor risk exposure and the effectiveness of how we manage these risks.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Board has ultimate oversight responsibility for the risk management process, various committees of the Board have been delegated responsibility for oversight of certain aspects of risk management. In addition to its responsibility to oversee the overall ERM process, the Audit Committee focuses on financial risk, including risks associated with internal control, audit, financial reporting, and disclosure matters, and also on oversight of our Ethics, Litigation, Information, and Cyber Security risk mitigation plans and progress. In addition, the Compensation and Human Capital Committee seeks to incent executive employees in a manner that discourages unnecessary or inappropriate risk-taking, while encouraging a level of risk-taking behavior consistent with the Company’s business strategy. In parallel, the Board’s Finance Committee oversees aspects of our Global Economy risk, and on an as needed basis, special sub-committees are established to focus on specific business risks.</w:t>
      </w:r>
    </w:p>
    <w:p>
      <w:pPr>
        <w:spacing w:after="0" w:line="7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believe that our leadership structure supports the risk oversight responsibilities of the Board. Our CEO serves on the Board, and is able to promote open communication between management and directors relating to risk. Each standing Board committee is comprised solely of independent directors, and all directors are actively involved in the risk oversight function.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director to be considered independent, the Board must affirmatively make a determination that such director does not have any material relationship with the Company or any of its subsidiaries, taking into account all applicable regulatory requirements (including the requirements set forth in Nasdaq Marketplace Rule 5600 and Regulation S-K of the Securities Act of 1933 as amended) (Regulation S-K).</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Board has determined that all of the nominees for election as directors are independent under the Nasdaq rules and our Corporate Governance Guidelines, with the exception of Louis J. Pastor, our Chief Executive Officer, and John Bruno.</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addition, the Corporate Governance Committee reviews relationships involving members of the Board, their immediate family members and affiliates, and transactions in which members of the Board, their immediate family members, and their affiliates have a direct or indirect interest in which the Company is a participant, to determine whether such relationship or transaction is material and could impair a director’s independence. In making independence determinations, the Board considers all relevant facts and circumstances from the point of view of both the director and the persons or organizations with which the director has relationships. See </w:t>
      </w:r>
      <w:r>
        <w:rPr>
          <w:rFonts w:ascii="Arial" w:cs="Arial" w:eastAsia="Arial" w:hAnsi="Arial"/>
          <w:sz w:val="18"/>
          <w:szCs w:val="18"/>
          <w:i w:val="1"/>
          <w:iCs w:val="1"/>
          <w:color w:val="auto"/>
        </w:rPr>
        <w:t>Certain Relationships and Related Person</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Based on the results of the aforementioned review, 78% of our nominees for election as directors are deemed to be independent.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CERTAIN RELATIONSHIPS AND RELATED PERSON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Board has adopted a policy addressing the Company’s procedures with respect to the review, approval, and ratification of “related person transactions” that are required to be disclosed pursuant to Item 404(a) of Regulation S-K. The policy provides that any transaction, arrangement or relationship, or series of similar transactions, in which the Company will participate or has participated and a “related person” (as defined in Item 404(a) of Regulation S-K) has or will have a direct or indirect material interest, and which exceeds $120,000 in the aggregate, is subject to review (each such transaction, a Related Person Transaction). In its review of Related Person Transactions, the Corporate Governance Committee reviews the material facts and circumstances of the transaction and takes into account certain factors, where appropriate, based on the particular facts and circumstances, including: (i) the nature of the “related person’s” interest in the transaction; (ii) the significance of the transaction to the Company and to the “related person”; and (iii) whether the transaction is likely to impair the judgment of the “related person” to act in the best interest of the Company.</w:t>
      </w:r>
    </w:p>
    <w:p>
      <w:pPr>
        <w:spacing w:after="0" w:line="7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No member of the Corporate Governance Committee may participate in the review, approval, or ratification of a transaction with respect to which he or she is a “related person.”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Certain Employment Arrangements</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actively recruit qualified candidates for our employment needs. Relatives of our executive officers and other employees are eligible for hire, but none who received more than $120,000 in annual compensation were employed by Xerox in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Unsecured Notes</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to Mr. Letier’s roles at Deason Capital Services, LLC and Deason Capital Management, LLC, Mr. Letier is also a Manager at DCS Finance, LLC, an entity affiliated with and controlled by Mr. Deason.</w:t>
      </w:r>
    </w:p>
    <w:p>
      <w:pPr>
        <w:spacing w:after="0" w:line="8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connection with the Lexmark Acquisition, DCS Finance, LLC and another affiliate of Deason Capital Management purchased (i) $250 million aggregate principal amount of 13.00% Senior Notes due 2030 (the 2030 Notes) and (ii) $125 million aggregate principal amount of 13.00% Senior Unsecured Notes due 2026 (the 2026 Notes). The Company received net proceeds of approximately $245 million from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2030 notes and approximately $116 million from the 2026 notes.</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2030 Notes are payable quarterly in arrears on April 1, July 1, October 1 and January 1 of each year, beginning on October 1, 2025. The Initial Interest Rate on the 2030 Notes will increase (Interest Rate Step-Up) to the rates (on a per annum basis) set forth below for the period from and including the dates indicated below (each a Step-Up Date) to but excluding the next succeeding Step-up Date, or the stated maturity of the 2030 Notes, as applicable.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Borders>
              <w:bottom w:val="single" w:sz="8" w:color="auto"/>
            </w:tcBorders>
            <w:shd w:val="clear" w:color="auto" w:fill="D92231"/>
          </w:tcPr>
          <w:p>
            <w:pPr>
              <w:ind w:left="20"/>
              <w:spacing w:after="0"/>
              <w:rPr>
                <w:sz w:val="20"/>
                <w:szCs w:val="20"/>
                <w:color w:val="auto"/>
              </w:rPr>
            </w:pPr>
            <w:r>
              <w:rPr>
                <w:rFonts w:ascii="Arial" w:cs="Arial" w:eastAsia="Arial" w:hAnsi="Arial"/>
                <w:sz w:val="14"/>
                <w:szCs w:val="14"/>
                <w:b w:val="1"/>
                <w:bCs w:val="1"/>
                <w:color w:val="FFFFFF"/>
              </w:rPr>
              <w:t>Step-Up Date</w:t>
            </w:r>
          </w:p>
        </w:tc>
        <w:tc>
          <w:tcPr>
            <w:tcW w:w="6240" w:type="dxa"/>
            <w:vAlign w:val="bottom"/>
            <w:tcBorders>
              <w:bottom w:val="single" w:sz="8" w:color="auto"/>
            </w:tcBorders>
            <w:shd w:val="clear" w:color="auto" w:fill="D92231"/>
          </w:tcPr>
          <w:p>
            <w:pPr>
              <w:jc w:val="right"/>
              <w:ind w:right="768"/>
              <w:spacing w:after="0"/>
              <w:rPr>
                <w:sz w:val="20"/>
                <w:szCs w:val="20"/>
                <w:color w:val="auto"/>
              </w:rPr>
            </w:pPr>
            <w:r>
              <w:rPr>
                <w:rFonts w:ascii="Arial" w:cs="Arial" w:eastAsia="Arial" w:hAnsi="Arial"/>
                <w:sz w:val="14"/>
                <w:szCs w:val="14"/>
                <w:b w:val="1"/>
                <w:bCs w:val="1"/>
                <w:color w:val="FFFFFF"/>
              </w:rPr>
              <w:t>Interest Rate Step-Up</w:t>
            </w:r>
          </w:p>
        </w:tc>
      </w:tr>
      <w:tr>
        <w:trPr>
          <w:trHeight w:val="189"/>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July 1, 2026</w:t>
            </w:r>
          </w:p>
        </w:tc>
        <w:tc>
          <w:tcPr>
            <w:tcW w:w="6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13.500 %</w:t>
            </w:r>
          </w:p>
        </w:tc>
      </w:tr>
      <w:tr>
        <w:trPr>
          <w:trHeight w:val="194"/>
        </w:trPr>
        <w:tc>
          <w:tcPr>
            <w:tcW w:w="5000" w:type="dxa"/>
            <w:vAlign w:val="bottom"/>
          </w:tcPr>
          <w:p>
            <w:pPr>
              <w:ind w:left="20"/>
              <w:spacing w:after="0"/>
              <w:rPr>
                <w:sz w:val="20"/>
                <w:szCs w:val="20"/>
                <w:color w:val="auto"/>
              </w:rPr>
            </w:pPr>
            <w:r>
              <w:rPr>
                <w:rFonts w:ascii="Arial" w:cs="Arial" w:eastAsia="Arial" w:hAnsi="Arial"/>
                <w:sz w:val="14"/>
                <w:szCs w:val="14"/>
                <w:color w:val="auto"/>
              </w:rPr>
              <w:t>July 1, 2027</w:t>
            </w:r>
          </w:p>
        </w:tc>
        <w:tc>
          <w:tcPr>
            <w:tcW w:w="6240" w:type="dxa"/>
            <w:vAlign w:val="bottom"/>
          </w:tcPr>
          <w:p>
            <w:pPr>
              <w:jc w:val="right"/>
              <w:spacing w:after="0"/>
              <w:rPr>
                <w:sz w:val="20"/>
                <w:szCs w:val="20"/>
                <w:color w:val="auto"/>
              </w:rPr>
            </w:pPr>
            <w:r>
              <w:rPr>
                <w:rFonts w:ascii="Arial" w:cs="Arial" w:eastAsia="Arial" w:hAnsi="Arial"/>
                <w:sz w:val="14"/>
                <w:szCs w:val="14"/>
                <w:color w:val="auto"/>
              </w:rPr>
              <w:t>14.000 %</w:t>
            </w:r>
          </w:p>
        </w:tc>
      </w:tr>
      <w:tr>
        <w:trPr>
          <w:trHeight w:val="22"/>
        </w:trPr>
        <w:tc>
          <w:tcPr>
            <w:tcW w:w="5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October 1, 2027</w:t>
            </w:r>
          </w:p>
        </w:tc>
        <w:tc>
          <w:tcPr>
            <w:tcW w:w="6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14.125 %</w:t>
            </w:r>
          </w:p>
        </w:tc>
      </w:tr>
      <w:tr>
        <w:trPr>
          <w:trHeight w:val="194"/>
        </w:trPr>
        <w:tc>
          <w:tcPr>
            <w:tcW w:w="5000" w:type="dxa"/>
            <w:vAlign w:val="bottom"/>
          </w:tcPr>
          <w:p>
            <w:pPr>
              <w:ind w:left="20"/>
              <w:spacing w:after="0"/>
              <w:rPr>
                <w:sz w:val="20"/>
                <w:szCs w:val="20"/>
                <w:color w:val="auto"/>
              </w:rPr>
            </w:pPr>
            <w:r>
              <w:rPr>
                <w:rFonts w:ascii="Arial" w:cs="Arial" w:eastAsia="Arial" w:hAnsi="Arial"/>
                <w:sz w:val="14"/>
                <w:szCs w:val="14"/>
                <w:color w:val="auto"/>
              </w:rPr>
              <w:t>January 1, 2028</w:t>
            </w:r>
          </w:p>
        </w:tc>
        <w:tc>
          <w:tcPr>
            <w:tcW w:w="6240" w:type="dxa"/>
            <w:vAlign w:val="bottom"/>
          </w:tcPr>
          <w:p>
            <w:pPr>
              <w:jc w:val="right"/>
              <w:spacing w:after="0"/>
              <w:rPr>
                <w:sz w:val="20"/>
                <w:szCs w:val="20"/>
                <w:color w:val="auto"/>
              </w:rPr>
            </w:pPr>
            <w:r>
              <w:rPr>
                <w:rFonts w:ascii="Arial" w:cs="Arial" w:eastAsia="Arial" w:hAnsi="Arial"/>
                <w:sz w:val="14"/>
                <w:szCs w:val="14"/>
                <w:color w:val="auto"/>
              </w:rPr>
              <w:t>14.250 %</w:t>
            </w:r>
          </w:p>
        </w:tc>
      </w:tr>
      <w:tr>
        <w:trPr>
          <w:trHeight w:val="22"/>
        </w:trPr>
        <w:tc>
          <w:tcPr>
            <w:tcW w:w="5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April 1, 2028</w:t>
            </w:r>
          </w:p>
        </w:tc>
        <w:tc>
          <w:tcPr>
            <w:tcW w:w="6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14.500 %</w:t>
            </w:r>
          </w:p>
        </w:tc>
      </w:tr>
      <w:tr>
        <w:trPr>
          <w:trHeight w:val="194"/>
        </w:trPr>
        <w:tc>
          <w:tcPr>
            <w:tcW w:w="5000" w:type="dxa"/>
            <w:vAlign w:val="bottom"/>
          </w:tcPr>
          <w:p>
            <w:pPr>
              <w:ind w:left="20"/>
              <w:spacing w:after="0"/>
              <w:rPr>
                <w:sz w:val="20"/>
                <w:szCs w:val="20"/>
                <w:color w:val="auto"/>
              </w:rPr>
            </w:pPr>
            <w:r>
              <w:rPr>
                <w:rFonts w:ascii="Arial" w:cs="Arial" w:eastAsia="Arial" w:hAnsi="Arial"/>
                <w:sz w:val="14"/>
                <w:szCs w:val="14"/>
                <w:color w:val="auto"/>
              </w:rPr>
              <w:t>July 1, 2028</w:t>
            </w:r>
          </w:p>
        </w:tc>
        <w:tc>
          <w:tcPr>
            <w:tcW w:w="6240" w:type="dxa"/>
            <w:vAlign w:val="bottom"/>
          </w:tcPr>
          <w:p>
            <w:pPr>
              <w:jc w:val="right"/>
              <w:spacing w:after="0"/>
              <w:rPr>
                <w:sz w:val="20"/>
                <w:szCs w:val="20"/>
                <w:color w:val="auto"/>
              </w:rPr>
            </w:pPr>
            <w:r>
              <w:rPr>
                <w:rFonts w:ascii="Arial" w:cs="Arial" w:eastAsia="Arial" w:hAnsi="Arial"/>
                <w:sz w:val="14"/>
                <w:szCs w:val="14"/>
                <w:color w:val="auto"/>
              </w:rPr>
              <w:t>14.750 %</w:t>
            </w:r>
          </w:p>
        </w:tc>
      </w:tr>
      <w:tr>
        <w:trPr>
          <w:trHeight w:val="22"/>
        </w:trPr>
        <w:tc>
          <w:tcPr>
            <w:tcW w:w="5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October 1, 2028</w:t>
            </w:r>
          </w:p>
        </w:tc>
        <w:tc>
          <w:tcPr>
            <w:tcW w:w="6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15.000 %</w:t>
            </w:r>
          </w:p>
        </w:tc>
      </w:tr>
      <w:tr>
        <w:trPr>
          <w:trHeight w:val="195"/>
        </w:trPr>
        <w:tc>
          <w:tcPr>
            <w:tcW w:w="5000" w:type="dxa"/>
            <w:vAlign w:val="bottom"/>
          </w:tcPr>
          <w:p>
            <w:pPr>
              <w:ind w:left="20"/>
              <w:spacing w:after="0"/>
              <w:rPr>
                <w:sz w:val="20"/>
                <w:szCs w:val="20"/>
                <w:color w:val="auto"/>
              </w:rPr>
            </w:pPr>
            <w:r>
              <w:rPr>
                <w:rFonts w:ascii="Arial" w:cs="Arial" w:eastAsia="Arial" w:hAnsi="Arial"/>
                <w:sz w:val="14"/>
                <w:szCs w:val="14"/>
                <w:color w:val="auto"/>
              </w:rPr>
              <w:t>January 1, 2029</w:t>
            </w:r>
          </w:p>
        </w:tc>
        <w:tc>
          <w:tcPr>
            <w:tcW w:w="6240" w:type="dxa"/>
            <w:vAlign w:val="bottom"/>
          </w:tcPr>
          <w:p>
            <w:pPr>
              <w:jc w:val="right"/>
              <w:spacing w:after="0"/>
              <w:rPr>
                <w:sz w:val="20"/>
                <w:szCs w:val="20"/>
                <w:color w:val="auto"/>
              </w:rPr>
            </w:pPr>
            <w:r>
              <w:rPr>
                <w:rFonts w:ascii="Arial" w:cs="Arial" w:eastAsia="Arial" w:hAnsi="Arial"/>
                <w:sz w:val="14"/>
                <w:szCs w:val="14"/>
                <w:color w:val="auto"/>
              </w:rPr>
              <w:t>15.250 %</w:t>
            </w:r>
          </w:p>
        </w:tc>
      </w:tr>
      <w:tr>
        <w:trPr>
          <w:trHeight w:val="21"/>
        </w:trPr>
        <w:tc>
          <w:tcPr>
            <w:tcW w:w="5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April 1, 2029</w:t>
            </w:r>
          </w:p>
        </w:tc>
        <w:tc>
          <w:tcPr>
            <w:tcW w:w="6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15.500 %</w:t>
            </w:r>
          </w:p>
        </w:tc>
      </w:tr>
      <w:tr>
        <w:trPr>
          <w:trHeight w:val="195"/>
        </w:trPr>
        <w:tc>
          <w:tcPr>
            <w:tcW w:w="5000" w:type="dxa"/>
            <w:vAlign w:val="bottom"/>
          </w:tcPr>
          <w:p>
            <w:pPr>
              <w:ind w:left="20"/>
              <w:spacing w:after="0"/>
              <w:rPr>
                <w:sz w:val="20"/>
                <w:szCs w:val="20"/>
                <w:color w:val="auto"/>
              </w:rPr>
            </w:pPr>
            <w:r>
              <w:rPr>
                <w:rFonts w:ascii="Arial" w:cs="Arial" w:eastAsia="Arial" w:hAnsi="Arial"/>
                <w:sz w:val="14"/>
                <w:szCs w:val="14"/>
                <w:color w:val="auto"/>
              </w:rPr>
              <w:t>July 1, 2029</w:t>
            </w:r>
          </w:p>
        </w:tc>
        <w:tc>
          <w:tcPr>
            <w:tcW w:w="6240" w:type="dxa"/>
            <w:vAlign w:val="bottom"/>
          </w:tcPr>
          <w:p>
            <w:pPr>
              <w:jc w:val="right"/>
              <w:spacing w:after="0"/>
              <w:rPr>
                <w:sz w:val="20"/>
                <w:szCs w:val="20"/>
                <w:color w:val="auto"/>
              </w:rPr>
            </w:pPr>
            <w:r>
              <w:rPr>
                <w:rFonts w:ascii="Arial" w:cs="Arial" w:eastAsia="Arial" w:hAnsi="Arial"/>
                <w:sz w:val="14"/>
                <w:szCs w:val="14"/>
                <w:color w:val="auto"/>
              </w:rPr>
              <w:t>15.750 %</w:t>
            </w:r>
          </w:p>
        </w:tc>
      </w:tr>
      <w:tr>
        <w:trPr>
          <w:trHeight w:val="22"/>
        </w:trPr>
        <w:tc>
          <w:tcPr>
            <w:tcW w:w="5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October 1, 2029</w:t>
            </w:r>
          </w:p>
        </w:tc>
        <w:tc>
          <w:tcPr>
            <w:tcW w:w="6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16.000 %</w:t>
            </w:r>
          </w:p>
        </w:tc>
      </w:tr>
      <w:tr>
        <w:trPr>
          <w:trHeight w:val="195"/>
        </w:trPr>
        <w:tc>
          <w:tcPr>
            <w:tcW w:w="5000" w:type="dxa"/>
            <w:vAlign w:val="bottom"/>
          </w:tcPr>
          <w:p>
            <w:pPr>
              <w:ind w:left="20"/>
              <w:spacing w:after="0"/>
              <w:rPr>
                <w:sz w:val="20"/>
                <w:szCs w:val="20"/>
                <w:color w:val="auto"/>
              </w:rPr>
            </w:pPr>
            <w:r>
              <w:rPr>
                <w:rFonts w:ascii="Arial" w:cs="Arial" w:eastAsia="Arial" w:hAnsi="Arial"/>
                <w:sz w:val="14"/>
                <w:szCs w:val="14"/>
                <w:color w:val="auto"/>
              </w:rPr>
              <w:t>January 1, 2030</w:t>
            </w:r>
          </w:p>
        </w:tc>
        <w:tc>
          <w:tcPr>
            <w:tcW w:w="6240" w:type="dxa"/>
            <w:vAlign w:val="bottom"/>
          </w:tcPr>
          <w:p>
            <w:pPr>
              <w:jc w:val="right"/>
              <w:spacing w:after="0"/>
              <w:rPr>
                <w:sz w:val="20"/>
                <w:szCs w:val="20"/>
                <w:color w:val="auto"/>
              </w:rPr>
            </w:pPr>
            <w:r>
              <w:rPr>
                <w:rFonts w:ascii="Arial" w:cs="Arial" w:eastAsia="Arial" w:hAnsi="Arial"/>
                <w:sz w:val="14"/>
                <w:szCs w:val="14"/>
                <w:color w:val="auto"/>
              </w:rPr>
              <w:t>16.250 %</w:t>
            </w:r>
          </w:p>
        </w:tc>
      </w:tr>
      <w:tr>
        <w:trPr>
          <w:trHeight w:val="22"/>
        </w:trPr>
        <w:tc>
          <w:tcPr>
            <w:tcW w:w="50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196"/>
        </w:trPr>
        <w:tc>
          <w:tcPr>
            <w:tcW w:w="5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April 1, 2030</w:t>
            </w:r>
          </w:p>
        </w:tc>
        <w:tc>
          <w:tcPr>
            <w:tcW w:w="6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16.500 %</w:t>
            </w:r>
          </w:p>
        </w:tc>
      </w:tr>
      <w:tr>
        <w:trPr>
          <w:trHeight w:val="194"/>
        </w:trPr>
        <w:tc>
          <w:tcPr>
            <w:tcW w:w="5000" w:type="dxa"/>
            <w:vAlign w:val="bottom"/>
          </w:tcPr>
          <w:p>
            <w:pPr>
              <w:ind w:left="20"/>
              <w:spacing w:after="0"/>
              <w:rPr>
                <w:sz w:val="20"/>
                <w:szCs w:val="20"/>
                <w:color w:val="auto"/>
              </w:rPr>
            </w:pPr>
            <w:r>
              <w:rPr>
                <w:rFonts w:ascii="Arial" w:cs="Arial" w:eastAsia="Arial" w:hAnsi="Arial"/>
                <w:sz w:val="14"/>
                <w:szCs w:val="14"/>
                <w:color w:val="auto"/>
              </w:rPr>
              <w:t>July 1, 2030</w:t>
            </w:r>
          </w:p>
        </w:tc>
        <w:tc>
          <w:tcPr>
            <w:tcW w:w="6240" w:type="dxa"/>
            <w:vAlign w:val="bottom"/>
          </w:tcPr>
          <w:p>
            <w:pPr>
              <w:jc w:val="right"/>
              <w:spacing w:after="0"/>
              <w:rPr>
                <w:sz w:val="20"/>
                <w:szCs w:val="20"/>
                <w:color w:val="auto"/>
              </w:rPr>
            </w:pPr>
            <w:r>
              <w:rPr>
                <w:rFonts w:ascii="Arial" w:cs="Arial" w:eastAsia="Arial" w:hAnsi="Arial"/>
                <w:sz w:val="14"/>
                <w:szCs w:val="14"/>
                <w:color w:val="auto"/>
              </w:rPr>
              <w:t>16.750 %</w:t>
            </w:r>
          </w:p>
        </w:tc>
      </w:tr>
    </w:tbl>
    <w:p>
      <w:pPr>
        <w:spacing w:after="0" w:line="9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2026 Notes initially bear interest at a rate of 13.000% per annum, payable quarterly in arrears on April 1, July 1, October 1 and January 1 of each year, beginning on October 1,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DA2031"/>
        </w:rPr>
        <w:t>BOARD OF DIRECTORS AND BOARD COMMITTEES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Functions, Membership and Meetings</w:t>
      </w:r>
    </w:p>
    <w:p>
      <w:pPr>
        <w:spacing w:after="0" w:line="11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Our Board has four standing committees: Audit, Compensation and Human Capital, Corporate Governance, and Finance. From time to time or as necessary, the Board also forms </w:t>
      </w:r>
      <w:r>
        <w:rPr>
          <w:rFonts w:ascii="Arial" w:cs="Arial" w:eastAsia="Arial" w:hAnsi="Arial"/>
          <w:sz w:val="18"/>
          <w:szCs w:val="18"/>
          <w:i w:val="1"/>
          <w:iCs w:val="1"/>
          <w:color w:val="auto"/>
        </w:rPr>
        <w:t>ad hoc</w:t>
      </w:r>
      <w:r>
        <w:rPr>
          <w:rFonts w:ascii="Arial" w:cs="Arial" w:eastAsia="Arial" w:hAnsi="Arial"/>
          <w:sz w:val="18"/>
          <w:szCs w:val="18"/>
          <w:color w:val="auto"/>
        </w:rPr>
        <w:t xml:space="preserve"> or special committees to provide oversight and/or review of specific matters. In September 2025, the Board formed the Integration Committee to assist the Board in discharging its oversight duties with respect to the Company’s ongoing integration of the</w:t>
      </w:r>
    </w:p>
    <w:p>
      <w:pPr>
        <w:spacing w:after="0" w:line="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acquired Lexmark business with a focus on driving cost and revenue synergies arising from the combination of the two businesses. The Board appointed John Bruno, the Company's former President and Chief Operating Officer, Tami Erwin and Priscilla Hung as members of the </w:t>
      </w:r>
      <w:r>
        <w:rPr>
          <w:rFonts w:ascii="Arial" w:cs="Arial" w:eastAsia="Arial" w:hAnsi="Arial"/>
          <w:sz w:val="18"/>
          <w:szCs w:val="18"/>
          <w:i w:val="1"/>
          <w:iCs w:val="1"/>
          <w:color w:val="auto"/>
        </w:rPr>
        <w:t xml:space="preserve">ad hoc </w:t>
      </w:r>
      <w:r>
        <w:rPr>
          <w:rFonts w:ascii="Arial" w:cs="Arial" w:eastAsia="Arial" w:hAnsi="Arial"/>
          <w:sz w:val="18"/>
          <w:szCs w:val="18"/>
          <w:color w:val="auto"/>
        </w:rPr>
        <w:t>committee with Mr. Bruno as its Chair.</w:t>
      </w:r>
    </w:p>
    <w:p>
      <w:pPr>
        <w:spacing w:after="0" w:line="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Set forth below is a summary of the responsibilities of each standing Board committee, the number of committee meetings held during 2025 for each committee, and a list of the members of each committee.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(10 meetings)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charter of the Audit Committee is posted on the Company’s website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www.xerox.com/en-us/about/corporate-social-responsibility/governance.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Audit Committee include:</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integrity of the Company’s financial statements;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Company’s compliance with legal and regulatory requirements;</w:t>
      </w:r>
    </w:p>
    <w:p>
      <w:pPr>
        <w:spacing w:after="0" w:line="117"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 the Company’s risk assessment policies and practices, including the ERM process, and preview the ERM assessment and process for subsequent review by the Board;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 the qualifications and independence of the Company’s independent registered public accounting firm;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 the performance of the Company’s independent registered public accounting firm and the internal audit function;</w:t>
      </w:r>
    </w:p>
    <w:p>
      <w:pPr>
        <w:spacing w:after="0" w:line="117" w:lineRule="exact"/>
        <w:rPr>
          <w:rFonts w:ascii="Arial" w:cs="Arial" w:eastAsia="Arial" w:hAnsi="Arial"/>
          <w:sz w:val="18"/>
          <w:szCs w:val="18"/>
          <w:color w:val="auto"/>
        </w:rPr>
      </w:pPr>
    </w:p>
    <w:p>
      <w:pPr>
        <w:jc w:val="both"/>
        <w:ind w:left="660" w:right="140" w:hanging="328"/>
        <w:spacing w:after="0" w:line="31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 the Company’s audited financial statements, including the Company’s “Management’s Discussion and Analysis of Financial Condition and Results of Operations,” and recommend to the Board their inclusion in the Company’s Annual Report on Form 10-K;</w:t>
      </w:r>
    </w:p>
    <w:p>
      <w:pPr>
        <w:spacing w:after="0" w:line="21"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changes in working capital policies and procedures with management;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approve the Company’s Code of Business Conduct.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also responsible for the preparation of the Audit Committee Report that is included below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Members: Amy Schwetz, Tami Erwin, and John Roese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Chair: Ms. Schwetz</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has determined that all the members of the Audit Committee are (1) independent under the Company’s Corporate Governance Guidelines and under the applicable SEC and Nasdaq rules, and (2) financially literate. Ms. Schwetz, Ms. Erwin, and Mr. Roese are “audit committee financial experts” as defined by the SEC. Designation or identification of a person as an audit committee financial expert does not impose any duties, obligations or liabilities that are greater than the duties, obligations, and liabilities imposed on such person as a member of the Audit Committee and the Board in the absence of such designation or identification.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Compensation and Human Capital Committee (4 meetings)</w:t>
      </w:r>
    </w:p>
    <w:p>
      <w:pPr>
        <w:spacing w:after="0" w:line="11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A copy of the charter of the Compensation and Human Capital Committee is posted on the Company’s website at www.xerox.com/en-us/about/corporate-social-responsibility/governance.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Compensation and Human Capital Committee include:</w:t>
      </w:r>
    </w:p>
    <w:p>
      <w:pPr>
        <w:spacing w:after="0" w:line="117" w:lineRule="exact"/>
        <w:rPr>
          <w:sz w:val="20"/>
          <w:szCs w:val="20"/>
          <w:color w:val="auto"/>
        </w:rPr>
      </w:pPr>
    </w:p>
    <w:p>
      <w:pPr>
        <w:ind w:left="820" w:right="320" w:hanging="326"/>
        <w:spacing w:after="0" w:line="268"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Company’s human capital management strategy, including but not limited to strategies, initiatives and programs regarding recruiting and workforce planning, succession planning, retention of critical talent, talent management and leadership development, employee engagement, and cultural integration initiatives;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 the development and administration of the Company’s executive compensation plans;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 the compensation of the CEO and other executive officers;</w:t>
      </w:r>
    </w:p>
    <w:p>
      <w:pPr>
        <w:spacing w:after="0" w:line="117" w:lineRule="exact"/>
        <w:rPr>
          <w:rFonts w:ascii="Arial" w:cs="Arial" w:eastAsia="Arial" w:hAnsi="Arial"/>
          <w:sz w:val="18"/>
          <w:szCs w:val="18"/>
          <w:color w:val="auto"/>
        </w:rPr>
      </w:pPr>
    </w:p>
    <w:p>
      <w:pPr>
        <w:ind w:left="820" w:right="500" w:hanging="326"/>
        <w:spacing w:after="0" w:line="28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approve the performance goals and objectives with respect to the compensation of the CEO and other executive officers;</w:t>
      </w:r>
    </w:p>
    <w:p>
      <w:pPr>
        <w:spacing w:after="0" w:line="44"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 the evaluation of the CEO and other executive officers;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approve employment, severance, change-in-control, termination, and retirement arrangements for executive officers;</w:t>
      </w:r>
    </w:p>
    <w:p>
      <w:pPr>
        <w:spacing w:after="0" w:line="117" w:lineRule="exact"/>
        <w:rPr>
          <w:rFonts w:ascii="Arial" w:cs="Arial" w:eastAsia="Arial" w:hAnsi="Arial"/>
          <w:sz w:val="18"/>
          <w:szCs w:val="18"/>
          <w:color w:val="auto"/>
        </w:rPr>
      </w:pPr>
    </w:p>
    <w:p>
      <w:pPr>
        <w:ind w:left="820" w:right="880" w:hanging="326"/>
        <w:spacing w:after="0" w:line="28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sole authority to retain and terminate the consulting firms engaged to assist the Compensation and Human Capital Committee in the evaluation of the compensation of the CEO and other executive officers;</w:t>
      </w:r>
    </w:p>
    <w:p>
      <w:pPr>
        <w:spacing w:after="0" w:line="44" w:lineRule="exact"/>
        <w:rPr>
          <w:rFonts w:ascii="Arial" w:cs="Arial" w:eastAsia="Arial" w:hAnsi="Arial"/>
          <w:sz w:val="18"/>
          <w:szCs w:val="18"/>
          <w:color w:val="auto"/>
        </w:rPr>
      </w:pPr>
    </w:p>
    <w:p>
      <w:pPr>
        <w:ind w:left="820" w:right="240" w:hanging="326"/>
        <w:spacing w:after="0" w:line="28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directly responsible for oversight of the work of the compensation consultants, including determination of compensation to be paid to any such consultant by the Company; and</w:t>
      </w:r>
    </w:p>
    <w:p>
      <w:pPr>
        <w:spacing w:after="0" w:line="44" w:lineRule="exact"/>
        <w:rPr>
          <w:rFonts w:ascii="Arial" w:cs="Arial" w:eastAsia="Arial" w:hAnsi="Arial"/>
          <w:sz w:val="18"/>
          <w:szCs w:val="18"/>
          <w:color w:val="auto"/>
        </w:rPr>
      </w:pPr>
    </w:p>
    <w:p>
      <w:pPr>
        <w:ind w:left="820" w:right="380" w:hanging="326"/>
        <w:spacing w:after="0" w:line="28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an independence assessment of any compensation consultants to the Compensation and Human Capital Committee, including consideration of the six independence factors required under SEC rules and Nasdaq listing standards.</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Compensation and Human Capital Committee is also responsible for reviewing and discussing the Compensation Discussion and Analysis (CD&amp;A) with management, and has recommended to the Board that the CD&amp;A be included in this Proxy Statement and incorporated by reference in the Company’s Annual Report on Form 10-K for the year ended December 31, 2025. The CD&amp;A discusses the material aspects of the Company’s compensation objectives, policies, and practices. The Compensation and Human Capital Committee’s report is included below in this Proxy Statement.</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Compensation and Human Capital Committee has not delegated its authority for compensation for executive officers. The Compensation and Human Capital Committee has, however, delegated authority to the CEO under the Company’s equity plan to grant equity awards to employees who are not executive officers or officers directly reporting to the CEO. The CEO is also responsible for reviewing goals, evaluating performance, and setting the compensation for officers who are not executive officers or officers directly reporting to the CEO.</w:t>
      </w:r>
    </w:p>
    <w:p>
      <w:pPr>
        <w:spacing w:after="0" w:line="5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Compensation and Human Capital Committee retains an independent compensation consultant to assist in fulfilling its oversight responsibilities with respect to executive compensation design, governance, and shareholder alignment. The consultant’s responsibilities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discussed below in this Proxy Statement.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Members: Nichelle Maynard-Elliott, Ed McLaughlin, and Amy Schwetz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Chair: Ms. Maynard-Elliott</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Board has determined that all the members of the Compensation and Human Capital Committee are independent under the Company’s Corporate Governance Guidelines and Nasdaq corporate governance rules. In addition, each Committee member is a “non-employee director” as defined in Rule 16b-3 under the Securities Exchange Act of 1934, as amended (Exchange Act).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Capital Committee Interlocks and Insider Participation</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No member of the Compensation and Human Capital Committee was or is an officer or employee of the Company or any of its subsidiaries. In addition, no member of our Board of Directors is, or has a family member who is, employed as an executive officer of another entity where at any time during the past three years, any of the executive officers of the Company serve on the Compensation and Human Capital Committee of such other entity.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Corporate Governance Committee (5 meetings)</w:t>
      </w:r>
    </w:p>
    <w:p>
      <w:pPr>
        <w:spacing w:after="0" w:line="115" w:lineRule="exact"/>
        <w:rPr>
          <w:sz w:val="20"/>
          <w:szCs w:val="20"/>
          <w:color w:val="auto"/>
        </w:rPr>
      </w:pPr>
    </w:p>
    <w:p>
      <w:pPr>
        <w:ind w:right="1480"/>
        <w:spacing w:after="0" w:line="287" w:lineRule="auto"/>
        <w:rPr>
          <w:sz w:val="20"/>
          <w:szCs w:val="20"/>
          <w:color w:val="auto"/>
        </w:rPr>
      </w:pPr>
      <w:r>
        <w:rPr>
          <w:rFonts w:ascii="Arial" w:cs="Arial" w:eastAsia="Arial" w:hAnsi="Arial"/>
          <w:sz w:val="18"/>
          <w:szCs w:val="18"/>
          <w:color w:val="auto"/>
        </w:rPr>
        <w:t>A copy of the charter of the Corporate Governance Committee is posted on the Company’s website at www.xerox.com/en-us/about/corporate-social-responsibility/governance.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Corporate Governance Committee include:</w:t>
      </w:r>
    </w:p>
    <w:p>
      <w:pPr>
        <w:spacing w:after="0" w:line="117"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recommend to the Board individuals to serve as directors of the Company and on Board committees;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Advise the Board regarding Board composition, procedures, and committees;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recommend to the Board, and annually review the Corporate Governance Guidelines applicable to the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significant environmental and corporate social responsibility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 the Company’s Related Person Transactions Policy;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and recommend director compensation to the Board;</w:t>
      </w:r>
    </w:p>
    <w:p>
      <w:pPr>
        <w:spacing w:after="0" w:line="14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Review and oversee continuing education programs for Directors; and</w:t>
      </w:r>
    </w:p>
    <w:p>
      <w:pPr>
        <w:spacing w:after="0" w:line="85" w:lineRule="exact"/>
        <w:rPr>
          <w:rFonts w:ascii="Arial" w:cs="Arial" w:eastAsia="Arial" w:hAnsi="Arial"/>
          <w:sz w:val="22"/>
          <w:szCs w:val="22"/>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 the annual Board and committee evaluation processes.</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Corporate Governance Committee recommends to the Board nominees for election as directors of the Company and considers the performance of incumbent directors in determining whether to recommend their nomination.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Members: Tami Erwin, Scott Letier, Priscilla Hung, Nichelle Maynard-Elliott and Ed McLaughlin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Chair: Ms. Erwin</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Board has determined that all the members of the Corporate Governance Committee are independent under the Company’s Corporate Governance Guidelines and the Nasdaq rules.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 (3 meetings)</w:t>
      </w:r>
    </w:p>
    <w:p>
      <w:pPr>
        <w:spacing w:after="0" w:line="11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A copy of the charter of the Finance Committee is posted on the Company’s website at www.xerox.com/en-us/about/corporate-social-responsibility/governance.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Finance Committee include:</w:t>
      </w:r>
    </w:p>
    <w:p>
      <w:pPr>
        <w:spacing w:after="0" w:line="117" w:lineRule="exact"/>
        <w:rPr>
          <w:sz w:val="20"/>
          <w:szCs w:val="20"/>
          <w:color w:val="auto"/>
        </w:rPr>
      </w:pPr>
    </w:p>
    <w:p>
      <w:pPr>
        <w:ind w:left="820" w:right="460" w:hanging="326"/>
        <w:spacing w:after="0" w:line="28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Company’s cash position, capital structure and strategies, financing strategies, insurance coverage, and dividend policy;</w:t>
      </w:r>
    </w:p>
    <w:p>
      <w:pPr>
        <w:spacing w:after="0" w:line="44" w:lineRule="exact"/>
        <w:rPr>
          <w:rFonts w:ascii="Arial" w:cs="Arial" w:eastAsia="Arial" w:hAnsi="Arial"/>
          <w:sz w:val="18"/>
          <w:szCs w:val="18"/>
          <w:color w:val="auto"/>
        </w:rPr>
      </w:pPr>
    </w:p>
    <w:p>
      <w:pPr>
        <w:ind w:left="820" w:right="260" w:hanging="326"/>
        <w:spacing w:after="0" w:line="28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adequacy of funding of the Company’s funded retirement plans and welfare benefit plans in terms of the Company’s purposes; and</w:t>
      </w:r>
    </w:p>
    <w:p>
      <w:pPr>
        <w:spacing w:after="0" w:line="44" w:lineRule="exact"/>
        <w:rPr>
          <w:rFonts w:ascii="Arial" w:cs="Arial" w:eastAsia="Arial" w:hAnsi="Arial"/>
          <w:sz w:val="18"/>
          <w:szCs w:val="18"/>
          <w:color w:val="auto"/>
        </w:rPr>
      </w:pPr>
    </w:p>
    <w:p>
      <w:pPr>
        <w:ind w:left="820" w:right="60" w:hanging="326"/>
        <w:spacing w:after="0" w:line="318"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 the Company’s policy on derivatives, and annually determine whether the Company and its subsidiaries shall enter into swap and security-based swap transactions that are not cleared with a Commodity Exchange Act registered clearing organization.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Members: Scott Letier, Priscilla Hung, and John Roese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Chair: Mr. Letier</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Board has determined that all the members of the Finance Committee are independent under the Company’s Corporate Governance Guidelines and the Nasdaq rules.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of Directors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Thirteen (13) meetings of the Board and twenty-three (23) meetings of the Board committees, including the Integration Committee, were held in 2025. Directors attended approximately 93% of the total number of meetings of the Board and Board committees on which they served, during the period in which they served as a Xerox director, unless they had been recused from the meeting. During 2025, each director attended at least 80% of the meetings of the Board and Board committees.</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To encourage transparency and free exchange of information, all directors generally attended all the Board committee meetings, regardless of whether they were a member of the committee that was meeting. We believe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26" w:name="page27"/>
    <w:bookmarkEnd w:id="26"/>
    <w:p>
      <w:pPr>
        <w:ind w:right="120"/>
        <w:spacing w:after="0" w:line="287" w:lineRule="auto"/>
        <w:rPr>
          <w:sz w:val="20"/>
          <w:szCs w:val="20"/>
          <w:color w:val="auto"/>
        </w:rPr>
      </w:pPr>
      <w:r>
        <w:rPr>
          <w:rFonts w:ascii="Arial" w:cs="Arial" w:eastAsia="Arial" w:hAnsi="Arial"/>
          <w:sz w:val="18"/>
          <w:szCs w:val="18"/>
          <w:color w:val="auto"/>
        </w:rPr>
        <w:t>that attendance at meetings is only one means by which directors may contribute to the effective management of the Company, and that the contributions of all directors have been substantial and are highly valuable.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SUMMARY OF DIRECTOR ANNUAL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Compensation of Directors</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Compensation for our directors is determined by the Corporate Governance Committee and approved by the full Board. Directors who are our employees receive no additional compensation for serving as a director. Accordingly, Mr. Bandrowczak, our previous Chief Executive Officer, did not receive any additional compensation for his service on the Board during 2025. Similarly, Mr. Bruno did not receive any additional compensation for his service on the Board during the time he served as President and Chief Operating Officer of the Company through August 31, 2025 and he has not received any additional compensation for his service on the Board since ceasing to be employed by the Company.</w:t>
      </w:r>
    </w:p>
    <w:p>
      <w:pPr>
        <w:spacing w:after="0" w:line="8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discussed above, in September 2025, the Board formed the Integration Committee to assist the Board in discharging its oversight duties with respect to the Company’s ongoing integration of the Lexmark business and named Mr. Bruno as the committee's chair. In recognition of his pivotal role in the conception and execution of the Company's Reinvention, including the Lexmark acquisition and integration, and the importance of his involvement to the success of the initiative going forward, the Board approved the continued vesting of the restricted stock units (RSUs) awarded to Mr. Bruno during his tenure as President and Chief Operating Officer. The vesting of RSUs will continue for so long as Mr. Bruno serves both as chair of the Integration Committee (for the duration of such committee) and a member of the Board, and is in lieu of any other compensation to which he would be otherwise entitled as a Board member and committee chair.</w:t>
      </w:r>
    </w:p>
    <w:p>
      <w:pPr>
        <w:spacing w:after="0" w:line="7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each year of board service (which is measured from the date of one annual meeting until the next annual meeting), each non-employee director is eligible to receive an annual cash retainer of $85,000 and an annual equity award with a grant date fair value of $225,000. In addition, the independent (non-executive) Chairman of the Board receives an additional $100,000 in cash and $50,000 in equity. The following amounts are payable in respect of committee service by non-employee directors for the board service year:</w:t>
      </w:r>
    </w:p>
    <w:p>
      <w:pPr>
        <w:spacing w:after="0" w:line="6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$35,000 to the chair of the Audit Committee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$15,000 to each member of the Audit Committee (other than the chair)</w:t>
      </w:r>
    </w:p>
    <w:p>
      <w:pPr>
        <w:spacing w:after="0" w:line="7"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$30,000 to the chair of the Compensation and Human Capital Committee</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$12,500 to each member of the Compensation and Human Capital Committee (other than the chair)</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$25,000 to the chair of the Corporate Governance Committee</w:t>
      </w:r>
    </w:p>
    <w:p>
      <w:pPr>
        <w:spacing w:after="0" w:line="8"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$20,000 to the chair of the Finance Committee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$12,500 to each member of the Integration Committee (other than Mr. Bruno)</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$10,000 to members of the Corporate Governance Committee and Finance Committees (other than the chairs of such committees).</w:t>
      </w:r>
    </w:p>
    <w:p>
      <w:pPr>
        <w:spacing w:after="0" w:line="9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There is an annual total compensation cap of $750,000 for each non-employee director. Because we have an independent Chairman of the Board, we do not have a Lead Independent Director.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2024, the Board approved a new director compensation program under which directors receive their cash retainer and all</w:t>
      </w:r>
    </w:p>
    <w:p>
      <w:pPr>
        <w:spacing w:after="0" w:line="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committee fees in the form of cash paid on a quarterly basis in arrears. Directors currently receive their annual equity retainer in the form of RSUs, unless they elect to receive deferred stock units (DSUs), with such election to be made prior to the fiscal year in which the DSUs are earned. DSUs and RSUs are issued under the Xerox Holdings Corporation 2024 Equity and Performance Incentive Plan (the 2024 Plan), which was approved by Xerox Holdings Corporation shareholders at the 2024 Annual Meeting of Shareholders. RSUs generally vest one year following the date of grant and are paid out in shares of Common Stock within 30 days of the vesting date. DSUs generally vest one year following the date of grant but are not paid out until 30 days following a director’s termination of Board service. If there is a change in control of the Company, the terms of the 2024 Plan provide that all DSUs and RSUs held by directors shall become vested and paid in cash as soon as practicable following such change in control.</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Beginning with the 2025-2026 Board service year, directors have the option to elect to receive up to 100% of their cash compensation in the form of additional RSUs or DSUs, as applicable. Directors also receive cash reimbursement for out-of-pocket expenses incurred in connection with their service on the Board.</w:t>
      </w:r>
    </w:p>
    <w:p>
      <w:pPr>
        <w:spacing w:after="0" w:line="6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Vested DSUs include the right to receive dividend equivalents, which are credited in the form of additional DSUs, at the same time and in approximately the same amounts that the holder of an equivalent number of shares of Common Stock would be entitled to receive in dividends. Vested RSUs (which are issued in the form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left="73" w:right="120"/>
        <w:spacing w:after="0" w:line="262" w:lineRule="auto"/>
        <w:rPr>
          <w:sz w:val="20"/>
          <w:szCs w:val="20"/>
          <w:color w:val="auto"/>
        </w:rPr>
      </w:pPr>
      <w:r>
        <w:rPr>
          <w:rFonts w:ascii="Arial" w:cs="Arial" w:eastAsia="Arial" w:hAnsi="Arial"/>
          <w:sz w:val="18"/>
          <w:szCs w:val="18"/>
          <w:color w:val="auto"/>
        </w:rPr>
        <w:t>of Common Stock following vesting) receive regular cash dividends at the same time and in the same amount as other shareholders. Dividend equivalents are not credited with respect to DSUs or RSUs that have not vested; however, when DSUs or RSUs initially vest, they are credited with dividend equivalents equal to the dividends that would have been paid during the vesting period. DSU dividend equivalents are paid in the form of additional DSUs, and RSU dividends are paid in the form of cash.</w:t>
      </w:r>
    </w:p>
    <w:p>
      <w:pPr>
        <w:spacing w:after="0" w:line="68" w:lineRule="exact"/>
        <w:rPr>
          <w:sz w:val="20"/>
          <w:szCs w:val="20"/>
          <w:color w:val="auto"/>
        </w:rPr>
      </w:pPr>
    </w:p>
    <w:p>
      <w:pPr>
        <w:ind w:left="73" w:right="80"/>
        <w:spacing w:after="0" w:line="290" w:lineRule="auto"/>
        <w:rPr>
          <w:sz w:val="20"/>
          <w:szCs w:val="20"/>
          <w:color w:val="auto"/>
        </w:rPr>
      </w:pPr>
      <w:r>
        <w:rPr>
          <w:rFonts w:ascii="Arial" w:cs="Arial" w:eastAsia="Arial" w:hAnsi="Arial"/>
          <w:sz w:val="17"/>
          <w:szCs w:val="17"/>
          <w:color w:val="auto"/>
        </w:rPr>
        <w:t>All non-employee directors are required to establish a meaningful equity ownership interest in the Company, which is currently equal in value to three times the annual Board cash retainer. This requirement must be achieved within three years of the initial date of election as director</w:t>
      </w:r>
    </w:p>
    <w:p>
      <w:pPr>
        <w:ind w:left="73" w:right="320"/>
        <w:spacing w:after="0" w:line="268" w:lineRule="auto"/>
        <w:rPr>
          <w:sz w:val="20"/>
          <w:szCs w:val="20"/>
          <w:color w:val="auto"/>
        </w:rPr>
      </w:pPr>
      <w:r>
        <w:rPr>
          <w:rFonts w:ascii="Arial" w:cs="Arial" w:eastAsia="Arial" w:hAnsi="Arial"/>
          <w:sz w:val="18"/>
          <w:szCs w:val="18"/>
          <w:color w:val="auto"/>
        </w:rPr>
        <w:t>and may be achieved by a director holding RSUs, DSUs, or a combination of both. Each of our directors has either complied with this requirement, or has not completed three years of service on the Board and is working toward being compliant with this requirement by the time they complete three years of service.</w:t>
      </w:r>
    </w:p>
    <w:p>
      <w:pPr>
        <w:spacing w:after="0" w:line="63" w:lineRule="exact"/>
        <w:rPr>
          <w:sz w:val="20"/>
          <w:szCs w:val="20"/>
          <w:color w:val="auto"/>
        </w:rPr>
      </w:pPr>
    </w:p>
    <w:p>
      <w:pPr>
        <w:ind w:left="73" w:right="60"/>
        <w:spacing w:after="0" w:line="257" w:lineRule="auto"/>
        <w:rPr>
          <w:sz w:val="20"/>
          <w:szCs w:val="20"/>
          <w:color w:val="auto"/>
        </w:rPr>
      </w:pPr>
      <w:r>
        <w:rPr>
          <w:rFonts w:ascii="Arial" w:cs="Arial" w:eastAsia="Arial" w:hAnsi="Arial"/>
          <w:sz w:val="18"/>
          <w:szCs w:val="18"/>
          <w:color w:val="auto"/>
        </w:rPr>
        <w:t>Each director is prohibited from engaging in short-swing trading and trading in puts and calls with respect to Xerox stock and is prohibited from using any strategies or products to hedge against potential changes in the value of Xerox stock (collectively, hedging). “Short sales” are also prohibited. Under the Company’s insider trading policy, directors are permitted to sell Xerox securities only if they have entered into trading plans pursuant to SEC Rule 10b5-1, and are permitted to buy Xerox securities only with prior approval from the Chief Legal Officer. In addition, under the Company’s insider trading policy, directors are prohibited from pledging Xerox stock, including depositing Xerox securities in margin accounts at brokerage firms, or using Xerox stock as collateral.</w:t>
      </w:r>
    </w:p>
    <w:p>
      <w:pPr>
        <w:spacing w:after="0" w:line="74"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ind w:left="73"/>
        <w:spacing w:after="0"/>
        <w:rPr>
          <w:sz w:val="20"/>
          <w:szCs w:val="20"/>
          <w:color w:val="auto"/>
        </w:rPr>
      </w:pPr>
      <w:r>
        <w:rPr>
          <w:rFonts w:ascii="Arial" w:cs="Arial" w:eastAsia="Arial" w:hAnsi="Arial"/>
          <w:sz w:val="18"/>
          <w:szCs w:val="18"/>
          <w:color w:val="auto"/>
        </w:rPr>
        <w:t>Individually, the compensation for each non-employee director during 2025 was as follows:</w:t>
      </w:r>
    </w:p>
    <w:p>
      <w:pPr>
        <w:spacing w:after="0" w:line="155" w:lineRule="exact"/>
        <w:rPr>
          <w:sz w:val="20"/>
          <w:szCs w:val="20"/>
          <w:color w:val="auto"/>
        </w:rPr>
      </w:pPr>
    </w:p>
    <w:tbl>
      <w:tblPr>
        <w:tblLayout w:type="fixed"/>
        <w:tblInd w:w="83" w:type="dxa"/>
        <w:tblCellMar>
          <w:top w:w="0" w:type="dxa"/>
          <w:left w:w="0" w:type="dxa"/>
          <w:bottom w:w="0" w:type="dxa"/>
          <w:right w:w="0" w:type="dxa"/>
        </w:tblCellMar>
      </w:tblPr>
      <w:tr>
        <w:trPr>
          <w:trHeight w:val="161"/>
        </w:trPr>
        <w:tc>
          <w:tcPr>
            <w:tcW w:w="2480" w:type="dxa"/>
            <w:vAlign w:val="bottom"/>
            <w:tcBorders>
              <w:left w:val="single" w:sz="8" w:color="EE2724"/>
              <w:right w:val="single" w:sz="8" w:color="EE2724"/>
            </w:tcBorders>
            <w:shd w:val="clear" w:color="auto" w:fill="EE2724"/>
          </w:tcPr>
          <w:p>
            <w:pPr>
              <w:spacing w:after="0"/>
              <w:rPr>
                <w:sz w:val="14"/>
                <w:szCs w:val="14"/>
                <w:color w:val="auto"/>
              </w:rPr>
            </w:pPr>
          </w:p>
        </w:tc>
        <w:tc>
          <w:tcPr>
            <w:tcW w:w="114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4"/>
                <w:szCs w:val="14"/>
                <w:b w:val="1"/>
                <w:bCs w:val="1"/>
                <w:color w:val="FFFFFF"/>
              </w:rPr>
              <w:t>Fees</w:t>
            </w:r>
          </w:p>
        </w:tc>
        <w:tc>
          <w:tcPr>
            <w:tcW w:w="1140" w:type="dxa"/>
            <w:vAlign w:val="bottom"/>
            <w:tcBorders>
              <w:right w:val="single" w:sz="8" w:color="EE2724"/>
            </w:tcBorders>
            <w:shd w:val="clear" w:color="auto" w:fill="EE2724"/>
          </w:tcPr>
          <w:p>
            <w:pPr>
              <w:spacing w:after="0"/>
              <w:rPr>
                <w:sz w:val="14"/>
                <w:szCs w:val="14"/>
                <w:color w:val="auto"/>
              </w:rPr>
            </w:pPr>
          </w:p>
        </w:tc>
        <w:tc>
          <w:tcPr>
            <w:tcW w:w="1160" w:type="dxa"/>
            <w:vAlign w:val="bottom"/>
            <w:tcBorders>
              <w:right w:val="single" w:sz="8" w:color="EE2724"/>
            </w:tcBorders>
            <w:shd w:val="clear" w:color="auto" w:fill="EE2724"/>
          </w:tcPr>
          <w:p>
            <w:pPr>
              <w:spacing w:after="0"/>
              <w:rPr>
                <w:sz w:val="14"/>
                <w:szCs w:val="14"/>
                <w:color w:val="auto"/>
              </w:rPr>
            </w:pPr>
          </w:p>
        </w:tc>
        <w:tc>
          <w:tcPr>
            <w:tcW w:w="1420" w:type="dxa"/>
            <w:vAlign w:val="bottom"/>
            <w:tcBorders>
              <w:right w:val="single" w:sz="8" w:color="EE2724"/>
            </w:tcBorders>
            <w:shd w:val="clear" w:color="auto" w:fill="EE2724"/>
          </w:tcPr>
          <w:p>
            <w:pPr>
              <w:spacing w:after="0"/>
              <w:rPr>
                <w:sz w:val="14"/>
                <w:szCs w:val="14"/>
                <w:color w:val="auto"/>
              </w:rPr>
            </w:pPr>
          </w:p>
        </w:tc>
        <w:tc>
          <w:tcPr>
            <w:tcW w:w="1360" w:type="dxa"/>
            <w:vAlign w:val="bottom"/>
            <w:tcBorders>
              <w:right w:val="single" w:sz="8" w:color="EE2724"/>
            </w:tcBorders>
            <w:shd w:val="clear" w:color="auto" w:fill="EE2724"/>
          </w:tcPr>
          <w:p>
            <w:pPr>
              <w:jc w:val="center"/>
              <w:spacing w:after="0"/>
              <w:rPr>
                <w:sz w:val="20"/>
                <w:szCs w:val="20"/>
                <w:color w:val="auto"/>
              </w:rPr>
            </w:pPr>
            <w:r>
              <w:rPr>
                <w:rFonts w:ascii="Arial" w:cs="Arial" w:eastAsia="Arial" w:hAnsi="Arial"/>
                <w:sz w:val="14"/>
                <w:szCs w:val="14"/>
                <w:b w:val="1"/>
                <w:bCs w:val="1"/>
                <w:color w:val="FFFFFF"/>
              </w:rPr>
              <w:t>Change in</w:t>
            </w:r>
          </w:p>
        </w:tc>
        <w:tc>
          <w:tcPr>
            <w:tcW w:w="1420" w:type="dxa"/>
            <w:vAlign w:val="bottom"/>
            <w:tcBorders>
              <w:right w:val="single" w:sz="8" w:color="EE2724"/>
            </w:tcBorders>
            <w:shd w:val="clear" w:color="auto" w:fill="EE2724"/>
          </w:tcPr>
          <w:p>
            <w:pPr>
              <w:spacing w:after="0"/>
              <w:rPr>
                <w:sz w:val="14"/>
                <w:szCs w:val="14"/>
                <w:color w:val="auto"/>
              </w:rPr>
            </w:pPr>
          </w:p>
        </w:tc>
        <w:tc>
          <w:tcPr>
            <w:tcW w:w="1140" w:type="dxa"/>
            <w:vAlign w:val="bottom"/>
            <w:tcBorders>
              <w:right w:val="single" w:sz="8" w:color="EE2724"/>
            </w:tcBorders>
            <w:shd w:val="clear" w:color="auto" w:fill="EE2724"/>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80" w:type="dxa"/>
            <w:vAlign w:val="bottom"/>
            <w:tcBorders>
              <w:left w:val="single" w:sz="8" w:color="EE2724"/>
              <w:right w:val="single" w:sz="8" w:color="EE2724"/>
            </w:tcBorders>
            <w:shd w:val="clear" w:color="auto" w:fill="EE2724"/>
          </w:tcPr>
          <w:p>
            <w:pPr>
              <w:spacing w:after="0"/>
              <w:rPr>
                <w:sz w:val="12"/>
                <w:szCs w:val="12"/>
                <w:color w:val="auto"/>
              </w:rPr>
            </w:pPr>
          </w:p>
        </w:tc>
        <w:tc>
          <w:tcPr>
            <w:tcW w:w="1140" w:type="dxa"/>
            <w:vAlign w:val="bottom"/>
            <w:tcBorders>
              <w:right w:val="single" w:sz="8" w:color="EE2724"/>
            </w:tcBorders>
            <w:vMerge w:val="continue"/>
            <w:shd w:val="clear" w:color="auto" w:fill="EE2724"/>
          </w:tcPr>
          <w:p>
            <w:pPr>
              <w:spacing w:after="0"/>
              <w:rPr>
                <w:sz w:val="12"/>
                <w:szCs w:val="12"/>
                <w:color w:val="auto"/>
              </w:rPr>
            </w:pPr>
          </w:p>
        </w:tc>
        <w:tc>
          <w:tcPr>
            <w:tcW w:w="1140" w:type="dxa"/>
            <w:vAlign w:val="bottom"/>
            <w:tcBorders>
              <w:right w:val="single" w:sz="8" w:color="EE2724"/>
            </w:tcBorders>
            <w:shd w:val="clear" w:color="auto" w:fill="EE2724"/>
          </w:tcPr>
          <w:p>
            <w:pPr>
              <w:spacing w:after="0"/>
              <w:rPr>
                <w:sz w:val="12"/>
                <w:szCs w:val="12"/>
                <w:color w:val="auto"/>
              </w:rPr>
            </w:pPr>
          </w:p>
        </w:tc>
        <w:tc>
          <w:tcPr>
            <w:tcW w:w="1160" w:type="dxa"/>
            <w:vAlign w:val="bottom"/>
            <w:tcBorders>
              <w:right w:val="single" w:sz="8" w:color="EE2724"/>
            </w:tcBorders>
            <w:shd w:val="clear" w:color="auto" w:fill="EE2724"/>
          </w:tcPr>
          <w:p>
            <w:pPr>
              <w:spacing w:after="0"/>
              <w:rPr>
                <w:sz w:val="12"/>
                <w:szCs w:val="12"/>
                <w:color w:val="auto"/>
              </w:rPr>
            </w:pPr>
          </w:p>
        </w:tc>
        <w:tc>
          <w:tcPr>
            <w:tcW w:w="142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4"/>
                <w:szCs w:val="14"/>
                <w:b w:val="1"/>
                <w:bCs w:val="1"/>
                <w:color w:val="FFFFFF"/>
              </w:rPr>
              <w:t>Non-Equity</w:t>
            </w:r>
          </w:p>
        </w:tc>
        <w:tc>
          <w:tcPr>
            <w:tcW w:w="1360" w:type="dxa"/>
            <w:vAlign w:val="bottom"/>
            <w:tcBorders>
              <w:right w:val="single" w:sz="8" w:color="EE2724"/>
            </w:tcBorders>
            <w:shd w:val="clear" w:color="auto" w:fill="EE2724"/>
          </w:tcPr>
          <w:p>
            <w:pPr>
              <w:jc w:val="center"/>
              <w:spacing w:after="0" w:line="145" w:lineRule="exact"/>
              <w:rPr>
                <w:sz w:val="20"/>
                <w:szCs w:val="20"/>
                <w:color w:val="auto"/>
              </w:rPr>
            </w:pPr>
            <w:r>
              <w:rPr>
                <w:rFonts w:ascii="Arial" w:cs="Arial" w:eastAsia="Arial" w:hAnsi="Arial"/>
                <w:sz w:val="14"/>
                <w:szCs w:val="14"/>
                <w:b w:val="1"/>
                <w:bCs w:val="1"/>
                <w:color w:val="FFFFFF"/>
              </w:rPr>
              <w:t>Pension</w:t>
            </w:r>
          </w:p>
        </w:tc>
        <w:tc>
          <w:tcPr>
            <w:tcW w:w="1420" w:type="dxa"/>
            <w:vAlign w:val="bottom"/>
            <w:tcBorders>
              <w:right w:val="single" w:sz="8" w:color="EE2724"/>
            </w:tcBorders>
            <w:shd w:val="clear" w:color="auto" w:fill="EE2724"/>
          </w:tcPr>
          <w:p>
            <w:pPr>
              <w:spacing w:after="0"/>
              <w:rPr>
                <w:sz w:val="12"/>
                <w:szCs w:val="12"/>
                <w:color w:val="auto"/>
              </w:rPr>
            </w:pPr>
          </w:p>
        </w:tc>
        <w:tc>
          <w:tcPr>
            <w:tcW w:w="1140" w:type="dxa"/>
            <w:vAlign w:val="bottom"/>
            <w:tcBorders>
              <w:right w:val="single" w:sz="8" w:color="EE2724"/>
            </w:tcBorders>
            <w:shd w:val="clear" w:color="auto" w:fill="EE272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Borders>
              <w:left w:val="single" w:sz="8" w:color="EE2724"/>
              <w:right w:val="single" w:sz="8" w:color="EE2724"/>
            </w:tcBorders>
            <w:shd w:val="clear" w:color="auto" w:fill="EE2724"/>
          </w:tcPr>
          <w:p>
            <w:pPr>
              <w:spacing w:after="0"/>
              <w:rPr>
                <w:sz w:val="12"/>
                <w:szCs w:val="12"/>
                <w:color w:val="auto"/>
              </w:rPr>
            </w:pPr>
          </w:p>
        </w:tc>
        <w:tc>
          <w:tcPr>
            <w:tcW w:w="1140" w:type="dxa"/>
            <w:vAlign w:val="bottom"/>
            <w:tcBorders>
              <w:right w:val="single" w:sz="8" w:color="EE2724"/>
            </w:tcBorders>
            <w:shd w:val="clear" w:color="auto" w:fill="EE2724"/>
          </w:tcPr>
          <w:p>
            <w:pPr>
              <w:jc w:val="center"/>
              <w:spacing w:after="0" w:line="149" w:lineRule="exact"/>
              <w:rPr>
                <w:sz w:val="20"/>
                <w:szCs w:val="20"/>
                <w:color w:val="auto"/>
              </w:rPr>
            </w:pPr>
            <w:r>
              <w:rPr>
                <w:rFonts w:ascii="Arial" w:cs="Arial" w:eastAsia="Arial" w:hAnsi="Arial"/>
                <w:sz w:val="14"/>
                <w:szCs w:val="14"/>
                <w:b w:val="1"/>
                <w:bCs w:val="1"/>
                <w:color w:val="FFFFFF"/>
              </w:rPr>
              <w:t>Earned</w:t>
            </w:r>
          </w:p>
        </w:tc>
        <w:tc>
          <w:tcPr>
            <w:tcW w:w="114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16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4"/>
                <w:szCs w:val="14"/>
                <w:b w:val="1"/>
                <w:bCs w:val="1"/>
                <w:color w:val="FFFFFF"/>
              </w:rPr>
              <w:t>Option</w:t>
            </w:r>
          </w:p>
        </w:tc>
        <w:tc>
          <w:tcPr>
            <w:tcW w:w="1420" w:type="dxa"/>
            <w:vAlign w:val="bottom"/>
            <w:tcBorders>
              <w:right w:val="single" w:sz="8" w:color="EE2724"/>
            </w:tcBorders>
            <w:vMerge w:val="continue"/>
            <w:shd w:val="clear" w:color="auto" w:fill="EE2724"/>
          </w:tcPr>
          <w:p>
            <w:pPr>
              <w:spacing w:after="0"/>
              <w:rPr>
                <w:sz w:val="12"/>
                <w:szCs w:val="12"/>
                <w:color w:val="auto"/>
              </w:rPr>
            </w:pPr>
          </w:p>
        </w:tc>
        <w:tc>
          <w:tcPr>
            <w:tcW w:w="1360" w:type="dxa"/>
            <w:vAlign w:val="bottom"/>
            <w:tcBorders>
              <w:right w:val="single" w:sz="8" w:color="EE2724"/>
            </w:tcBorders>
            <w:shd w:val="clear" w:color="auto" w:fill="EE2724"/>
          </w:tcPr>
          <w:p>
            <w:pPr>
              <w:jc w:val="center"/>
              <w:spacing w:after="0" w:line="149" w:lineRule="exact"/>
              <w:rPr>
                <w:sz w:val="20"/>
                <w:szCs w:val="20"/>
                <w:color w:val="auto"/>
              </w:rPr>
            </w:pPr>
            <w:r>
              <w:rPr>
                <w:rFonts w:ascii="Arial" w:cs="Arial" w:eastAsia="Arial" w:hAnsi="Arial"/>
                <w:sz w:val="14"/>
                <w:szCs w:val="14"/>
                <w:b w:val="1"/>
                <w:bCs w:val="1"/>
                <w:color w:val="FFFFFF"/>
                <w:w w:val="99"/>
              </w:rPr>
              <w:t>Value and</w:t>
            </w:r>
          </w:p>
        </w:tc>
        <w:tc>
          <w:tcPr>
            <w:tcW w:w="142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4"/>
                <w:szCs w:val="14"/>
                <w:b w:val="1"/>
                <w:bCs w:val="1"/>
                <w:color w:val="FFFFFF"/>
              </w:rPr>
              <w:t>All Other</w:t>
            </w:r>
          </w:p>
        </w:tc>
        <w:tc>
          <w:tcPr>
            <w:tcW w:w="1140" w:type="dxa"/>
            <w:vAlign w:val="bottom"/>
            <w:tcBorders>
              <w:right w:val="single" w:sz="8" w:color="EE2724"/>
            </w:tcBorders>
            <w:shd w:val="clear" w:color="auto" w:fill="EE2724"/>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Borders>
              <w:left w:val="single" w:sz="8" w:color="EE2724"/>
              <w:right w:val="single" w:sz="8" w:color="EE2724"/>
            </w:tcBorders>
            <w:shd w:val="clear" w:color="auto" w:fill="EE2724"/>
          </w:tcPr>
          <w:p>
            <w:pPr>
              <w:spacing w:after="0"/>
              <w:rPr>
                <w:sz w:val="11"/>
                <w:szCs w:val="11"/>
                <w:color w:val="auto"/>
              </w:rPr>
            </w:pPr>
          </w:p>
        </w:tc>
        <w:tc>
          <w:tcPr>
            <w:tcW w:w="1140" w:type="dxa"/>
            <w:vAlign w:val="bottom"/>
            <w:tcBorders>
              <w:right w:val="single" w:sz="8" w:color="EE2724"/>
            </w:tcBorders>
            <w:shd w:val="clear" w:color="auto" w:fill="EE2724"/>
          </w:tcPr>
          <w:p>
            <w:pPr>
              <w:jc w:val="center"/>
              <w:spacing w:after="0" w:line="135" w:lineRule="exact"/>
              <w:rPr>
                <w:sz w:val="20"/>
                <w:szCs w:val="20"/>
                <w:color w:val="auto"/>
              </w:rPr>
            </w:pPr>
            <w:r>
              <w:rPr>
                <w:rFonts w:ascii="Arial" w:cs="Arial" w:eastAsia="Arial" w:hAnsi="Arial"/>
                <w:sz w:val="14"/>
                <w:szCs w:val="14"/>
                <w:b w:val="1"/>
                <w:bCs w:val="1"/>
                <w:color w:val="FFFFFF"/>
              </w:rPr>
              <w:t>or Paid</w:t>
            </w:r>
          </w:p>
        </w:tc>
        <w:tc>
          <w:tcPr>
            <w:tcW w:w="1140" w:type="dxa"/>
            <w:vAlign w:val="bottom"/>
            <w:tcBorders>
              <w:right w:val="single" w:sz="8" w:color="EE2724"/>
            </w:tcBorders>
            <w:vMerge w:val="continue"/>
            <w:shd w:val="clear" w:color="auto" w:fill="EE2724"/>
          </w:tcPr>
          <w:p>
            <w:pPr>
              <w:spacing w:after="0"/>
              <w:rPr>
                <w:sz w:val="11"/>
                <w:szCs w:val="11"/>
                <w:color w:val="auto"/>
              </w:rPr>
            </w:pPr>
          </w:p>
        </w:tc>
        <w:tc>
          <w:tcPr>
            <w:tcW w:w="1160" w:type="dxa"/>
            <w:vAlign w:val="bottom"/>
            <w:tcBorders>
              <w:right w:val="single" w:sz="8" w:color="EE2724"/>
            </w:tcBorders>
            <w:vMerge w:val="continue"/>
            <w:shd w:val="clear" w:color="auto" w:fill="EE2724"/>
          </w:tcPr>
          <w:p>
            <w:pPr>
              <w:spacing w:after="0"/>
              <w:rPr>
                <w:sz w:val="11"/>
                <w:szCs w:val="11"/>
                <w:color w:val="auto"/>
              </w:rPr>
            </w:pPr>
          </w:p>
        </w:tc>
        <w:tc>
          <w:tcPr>
            <w:tcW w:w="1420" w:type="dxa"/>
            <w:vAlign w:val="bottom"/>
            <w:tcBorders>
              <w:right w:val="single" w:sz="8" w:color="EE2724"/>
            </w:tcBorders>
            <w:shd w:val="clear" w:color="auto" w:fill="EE2724"/>
          </w:tcPr>
          <w:p>
            <w:pPr>
              <w:jc w:val="center"/>
              <w:spacing w:after="0" w:line="135" w:lineRule="exact"/>
              <w:rPr>
                <w:sz w:val="20"/>
                <w:szCs w:val="20"/>
                <w:color w:val="auto"/>
              </w:rPr>
            </w:pPr>
            <w:r>
              <w:rPr>
                <w:rFonts w:ascii="Arial" w:cs="Arial" w:eastAsia="Arial" w:hAnsi="Arial"/>
                <w:sz w:val="14"/>
                <w:szCs w:val="14"/>
                <w:b w:val="1"/>
                <w:bCs w:val="1"/>
                <w:color w:val="FFFFFF"/>
              </w:rPr>
              <w:t>Incentive Plan</w:t>
            </w:r>
          </w:p>
        </w:tc>
        <w:tc>
          <w:tcPr>
            <w:tcW w:w="1360" w:type="dxa"/>
            <w:vAlign w:val="bottom"/>
            <w:tcBorders>
              <w:right w:val="single" w:sz="8" w:color="EE2724"/>
            </w:tcBorders>
            <w:shd w:val="clear" w:color="auto" w:fill="EE2724"/>
          </w:tcPr>
          <w:p>
            <w:pPr>
              <w:jc w:val="center"/>
              <w:spacing w:after="0" w:line="135" w:lineRule="exact"/>
              <w:rPr>
                <w:sz w:val="20"/>
                <w:szCs w:val="20"/>
                <w:color w:val="auto"/>
              </w:rPr>
            </w:pPr>
            <w:r>
              <w:rPr>
                <w:rFonts w:ascii="Arial" w:cs="Arial" w:eastAsia="Arial" w:hAnsi="Arial"/>
                <w:sz w:val="14"/>
                <w:szCs w:val="14"/>
                <w:b w:val="1"/>
                <w:bCs w:val="1"/>
                <w:color w:val="FFFFFF"/>
              </w:rPr>
              <w:t>Non-Qualified</w:t>
            </w:r>
          </w:p>
        </w:tc>
        <w:tc>
          <w:tcPr>
            <w:tcW w:w="1420" w:type="dxa"/>
            <w:vAlign w:val="bottom"/>
            <w:tcBorders>
              <w:right w:val="single" w:sz="8" w:color="EE2724"/>
            </w:tcBorders>
            <w:vMerge w:val="continue"/>
            <w:shd w:val="clear" w:color="auto" w:fill="EE2724"/>
          </w:tcPr>
          <w:p>
            <w:pPr>
              <w:spacing w:after="0"/>
              <w:rPr>
                <w:sz w:val="11"/>
                <w:szCs w:val="11"/>
                <w:color w:val="auto"/>
              </w:rPr>
            </w:pPr>
          </w:p>
        </w:tc>
        <w:tc>
          <w:tcPr>
            <w:tcW w:w="114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2480" w:type="dxa"/>
            <w:vAlign w:val="bottom"/>
            <w:tcBorders>
              <w:left w:val="single" w:sz="8" w:color="EE2724"/>
              <w:right w:val="single" w:sz="8" w:color="EE2724"/>
            </w:tcBorders>
            <w:vMerge w:val="restart"/>
            <w:shd w:val="clear" w:color="auto" w:fill="EE2724"/>
          </w:tcPr>
          <w:p>
            <w:pPr>
              <w:ind w:left="20"/>
              <w:spacing w:after="0"/>
              <w:rPr>
                <w:sz w:val="20"/>
                <w:szCs w:val="20"/>
                <w:color w:val="auto"/>
              </w:rPr>
            </w:pPr>
            <w:r>
              <w:rPr>
                <w:rFonts w:ascii="Arial" w:cs="Arial" w:eastAsia="Arial" w:hAnsi="Arial"/>
                <w:sz w:val="14"/>
                <w:szCs w:val="14"/>
                <w:b w:val="1"/>
                <w:bCs w:val="1"/>
                <w:color w:val="FFFFFF"/>
              </w:rPr>
              <w:t>Name of Director</w:t>
            </w:r>
          </w:p>
        </w:tc>
        <w:tc>
          <w:tcPr>
            <w:tcW w:w="1140" w:type="dxa"/>
            <w:vAlign w:val="bottom"/>
            <w:tcBorders>
              <w:right w:val="single" w:sz="8" w:color="EE2724"/>
            </w:tcBorders>
            <w:shd w:val="clear" w:color="auto" w:fill="EE2724"/>
          </w:tcPr>
          <w:p>
            <w:pPr>
              <w:jc w:val="center"/>
              <w:spacing w:after="0" w:line="149" w:lineRule="exact"/>
              <w:rPr>
                <w:sz w:val="20"/>
                <w:szCs w:val="20"/>
                <w:color w:val="auto"/>
              </w:rPr>
            </w:pPr>
            <w:r>
              <w:rPr>
                <w:rFonts w:ascii="Arial" w:cs="Arial" w:eastAsia="Arial" w:hAnsi="Arial"/>
                <w:sz w:val="14"/>
                <w:szCs w:val="14"/>
                <w:b w:val="1"/>
                <w:bCs w:val="1"/>
                <w:color w:val="FFFFFF"/>
              </w:rPr>
              <w:t>in Cash</w:t>
            </w:r>
          </w:p>
        </w:tc>
        <w:tc>
          <w:tcPr>
            <w:tcW w:w="1140" w:type="dxa"/>
            <w:vAlign w:val="bottom"/>
            <w:tcBorders>
              <w:right w:val="single" w:sz="8" w:color="EE2724"/>
            </w:tcBorders>
            <w:shd w:val="clear" w:color="auto" w:fill="EE2724"/>
          </w:tcPr>
          <w:p>
            <w:pPr>
              <w:jc w:val="center"/>
              <w:spacing w:after="0" w:line="149" w:lineRule="exact"/>
              <w:rPr>
                <w:sz w:val="20"/>
                <w:szCs w:val="20"/>
                <w:color w:val="auto"/>
              </w:rPr>
            </w:pPr>
            <w:r>
              <w:rPr>
                <w:rFonts w:ascii="Arial" w:cs="Arial" w:eastAsia="Arial" w:hAnsi="Arial"/>
                <w:sz w:val="14"/>
                <w:szCs w:val="14"/>
                <w:b w:val="1"/>
                <w:bCs w:val="1"/>
                <w:color w:val="FFFFFF"/>
              </w:rPr>
              <w:t>Awards</w:t>
            </w:r>
          </w:p>
        </w:tc>
        <w:tc>
          <w:tcPr>
            <w:tcW w:w="1160" w:type="dxa"/>
            <w:vAlign w:val="bottom"/>
            <w:tcBorders>
              <w:right w:val="single" w:sz="8" w:color="EE2724"/>
            </w:tcBorders>
            <w:shd w:val="clear" w:color="auto" w:fill="EE2724"/>
          </w:tcPr>
          <w:p>
            <w:pPr>
              <w:jc w:val="center"/>
              <w:spacing w:after="0" w:line="149" w:lineRule="exact"/>
              <w:rPr>
                <w:sz w:val="20"/>
                <w:szCs w:val="20"/>
                <w:color w:val="auto"/>
              </w:rPr>
            </w:pPr>
            <w:r>
              <w:rPr>
                <w:rFonts w:ascii="Arial" w:cs="Arial" w:eastAsia="Arial" w:hAnsi="Arial"/>
                <w:sz w:val="14"/>
                <w:szCs w:val="14"/>
                <w:b w:val="1"/>
                <w:bCs w:val="1"/>
                <w:color w:val="FFFFFF"/>
              </w:rPr>
              <w:t>Awards</w:t>
            </w:r>
          </w:p>
        </w:tc>
        <w:tc>
          <w:tcPr>
            <w:tcW w:w="1420" w:type="dxa"/>
            <w:vAlign w:val="bottom"/>
            <w:tcBorders>
              <w:right w:val="single" w:sz="8" w:color="EE2724"/>
            </w:tcBorders>
            <w:shd w:val="clear" w:color="auto" w:fill="EE2724"/>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360" w:type="dxa"/>
            <w:vAlign w:val="bottom"/>
            <w:tcBorders>
              <w:right w:val="single" w:sz="8" w:color="EE2724"/>
            </w:tcBorders>
            <w:shd w:val="clear" w:color="auto" w:fill="EE2724"/>
          </w:tcPr>
          <w:p>
            <w:pPr>
              <w:jc w:val="center"/>
              <w:spacing w:after="0" w:line="149" w:lineRule="exact"/>
              <w:rPr>
                <w:sz w:val="20"/>
                <w:szCs w:val="20"/>
                <w:color w:val="auto"/>
              </w:rPr>
            </w:pPr>
            <w:r>
              <w:rPr>
                <w:rFonts w:ascii="Arial" w:cs="Arial" w:eastAsia="Arial" w:hAnsi="Arial"/>
                <w:sz w:val="14"/>
                <w:szCs w:val="14"/>
                <w:b w:val="1"/>
                <w:bCs w:val="1"/>
                <w:color w:val="FFFFFF"/>
              </w:rPr>
              <w:t>Deferred</w:t>
            </w:r>
          </w:p>
        </w:tc>
        <w:tc>
          <w:tcPr>
            <w:tcW w:w="1420" w:type="dxa"/>
            <w:vAlign w:val="bottom"/>
            <w:tcBorders>
              <w:right w:val="single" w:sz="8" w:color="EE2724"/>
            </w:tcBorders>
            <w:shd w:val="clear" w:color="auto" w:fill="EE2724"/>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140" w:type="dxa"/>
            <w:vAlign w:val="bottom"/>
            <w:tcBorders>
              <w:right w:val="single" w:sz="8" w:color="EE2724"/>
            </w:tcBorders>
            <w:vMerge w:val="continue"/>
            <w:shd w:val="clear" w:color="auto" w:fill="EE2724"/>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80" w:type="dxa"/>
            <w:vAlign w:val="bottom"/>
            <w:tcBorders>
              <w:left w:val="single" w:sz="8" w:color="EE2724"/>
              <w:bottom w:val="single" w:sz="8" w:color="B6B6B6"/>
              <w:right w:val="single" w:sz="8" w:color="EE2724"/>
            </w:tcBorders>
            <w:vMerge w:val="continue"/>
            <w:shd w:val="clear" w:color="auto" w:fill="EE2724"/>
          </w:tcPr>
          <w:p>
            <w:pPr>
              <w:spacing w:after="0"/>
              <w:rPr>
                <w:sz w:val="16"/>
                <w:szCs w:val="16"/>
                <w:color w:val="auto"/>
              </w:rPr>
            </w:pPr>
          </w:p>
        </w:tc>
        <w:tc>
          <w:tcPr>
            <w:tcW w:w="1140" w:type="dxa"/>
            <w:vAlign w:val="bottom"/>
            <w:tcBorders>
              <w:bottom w:val="single" w:sz="8" w:color="B6B6B6"/>
              <w:right w:val="single" w:sz="8" w:color="EE2724"/>
            </w:tcBorders>
            <w:shd w:val="clear" w:color="auto" w:fill="EE2724"/>
          </w:tcPr>
          <w:p>
            <w:pPr>
              <w:jc w:val="center"/>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 xml:space="preserve"> (1)</w:t>
            </w:r>
          </w:p>
        </w:tc>
        <w:tc>
          <w:tcPr>
            <w:tcW w:w="1140" w:type="dxa"/>
            <w:vAlign w:val="bottom"/>
            <w:tcBorders>
              <w:bottom w:val="single" w:sz="8" w:color="B6B6B6"/>
              <w:right w:val="single" w:sz="8" w:color="EE2724"/>
            </w:tcBorders>
            <w:shd w:val="clear" w:color="auto" w:fill="EE2724"/>
          </w:tcPr>
          <w:p>
            <w:pPr>
              <w:jc w:val="center"/>
              <w:spacing w:after="0" w:line="189"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 xml:space="preserve"> (2)(3)</w:t>
            </w:r>
          </w:p>
        </w:tc>
        <w:tc>
          <w:tcPr>
            <w:tcW w:w="1160" w:type="dxa"/>
            <w:vAlign w:val="bottom"/>
            <w:tcBorders>
              <w:bottom w:val="single" w:sz="8" w:color="B6B6B6"/>
              <w:right w:val="single" w:sz="8" w:color="EE2724"/>
            </w:tcBorders>
            <w:shd w:val="clear" w:color="auto" w:fill="EE2724"/>
          </w:tcPr>
          <w:p>
            <w:pPr>
              <w:jc w:val="center"/>
              <w:spacing w:after="0"/>
              <w:rPr>
                <w:sz w:val="20"/>
                <w:szCs w:val="20"/>
                <w:color w:val="auto"/>
              </w:rPr>
            </w:pPr>
            <w:r>
              <w:rPr>
                <w:rFonts w:ascii="Arial" w:cs="Arial" w:eastAsia="Arial" w:hAnsi="Arial"/>
                <w:sz w:val="14"/>
                <w:szCs w:val="14"/>
                <w:b w:val="1"/>
                <w:bCs w:val="1"/>
                <w:color w:val="FFFFFF"/>
              </w:rPr>
              <w:t>$</w:t>
            </w:r>
          </w:p>
        </w:tc>
        <w:tc>
          <w:tcPr>
            <w:tcW w:w="1420" w:type="dxa"/>
            <w:vAlign w:val="bottom"/>
            <w:tcBorders>
              <w:bottom w:val="single" w:sz="8" w:color="B6B6B6"/>
              <w:right w:val="single" w:sz="8" w:color="EE2724"/>
            </w:tcBorders>
            <w:shd w:val="clear" w:color="auto" w:fill="EE2724"/>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bottom w:val="single" w:sz="8" w:color="B6B6B6"/>
              <w:right w:val="single" w:sz="8" w:color="EE2724"/>
            </w:tcBorders>
            <w:shd w:val="clear" w:color="auto" w:fill="EE2724"/>
          </w:tcPr>
          <w:p>
            <w:pPr>
              <w:jc w:val="center"/>
              <w:spacing w:after="0"/>
              <w:rPr>
                <w:sz w:val="20"/>
                <w:szCs w:val="20"/>
                <w:color w:val="auto"/>
              </w:rPr>
            </w:pPr>
            <w:r>
              <w:rPr>
                <w:rFonts w:ascii="Arial" w:cs="Arial" w:eastAsia="Arial" w:hAnsi="Arial"/>
                <w:sz w:val="14"/>
                <w:szCs w:val="14"/>
                <w:b w:val="1"/>
                <w:bCs w:val="1"/>
                <w:color w:val="FFFFFF"/>
              </w:rPr>
              <w:t>$</w:t>
            </w:r>
          </w:p>
        </w:tc>
        <w:tc>
          <w:tcPr>
            <w:tcW w:w="1420" w:type="dxa"/>
            <w:vAlign w:val="bottom"/>
            <w:tcBorders>
              <w:bottom w:val="single" w:sz="8" w:color="B6B6B6"/>
              <w:right w:val="single" w:sz="8" w:color="EE2724"/>
            </w:tcBorders>
            <w:shd w:val="clear" w:color="auto" w:fill="EE2724"/>
          </w:tcPr>
          <w:p>
            <w:pPr>
              <w:jc w:val="center"/>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B6B6B6"/>
              <w:right w:val="single" w:sz="8" w:color="EE2724"/>
            </w:tcBorders>
            <w:shd w:val="clear" w:color="auto" w:fill="EE2724"/>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2"/>
        </w:trPr>
        <w:tc>
          <w:tcPr>
            <w:tcW w:w="248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4"/>
                <w:szCs w:val="14"/>
                <w:color w:val="auto"/>
              </w:rPr>
              <w:t>Tami A. Erwin</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159,375</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225,000</w:t>
            </w:r>
          </w:p>
        </w:tc>
        <w:tc>
          <w:tcPr>
            <w:tcW w:w="11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384,375</w:t>
            </w:r>
          </w:p>
        </w:tc>
        <w:tc>
          <w:tcPr>
            <w:tcW w:w="0" w:type="dxa"/>
            <w:vAlign w:val="bottom"/>
          </w:tcPr>
          <w:p>
            <w:pPr>
              <w:spacing w:after="0"/>
              <w:rPr>
                <w:sz w:val="1"/>
                <w:szCs w:val="1"/>
                <w:color w:val="auto"/>
              </w:rPr>
            </w:pPr>
          </w:p>
        </w:tc>
      </w:tr>
      <w:tr>
        <w:trPr>
          <w:trHeight w:val="196"/>
        </w:trPr>
        <w:tc>
          <w:tcPr>
            <w:tcW w:w="2480" w:type="dxa"/>
            <w:vAlign w:val="bottom"/>
            <w:tcBorders>
              <w:left w:val="single" w:sz="8" w:color="B6B6B6"/>
              <w:bottom w:val="single" w:sz="8" w:color="B6B6B6"/>
              <w:right w:val="single" w:sz="8" w:color="B6B6B6"/>
            </w:tcBorders>
            <w:shd w:val="clear" w:color="auto" w:fill="D8D8D8"/>
          </w:tcPr>
          <w:p>
            <w:pPr>
              <w:ind w:left="40"/>
              <w:spacing w:after="0"/>
              <w:rPr>
                <w:sz w:val="20"/>
                <w:szCs w:val="20"/>
                <w:color w:val="auto"/>
              </w:rPr>
            </w:pPr>
            <w:r>
              <w:rPr>
                <w:rFonts w:ascii="Arial" w:cs="Arial" w:eastAsia="Arial" w:hAnsi="Arial"/>
                <w:sz w:val="14"/>
                <w:szCs w:val="14"/>
                <w:color w:val="auto"/>
              </w:rPr>
              <w:t>Priscilla Hung</w:t>
            </w:r>
          </w:p>
        </w:tc>
        <w:tc>
          <w:tcPr>
            <w:tcW w:w="114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rPr>
              <w:t>134,375</w:t>
            </w:r>
          </w:p>
        </w:tc>
        <w:tc>
          <w:tcPr>
            <w:tcW w:w="114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rPr>
              <w:t>225,000</w:t>
            </w:r>
          </w:p>
        </w:tc>
        <w:tc>
          <w:tcPr>
            <w:tcW w:w="116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rPr>
              <w:t>359,375</w:t>
            </w:r>
          </w:p>
        </w:tc>
        <w:tc>
          <w:tcPr>
            <w:tcW w:w="0" w:type="dxa"/>
            <w:vAlign w:val="bottom"/>
          </w:tcPr>
          <w:p>
            <w:pPr>
              <w:spacing w:after="0"/>
              <w:rPr>
                <w:sz w:val="1"/>
                <w:szCs w:val="1"/>
                <w:color w:val="auto"/>
              </w:rPr>
            </w:pPr>
          </w:p>
        </w:tc>
      </w:tr>
      <w:tr>
        <w:trPr>
          <w:trHeight w:val="196"/>
        </w:trPr>
        <w:tc>
          <w:tcPr>
            <w:tcW w:w="248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4"/>
                <w:szCs w:val="14"/>
                <w:color w:val="auto"/>
              </w:rPr>
              <w:t>Scott Letier</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215,000</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382,500</w:t>
            </w:r>
          </w:p>
        </w:tc>
        <w:tc>
          <w:tcPr>
            <w:tcW w:w="11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597,500</w:t>
            </w:r>
          </w:p>
        </w:tc>
        <w:tc>
          <w:tcPr>
            <w:tcW w:w="0" w:type="dxa"/>
            <w:vAlign w:val="bottom"/>
          </w:tcPr>
          <w:p>
            <w:pPr>
              <w:spacing w:after="0"/>
              <w:rPr>
                <w:sz w:val="1"/>
                <w:szCs w:val="1"/>
                <w:color w:val="auto"/>
              </w:rPr>
            </w:pPr>
          </w:p>
        </w:tc>
      </w:tr>
      <w:tr>
        <w:trPr>
          <w:trHeight w:val="196"/>
        </w:trPr>
        <w:tc>
          <w:tcPr>
            <w:tcW w:w="2480" w:type="dxa"/>
            <w:vAlign w:val="bottom"/>
            <w:tcBorders>
              <w:left w:val="single" w:sz="8" w:color="B6B6B6"/>
              <w:bottom w:val="single" w:sz="8" w:color="B6B6B6"/>
              <w:right w:val="single" w:sz="8" w:color="B6B6B6"/>
            </w:tcBorders>
            <w:shd w:val="clear" w:color="auto" w:fill="D8D8D8"/>
          </w:tcPr>
          <w:p>
            <w:pPr>
              <w:ind w:left="40"/>
              <w:spacing w:after="0"/>
              <w:rPr>
                <w:sz w:val="20"/>
                <w:szCs w:val="20"/>
                <w:color w:val="auto"/>
              </w:rPr>
            </w:pPr>
            <w:r>
              <w:rPr>
                <w:rFonts w:ascii="Arial" w:cs="Arial" w:eastAsia="Arial" w:hAnsi="Arial"/>
                <w:sz w:val="14"/>
                <w:szCs w:val="14"/>
                <w:color w:val="auto"/>
              </w:rPr>
              <w:t>Nichelle Maynard-Elliott</w:t>
            </w:r>
          </w:p>
        </w:tc>
        <w:tc>
          <w:tcPr>
            <w:tcW w:w="114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rPr>
              <w:t>160,000</w:t>
            </w:r>
          </w:p>
        </w:tc>
        <w:tc>
          <w:tcPr>
            <w:tcW w:w="114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rPr>
              <w:t>225,000</w:t>
            </w:r>
          </w:p>
        </w:tc>
        <w:tc>
          <w:tcPr>
            <w:tcW w:w="116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B6B6B6"/>
              <w:right w:val="single" w:sz="8" w:color="B6B6B6"/>
            </w:tcBorders>
            <w:shd w:val="clear" w:color="auto" w:fill="D8D8D8"/>
          </w:tcPr>
          <w:p>
            <w:pPr>
              <w:jc w:val="center"/>
              <w:spacing w:after="0"/>
              <w:rPr>
                <w:sz w:val="20"/>
                <w:szCs w:val="20"/>
                <w:color w:val="auto"/>
              </w:rPr>
            </w:pPr>
            <w:r>
              <w:rPr>
                <w:rFonts w:ascii="Arial" w:cs="Arial" w:eastAsia="Arial" w:hAnsi="Arial"/>
                <w:sz w:val="14"/>
                <w:szCs w:val="14"/>
                <w:color w:val="auto"/>
              </w:rPr>
              <w:t>385,000</w:t>
            </w:r>
          </w:p>
        </w:tc>
        <w:tc>
          <w:tcPr>
            <w:tcW w:w="0" w:type="dxa"/>
            <w:vAlign w:val="bottom"/>
          </w:tcPr>
          <w:p>
            <w:pPr>
              <w:spacing w:after="0"/>
              <w:rPr>
                <w:sz w:val="1"/>
                <w:szCs w:val="1"/>
                <w:color w:val="auto"/>
              </w:rPr>
            </w:pPr>
          </w:p>
        </w:tc>
      </w:tr>
      <w:tr>
        <w:trPr>
          <w:trHeight w:val="196"/>
        </w:trPr>
        <w:tc>
          <w:tcPr>
            <w:tcW w:w="248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4"/>
                <w:szCs w:val="14"/>
                <w:color w:val="auto"/>
              </w:rPr>
              <w:t>Edward G. McLaughlin</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148,508</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225,000</w:t>
            </w:r>
          </w:p>
        </w:tc>
        <w:tc>
          <w:tcPr>
            <w:tcW w:w="11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373,508</w:t>
            </w:r>
          </w:p>
        </w:tc>
        <w:tc>
          <w:tcPr>
            <w:tcW w:w="0" w:type="dxa"/>
            <w:vAlign w:val="bottom"/>
          </w:tcPr>
          <w:p>
            <w:pPr>
              <w:spacing w:after="0"/>
              <w:rPr>
                <w:sz w:val="1"/>
                <w:szCs w:val="1"/>
                <w:color w:val="auto"/>
              </w:rPr>
            </w:pPr>
          </w:p>
        </w:tc>
      </w:tr>
      <w:tr>
        <w:trPr>
          <w:trHeight w:val="196"/>
        </w:trPr>
        <w:tc>
          <w:tcPr>
            <w:tcW w:w="248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John Roese</w:t>
            </w:r>
          </w:p>
        </w:tc>
        <w:tc>
          <w:tcPr>
            <w:tcW w:w="114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w w:val="98"/>
              </w:rPr>
              <w:t>110,000</w:t>
            </w:r>
          </w:p>
        </w:tc>
        <w:tc>
          <w:tcPr>
            <w:tcW w:w="114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280,000</w:t>
            </w:r>
          </w:p>
        </w:tc>
        <w:tc>
          <w:tcPr>
            <w:tcW w:w="116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196"/>
        </w:trPr>
        <w:tc>
          <w:tcPr>
            <w:tcW w:w="248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4"/>
                <w:szCs w:val="14"/>
                <w:color w:val="auto"/>
              </w:rPr>
              <w:t>Amy Schwetz</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165,625</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225,000</w:t>
            </w:r>
          </w:p>
        </w:tc>
        <w:tc>
          <w:tcPr>
            <w:tcW w:w="11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390,625</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3"/>
        <w:spacing w:after="0"/>
        <w:rPr>
          <w:sz w:val="20"/>
          <w:szCs w:val="20"/>
          <w:color w:val="auto"/>
        </w:rPr>
      </w:pPr>
      <w:r>
        <w:rPr>
          <w:rFonts w:ascii="Arial" w:cs="Arial" w:eastAsia="Arial" w:hAnsi="Arial"/>
          <w:sz w:val="18"/>
          <w:szCs w:val="18"/>
          <w:color w:val="auto"/>
        </w:rPr>
        <w:t>________</w:t>
      </w:r>
    </w:p>
    <w:p>
      <w:pPr>
        <w:ind w:left="173" w:hanging="173"/>
        <w:spacing w:after="0" w:line="214" w:lineRule="auto"/>
        <w:tabs>
          <w:tab w:leader="none" w:pos="173"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the amount of cash paid in 2025.</w:t>
      </w:r>
    </w:p>
    <w:p>
      <w:pPr>
        <w:ind w:left="153" w:right="20" w:hanging="153"/>
        <w:spacing w:after="0" w:line="211" w:lineRule="auto"/>
        <w:tabs>
          <w:tab w:leader="none" w:pos="184"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The value of compensation awarded in the form of DSUs or RSUs is reflected in this column. The amount presented in this column reflects the aggregate grant date fair value of the DSUs and RSUs awarded during 2025, computed in accordance with FASB ASC Topic 718, Compensation — Stock Compensation, and excludes dividend equivalents accrued during the period. A discussion of the assumptions used in calculating the fair value of such awards may be found in Note 23 (Stock-Based Compensation) to our 2025 audited financial statements of our Annual Report on Form 10-K filed with the SEC on March 17, 2026. We award DSUs and/or RSUs annually on the date of our annual meeting of shareholders. The DSUs and/or RSUs awarded are intended to cover the period from one annual meeting to the next annual meeting, rather than the fiscal year in which they were awarded, and the DSUs and RSUs fully vest when the director completes the year of service from one annual meeting to the next annual meeting.</w:t>
      </w:r>
    </w:p>
    <w:p>
      <w:pPr>
        <w:spacing w:after="0" w:line="5" w:lineRule="exact"/>
        <w:rPr>
          <w:rFonts w:ascii="Arial" w:cs="Arial" w:eastAsia="Arial" w:hAnsi="Arial"/>
          <w:sz w:val="22"/>
          <w:szCs w:val="22"/>
          <w:color w:val="auto"/>
          <w:vertAlign w:val="superscript"/>
        </w:rPr>
      </w:pPr>
    </w:p>
    <w:p>
      <w:pPr>
        <w:ind w:left="153" w:right="720" w:hanging="153"/>
        <w:spacing w:after="0" w:line="219" w:lineRule="auto"/>
        <w:tabs>
          <w:tab w:leader="none" w:pos="184"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In accordance with applicable SEC rules, dividend equivalents accrued in 2025 on DSUs and RSUs are not included in the Director Compensation table because those amounts were factored into the grant date fair values of the DSUs and RSUs.</w:t>
      </w:r>
    </w:p>
    <w:p>
      <w:pPr>
        <w:spacing w:after="0" w:line="59" w:lineRule="exact"/>
        <w:rPr>
          <w:sz w:val="20"/>
          <w:szCs w:val="20"/>
          <w:color w:val="auto"/>
        </w:rPr>
      </w:pPr>
    </w:p>
    <w:p>
      <w:pPr>
        <w:ind w:left="73" w:right="140"/>
        <w:spacing w:after="0" w:line="287" w:lineRule="auto"/>
        <w:rPr>
          <w:sz w:val="20"/>
          <w:szCs w:val="20"/>
          <w:color w:val="auto"/>
        </w:rPr>
      </w:pPr>
      <w:r>
        <w:rPr>
          <w:rFonts w:ascii="Arial" w:cs="Arial" w:eastAsia="Arial" w:hAnsi="Arial"/>
          <w:sz w:val="18"/>
          <w:szCs w:val="18"/>
          <w:color w:val="auto"/>
        </w:rPr>
        <w:t xml:space="preserve">For information on compensation for Mr. Bandrowczak, a former director and the former CEO of Xerox, and Mr. Bruno, a director and former President and Chief Operating Officer of Xerox, see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33"/>
          </w:cols>
          <w:pgMar w:left="247" w:top="1039"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D92231"/>
        </w:rPr>
        <w:t>SECURITIES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Company Securities</w:t>
      </w:r>
    </w:p>
    <w:p>
      <w:pPr>
        <w:spacing w:after="0" w:line="15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following tables set forth certain information as of April 2, 2026 regarding the beneficial ownership of the Company's outstanding shares. Beneficial ownership is based on 130,776,253 shares of Common Stock and 180,000 shares of Series A Preferred Stock outstanding as of April 2, 2026.</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Except as otherwise noted below, the following table does not include the warrants issued on February 12, 2026 pursuant to that certain Warrant Agreement disclosed on the Company’s Current Report on Form 8-K filed with the SEC on February 12, 2026 (the Warrant Agreement).</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260" w:type="dxa"/>
            <w:vAlign w:val="bottom"/>
            <w:tcBorders>
              <w:left w:val="single" w:sz="8" w:color="EE2724"/>
              <w:right w:val="single" w:sz="8" w:color="EE2724"/>
            </w:tcBorders>
            <w:shd w:val="clear" w:color="auto" w:fill="EE2724"/>
          </w:tcPr>
          <w:p>
            <w:pPr>
              <w:spacing w:after="0"/>
              <w:rPr>
                <w:sz w:val="22"/>
                <w:szCs w:val="22"/>
                <w:color w:val="auto"/>
              </w:rPr>
            </w:pPr>
          </w:p>
        </w:tc>
        <w:tc>
          <w:tcPr>
            <w:tcW w:w="3280" w:type="dxa"/>
            <w:vAlign w:val="bottom"/>
            <w:tcBorders>
              <w:right w:val="single" w:sz="8" w:color="EE2724"/>
            </w:tcBorders>
            <w:gridSpan w:val="2"/>
            <w:shd w:val="clear" w:color="auto" w:fill="EE2724"/>
          </w:tcPr>
          <w:p>
            <w:pPr>
              <w:ind w:left="960"/>
              <w:spacing w:after="0"/>
              <w:rPr>
                <w:sz w:val="20"/>
                <w:szCs w:val="20"/>
                <w:color w:val="auto"/>
              </w:rPr>
            </w:pPr>
            <w:r>
              <w:rPr>
                <w:rFonts w:ascii="Arial" w:cs="Arial" w:eastAsia="Arial" w:hAnsi="Arial"/>
                <w:sz w:val="18"/>
                <w:szCs w:val="18"/>
                <w:b w:val="1"/>
                <w:bCs w:val="1"/>
                <w:color w:val="FFFFFF"/>
              </w:rPr>
              <w:t>Common Stock</w:t>
            </w:r>
          </w:p>
        </w:tc>
        <w:tc>
          <w:tcPr>
            <w:tcW w:w="3080" w:type="dxa"/>
            <w:vAlign w:val="bottom"/>
            <w:tcBorders>
              <w:right w:val="single" w:sz="8" w:color="EE2724"/>
            </w:tcBorders>
            <w:gridSpan w:val="2"/>
            <w:shd w:val="clear" w:color="auto" w:fill="EE2724"/>
          </w:tcPr>
          <w:p>
            <w:pPr>
              <w:ind w:left="480"/>
              <w:spacing w:after="0"/>
              <w:rPr>
                <w:sz w:val="20"/>
                <w:szCs w:val="20"/>
                <w:color w:val="auto"/>
              </w:rPr>
            </w:pPr>
            <w:r>
              <w:rPr>
                <w:rFonts w:ascii="Arial" w:cs="Arial" w:eastAsia="Arial" w:hAnsi="Arial"/>
                <w:sz w:val="18"/>
                <w:szCs w:val="18"/>
                <w:b w:val="1"/>
                <w:bCs w:val="1"/>
                <w:color w:val="FFFFFF"/>
              </w:rPr>
              <w:t>Series A Preferred Stock</w:t>
            </w:r>
          </w:p>
        </w:tc>
        <w:tc>
          <w:tcPr>
            <w:tcW w:w="1580" w:type="dxa"/>
            <w:vAlign w:val="bottom"/>
            <w:vMerge w:val="restart"/>
            <w:shd w:val="clear" w:color="auto" w:fill="EE2724"/>
          </w:tcPr>
          <w:p>
            <w:pPr>
              <w:jc w:val="center"/>
              <w:spacing w:after="0"/>
              <w:rPr>
                <w:sz w:val="20"/>
                <w:szCs w:val="20"/>
                <w:color w:val="auto"/>
              </w:rPr>
            </w:pPr>
            <w:r>
              <w:rPr>
                <w:rFonts w:ascii="Arial" w:cs="Arial" w:eastAsia="Arial" w:hAnsi="Arial"/>
                <w:sz w:val="18"/>
                <w:szCs w:val="18"/>
                <w:b w:val="1"/>
                <w:bCs w:val="1"/>
                <w:color w:val="FFFFFF"/>
                <w:w w:val="99"/>
              </w:rPr>
              <w:t>Percent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3260" w:type="dxa"/>
            <w:vAlign w:val="bottom"/>
            <w:tcBorders>
              <w:left w:val="single" w:sz="8" w:color="EE2724"/>
              <w:right w:val="single" w:sz="8" w:color="EE2724"/>
            </w:tcBorders>
            <w:shd w:val="clear" w:color="auto" w:fill="EE2724"/>
          </w:tcPr>
          <w:p>
            <w:pPr>
              <w:spacing w:after="0"/>
              <w:rPr>
                <w:sz w:val="7"/>
                <w:szCs w:val="7"/>
                <w:color w:val="auto"/>
              </w:rPr>
            </w:pPr>
          </w:p>
        </w:tc>
        <w:tc>
          <w:tcPr>
            <w:tcW w:w="1800" w:type="dxa"/>
            <w:vAlign w:val="bottom"/>
            <w:tcBorders>
              <w:right w:val="single" w:sz="8" w:color="EE2724"/>
            </w:tcBorders>
            <w:vMerge w:val="restart"/>
            <w:shd w:val="clear" w:color="auto" w:fill="EE2724"/>
          </w:tcPr>
          <w:p>
            <w:pPr>
              <w:jc w:val="center"/>
              <w:spacing w:after="0" w:line="197" w:lineRule="exact"/>
              <w:rPr>
                <w:sz w:val="20"/>
                <w:szCs w:val="20"/>
                <w:color w:val="auto"/>
              </w:rPr>
            </w:pPr>
            <w:r>
              <w:rPr>
                <w:rFonts w:ascii="Arial" w:cs="Arial" w:eastAsia="Arial" w:hAnsi="Arial"/>
                <w:sz w:val="18"/>
                <w:szCs w:val="18"/>
                <w:b w:val="1"/>
                <w:bCs w:val="1"/>
                <w:color w:val="FFFFFF"/>
              </w:rPr>
              <w:t>Amount and</w:t>
            </w:r>
          </w:p>
        </w:tc>
        <w:tc>
          <w:tcPr>
            <w:tcW w:w="1480" w:type="dxa"/>
            <w:vAlign w:val="bottom"/>
            <w:tcBorders>
              <w:right w:val="single" w:sz="8" w:color="EE2724"/>
            </w:tcBorders>
            <w:shd w:val="clear" w:color="auto" w:fill="EE2724"/>
          </w:tcPr>
          <w:p>
            <w:pPr>
              <w:spacing w:after="0"/>
              <w:rPr>
                <w:sz w:val="7"/>
                <w:szCs w:val="7"/>
                <w:color w:val="auto"/>
              </w:rPr>
            </w:pPr>
          </w:p>
        </w:tc>
        <w:tc>
          <w:tcPr>
            <w:tcW w:w="1600" w:type="dxa"/>
            <w:vAlign w:val="bottom"/>
            <w:tcBorders>
              <w:right w:val="single" w:sz="8" w:color="EE2724"/>
            </w:tcBorders>
            <w:vMerge w:val="restart"/>
            <w:shd w:val="clear" w:color="auto" w:fill="EE2724"/>
          </w:tcPr>
          <w:p>
            <w:pPr>
              <w:jc w:val="center"/>
              <w:spacing w:after="0" w:line="197" w:lineRule="exact"/>
              <w:rPr>
                <w:sz w:val="20"/>
                <w:szCs w:val="20"/>
                <w:color w:val="auto"/>
              </w:rPr>
            </w:pPr>
            <w:r>
              <w:rPr>
                <w:rFonts w:ascii="Arial" w:cs="Arial" w:eastAsia="Arial" w:hAnsi="Arial"/>
                <w:sz w:val="18"/>
                <w:szCs w:val="18"/>
                <w:b w:val="1"/>
                <w:bCs w:val="1"/>
                <w:color w:val="FFFFFF"/>
                <w:w w:val="99"/>
              </w:rPr>
              <w:t>Amount and</w:t>
            </w:r>
          </w:p>
        </w:tc>
        <w:tc>
          <w:tcPr>
            <w:tcW w:w="1480" w:type="dxa"/>
            <w:vAlign w:val="bottom"/>
            <w:tcBorders>
              <w:right w:val="single" w:sz="8" w:color="EE2724"/>
            </w:tcBorders>
            <w:shd w:val="clear" w:color="auto" w:fill="EE2724"/>
          </w:tcPr>
          <w:p>
            <w:pPr>
              <w:spacing w:after="0"/>
              <w:rPr>
                <w:sz w:val="7"/>
                <w:szCs w:val="7"/>
                <w:color w:val="auto"/>
              </w:rPr>
            </w:pPr>
          </w:p>
        </w:tc>
        <w:tc>
          <w:tcPr>
            <w:tcW w:w="1580" w:type="dxa"/>
            <w:vAlign w:val="bottom"/>
            <w:vMerge w:val="continue"/>
            <w:shd w:val="clear" w:color="auto" w:fill="EE2724"/>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60" w:type="dxa"/>
            <w:vAlign w:val="bottom"/>
            <w:tcBorders>
              <w:left w:val="single" w:sz="8" w:color="EE2724"/>
              <w:right w:val="single" w:sz="8" w:color="EE2724"/>
            </w:tcBorders>
            <w:vMerge w:val="restart"/>
            <w:shd w:val="clear" w:color="auto" w:fill="EE2724"/>
          </w:tcPr>
          <w:p>
            <w:pPr>
              <w:ind w:left="20"/>
              <w:spacing w:after="0"/>
              <w:rPr>
                <w:sz w:val="20"/>
                <w:szCs w:val="20"/>
                <w:color w:val="auto"/>
              </w:rPr>
            </w:pPr>
            <w:r>
              <w:rPr>
                <w:rFonts w:ascii="Arial" w:cs="Arial" w:eastAsia="Arial" w:hAnsi="Arial"/>
                <w:sz w:val="18"/>
                <w:szCs w:val="18"/>
                <w:b w:val="1"/>
                <w:bCs w:val="1"/>
                <w:color w:val="FFFFFF"/>
              </w:rPr>
              <w:t>Name and Address of</w:t>
            </w:r>
          </w:p>
        </w:tc>
        <w:tc>
          <w:tcPr>
            <w:tcW w:w="1800" w:type="dxa"/>
            <w:vAlign w:val="bottom"/>
            <w:tcBorders>
              <w:right w:val="single" w:sz="8" w:color="EE2724"/>
            </w:tcBorders>
            <w:vMerge w:val="continue"/>
            <w:shd w:val="clear" w:color="auto" w:fill="EE2724"/>
          </w:tcPr>
          <w:p>
            <w:pPr>
              <w:spacing w:after="0"/>
              <w:rPr>
                <w:sz w:val="9"/>
                <w:szCs w:val="9"/>
                <w:color w:val="auto"/>
              </w:rPr>
            </w:pPr>
          </w:p>
        </w:tc>
        <w:tc>
          <w:tcPr>
            <w:tcW w:w="1480" w:type="dxa"/>
            <w:vAlign w:val="bottom"/>
            <w:tcBorders>
              <w:right w:val="single" w:sz="8" w:color="EE2724"/>
            </w:tcBorders>
            <w:vMerge w:val="restart"/>
            <w:shd w:val="clear" w:color="auto" w:fill="EE2724"/>
          </w:tcPr>
          <w:p>
            <w:pPr>
              <w:ind w:left="400"/>
              <w:spacing w:after="0"/>
              <w:rPr>
                <w:sz w:val="20"/>
                <w:szCs w:val="20"/>
                <w:color w:val="auto"/>
              </w:rPr>
            </w:pPr>
            <w:r>
              <w:rPr>
                <w:rFonts w:ascii="Arial" w:cs="Arial" w:eastAsia="Arial" w:hAnsi="Arial"/>
                <w:sz w:val="18"/>
                <w:szCs w:val="18"/>
                <w:b w:val="1"/>
                <w:bCs w:val="1"/>
                <w:color w:val="FFFFFF"/>
              </w:rPr>
              <w:t>Percent</w:t>
            </w:r>
          </w:p>
        </w:tc>
        <w:tc>
          <w:tcPr>
            <w:tcW w:w="1600" w:type="dxa"/>
            <w:vAlign w:val="bottom"/>
            <w:tcBorders>
              <w:right w:val="single" w:sz="8" w:color="EE2724"/>
            </w:tcBorders>
            <w:vMerge w:val="continue"/>
            <w:shd w:val="clear" w:color="auto" w:fill="EE2724"/>
          </w:tcPr>
          <w:p>
            <w:pPr>
              <w:spacing w:after="0"/>
              <w:rPr>
                <w:sz w:val="9"/>
                <w:szCs w:val="9"/>
                <w:color w:val="auto"/>
              </w:rPr>
            </w:pPr>
          </w:p>
        </w:tc>
        <w:tc>
          <w:tcPr>
            <w:tcW w:w="148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8"/>
                <w:szCs w:val="18"/>
                <w:b w:val="1"/>
                <w:bCs w:val="1"/>
                <w:color w:val="FFFFFF"/>
                <w:w w:val="99"/>
              </w:rPr>
              <w:t>Percent</w:t>
            </w:r>
          </w:p>
        </w:tc>
        <w:tc>
          <w:tcPr>
            <w:tcW w:w="1580" w:type="dxa"/>
            <w:vAlign w:val="bottom"/>
            <w:vMerge w:val="restart"/>
            <w:shd w:val="clear" w:color="auto" w:fill="EE2724"/>
          </w:tcPr>
          <w:p>
            <w:pPr>
              <w:jc w:val="center"/>
              <w:spacing w:after="0"/>
              <w:rPr>
                <w:sz w:val="20"/>
                <w:szCs w:val="20"/>
                <w:color w:val="auto"/>
              </w:rPr>
            </w:pPr>
            <w:r>
              <w:rPr>
                <w:rFonts w:ascii="Arial" w:cs="Arial" w:eastAsia="Arial" w:hAnsi="Arial"/>
                <w:sz w:val="18"/>
                <w:szCs w:val="18"/>
                <w:b w:val="1"/>
                <w:bCs w:val="1"/>
                <w:color w:val="FFFFFF"/>
                <w:w w:val="99"/>
              </w:rPr>
              <w:t>Total Current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3260" w:type="dxa"/>
            <w:vAlign w:val="bottom"/>
            <w:tcBorders>
              <w:left w:val="single" w:sz="8" w:color="EE2724"/>
              <w:right w:val="single" w:sz="8" w:color="EE2724"/>
            </w:tcBorders>
            <w:vMerge w:val="continue"/>
            <w:shd w:val="clear" w:color="auto" w:fill="EE2724"/>
          </w:tcPr>
          <w:p>
            <w:pPr>
              <w:spacing w:after="0"/>
              <w:rPr>
                <w:sz w:val="15"/>
                <w:szCs w:val="15"/>
                <w:color w:val="auto"/>
              </w:rPr>
            </w:pPr>
          </w:p>
        </w:tc>
        <w:tc>
          <w:tcPr>
            <w:tcW w:w="1800" w:type="dxa"/>
            <w:vAlign w:val="bottom"/>
            <w:tcBorders>
              <w:right w:val="single" w:sz="8" w:color="EE2724"/>
            </w:tcBorders>
            <w:shd w:val="clear" w:color="auto" w:fill="EE2724"/>
          </w:tcPr>
          <w:p>
            <w:pPr>
              <w:jc w:val="center"/>
              <w:spacing w:after="0" w:line="181" w:lineRule="exact"/>
              <w:rPr>
                <w:sz w:val="20"/>
                <w:szCs w:val="20"/>
                <w:color w:val="auto"/>
              </w:rPr>
            </w:pPr>
            <w:r>
              <w:rPr>
                <w:rFonts w:ascii="Arial" w:cs="Arial" w:eastAsia="Arial" w:hAnsi="Arial"/>
                <w:sz w:val="18"/>
                <w:szCs w:val="18"/>
                <w:b w:val="1"/>
                <w:bCs w:val="1"/>
                <w:color w:val="FFFFFF"/>
                <w:w w:val="98"/>
              </w:rPr>
              <w:t>Nature of</w:t>
            </w:r>
          </w:p>
        </w:tc>
        <w:tc>
          <w:tcPr>
            <w:tcW w:w="1480" w:type="dxa"/>
            <w:vAlign w:val="bottom"/>
            <w:tcBorders>
              <w:right w:val="single" w:sz="8" w:color="EE2724"/>
            </w:tcBorders>
            <w:vMerge w:val="continue"/>
            <w:shd w:val="clear" w:color="auto" w:fill="EE2724"/>
          </w:tcPr>
          <w:p>
            <w:pPr>
              <w:spacing w:after="0"/>
              <w:rPr>
                <w:sz w:val="15"/>
                <w:szCs w:val="15"/>
                <w:color w:val="auto"/>
              </w:rPr>
            </w:pPr>
          </w:p>
        </w:tc>
        <w:tc>
          <w:tcPr>
            <w:tcW w:w="1600" w:type="dxa"/>
            <w:vAlign w:val="bottom"/>
            <w:tcBorders>
              <w:right w:val="single" w:sz="8" w:color="EE2724"/>
            </w:tcBorders>
            <w:shd w:val="clear" w:color="auto" w:fill="EE2724"/>
          </w:tcPr>
          <w:p>
            <w:pPr>
              <w:jc w:val="center"/>
              <w:spacing w:after="0" w:line="181" w:lineRule="exact"/>
              <w:rPr>
                <w:sz w:val="20"/>
                <w:szCs w:val="20"/>
                <w:color w:val="auto"/>
              </w:rPr>
            </w:pPr>
            <w:r>
              <w:rPr>
                <w:rFonts w:ascii="Arial" w:cs="Arial" w:eastAsia="Arial" w:hAnsi="Arial"/>
                <w:sz w:val="18"/>
                <w:szCs w:val="18"/>
                <w:b w:val="1"/>
                <w:bCs w:val="1"/>
                <w:color w:val="FFFFFF"/>
                <w:w w:val="98"/>
              </w:rPr>
              <w:t>Nature of</w:t>
            </w:r>
          </w:p>
        </w:tc>
        <w:tc>
          <w:tcPr>
            <w:tcW w:w="1480" w:type="dxa"/>
            <w:vAlign w:val="bottom"/>
            <w:tcBorders>
              <w:right w:val="single" w:sz="8" w:color="EE2724"/>
            </w:tcBorders>
            <w:vMerge w:val="continue"/>
            <w:shd w:val="clear" w:color="auto" w:fill="EE2724"/>
          </w:tcPr>
          <w:p>
            <w:pPr>
              <w:spacing w:after="0"/>
              <w:rPr>
                <w:sz w:val="15"/>
                <w:szCs w:val="15"/>
                <w:color w:val="auto"/>
              </w:rPr>
            </w:pPr>
          </w:p>
        </w:tc>
        <w:tc>
          <w:tcPr>
            <w:tcW w:w="1580" w:type="dxa"/>
            <w:vAlign w:val="bottom"/>
            <w:vMerge w:val="continue"/>
            <w:shd w:val="clear" w:color="auto" w:fill="EE272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60" w:type="dxa"/>
            <w:vAlign w:val="bottom"/>
            <w:tcBorders>
              <w:left w:val="single" w:sz="8" w:color="EE2724"/>
              <w:right w:val="single" w:sz="8" w:color="EE2724"/>
            </w:tcBorders>
            <w:vMerge w:val="restart"/>
            <w:shd w:val="clear" w:color="auto" w:fill="EE2724"/>
          </w:tcPr>
          <w:p>
            <w:pPr>
              <w:ind w:left="20"/>
              <w:spacing w:after="0"/>
              <w:rPr>
                <w:sz w:val="20"/>
                <w:szCs w:val="20"/>
                <w:color w:val="auto"/>
              </w:rPr>
            </w:pPr>
            <w:r>
              <w:rPr>
                <w:rFonts w:ascii="Arial" w:cs="Arial" w:eastAsia="Arial" w:hAnsi="Arial"/>
                <w:sz w:val="18"/>
                <w:szCs w:val="18"/>
                <w:b w:val="1"/>
                <w:bCs w:val="1"/>
                <w:color w:val="FFFFFF"/>
              </w:rPr>
              <w:t>Beneficial Owner</w:t>
            </w:r>
          </w:p>
        </w:tc>
        <w:tc>
          <w:tcPr>
            <w:tcW w:w="180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8"/>
                <w:szCs w:val="18"/>
                <w:b w:val="1"/>
                <w:bCs w:val="1"/>
                <w:color w:val="FFFFFF"/>
              </w:rPr>
              <w:t>Beneficial</w:t>
            </w:r>
          </w:p>
        </w:tc>
        <w:tc>
          <w:tcPr>
            <w:tcW w:w="1480" w:type="dxa"/>
            <w:vAlign w:val="bottom"/>
            <w:tcBorders>
              <w:right w:val="single" w:sz="8" w:color="EE2724"/>
            </w:tcBorders>
            <w:vMerge w:val="restart"/>
            <w:shd w:val="clear" w:color="auto" w:fill="EE2724"/>
          </w:tcPr>
          <w:p>
            <w:pPr>
              <w:ind w:left="380"/>
              <w:spacing w:after="0"/>
              <w:rPr>
                <w:sz w:val="20"/>
                <w:szCs w:val="20"/>
                <w:color w:val="auto"/>
              </w:rPr>
            </w:pPr>
            <w:r>
              <w:rPr>
                <w:rFonts w:ascii="Arial" w:cs="Arial" w:eastAsia="Arial" w:hAnsi="Arial"/>
                <w:sz w:val="18"/>
                <w:szCs w:val="18"/>
                <w:b w:val="1"/>
                <w:bCs w:val="1"/>
                <w:color w:val="FFFFFF"/>
              </w:rPr>
              <w:t>of Class</w:t>
            </w:r>
          </w:p>
        </w:tc>
        <w:tc>
          <w:tcPr>
            <w:tcW w:w="1600" w:type="dxa"/>
            <w:vAlign w:val="bottom"/>
            <w:tcBorders>
              <w:right w:val="single" w:sz="8" w:color="EE2724"/>
            </w:tcBorders>
            <w:vMerge w:val="restart"/>
            <w:shd w:val="clear" w:color="auto" w:fill="EE2724"/>
          </w:tcPr>
          <w:p>
            <w:pPr>
              <w:jc w:val="center"/>
              <w:spacing w:after="0"/>
              <w:rPr>
                <w:sz w:val="20"/>
                <w:szCs w:val="20"/>
                <w:color w:val="auto"/>
              </w:rPr>
            </w:pPr>
            <w:r>
              <w:rPr>
                <w:rFonts w:ascii="Arial" w:cs="Arial" w:eastAsia="Arial" w:hAnsi="Arial"/>
                <w:sz w:val="18"/>
                <w:szCs w:val="18"/>
                <w:b w:val="1"/>
                <w:bCs w:val="1"/>
                <w:color w:val="FFFFFF"/>
              </w:rPr>
              <w:t>Beneficial</w:t>
            </w:r>
          </w:p>
        </w:tc>
        <w:tc>
          <w:tcPr>
            <w:tcW w:w="1480" w:type="dxa"/>
            <w:vAlign w:val="bottom"/>
            <w:tcBorders>
              <w:right w:val="single" w:sz="8" w:color="EE2724"/>
            </w:tcBorders>
            <w:shd w:val="clear" w:color="auto" w:fill="EE2724"/>
          </w:tcPr>
          <w:p>
            <w:pPr>
              <w:jc w:val="center"/>
              <w:spacing w:after="0" w:line="122" w:lineRule="exact"/>
              <w:rPr>
                <w:sz w:val="20"/>
                <w:szCs w:val="20"/>
                <w:color w:val="auto"/>
              </w:rPr>
            </w:pPr>
            <w:r>
              <w:rPr>
                <w:rFonts w:ascii="Arial" w:cs="Arial" w:eastAsia="Arial" w:hAnsi="Arial"/>
                <w:sz w:val="13"/>
                <w:szCs w:val="13"/>
                <w:b w:val="1"/>
                <w:bCs w:val="1"/>
                <w:color w:val="FFFFFF"/>
              </w:rPr>
              <w:t>of Class</w:t>
            </w:r>
          </w:p>
        </w:tc>
        <w:tc>
          <w:tcPr>
            <w:tcW w:w="1580" w:type="dxa"/>
            <w:vAlign w:val="bottom"/>
            <w:shd w:val="clear" w:color="auto" w:fill="EE2724"/>
          </w:tcPr>
          <w:p>
            <w:pPr>
              <w:jc w:val="center"/>
              <w:spacing w:after="0" w:line="122" w:lineRule="exact"/>
              <w:rPr>
                <w:sz w:val="20"/>
                <w:szCs w:val="20"/>
                <w:color w:val="auto"/>
              </w:rPr>
            </w:pPr>
            <w:r>
              <w:rPr>
                <w:rFonts w:ascii="Arial" w:cs="Arial" w:eastAsia="Arial" w:hAnsi="Arial"/>
                <w:sz w:val="13"/>
                <w:szCs w:val="13"/>
                <w:b w:val="1"/>
                <w:bCs w:val="1"/>
                <w:color w:val="FFFFFF"/>
              </w:rPr>
              <w:t>Voting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60" w:type="dxa"/>
            <w:vAlign w:val="bottom"/>
            <w:tcBorders>
              <w:left w:val="single" w:sz="8" w:color="EE2724"/>
              <w:right w:val="single" w:sz="8" w:color="EE2724"/>
            </w:tcBorders>
            <w:vMerge w:val="continue"/>
            <w:shd w:val="clear" w:color="auto" w:fill="EE2724"/>
          </w:tcPr>
          <w:p>
            <w:pPr>
              <w:spacing w:after="0"/>
              <w:rPr>
                <w:sz w:val="10"/>
                <w:szCs w:val="10"/>
                <w:color w:val="auto"/>
              </w:rPr>
            </w:pPr>
          </w:p>
        </w:tc>
        <w:tc>
          <w:tcPr>
            <w:tcW w:w="1800" w:type="dxa"/>
            <w:vAlign w:val="bottom"/>
            <w:tcBorders>
              <w:right w:val="single" w:sz="8" w:color="EE2724"/>
            </w:tcBorders>
            <w:vMerge w:val="continue"/>
            <w:shd w:val="clear" w:color="auto" w:fill="EE2724"/>
          </w:tcPr>
          <w:p>
            <w:pPr>
              <w:spacing w:after="0"/>
              <w:rPr>
                <w:sz w:val="10"/>
                <w:szCs w:val="10"/>
                <w:color w:val="auto"/>
              </w:rPr>
            </w:pPr>
          </w:p>
        </w:tc>
        <w:tc>
          <w:tcPr>
            <w:tcW w:w="1480" w:type="dxa"/>
            <w:vAlign w:val="bottom"/>
            <w:tcBorders>
              <w:right w:val="single" w:sz="8" w:color="EE2724"/>
            </w:tcBorders>
            <w:vMerge w:val="continue"/>
            <w:shd w:val="clear" w:color="auto" w:fill="EE2724"/>
          </w:tcPr>
          <w:p>
            <w:pPr>
              <w:spacing w:after="0"/>
              <w:rPr>
                <w:sz w:val="10"/>
                <w:szCs w:val="10"/>
                <w:color w:val="auto"/>
              </w:rPr>
            </w:pPr>
          </w:p>
        </w:tc>
        <w:tc>
          <w:tcPr>
            <w:tcW w:w="1600" w:type="dxa"/>
            <w:vAlign w:val="bottom"/>
            <w:tcBorders>
              <w:right w:val="single" w:sz="8" w:color="EE2724"/>
            </w:tcBorders>
            <w:vMerge w:val="continue"/>
            <w:shd w:val="clear" w:color="auto" w:fill="EE2724"/>
          </w:tcPr>
          <w:p>
            <w:pPr>
              <w:spacing w:after="0"/>
              <w:rPr>
                <w:sz w:val="10"/>
                <w:szCs w:val="10"/>
                <w:color w:val="auto"/>
              </w:rPr>
            </w:pPr>
          </w:p>
        </w:tc>
        <w:tc>
          <w:tcPr>
            <w:tcW w:w="1480" w:type="dxa"/>
            <w:vAlign w:val="bottom"/>
            <w:tcBorders>
              <w:right w:val="single" w:sz="8" w:color="EE2724"/>
            </w:tcBorders>
            <w:shd w:val="clear" w:color="auto" w:fill="EE2724"/>
          </w:tcPr>
          <w:p>
            <w:pPr>
              <w:jc w:val="center"/>
              <w:spacing w:after="0" w:line="122" w:lineRule="exact"/>
              <w:rPr>
                <w:sz w:val="20"/>
                <w:szCs w:val="20"/>
                <w:color w:val="auto"/>
              </w:rPr>
            </w:pPr>
            <w:r>
              <w:rPr>
                <w:rFonts w:ascii="Arial" w:cs="Arial" w:eastAsia="Arial" w:hAnsi="Arial"/>
                <w:sz w:val="12"/>
                <w:szCs w:val="12"/>
                <w:b w:val="1"/>
                <w:bCs w:val="1"/>
                <w:color w:val="FFFFFF"/>
                <w:w w:val="95"/>
              </w:rPr>
              <w:t>(2)</w:t>
            </w:r>
          </w:p>
        </w:tc>
        <w:tc>
          <w:tcPr>
            <w:tcW w:w="1580" w:type="dxa"/>
            <w:vAlign w:val="bottom"/>
            <w:shd w:val="clear" w:color="auto" w:fill="EE2724"/>
          </w:tcPr>
          <w:p>
            <w:pPr>
              <w:jc w:val="center"/>
              <w:spacing w:after="0" w:line="122" w:lineRule="exact"/>
              <w:rPr>
                <w:sz w:val="20"/>
                <w:szCs w:val="20"/>
                <w:color w:val="auto"/>
              </w:rPr>
            </w:pPr>
            <w:r>
              <w:rPr>
                <w:rFonts w:ascii="Arial" w:cs="Arial" w:eastAsia="Arial" w:hAnsi="Arial"/>
                <w:sz w:val="13"/>
                <w:szCs w:val="13"/>
                <w:b w:val="1"/>
                <w:bCs w:val="1"/>
                <w:color w:val="FFFFFF"/>
              </w:rPr>
              <w:t>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60" w:type="dxa"/>
            <w:vAlign w:val="bottom"/>
            <w:tcBorders>
              <w:left w:val="single" w:sz="8" w:color="EE2724"/>
              <w:bottom w:val="single" w:sz="8" w:color="B6B6B6"/>
              <w:right w:val="single" w:sz="8" w:color="EE2724"/>
            </w:tcBorders>
            <w:shd w:val="clear" w:color="auto" w:fill="EE2724"/>
          </w:tcPr>
          <w:p>
            <w:pPr>
              <w:spacing w:after="0"/>
              <w:rPr>
                <w:sz w:val="15"/>
                <w:szCs w:val="15"/>
                <w:color w:val="auto"/>
              </w:rPr>
            </w:pPr>
          </w:p>
        </w:tc>
        <w:tc>
          <w:tcPr>
            <w:tcW w:w="1800" w:type="dxa"/>
            <w:vAlign w:val="bottom"/>
            <w:tcBorders>
              <w:bottom w:val="single" w:sz="8" w:color="B6B6B6"/>
              <w:right w:val="single" w:sz="8" w:color="EE2724"/>
            </w:tcBorders>
            <w:shd w:val="clear" w:color="auto" w:fill="EE2724"/>
          </w:tcPr>
          <w:p>
            <w:pPr>
              <w:jc w:val="center"/>
              <w:spacing w:after="0" w:line="176" w:lineRule="exact"/>
              <w:rPr>
                <w:sz w:val="20"/>
                <w:szCs w:val="20"/>
                <w:color w:val="auto"/>
              </w:rPr>
            </w:pPr>
            <w:r>
              <w:rPr>
                <w:rFonts w:ascii="Arial" w:cs="Arial" w:eastAsia="Arial" w:hAnsi="Arial"/>
                <w:sz w:val="18"/>
                <w:szCs w:val="18"/>
                <w:b w:val="1"/>
                <w:bCs w:val="1"/>
                <w:color w:val="FFFFFF"/>
              </w:rPr>
              <w:t>Ownership</w:t>
            </w:r>
          </w:p>
        </w:tc>
        <w:tc>
          <w:tcPr>
            <w:tcW w:w="1480" w:type="dxa"/>
            <w:vAlign w:val="bottom"/>
            <w:tcBorders>
              <w:bottom w:val="single" w:sz="8" w:color="B6B6B6"/>
              <w:right w:val="single" w:sz="8" w:color="EE2724"/>
            </w:tcBorders>
            <w:shd w:val="clear" w:color="auto" w:fill="EE2724"/>
          </w:tcPr>
          <w:p>
            <w:pPr>
              <w:spacing w:after="0"/>
              <w:rPr>
                <w:sz w:val="15"/>
                <w:szCs w:val="15"/>
                <w:color w:val="auto"/>
              </w:rPr>
            </w:pPr>
          </w:p>
        </w:tc>
        <w:tc>
          <w:tcPr>
            <w:tcW w:w="1600" w:type="dxa"/>
            <w:vAlign w:val="bottom"/>
            <w:tcBorders>
              <w:bottom w:val="single" w:sz="8" w:color="B6B6B6"/>
              <w:right w:val="single" w:sz="8" w:color="EE2724"/>
            </w:tcBorders>
            <w:shd w:val="clear" w:color="auto" w:fill="EE2724"/>
          </w:tcPr>
          <w:p>
            <w:pPr>
              <w:jc w:val="center"/>
              <w:spacing w:after="0" w:line="176" w:lineRule="exact"/>
              <w:rPr>
                <w:sz w:val="20"/>
                <w:szCs w:val="20"/>
                <w:color w:val="auto"/>
              </w:rPr>
            </w:pPr>
            <w:r>
              <w:rPr>
                <w:rFonts w:ascii="Arial" w:cs="Arial" w:eastAsia="Arial" w:hAnsi="Arial"/>
                <w:sz w:val="18"/>
                <w:szCs w:val="18"/>
                <w:b w:val="1"/>
                <w:bCs w:val="1"/>
                <w:color w:val="FFFFFF"/>
              </w:rPr>
              <w:t>Ownership</w:t>
            </w:r>
          </w:p>
        </w:tc>
        <w:tc>
          <w:tcPr>
            <w:tcW w:w="1480" w:type="dxa"/>
            <w:vAlign w:val="bottom"/>
            <w:tcBorders>
              <w:bottom w:val="single" w:sz="8" w:color="B6B6B6"/>
              <w:right w:val="single" w:sz="8" w:color="EE2724"/>
            </w:tcBorders>
            <w:shd w:val="clear" w:color="auto" w:fill="EE2724"/>
          </w:tcPr>
          <w:p>
            <w:pPr>
              <w:spacing w:after="0"/>
              <w:rPr>
                <w:sz w:val="15"/>
                <w:szCs w:val="15"/>
                <w:color w:val="auto"/>
              </w:rPr>
            </w:pPr>
          </w:p>
        </w:tc>
        <w:tc>
          <w:tcPr>
            <w:tcW w:w="1580" w:type="dxa"/>
            <w:vAlign w:val="bottom"/>
            <w:tcBorders>
              <w:bottom w:val="single" w:sz="8" w:color="B6B6B6"/>
            </w:tcBorders>
            <w:shd w:val="clear" w:color="auto" w:fill="EE2724"/>
          </w:tcPr>
          <w:p>
            <w:pPr>
              <w:jc w:val="center"/>
              <w:spacing w:after="0"/>
              <w:rPr>
                <w:sz w:val="20"/>
                <w:szCs w:val="20"/>
                <w:color w:val="auto"/>
              </w:rPr>
            </w:pPr>
            <w:r>
              <w:rPr>
                <w:rFonts w:ascii="Arial" w:cs="Arial" w:eastAsia="Arial" w:hAnsi="Arial"/>
                <w:sz w:val="12"/>
                <w:szCs w:val="12"/>
                <w:b w:val="1"/>
                <w:bCs w:val="1"/>
                <w:color w:val="FFFFFF"/>
                <w:w w:val="95"/>
              </w:rPr>
              <w:t>(3)</w:t>
            </w:r>
          </w:p>
        </w:tc>
        <w:tc>
          <w:tcPr>
            <w:tcW w:w="20" w:type="dxa"/>
            <w:vAlign w:val="bottom"/>
            <w:tcBorders>
              <w:bottom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260" w:type="dxa"/>
            <w:vAlign w:val="bottom"/>
            <w:tcBorders>
              <w:left w:val="single" w:sz="8" w:color="B6B6B6"/>
              <w:right w:val="single" w:sz="8" w:color="B6B6B6"/>
            </w:tcBorders>
            <w:shd w:val="clear" w:color="auto" w:fill="DBDBDB"/>
          </w:tcPr>
          <w:p>
            <w:pPr>
              <w:ind w:left="40"/>
              <w:spacing w:after="0" w:line="177" w:lineRule="exact"/>
              <w:rPr>
                <w:sz w:val="20"/>
                <w:szCs w:val="20"/>
                <w:color w:val="auto"/>
              </w:rPr>
            </w:pPr>
            <w:r>
              <w:rPr>
                <w:rFonts w:ascii="Arial" w:cs="Arial" w:eastAsia="Arial" w:hAnsi="Arial"/>
                <w:sz w:val="18"/>
                <w:szCs w:val="18"/>
                <w:color w:val="auto"/>
              </w:rPr>
              <w:t>DD Revocable Trust</w:t>
            </w:r>
          </w:p>
        </w:tc>
        <w:tc>
          <w:tcPr>
            <w:tcW w:w="1800" w:type="dxa"/>
            <w:vAlign w:val="bottom"/>
            <w:tcBorders>
              <w:right w:val="single" w:sz="8" w:color="B6B6B6"/>
            </w:tcBorders>
            <w:vMerge w:val="restart"/>
            <w:shd w:val="clear" w:color="auto" w:fill="DBDBDB"/>
          </w:tcPr>
          <w:p>
            <w:pPr>
              <w:jc w:val="right"/>
              <w:ind w:right="430"/>
              <w:spacing w:after="0"/>
              <w:rPr>
                <w:sz w:val="20"/>
                <w:szCs w:val="20"/>
                <w:color w:val="auto"/>
              </w:rPr>
            </w:pPr>
            <w:r>
              <w:rPr>
                <w:rFonts w:ascii="Arial" w:cs="Arial" w:eastAsia="Arial" w:hAnsi="Arial"/>
                <w:sz w:val="18"/>
                <w:szCs w:val="18"/>
                <w:color w:val="auto"/>
              </w:rPr>
              <w:t xml:space="preserve">15,283,672 </w:t>
            </w:r>
            <w:r>
              <w:rPr>
                <w:rFonts w:ascii="Arial" w:cs="Arial" w:eastAsia="Arial" w:hAnsi="Arial"/>
                <w:sz w:val="23"/>
                <w:szCs w:val="23"/>
                <w:color w:val="auto"/>
                <w:vertAlign w:val="superscript"/>
              </w:rPr>
              <w:t>(4)</w:t>
            </w:r>
          </w:p>
        </w:tc>
        <w:tc>
          <w:tcPr>
            <w:tcW w:w="148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7"/>
              </w:rPr>
              <w:t>11.7%</w:t>
            </w:r>
          </w:p>
        </w:tc>
        <w:tc>
          <w:tcPr>
            <w:tcW w:w="160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180,000.00</w:t>
            </w:r>
          </w:p>
        </w:tc>
        <w:tc>
          <w:tcPr>
            <w:tcW w:w="148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rPr>
              <w:t>100.0%</w:t>
            </w:r>
          </w:p>
        </w:tc>
        <w:tc>
          <w:tcPr>
            <w:tcW w:w="158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7"/>
              </w:rPr>
              <w:t>17.2%</w:t>
            </w: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60" w:type="dxa"/>
            <w:vAlign w:val="bottom"/>
            <w:tcBorders>
              <w:left w:val="single" w:sz="8" w:color="B6B6B6"/>
              <w:right w:val="single" w:sz="8" w:color="B6B6B6"/>
            </w:tcBorders>
            <w:shd w:val="clear" w:color="auto" w:fill="DBDBDB"/>
          </w:tcPr>
          <w:p>
            <w:pPr>
              <w:ind w:left="40"/>
              <w:spacing w:after="0" w:line="181" w:lineRule="exact"/>
              <w:rPr>
                <w:sz w:val="20"/>
                <w:szCs w:val="20"/>
                <w:color w:val="auto"/>
              </w:rPr>
            </w:pPr>
            <w:r>
              <w:rPr>
                <w:rFonts w:ascii="Arial" w:cs="Arial" w:eastAsia="Arial" w:hAnsi="Arial"/>
                <w:sz w:val="18"/>
                <w:szCs w:val="18"/>
                <w:color w:val="auto"/>
              </w:rPr>
              <w:t>3953 Maple Ave, Suite 150</w:t>
            </w:r>
          </w:p>
        </w:tc>
        <w:tc>
          <w:tcPr>
            <w:tcW w:w="1800" w:type="dxa"/>
            <w:vAlign w:val="bottom"/>
            <w:tcBorders>
              <w:right w:val="single" w:sz="8" w:color="B6B6B6"/>
            </w:tcBorders>
            <w:vMerge w:val="continue"/>
            <w:shd w:val="clear" w:color="auto" w:fill="DBDBDB"/>
          </w:tcPr>
          <w:p>
            <w:pPr>
              <w:spacing w:after="0"/>
              <w:rPr>
                <w:sz w:val="15"/>
                <w:szCs w:val="15"/>
                <w:color w:val="auto"/>
              </w:rPr>
            </w:pPr>
          </w:p>
        </w:tc>
        <w:tc>
          <w:tcPr>
            <w:tcW w:w="1480" w:type="dxa"/>
            <w:vAlign w:val="bottom"/>
            <w:tcBorders>
              <w:right w:val="single" w:sz="8" w:color="B6B6B6"/>
            </w:tcBorders>
            <w:vMerge w:val="continue"/>
            <w:shd w:val="clear" w:color="auto" w:fill="DBDBDB"/>
          </w:tcPr>
          <w:p>
            <w:pPr>
              <w:spacing w:after="0"/>
              <w:rPr>
                <w:sz w:val="15"/>
                <w:szCs w:val="15"/>
                <w:color w:val="auto"/>
              </w:rPr>
            </w:pPr>
          </w:p>
        </w:tc>
        <w:tc>
          <w:tcPr>
            <w:tcW w:w="1600" w:type="dxa"/>
            <w:vAlign w:val="bottom"/>
            <w:tcBorders>
              <w:right w:val="single" w:sz="8" w:color="B6B6B6"/>
            </w:tcBorders>
            <w:vMerge w:val="continue"/>
            <w:shd w:val="clear" w:color="auto" w:fill="DBDBDB"/>
          </w:tcPr>
          <w:p>
            <w:pPr>
              <w:spacing w:after="0"/>
              <w:rPr>
                <w:sz w:val="15"/>
                <w:szCs w:val="15"/>
                <w:color w:val="auto"/>
              </w:rPr>
            </w:pPr>
          </w:p>
        </w:tc>
        <w:tc>
          <w:tcPr>
            <w:tcW w:w="1480" w:type="dxa"/>
            <w:vAlign w:val="bottom"/>
            <w:tcBorders>
              <w:right w:val="single" w:sz="8" w:color="B6B6B6"/>
            </w:tcBorders>
            <w:vMerge w:val="continue"/>
            <w:shd w:val="clear" w:color="auto" w:fill="DBDBDB"/>
          </w:tcPr>
          <w:p>
            <w:pPr>
              <w:spacing w:after="0"/>
              <w:rPr>
                <w:sz w:val="15"/>
                <w:szCs w:val="15"/>
                <w:color w:val="auto"/>
              </w:rPr>
            </w:pPr>
          </w:p>
        </w:tc>
        <w:tc>
          <w:tcPr>
            <w:tcW w:w="1580" w:type="dxa"/>
            <w:vAlign w:val="bottom"/>
            <w:vMerge w:val="continue"/>
            <w:shd w:val="clear" w:color="auto" w:fill="DBDBDB"/>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Dallas, TX 75205</w:t>
            </w:r>
          </w:p>
        </w:tc>
        <w:tc>
          <w:tcPr>
            <w:tcW w:w="1800" w:type="dxa"/>
            <w:vAlign w:val="bottom"/>
            <w:tcBorders>
              <w:bottom w:val="single" w:sz="8" w:color="B6B6B6"/>
              <w:right w:val="single" w:sz="8" w:color="B6B6B6"/>
            </w:tcBorders>
            <w:shd w:val="clear" w:color="auto" w:fill="DBDBDB"/>
          </w:tcPr>
          <w:p>
            <w:pPr>
              <w:spacing w:after="0"/>
              <w:rPr>
                <w:sz w:val="19"/>
                <w:szCs w:val="19"/>
                <w:color w:val="auto"/>
              </w:rPr>
            </w:pPr>
          </w:p>
        </w:tc>
        <w:tc>
          <w:tcPr>
            <w:tcW w:w="1480" w:type="dxa"/>
            <w:vAlign w:val="bottom"/>
            <w:tcBorders>
              <w:bottom w:val="single" w:sz="8" w:color="B6B6B6"/>
              <w:right w:val="single" w:sz="8" w:color="B6B6B6"/>
            </w:tcBorders>
            <w:shd w:val="clear" w:color="auto" w:fill="DBDBDB"/>
          </w:tcPr>
          <w:p>
            <w:pPr>
              <w:spacing w:after="0"/>
              <w:rPr>
                <w:sz w:val="19"/>
                <w:szCs w:val="19"/>
                <w:color w:val="auto"/>
              </w:rPr>
            </w:pPr>
          </w:p>
        </w:tc>
        <w:tc>
          <w:tcPr>
            <w:tcW w:w="1600" w:type="dxa"/>
            <w:vAlign w:val="bottom"/>
            <w:tcBorders>
              <w:bottom w:val="single" w:sz="8" w:color="B6B6B6"/>
              <w:right w:val="single" w:sz="8" w:color="B6B6B6"/>
            </w:tcBorders>
            <w:shd w:val="clear" w:color="auto" w:fill="DBDBDB"/>
          </w:tcPr>
          <w:p>
            <w:pPr>
              <w:spacing w:after="0"/>
              <w:rPr>
                <w:sz w:val="19"/>
                <w:szCs w:val="19"/>
                <w:color w:val="auto"/>
              </w:rPr>
            </w:pPr>
          </w:p>
        </w:tc>
        <w:tc>
          <w:tcPr>
            <w:tcW w:w="1480" w:type="dxa"/>
            <w:vAlign w:val="bottom"/>
            <w:tcBorders>
              <w:bottom w:val="single" w:sz="8" w:color="B6B6B6"/>
              <w:right w:val="single" w:sz="8" w:color="B6B6B6"/>
            </w:tcBorders>
            <w:shd w:val="clear" w:color="auto" w:fill="DBDBDB"/>
          </w:tcPr>
          <w:p>
            <w:pPr>
              <w:spacing w:after="0"/>
              <w:rPr>
                <w:sz w:val="19"/>
                <w:szCs w:val="19"/>
                <w:color w:val="auto"/>
              </w:rPr>
            </w:pPr>
          </w:p>
        </w:tc>
        <w:tc>
          <w:tcPr>
            <w:tcW w:w="1580" w:type="dxa"/>
            <w:vAlign w:val="bottom"/>
            <w:tcBorders>
              <w:bottom w:val="single" w:sz="8" w:color="B6B6B6"/>
            </w:tcBorders>
            <w:shd w:val="clear" w:color="auto" w:fill="DBDBDB"/>
          </w:tcPr>
          <w:p>
            <w:pPr>
              <w:spacing w:after="0"/>
              <w:rPr>
                <w:sz w:val="19"/>
                <w:szCs w:val="19"/>
                <w:color w:val="auto"/>
              </w:rPr>
            </w:pPr>
          </w:p>
        </w:tc>
        <w:tc>
          <w:tcPr>
            <w:tcW w:w="2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60" w:type="dxa"/>
            <w:vAlign w:val="bottom"/>
            <w:tcBorders>
              <w:left w:val="single" w:sz="8" w:color="B6B6B6"/>
              <w:right w:val="single" w:sz="8" w:color="B6B6B6"/>
            </w:tcBorders>
          </w:tcPr>
          <w:p>
            <w:pPr>
              <w:ind w:left="40"/>
              <w:spacing w:after="0" w:line="177" w:lineRule="exact"/>
              <w:rPr>
                <w:sz w:val="20"/>
                <w:szCs w:val="20"/>
                <w:color w:val="auto"/>
              </w:rPr>
            </w:pPr>
            <w:r>
              <w:rPr>
                <w:rFonts w:ascii="Arial" w:cs="Arial" w:eastAsia="Arial" w:hAnsi="Arial"/>
                <w:sz w:val="18"/>
                <w:szCs w:val="18"/>
                <w:color w:val="auto"/>
              </w:rPr>
              <w:t>BlackRock, Inc.</w:t>
            </w:r>
          </w:p>
        </w:tc>
        <w:tc>
          <w:tcPr>
            <w:tcW w:w="1800" w:type="dxa"/>
            <w:vAlign w:val="bottom"/>
            <w:tcBorders>
              <w:right w:val="single" w:sz="8" w:color="B6B6B6"/>
            </w:tcBorders>
            <w:vMerge w:val="restart"/>
          </w:tcPr>
          <w:p>
            <w:pPr>
              <w:jc w:val="right"/>
              <w:ind w:right="430"/>
              <w:spacing w:after="0"/>
              <w:rPr>
                <w:sz w:val="20"/>
                <w:szCs w:val="20"/>
                <w:color w:val="auto"/>
              </w:rPr>
            </w:pPr>
            <w:r>
              <w:rPr>
                <w:rFonts w:ascii="Arial" w:cs="Arial" w:eastAsia="Arial" w:hAnsi="Arial"/>
                <w:sz w:val="18"/>
                <w:szCs w:val="18"/>
                <w:color w:val="auto"/>
              </w:rPr>
              <w:t xml:space="preserve">10,421,815 </w:t>
            </w:r>
            <w:r>
              <w:rPr>
                <w:rFonts w:ascii="Arial" w:cs="Arial" w:eastAsia="Arial" w:hAnsi="Arial"/>
                <w:sz w:val="23"/>
                <w:szCs w:val="23"/>
                <w:color w:val="auto"/>
                <w:vertAlign w:val="superscript"/>
              </w:rPr>
              <w:t>(5)</w:t>
            </w:r>
          </w:p>
        </w:tc>
        <w:tc>
          <w:tcPr>
            <w:tcW w:w="14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rPr>
              <w:t>8.0%</w:t>
            </w:r>
          </w:p>
        </w:tc>
        <w:tc>
          <w:tcPr>
            <w:tcW w:w="1600" w:type="dxa"/>
            <w:vAlign w:val="bottom"/>
            <w:tcBorders>
              <w:right w:val="single" w:sz="8" w:color="B6B6B6"/>
            </w:tcBorders>
          </w:tcPr>
          <w:p>
            <w:pPr>
              <w:spacing w:after="0"/>
              <w:rPr>
                <w:sz w:val="15"/>
                <w:szCs w:val="15"/>
                <w:color w:val="auto"/>
              </w:rPr>
            </w:pPr>
          </w:p>
        </w:tc>
        <w:tc>
          <w:tcPr>
            <w:tcW w:w="1480" w:type="dxa"/>
            <w:vAlign w:val="bottom"/>
            <w:tcBorders>
              <w:right w:val="single" w:sz="8" w:color="B6B6B6"/>
            </w:tcBorders>
          </w:tcPr>
          <w:p>
            <w:pPr>
              <w:spacing w:after="0"/>
              <w:rPr>
                <w:sz w:val="15"/>
                <w:szCs w:val="15"/>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rPr>
              <w:t>7.6%</w:t>
            </w: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260" w:type="dxa"/>
            <w:vAlign w:val="bottom"/>
            <w:tcBorders>
              <w:left w:val="single" w:sz="8" w:color="B6B6B6"/>
              <w:right w:val="single" w:sz="8" w:color="B6B6B6"/>
            </w:tcBorders>
          </w:tcPr>
          <w:p>
            <w:pPr>
              <w:ind w:left="40"/>
              <w:spacing w:after="0" w:line="181" w:lineRule="exact"/>
              <w:rPr>
                <w:sz w:val="20"/>
                <w:szCs w:val="20"/>
                <w:color w:val="auto"/>
              </w:rPr>
            </w:pPr>
            <w:r>
              <w:rPr>
                <w:rFonts w:ascii="Arial" w:cs="Arial" w:eastAsia="Arial" w:hAnsi="Arial"/>
                <w:sz w:val="18"/>
                <w:szCs w:val="18"/>
                <w:color w:val="auto"/>
              </w:rPr>
              <w:t>55 East 52nd Street</w:t>
            </w:r>
          </w:p>
        </w:tc>
        <w:tc>
          <w:tcPr>
            <w:tcW w:w="1800" w:type="dxa"/>
            <w:vAlign w:val="bottom"/>
            <w:tcBorders>
              <w:right w:val="single" w:sz="8" w:color="B6B6B6"/>
            </w:tcBorders>
            <w:vMerge w:val="continue"/>
          </w:tcPr>
          <w:p>
            <w:pPr>
              <w:spacing w:after="0"/>
              <w:rPr>
                <w:sz w:val="15"/>
                <w:szCs w:val="15"/>
                <w:color w:val="auto"/>
              </w:rPr>
            </w:pPr>
          </w:p>
        </w:tc>
        <w:tc>
          <w:tcPr>
            <w:tcW w:w="1480" w:type="dxa"/>
            <w:vAlign w:val="bottom"/>
            <w:tcBorders>
              <w:right w:val="single" w:sz="8" w:color="B6B6B6"/>
            </w:tcBorders>
            <w:vMerge w:val="continue"/>
          </w:tcPr>
          <w:p>
            <w:pPr>
              <w:spacing w:after="0"/>
              <w:rPr>
                <w:sz w:val="15"/>
                <w:szCs w:val="15"/>
                <w:color w:val="auto"/>
              </w:rPr>
            </w:pPr>
          </w:p>
        </w:tc>
        <w:tc>
          <w:tcPr>
            <w:tcW w:w="1600" w:type="dxa"/>
            <w:vAlign w:val="bottom"/>
            <w:tcBorders>
              <w:right w:val="single" w:sz="8" w:color="B6B6B6"/>
            </w:tcBorders>
          </w:tcPr>
          <w:p>
            <w:pPr>
              <w:spacing w:after="0"/>
              <w:rPr>
                <w:sz w:val="15"/>
                <w:szCs w:val="15"/>
                <w:color w:val="auto"/>
              </w:rPr>
            </w:pPr>
          </w:p>
        </w:tc>
        <w:tc>
          <w:tcPr>
            <w:tcW w:w="1480" w:type="dxa"/>
            <w:vAlign w:val="bottom"/>
            <w:tcBorders>
              <w:right w:val="single" w:sz="8" w:color="B6B6B6"/>
            </w:tcBorders>
          </w:tcPr>
          <w:p>
            <w:pPr>
              <w:spacing w:after="0"/>
              <w:rPr>
                <w:sz w:val="15"/>
                <w:szCs w:val="15"/>
                <w:color w:val="auto"/>
              </w:rPr>
            </w:pPr>
          </w:p>
        </w:tc>
        <w:tc>
          <w:tcPr>
            <w:tcW w:w="1580" w:type="dxa"/>
            <w:vAlign w:val="bottom"/>
            <w:vMerge w:val="continue"/>
          </w:tcPr>
          <w:p>
            <w:pPr>
              <w:spacing w:after="0"/>
              <w:rPr>
                <w:sz w:val="15"/>
                <w:szCs w:val="15"/>
                <w:color w:val="auto"/>
              </w:rPr>
            </w:pPr>
          </w:p>
        </w:tc>
        <w:tc>
          <w:tcPr>
            <w:tcW w:w="2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New York, NY 10055</w:t>
            </w:r>
          </w:p>
        </w:tc>
        <w:tc>
          <w:tcPr>
            <w:tcW w:w="1800" w:type="dxa"/>
            <w:vAlign w:val="bottom"/>
            <w:tcBorders>
              <w:bottom w:val="single" w:sz="8" w:color="B6B6B6"/>
              <w:right w:val="single" w:sz="8" w:color="B6B6B6"/>
            </w:tcBorders>
          </w:tcPr>
          <w:p>
            <w:pPr>
              <w:spacing w:after="0"/>
              <w:rPr>
                <w:sz w:val="19"/>
                <w:szCs w:val="19"/>
                <w:color w:val="auto"/>
              </w:rPr>
            </w:pPr>
          </w:p>
        </w:tc>
        <w:tc>
          <w:tcPr>
            <w:tcW w:w="1480" w:type="dxa"/>
            <w:vAlign w:val="bottom"/>
            <w:tcBorders>
              <w:bottom w:val="single" w:sz="8" w:color="B6B6B6"/>
              <w:right w:val="single" w:sz="8" w:color="B6B6B6"/>
            </w:tcBorders>
          </w:tcPr>
          <w:p>
            <w:pPr>
              <w:spacing w:after="0"/>
              <w:rPr>
                <w:sz w:val="19"/>
                <w:szCs w:val="19"/>
                <w:color w:val="auto"/>
              </w:rPr>
            </w:pPr>
          </w:p>
        </w:tc>
        <w:tc>
          <w:tcPr>
            <w:tcW w:w="1600" w:type="dxa"/>
            <w:vAlign w:val="bottom"/>
            <w:tcBorders>
              <w:bottom w:val="single" w:sz="8" w:color="B6B6B6"/>
              <w:right w:val="single" w:sz="8" w:color="B6B6B6"/>
            </w:tcBorders>
          </w:tcPr>
          <w:p>
            <w:pPr>
              <w:spacing w:after="0"/>
              <w:rPr>
                <w:sz w:val="19"/>
                <w:szCs w:val="19"/>
                <w:color w:val="auto"/>
              </w:rPr>
            </w:pPr>
          </w:p>
        </w:tc>
        <w:tc>
          <w:tcPr>
            <w:tcW w:w="1480" w:type="dxa"/>
            <w:vAlign w:val="bottom"/>
            <w:tcBorders>
              <w:bottom w:val="single" w:sz="8" w:color="B6B6B6"/>
              <w:right w:val="single" w:sz="8" w:color="B6B6B6"/>
            </w:tcBorders>
          </w:tcPr>
          <w:p>
            <w:pPr>
              <w:spacing w:after="0"/>
              <w:rPr>
                <w:sz w:val="19"/>
                <w:szCs w:val="19"/>
                <w:color w:val="auto"/>
              </w:rPr>
            </w:pPr>
          </w:p>
        </w:tc>
        <w:tc>
          <w:tcPr>
            <w:tcW w:w="1580" w:type="dxa"/>
            <w:vAlign w:val="bottom"/>
            <w:tcBorders>
              <w:bottom w:val="single" w:sz="8" w:color="B6B6B6"/>
            </w:tcBorders>
          </w:tcPr>
          <w:p>
            <w:pPr>
              <w:spacing w:after="0"/>
              <w:rPr>
                <w:sz w:val="19"/>
                <w:szCs w:val="19"/>
                <w:color w:val="auto"/>
              </w:rPr>
            </w:pPr>
          </w:p>
        </w:tc>
        <w:tc>
          <w:tcPr>
            <w:tcW w:w="2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60" w:type="dxa"/>
            <w:vAlign w:val="bottom"/>
            <w:tcBorders>
              <w:left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The Goldman Sacs Group, Inc. 200</w:t>
            </w:r>
          </w:p>
        </w:tc>
        <w:tc>
          <w:tcPr>
            <w:tcW w:w="1800" w:type="dxa"/>
            <w:vAlign w:val="bottom"/>
            <w:tcBorders>
              <w:right w:val="single" w:sz="8" w:color="B6B6B6"/>
            </w:tcBorders>
            <w:shd w:val="clear" w:color="auto" w:fill="DBDBDB"/>
          </w:tcPr>
          <w:p>
            <w:pPr>
              <w:jc w:val="right"/>
              <w:ind w:right="450"/>
              <w:spacing w:after="0"/>
              <w:rPr>
                <w:sz w:val="20"/>
                <w:szCs w:val="20"/>
                <w:color w:val="auto"/>
              </w:rPr>
            </w:pPr>
            <w:r>
              <w:rPr>
                <w:rFonts w:ascii="Arial" w:cs="Arial" w:eastAsia="Arial" w:hAnsi="Arial"/>
                <w:sz w:val="18"/>
                <w:szCs w:val="18"/>
                <w:color w:val="auto"/>
              </w:rPr>
              <w:t xml:space="preserve">9,727,573 </w:t>
            </w:r>
            <w:r>
              <w:rPr>
                <w:rFonts w:ascii="Arial" w:cs="Arial" w:eastAsia="Arial" w:hAnsi="Arial"/>
                <w:sz w:val="23"/>
                <w:szCs w:val="23"/>
                <w:color w:val="auto"/>
                <w:vertAlign w:val="superscript"/>
              </w:rPr>
              <w:t>(6)</w:t>
            </w:r>
          </w:p>
        </w:tc>
        <w:tc>
          <w:tcPr>
            <w:tcW w:w="1480" w:type="dxa"/>
            <w:vAlign w:val="bottom"/>
            <w:tcBorders>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7.4%</w:t>
            </w:r>
          </w:p>
        </w:tc>
        <w:tc>
          <w:tcPr>
            <w:tcW w:w="1600" w:type="dxa"/>
            <w:vAlign w:val="bottom"/>
            <w:tcBorders>
              <w:right w:val="single" w:sz="8" w:color="B6B6B6"/>
            </w:tcBorders>
            <w:shd w:val="clear" w:color="auto" w:fill="DBDBDB"/>
          </w:tcPr>
          <w:p>
            <w:pPr>
              <w:spacing w:after="0"/>
              <w:rPr>
                <w:sz w:val="22"/>
                <w:szCs w:val="22"/>
                <w:color w:val="auto"/>
              </w:rPr>
            </w:pPr>
          </w:p>
        </w:tc>
        <w:tc>
          <w:tcPr>
            <w:tcW w:w="1480" w:type="dxa"/>
            <w:vAlign w:val="bottom"/>
            <w:tcBorders>
              <w:right w:val="single" w:sz="8" w:color="B6B6B6"/>
            </w:tcBorders>
            <w:shd w:val="clear" w:color="auto" w:fill="DBDBDB"/>
          </w:tcPr>
          <w:p>
            <w:pPr>
              <w:spacing w:after="0"/>
              <w:rPr>
                <w:sz w:val="22"/>
                <w:szCs w:val="22"/>
                <w:color w:val="auto"/>
              </w:rPr>
            </w:pPr>
          </w:p>
        </w:tc>
        <w:tc>
          <w:tcPr>
            <w:tcW w:w="15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7.1%</w:t>
            </w:r>
          </w:p>
        </w:tc>
        <w:tc>
          <w:tcPr>
            <w:tcW w:w="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260" w:type="dxa"/>
            <w:vAlign w:val="bottom"/>
            <w:tcBorders>
              <w:left w:val="single" w:sz="8" w:color="B6B6B6"/>
              <w:bottom w:val="single" w:sz="8" w:color="B6B6B6"/>
              <w:right w:val="single" w:sz="8" w:color="B6B6B6"/>
            </w:tcBorders>
            <w:shd w:val="clear" w:color="auto" w:fill="DBDBDB"/>
          </w:tcPr>
          <w:p>
            <w:pPr>
              <w:ind w:left="40"/>
              <w:spacing w:after="0" w:line="149" w:lineRule="exact"/>
              <w:rPr>
                <w:sz w:val="20"/>
                <w:szCs w:val="20"/>
                <w:color w:val="auto"/>
              </w:rPr>
            </w:pPr>
            <w:r>
              <w:rPr>
                <w:rFonts w:ascii="Arial" w:cs="Arial" w:eastAsia="Arial" w:hAnsi="Arial"/>
                <w:sz w:val="17"/>
                <w:szCs w:val="17"/>
                <w:color w:val="auto"/>
              </w:rPr>
              <w:t>West Street, NY 10282</w:t>
            </w:r>
          </w:p>
        </w:tc>
        <w:tc>
          <w:tcPr>
            <w:tcW w:w="1800" w:type="dxa"/>
            <w:vAlign w:val="bottom"/>
            <w:tcBorders>
              <w:bottom w:val="single" w:sz="8" w:color="B6B6B6"/>
              <w:right w:val="single" w:sz="8" w:color="B6B6B6"/>
            </w:tcBorders>
            <w:shd w:val="clear" w:color="auto" w:fill="DBDBDB"/>
          </w:tcPr>
          <w:p>
            <w:pPr>
              <w:spacing w:after="0"/>
              <w:rPr>
                <w:sz w:val="12"/>
                <w:szCs w:val="12"/>
                <w:color w:val="auto"/>
              </w:rPr>
            </w:pPr>
          </w:p>
        </w:tc>
        <w:tc>
          <w:tcPr>
            <w:tcW w:w="1480" w:type="dxa"/>
            <w:vAlign w:val="bottom"/>
            <w:tcBorders>
              <w:bottom w:val="single" w:sz="8" w:color="B6B6B6"/>
              <w:right w:val="single" w:sz="8" w:color="B6B6B6"/>
            </w:tcBorders>
            <w:shd w:val="clear" w:color="auto" w:fill="DBDBDB"/>
          </w:tcPr>
          <w:p>
            <w:pPr>
              <w:spacing w:after="0"/>
              <w:rPr>
                <w:sz w:val="12"/>
                <w:szCs w:val="12"/>
                <w:color w:val="auto"/>
              </w:rPr>
            </w:pPr>
          </w:p>
        </w:tc>
        <w:tc>
          <w:tcPr>
            <w:tcW w:w="1600" w:type="dxa"/>
            <w:vAlign w:val="bottom"/>
            <w:tcBorders>
              <w:bottom w:val="single" w:sz="8" w:color="B6B6B6"/>
              <w:right w:val="single" w:sz="8" w:color="B6B6B6"/>
            </w:tcBorders>
            <w:shd w:val="clear" w:color="auto" w:fill="DBDBDB"/>
          </w:tcPr>
          <w:p>
            <w:pPr>
              <w:spacing w:after="0"/>
              <w:rPr>
                <w:sz w:val="12"/>
                <w:szCs w:val="12"/>
                <w:color w:val="auto"/>
              </w:rPr>
            </w:pPr>
          </w:p>
        </w:tc>
        <w:tc>
          <w:tcPr>
            <w:tcW w:w="1480" w:type="dxa"/>
            <w:vAlign w:val="bottom"/>
            <w:tcBorders>
              <w:bottom w:val="single" w:sz="8" w:color="B6B6B6"/>
              <w:right w:val="single" w:sz="8" w:color="B6B6B6"/>
            </w:tcBorders>
            <w:shd w:val="clear" w:color="auto" w:fill="DBDBDB"/>
          </w:tcPr>
          <w:p>
            <w:pPr>
              <w:spacing w:after="0"/>
              <w:rPr>
                <w:sz w:val="12"/>
                <w:szCs w:val="12"/>
                <w:color w:val="auto"/>
              </w:rPr>
            </w:pPr>
          </w:p>
        </w:tc>
        <w:tc>
          <w:tcPr>
            <w:tcW w:w="1580" w:type="dxa"/>
            <w:vAlign w:val="bottom"/>
            <w:tcBorders>
              <w:bottom w:val="single" w:sz="8" w:color="B6B6B6"/>
            </w:tcBorders>
            <w:shd w:val="clear" w:color="auto" w:fill="DBDBDB"/>
          </w:tcPr>
          <w:p>
            <w:pPr>
              <w:spacing w:after="0"/>
              <w:rPr>
                <w:sz w:val="12"/>
                <w:szCs w:val="12"/>
                <w:color w:val="auto"/>
              </w:rPr>
            </w:pPr>
          </w:p>
        </w:tc>
        <w:tc>
          <w:tcPr>
            <w:tcW w:w="20" w:type="dxa"/>
            <w:vAlign w:val="bottom"/>
            <w:tcBorders>
              <w:bottom w:val="single" w:sz="8" w:color="B6B6B6"/>
            </w:tcBorders>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260" w:type="dxa"/>
            <w:vAlign w:val="bottom"/>
          </w:tcPr>
          <w:p>
            <w:pPr>
              <w:spacing w:after="0"/>
              <w:rPr>
                <w:sz w:val="20"/>
                <w:szCs w:val="20"/>
                <w:color w:val="auto"/>
              </w:rPr>
            </w:pPr>
            <w:r>
              <w:rPr>
                <w:rFonts w:ascii="Arial" w:cs="Arial" w:eastAsia="Arial" w:hAnsi="Arial"/>
                <w:sz w:val="18"/>
                <w:szCs w:val="18"/>
                <w:color w:val="auto"/>
              </w:rPr>
              <w:t>________</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360" w:hanging="172"/>
        <w:spacing w:after="0" w:line="245" w:lineRule="auto"/>
        <w:tabs>
          <w:tab w:leader="none" w:pos="211"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Beneficial ownership is determined in accordance with Rule 13d-3 of the Exchange Act, and includes voting or dispositive power with respect to securities. The information provided in this table is based solely upon the information contained in the most recent Schedule 13G or 13G/A (or in the case of the DD Revocable Trust, the most recent Schedule 13D/A) filed by the named entity with the SEC.</w:t>
      </w:r>
    </w:p>
    <w:p>
      <w:pPr>
        <w:spacing w:after="0" w:line="1" w:lineRule="exact"/>
        <w:rPr>
          <w:rFonts w:ascii="Arial" w:cs="Arial" w:eastAsia="Arial" w:hAnsi="Arial"/>
          <w:sz w:val="22"/>
          <w:szCs w:val="22"/>
          <w:color w:val="auto"/>
          <w:vertAlign w:val="superscript"/>
        </w:rPr>
      </w:pPr>
    </w:p>
    <w:p>
      <w:pPr>
        <w:ind w:left="180" w:right="40" w:hanging="172"/>
        <w:spacing w:after="0" w:line="219" w:lineRule="auto"/>
        <w:tabs>
          <w:tab w:leader="none" w:pos="211"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Percentage ownership of our Series A Preferred Stock in the table is based on 180,000 shares of Series A Preferred Stock outstanding as of April 2, 2026.</w:t>
      </w:r>
    </w:p>
    <w:p>
      <w:pPr>
        <w:spacing w:after="0" w:line="1" w:lineRule="exact"/>
        <w:rPr>
          <w:rFonts w:ascii="Arial" w:cs="Arial" w:eastAsia="Arial" w:hAnsi="Arial"/>
          <w:sz w:val="23"/>
          <w:szCs w:val="23"/>
          <w:color w:val="auto"/>
          <w:vertAlign w:val="superscript"/>
        </w:rPr>
      </w:pPr>
    </w:p>
    <w:p>
      <w:pPr>
        <w:ind w:left="180" w:right="120" w:hanging="172"/>
        <w:spacing w:after="0" w:line="238" w:lineRule="auto"/>
        <w:tabs>
          <w:tab w:leader="none" w:pos="211"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As of April 2, 2026, there were 130,776,253 shares of our Common Stock and 180,000 shares of our Series A Preferred Stock outstanding. Each share of Common Stock is entitled to one vote on each matter voted upon. Holders of shares of Series A Preferred Stock are entitled to vote with the holders of shares of Common Stock, as a single class. The shares of Series A Preferred Stock were convertible into 6,741,572 shares of Common Stock as of April 2, 2026, and are entitled to one vote for each 10 shares of Common Stock into which they are convertible. As a result, the shares of Series A Preferred Stock are entitled to an aggregate of 674,157 votes. This column is intended to show total current voting power, and does not take into account shares of our Common Stock that may be acquired within 60 days of April 2, 2026, pursuant to the conversion of Series A Preferred Stock.</w:t>
      </w:r>
    </w:p>
    <w:p>
      <w:pPr>
        <w:spacing w:after="0" w:line="4" w:lineRule="exact"/>
        <w:rPr>
          <w:rFonts w:ascii="Arial" w:cs="Arial" w:eastAsia="Arial" w:hAnsi="Arial"/>
          <w:sz w:val="23"/>
          <w:szCs w:val="23"/>
          <w:color w:val="auto"/>
          <w:vertAlign w:val="superscript"/>
        </w:rPr>
      </w:pPr>
    </w:p>
    <w:p>
      <w:pPr>
        <w:ind w:left="180" w:right="20" w:hanging="172"/>
        <w:spacing w:after="0" w:line="228" w:lineRule="auto"/>
        <w:tabs>
          <w:tab w:leader="none" w:pos="211"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on information provided to the Company by the DD Revocable Trust, the DD Revocable Trust has sole voting power and sole dispositive power for 15,283,672 shares of Common Stock (including 6,741,572 Shares issuable upon the conversion of 180,000 shares of Series A Preferred Stock). Such amounts do not include 7,641,828 warrants to purchase Common Stock received by the DD Revocable Trust in a distribution to all shareholders by the Issuer on February 12, 2026 at a ratio of one Warrant for every two Shares held as of the record date. Each Warrant entitles the holder to purchase one Share at an exercise price of $8.00 per Warrant, subject to the Issuer’s right to voluntarily decrease such exercise price in its sole and absolute discretion from time to time. The Warrants are expected to expire and cease to be exercisable on February 11, 2028, unless certain conditions are met for an earlier expiration date. If such Warrants, which are currently significantly underwater, were included in ownership for purposes of this Statement, the Trust would beneficially own an aggregate of 22,925,500 Shares, which represents 16.03% of the outstanding Shares, calculated pursuant to applicable SEC rules and guidance.</w:t>
      </w:r>
    </w:p>
    <w:p>
      <w:pPr>
        <w:spacing w:after="0" w:line="4" w:lineRule="exact"/>
        <w:rPr>
          <w:rFonts w:ascii="Arial" w:cs="Arial" w:eastAsia="Arial" w:hAnsi="Arial"/>
          <w:sz w:val="23"/>
          <w:szCs w:val="23"/>
          <w:color w:val="auto"/>
          <w:vertAlign w:val="superscript"/>
        </w:rPr>
      </w:pPr>
    </w:p>
    <w:p>
      <w:pPr>
        <w:ind w:left="180" w:right="20" w:hanging="172"/>
        <w:spacing w:after="0" w:line="234" w:lineRule="auto"/>
        <w:tabs>
          <w:tab w:leader="none" w:pos="211"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solely on the Schedule 13G/A filed on October 17, 2025, BlackRock, Inc. and its subsidiary companies have sole voting power for 10,142,624 shares of Common Stock, sole dispositive power for 10,421,815 shares of Common Stock, shared voting power for 0 shares of Common Stock and shared dispositive power for 0 shares of Common Stock. BlackRock, Inc. is a registered investment adviser under the Investment Advisers Act of 1940, as amended, and has subsidiaries that are also investment advisers under the Investment Advisers Act with beneficial ownership of the reported shares.</w:t>
      </w:r>
    </w:p>
    <w:p>
      <w:pPr>
        <w:spacing w:after="0" w:line="1" w:lineRule="exact"/>
        <w:rPr>
          <w:rFonts w:ascii="Arial" w:cs="Arial" w:eastAsia="Arial" w:hAnsi="Arial"/>
          <w:sz w:val="23"/>
          <w:szCs w:val="23"/>
          <w:color w:val="auto"/>
          <w:vertAlign w:val="superscript"/>
        </w:rPr>
      </w:pPr>
    </w:p>
    <w:p>
      <w:pPr>
        <w:ind w:left="180" w:right="40" w:hanging="172"/>
        <w:spacing w:after="0" w:line="215" w:lineRule="auto"/>
        <w:tabs>
          <w:tab w:leader="none" w:pos="211"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solely on the Schedule 13G filed on February 12, 2026, The Goldman Sachs Group, Inc. and Goldman Sachs &amp; Co. LLC have sole voting power for 0 shares of Common Stock, sole dispositive power for 0 shares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9" w:name="page30"/>
    <w:bookmarkEnd w:id="29"/>
    <w:p>
      <w:pPr>
        <w:ind w:left="180" w:right="60"/>
        <w:spacing w:after="0" w:line="271" w:lineRule="auto"/>
        <w:rPr>
          <w:sz w:val="20"/>
          <w:szCs w:val="20"/>
          <w:color w:val="auto"/>
        </w:rPr>
      </w:pPr>
      <w:r>
        <w:rPr>
          <w:rFonts w:ascii="Arial" w:cs="Arial" w:eastAsia="Arial" w:hAnsi="Arial"/>
          <w:sz w:val="18"/>
          <w:szCs w:val="18"/>
          <w:color w:val="auto"/>
        </w:rPr>
        <w:t>of Common Stock, shared voting power for 9,727,095.90 shares of Common Stock, and shared dispositive power for 9,727,095.90 shares of Common Stock.</w:t>
      </w:r>
    </w:p>
    <w:p>
      <w:pPr>
        <w:spacing w:after="0" w:line="19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Shares of Common Stock of the Company owned beneficially by the directors and nominees for director, our named executive officers, and all directors and current executive officers as a group, as of April 2, 2026, were as follows.</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360" w:type="dxa"/>
            <w:vAlign w:val="bottom"/>
            <w:tcBorders>
              <w:left w:val="single" w:sz="8" w:color="B6B6B6"/>
              <w:right w:val="single" w:sz="8" w:color="B6B6B6"/>
            </w:tcBorders>
            <w:vMerge w:val="restart"/>
            <w:shd w:val="clear" w:color="auto" w:fill="EE2724"/>
          </w:tcPr>
          <w:p>
            <w:pPr>
              <w:ind w:left="40"/>
              <w:spacing w:after="0"/>
              <w:rPr>
                <w:sz w:val="20"/>
                <w:szCs w:val="20"/>
                <w:color w:val="auto"/>
              </w:rPr>
            </w:pPr>
            <w:r>
              <w:rPr>
                <w:rFonts w:ascii="Arial" w:cs="Arial" w:eastAsia="Arial" w:hAnsi="Arial"/>
                <w:sz w:val="18"/>
                <w:szCs w:val="18"/>
                <w:b w:val="1"/>
                <w:bCs w:val="1"/>
                <w:color w:val="FFFFFF"/>
              </w:rPr>
              <w:t>Name of Beneficial Owner</w:t>
            </w:r>
          </w:p>
        </w:tc>
        <w:tc>
          <w:tcPr>
            <w:tcW w:w="2380" w:type="dxa"/>
            <w:vAlign w:val="bottom"/>
            <w:tcBorders>
              <w:right w:val="single" w:sz="8" w:color="B6B6B6"/>
            </w:tcBorders>
            <w:shd w:val="clear" w:color="auto" w:fill="EE2724"/>
          </w:tcPr>
          <w:p>
            <w:pPr>
              <w:jc w:val="right"/>
              <w:ind w:right="770"/>
              <w:spacing w:after="0"/>
              <w:rPr>
                <w:sz w:val="20"/>
                <w:szCs w:val="20"/>
                <w:color w:val="auto"/>
              </w:rPr>
            </w:pPr>
            <w:r>
              <w:rPr>
                <w:rFonts w:ascii="Arial" w:cs="Arial" w:eastAsia="Arial" w:hAnsi="Arial"/>
                <w:sz w:val="18"/>
                <w:szCs w:val="18"/>
                <w:b w:val="1"/>
                <w:bCs w:val="1"/>
                <w:color w:val="FFFFFF"/>
              </w:rPr>
              <w:t>Amount</w:t>
            </w:r>
          </w:p>
        </w:tc>
        <w:tc>
          <w:tcPr>
            <w:tcW w:w="2400" w:type="dxa"/>
            <w:vAlign w:val="bottom"/>
            <w:tcBorders>
              <w:right w:val="single" w:sz="8" w:color="B6B6B6"/>
            </w:tcBorders>
            <w:shd w:val="clear" w:color="auto" w:fill="EE2724"/>
          </w:tcPr>
          <w:p>
            <w:pPr>
              <w:jc w:val="right"/>
              <w:ind w:right="9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56"/>
        </w:trPr>
        <w:tc>
          <w:tcPr>
            <w:tcW w:w="6360" w:type="dxa"/>
            <w:vAlign w:val="bottom"/>
            <w:tcBorders>
              <w:left w:val="single" w:sz="8" w:color="B6B6B6"/>
              <w:right w:val="single" w:sz="8" w:color="B6B6B6"/>
            </w:tcBorders>
            <w:vMerge w:val="continue"/>
            <w:shd w:val="clear" w:color="auto" w:fill="EE2724"/>
          </w:tcPr>
          <w:p>
            <w:pPr>
              <w:spacing w:after="0"/>
              <w:rPr>
                <w:sz w:val="22"/>
                <w:szCs w:val="22"/>
                <w:color w:val="auto"/>
              </w:rPr>
            </w:pPr>
          </w:p>
        </w:tc>
        <w:tc>
          <w:tcPr>
            <w:tcW w:w="2380" w:type="dxa"/>
            <w:vAlign w:val="bottom"/>
            <w:tcBorders>
              <w:right w:val="single" w:sz="8" w:color="B6B6B6"/>
            </w:tcBorders>
            <w:shd w:val="clear" w:color="auto" w:fill="EE2724"/>
          </w:tcPr>
          <w:p>
            <w:pPr>
              <w:jc w:val="right"/>
              <w:ind w:right="290"/>
              <w:spacing w:after="0"/>
              <w:rPr>
                <w:sz w:val="20"/>
                <w:szCs w:val="20"/>
                <w:color w:val="auto"/>
              </w:rPr>
            </w:pPr>
            <w:r>
              <w:rPr>
                <w:rFonts w:ascii="Arial" w:cs="Arial" w:eastAsia="Arial" w:hAnsi="Arial"/>
                <w:sz w:val="18"/>
                <w:szCs w:val="18"/>
                <w:b w:val="1"/>
                <w:bCs w:val="1"/>
                <w:color w:val="FFFFFF"/>
              </w:rPr>
              <w:t>Beneficially Owned</w:t>
            </w:r>
          </w:p>
        </w:tc>
        <w:tc>
          <w:tcPr>
            <w:tcW w:w="2400" w:type="dxa"/>
            <w:vAlign w:val="bottom"/>
            <w:tcBorders>
              <w:right w:val="single" w:sz="8" w:color="B6B6B6"/>
            </w:tcBorders>
            <w:shd w:val="clear" w:color="auto" w:fill="EE2724"/>
          </w:tcPr>
          <w:p>
            <w:pPr>
              <w:jc w:val="right"/>
              <w:ind w:right="530"/>
              <w:spacing w:after="0"/>
              <w:rPr>
                <w:sz w:val="20"/>
                <w:szCs w:val="20"/>
                <w:color w:val="auto"/>
              </w:rPr>
            </w:pPr>
            <w:r>
              <w:rPr>
                <w:rFonts w:ascii="Arial" w:cs="Arial" w:eastAsia="Arial" w:hAnsi="Arial"/>
                <w:sz w:val="18"/>
                <w:szCs w:val="18"/>
                <w:b w:val="1"/>
                <w:bCs w:val="1"/>
                <w:color w:val="FFFFFF"/>
              </w:rPr>
              <w:t>Stock Interest</w:t>
            </w:r>
          </w:p>
        </w:tc>
        <w:tc>
          <w:tcPr>
            <w:tcW w:w="0" w:type="dxa"/>
            <w:vAlign w:val="bottom"/>
          </w:tcPr>
          <w:p>
            <w:pPr>
              <w:spacing w:after="0"/>
              <w:rPr>
                <w:sz w:val="1"/>
                <w:szCs w:val="1"/>
                <w:color w:val="auto"/>
              </w:rPr>
            </w:pPr>
          </w:p>
        </w:tc>
      </w:tr>
      <w:tr>
        <w:trPr>
          <w:trHeight w:val="230"/>
        </w:trPr>
        <w:tc>
          <w:tcPr>
            <w:tcW w:w="63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Steven J. Bandrowczak</w:t>
            </w:r>
          </w:p>
        </w:tc>
        <w:tc>
          <w:tcPr>
            <w:tcW w:w="23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991,422</w:t>
            </w:r>
          </w:p>
        </w:tc>
        <w:tc>
          <w:tcPr>
            <w:tcW w:w="24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1,655,632</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John Bruno</w:t>
            </w:r>
          </w:p>
        </w:tc>
        <w:tc>
          <w:tcPr>
            <w:tcW w:w="23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691,463</w:t>
            </w:r>
          </w:p>
        </w:tc>
        <w:tc>
          <w:tcPr>
            <w:tcW w:w="24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1,125,473</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Charles Butler</w:t>
            </w:r>
          </w:p>
        </w:tc>
        <w:tc>
          <w:tcPr>
            <w:tcW w:w="23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0</w:t>
            </w:r>
          </w:p>
        </w:tc>
        <w:tc>
          <w:tcPr>
            <w:tcW w:w="24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Flor Colón</w:t>
            </w:r>
          </w:p>
        </w:tc>
        <w:tc>
          <w:tcPr>
            <w:tcW w:w="23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60,562</w:t>
            </w:r>
          </w:p>
        </w:tc>
        <w:tc>
          <w:tcPr>
            <w:tcW w:w="24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195,265</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Tami A. Erwin</w:t>
            </w:r>
            <w:r>
              <w:rPr>
                <w:rFonts w:ascii="Arial" w:cs="Arial" w:eastAsia="Arial" w:hAnsi="Arial"/>
                <w:sz w:val="23"/>
                <w:szCs w:val="23"/>
                <w:color w:val="auto"/>
                <w:vertAlign w:val="superscript"/>
              </w:rPr>
              <w:t>(1)</w:t>
            </w:r>
          </w:p>
        </w:tc>
        <w:tc>
          <w:tcPr>
            <w:tcW w:w="23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61,303</w:t>
            </w:r>
          </w:p>
        </w:tc>
        <w:tc>
          <w:tcPr>
            <w:tcW w:w="24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61,303</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Mirlanda Gecaj</w:t>
            </w:r>
          </w:p>
        </w:tc>
        <w:tc>
          <w:tcPr>
            <w:tcW w:w="23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55,147</w:t>
            </w:r>
          </w:p>
        </w:tc>
        <w:tc>
          <w:tcPr>
            <w:tcW w:w="24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190,483</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Jacques-Edouard Gueden</w:t>
            </w:r>
          </w:p>
        </w:tc>
        <w:tc>
          <w:tcPr>
            <w:tcW w:w="23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153,516</w:t>
            </w:r>
          </w:p>
        </w:tc>
        <w:tc>
          <w:tcPr>
            <w:tcW w:w="24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286,043</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Xavier Heiss</w:t>
            </w:r>
          </w:p>
        </w:tc>
        <w:tc>
          <w:tcPr>
            <w:tcW w:w="23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281,686</w:t>
            </w:r>
          </w:p>
        </w:tc>
        <w:tc>
          <w:tcPr>
            <w:tcW w:w="24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346,897</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Priscilla Hung</w:t>
            </w:r>
            <w:r>
              <w:rPr>
                <w:rFonts w:ascii="Arial" w:cs="Arial" w:eastAsia="Arial" w:hAnsi="Arial"/>
                <w:sz w:val="23"/>
                <w:szCs w:val="23"/>
                <w:color w:val="auto"/>
                <w:vertAlign w:val="superscript"/>
              </w:rPr>
              <w:t>(1)</w:t>
            </w:r>
          </w:p>
        </w:tc>
        <w:tc>
          <w:tcPr>
            <w:tcW w:w="23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61,303</w:t>
            </w:r>
          </w:p>
        </w:tc>
        <w:tc>
          <w:tcPr>
            <w:tcW w:w="24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61,303</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Scott Letier</w:t>
            </w:r>
            <w:r>
              <w:rPr>
                <w:rFonts w:ascii="Arial" w:cs="Arial" w:eastAsia="Arial" w:hAnsi="Arial"/>
                <w:sz w:val="23"/>
                <w:szCs w:val="23"/>
                <w:color w:val="auto"/>
                <w:vertAlign w:val="superscript"/>
              </w:rPr>
              <w:t>(1)</w:t>
            </w:r>
          </w:p>
        </w:tc>
        <w:tc>
          <w:tcPr>
            <w:tcW w:w="23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295,978</w:t>
            </w:r>
          </w:p>
        </w:tc>
        <w:tc>
          <w:tcPr>
            <w:tcW w:w="24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295,978</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Edward G. McLaughlin</w:t>
            </w:r>
            <w:r>
              <w:rPr>
                <w:rFonts w:ascii="Arial" w:cs="Arial" w:eastAsia="Arial" w:hAnsi="Arial"/>
                <w:sz w:val="23"/>
                <w:szCs w:val="23"/>
                <w:color w:val="auto"/>
                <w:vertAlign w:val="superscript"/>
              </w:rPr>
              <w:t>(1)</w:t>
            </w:r>
          </w:p>
        </w:tc>
        <w:tc>
          <w:tcPr>
            <w:tcW w:w="2380" w:type="dxa"/>
            <w:vAlign w:val="bottom"/>
            <w:tcBorders>
              <w:bottom w:val="single" w:sz="8" w:color="B6B6B6"/>
              <w:right w:val="single" w:sz="8" w:color="B6B6B6"/>
            </w:tcBorders>
          </w:tcPr>
          <w:p>
            <w:pPr>
              <w:jc w:val="right"/>
              <w:spacing w:after="0" w:line="223" w:lineRule="exact"/>
              <w:rPr>
                <w:sz w:val="20"/>
                <w:szCs w:val="20"/>
                <w:color w:val="auto"/>
              </w:rPr>
            </w:pPr>
            <w:r>
              <w:rPr>
                <w:rFonts w:ascii="Arial" w:cs="Arial" w:eastAsia="Arial" w:hAnsi="Arial"/>
                <w:sz w:val="18"/>
                <w:szCs w:val="18"/>
                <w:color w:val="auto"/>
              </w:rPr>
              <w:t>82,514</w:t>
            </w:r>
            <w:r>
              <w:rPr>
                <w:rFonts w:ascii="Arial" w:cs="Arial" w:eastAsia="Arial" w:hAnsi="Arial"/>
                <w:sz w:val="23"/>
                <w:szCs w:val="23"/>
                <w:color w:val="auto"/>
                <w:vertAlign w:val="superscript"/>
              </w:rPr>
              <w:t>(2)</w:t>
            </w:r>
          </w:p>
        </w:tc>
        <w:tc>
          <w:tcPr>
            <w:tcW w:w="24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82,514</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Nichelle Maynard-Elliott</w:t>
            </w:r>
            <w:r>
              <w:rPr>
                <w:rFonts w:ascii="Arial" w:cs="Arial" w:eastAsia="Arial" w:hAnsi="Arial"/>
                <w:sz w:val="23"/>
                <w:szCs w:val="23"/>
                <w:color w:val="auto"/>
                <w:vertAlign w:val="superscript"/>
              </w:rPr>
              <w:t>(1)</w:t>
            </w:r>
          </w:p>
        </w:tc>
        <w:tc>
          <w:tcPr>
            <w:tcW w:w="23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131,019</w:t>
            </w:r>
          </w:p>
        </w:tc>
        <w:tc>
          <w:tcPr>
            <w:tcW w:w="24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131,019</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Louis J. Pastor</w:t>
            </w:r>
          </w:p>
        </w:tc>
        <w:tc>
          <w:tcPr>
            <w:tcW w:w="23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260,133</w:t>
            </w:r>
          </w:p>
        </w:tc>
        <w:tc>
          <w:tcPr>
            <w:tcW w:w="24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444,647</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John J. Roese</w:t>
            </w:r>
            <w:r>
              <w:rPr>
                <w:rFonts w:ascii="Arial" w:cs="Arial" w:eastAsia="Arial" w:hAnsi="Arial"/>
                <w:sz w:val="23"/>
                <w:szCs w:val="23"/>
                <w:color w:val="auto"/>
                <w:vertAlign w:val="superscript"/>
              </w:rPr>
              <w:t>(1)</w:t>
            </w:r>
          </w:p>
        </w:tc>
        <w:tc>
          <w:tcPr>
            <w:tcW w:w="23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71,831</w:t>
            </w:r>
          </w:p>
        </w:tc>
        <w:tc>
          <w:tcPr>
            <w:tcW w:w="24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71,831</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Amy Schwetz</w:t>
            </w:r>
            <w:r>
              <w:rPr>
                <w:rFonts w:ascii="Arial" w:cs="Arial" w:eastAsia="Arial" w:hAnsi="Arial"/>
                <w:sz w:val="23"/>
                <w:szCs w:val="23"/>
                <w:color w:val="auto"/>
                <w:vertAlign w:val="superscript"/>
              </w:rPr>
              <w:t>(1)</w:t>
            </w:r>
          </w:p>
        </w:tc>
        <w:tc>
          <w:tcPr>
            <w:tcW w:w="2380" w:type="dxa"/>
            <w:vAlign w:val="bottom"/>
            <w:tcBorders>
              <w:bottom w:val="single" w:sz="8" w:color="B6B6B6"/>
              <w:right w:val="single" w:sz="8" w:color="B6B6B6"/>
            </w:tcBorders>
          </w:tcPr>
          <w:p>
            <w:pPr>
              <w:jc w:val="right"/>
              <w:spacing w:after="0" w:line="223" w:lineRule="exact"/>
              <w:rPr>
                <w:sz w:val="20"/>
                <w:szCs w:val="20"/>
                <w:color w:val="auto"/>
              </w:rPr>
            </w:pPr>
            <w:r>
              <w:rPr>
                <w:rFonts w:ascii="Arial" w:cs="Arial" w:eastAsia="Arial" w:hAnsi="Arial"/>
                <w:sz w:val="18"/>
                <w:szCs w:val="18"/>
                <w:color w:val="auto"/>
              </w:rPr>
              <w:t>60,374</w:t>
            </w:r>
            <w:r>
              <w:rPr>
                <w:rFonts w:ascii="Arial" w:cs="Arial" w:eastAsia="Arial" w:hAnsi="Arial"/>
                <w:sz w:val="23"/>
                <w:szCs w:val="23"/>
                <w:color w:val="auto"/>
                <w:vertAlign w:val="superscript"/>
              </w:rPr>
              <w:t>(3)</w:t>
            </w:r>
          </w:p>
        </w:tc>
        <w:tc>
          <w:tcPr>
            <w:tcW w:w="24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60,374</w:t>
            </w:r>
          </w:p>
        </w:tc>
        <w:tc>
          <w:tcPr>
            <w:tcW w:w="0" w:type="dxa"/>
            <w:vAlign w:val="bottom"/>
          </w:tcPr>
          <w:p>
            <w:pPr>
              <w:spacing w:after="0"/>
              <w:rPr>
                <w:sz w:val="1"/>
                <w:szCs w:val="1"/>
                <w:color w:val="auto"/>
              </w:rPr>
            </w:pPr>
          </w:p>
        </w:tc>
      </w:tr>
      <w:tr>
        <w:trPr>
          <w:trHeight w:val="223"/>
        </w:trPr>
        <w:tc>
          <w:tcPr>
            <w:tcW w:w="636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b w:val="1"/>
                <w:bCs w:val="1"/>
                <w:color w:val="auto"/>
              </w:rPr>
              <w:t>All directors and executive officers as a group (14)</w:t>
            </w:r>
            <w:r>
              <w:rPr>
                <w:rFonts w:ascii="Arial" w:cs="Arial" w:eastAsia="Arial" w:hAnsi="Arial"/>
                <w:sz w:val="23"/>
                <w:szCs w:val="23"/>
                <w:b w:val="1"/>
                <w:bCs w:val="1"/>
                <w:color w:val="auto"/>
                <w:vertAlign w:val="superscript"/>
              </w:rPr>
              <w:t>(4)</w:t>
            </w:r>
          </w:p>
        </w:tc>
        <w:tc>
          <w:tcPr>
            <w:tcW w:w="23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1,939,992</w:t>
            </w:r>
          </w:p>
        </w:tc>
        <w:tc>
          <w:tcPr>
            <w:tcW w:w="24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2,825,846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left="180" w:right="60" w:hanging="172"/>
        <w:spacing w:after="0" w:line="225" w:lineRule="auto"/>
        <w:tabs>
          <w:tab w:leader="none" w:pos="211"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Each Director’s DSUs will continue earn DEUs in accordance with the Plan. The Amount Beneficially Owned column does not include any DEUs or DSUs that have not been received prior to April 2, 2026.</w:t>
      </w:r>
    </w:p>
    <w:p>
      <w:pPr>
        <w:ind w:left="200" w:hanging="192"/>
        <w:spacing w:after="0" w:line="196" w:lineRule="auto"/>
        <w:tabs>
          <w:tab w:leader="none" w:pos="2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42,134 Restricted Stock Units owned by Edward McLaughlin that will vest within 60 days of April 2, 2026.</w:t>
      </w:r>
    </w:p>
    <w:p>
      <w:pPr>
        <w:ind w:left="200" w:hanging="192"/>
        <w:spacing w:after="0" w:line="183" w:lineRule="auto"/>
        <w:tabs>
          <w:tab w:leader="none" w:pos="2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42,134 Restricted Stock Units owned by Amy Schwetz that will vest within 60 days of April 2, 2026.</w:t>
      </w:r>
    </w:p>
    <w:p>
      <w:pPr>
        <w:ind w:left="180" w:right="440" w:hanging="172"/>
        <w:spacing w:after="0" w:line="208" w:lineRule="auto"/>
        <w:tabs>
          <w:tab w:leader="none" w:pos="211"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directors, nominees and current executive officers. Mirlanda Gecaj, Xavier Heiss and Steven Bandrowczak ceased being executive officers of the Company on December 2, 2025, January 31, 2025 and March 31, 2026, respectively.</w:t>
      </w:r>
    </w:p>
    <w:p>
      <w:pPr>
        <w:spacing w:after="0" w:line="7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i w:val="1"/>
          <w:iCs w:val="1"/>
          <w:color w:val="auto"/>
        </w:rPr>
        <w:t xml:space="preserve">Percent Owned by Directors and Current Executive Officers: </w:t>
      </w:r>
      <w:r>
        <w:rPr>
          <w:rFonts w:ascii="Arial" w:cs="Arial" w:eastAsia="Arial" w:hAnsi="Arial"/>
          <w:sz w:val="18"/>
          <w:szCs w:val="18"/>
          <w:color w:val="auto"/>
        </w:rPr>
        <w:t>Each director and executive officer beneficially owns less than 1%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number of shares of Common Stock outstanding at April 2, 2026. The amount beneficially owned by all directors and executive officers as a group was approximately 1.5%.</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Amount Beneficially Owned: </w:t>
      </w:r>
      <w:r>
        <w:rPr>
          <w:rFonts w:ascii="Arial" w:cs="Arial" w:eastAsia="Arial" w:hAnsi="Arial"/>
          <w:sz w:val="18"/>
          <w:szCs w:val="18"/>
          <w:color w:val="auto"/>
        </w:rPr>
        <w:t>The numbers shown are the shares of Common Stock considered beneficially owned by the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identified as “Named Executive Officers” in accordance with SEC rules. Shares of Common Stock, which directors and executive officers had a right, within 60 days of April 2, 2026, to acquire upon the exercise of options or warrants or rights or upon vesting of performance share units, deferred stock units or restricted stock units are included on a gross basis. However, Messrs. Roese and Letier and Mses. Maynard-Elliott, Erwin, Hung and Schwetz each hold deferred stock units granted as part of such individual’s director compensation which, until paid out following termination of Board service, do not permit voting of the underlying shares of Xerox Common Stock, and therefore are not included in the Amount Beneficially Owned column (but are included in the Total Stock interest Column). Shares held in a grantor retained annuity trust or by family members and vested shares, the receipt of which have been deferred under one or more equity compensation programs, are also included. All of these are counted as outstanding for purposes of computing the percentage of Common Stock outstanding and beneficially owned by such person (but are not deemed to be outstanding for computing the percentage ownership of any other person shown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7" w:right="379" w:bottom="1440" w:gutter="0" w:footer="0" w:header="0"/>
        </w:sectPr>
      </w:pPr>
    </w:p>
    <w:bookmarkStart w:id="30" w:name="page31"/>
    <w:bookmarkEnd w:id="30"/>
    <w:p>
      <w:pPr>
        <w:ind w:right="400"/>
        <w:spacing w:after="0" w:line="268" w:lineRule="auto"/>
        <w:rPr>
          <w:sz w:val="20"/>
          <w:szCs w:val="20"/>
          <w:color w:val="auto"/>
        </w:rPr>
      </w:pPr>
      <w:r>
        <w:rPr>
          <w:rFonts w:ascii="Arial" w:cs="Arial" w:eastAsia="Arial" w:hAnsi="Arial"/>
          <w:sz w:val="18"/>
          <w:szCs w:val="18"/>
          <w:i w:val="1"/>
          <w:iCs w:val="1"/>
          <w:color w:val="auto"/>
        </w:rPr>
        <w:t>Total Stock Interest</w:t>
      </w:r>
      <w:r>
        <w:rPr>
          <w:rFonts w:ascii="Arial" w:cs="Arial" w:eastAsia="Arial" w:hAnsi="Arial"/>
          <w:sz w:val="18"/>
          <w:szCs w:val="18"/>
          <w:color w:val="auto"/>
        </w:rPr>
        <w:t>: The numbers shown include the amount shown in the Amount Beneficially Owned column, plus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restricted stock units, and deferred stock units, as applicable, held by directors and executive officers that are not exercisable or payable within 60 days of April 2, 2026.</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 xml:space="preserve">Address: </w:t>
      </w:r>
      <w:r>
        <w:rPr>
          <w:rFonts w:ascii="Arial" w:cs="Arial" w:eastAsia="Arial" w:hAnsi="Arial"/>
          <w:sz w:val="18"/>
          <w:szCs w:val="18"/>
          <w:color w:val="auto"/>
        </w:rPr>
        <w:t>Unless otherwise noted, the address of each person named in the table is c/o Xerox Holdings Corporation, 401 Merritt 7, Norwalk,</w:t>
      </w:r>
      <w:r>
        <w:rPr>
          <w:rFonts w:ascii="Arial" w:cs="Arial" w:eastAsia="Arial" w:hAnsi="Arial"/>
          <w:sz w:val="18"/>
          <w:szCs w:val="18"/>
          <w:i w:val="1"/>
          <w:iCs w:val="1"/>
          <w:color w:val="auto"/>
        </w:rPr>
        <w:t xml:space="preserve"> </w:t>
      </w:r>
      <w:r>
        <w:rPr>
          <w:rFonts w:ascii="Arial" w:cs="Arial" w:eastAsia="Arial" w:hAnsi="Arial"/>
          <w:sz w:val="18"/>
          <w:szCs w:val="18"/>
          <w:color w:val="auto"/>
        </w:rPr>
        <w:t>CT 06851.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DELINQUENT SECTION 16(a) REPORTS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Section 16(a) of the Exchange Act requires the Company’s directors, executive officers, and 10% or greater shareholders, to file with the SEC reports of ownership and changes in ownership of Common Stock of the Company. Based solely on our review of those reports and written representations that no other reports were required to be filed, the Company believes that all Section 16 reports for its directors and executive officers were timely filed excepting a transaction in December 2025 for Mr. Butler due to an administrative error.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DA2031"/>
        </w:rPr>
        <w:t>COMPENSATION DISCUSSION AND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LETTER FROM THE COMMITTEE CHAIR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Fiscal Year 2025 marked a pivotal moment for Xerox. We successfully closed the acquisition of Lexmark International, expanding our global scale and strengthening our core business. Lexmark’s financial results were incorporated into Xerox’s consolidated performance for the portion of the year following the close, as disclosed in our 2025 Form 10-K. However, at year end, the process for integrating into a combined organization had only just begun.</w:t>
      </w:r>
    </w:p>
    <w:p>
      <w:pPr>
        <w:spacing w:after="0" w:line="6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Board views this as a defining phase in Xerox’s Reinvention journey. The transaction itself was an important milestone. The value creation opportunity now depends on disciplined execution — realizing integration synergies, strengthening operating performance, improving cash generation, and enhancing balance sheet flexibility.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Compensation in a Transitional Year</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2025 annual incentive program was established prior to the closing of the Lexmark acquisition and reflected the Company’s structure at that time. The annual incentive program remained anchored to profitability measures and Corporate Social Responsibility (CSR) objectives. Following the close, performance goals were updated to reflect the inclusion of Lexmark results for the period following closing.</w:t>
      </w:r>
    </w:p>
    <w:p>
      <w:pPr>
        <w:spacing w:after="0" w:line="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2025 long-term incentive program was designed in the context of a pending transaction and ongoing Reinvention initiatives. Given the inherent uncertainty of establishing durable multi-year targets before the combined company’s financial profile was fully defined, the Committee structured the program to balance near-term accountability with continued multi-year shareholder alignment through equity exposure.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This approach was appropriate for a transitional year as it provided clarity while preserving alignment to execution and financial discipline.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Incentives Aligned to Execution and Financial Discipline</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With the transaction completed and integration underway, the Committee determined that 2026 compensation design should more directly reflect the priorities of the combined enterprise.</w:t>
      </w:r>
    </w:p>
    <w:p>
      <w:pPr>
        <w:spacing w:after="0" w:line="4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For 2026, the annual incentive framework has been recalibrated to emphasize operating discipline, execution against transformation objectives, and financial durability. The Committee also strengthened alignment between incentive outcomes and the Company’s cash generation and balance sheet priorities.</w:t>
      </w:r>
    </w:p>
    <w:p>
      <w:pPr>
        <w:spacing w:after="0" w:line="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long-term incentive program has likewise evolved to increase the emphasis on performance-based compensation and align executive rewards more directly with sustained financial strength and shareholder value creation. These refinements reflect a clear shift: from managing uncertainty to delivering measurable integration and financial outcomes.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Further detail is provided in the Compensation Discussion and Analysis section of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Continuity and Equity Capacity</w:t>
      </w:r>
    </w:p>
    <w:p>
      <w:pPr>
        <w:spacing w:after="0" w:line="117"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path from transaction close to full integration requires disciplined execution and is subject to significant risk. The success of this next phase depends on the continuity, effective succession, engagement, and accountability of the leadership team responsible for delivering synergies, strengthening the operating model, and improving the balance sheet.</w:t>
      </w:r>
    </w:p>
    <w:p>
      <w:pPr>
        <w:spacing w:after="0" w:line="63"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As part of this process, the Company recently effected a leadership transition, with the COO assuming the role of Chief Executive Officer. The Committee believes this transition reflects the depth of the Company's leadership bench and the importance of maintaining continuity through internal succession.</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executives' valuable experience and commitment to our shareholders has been integral to the growth and stability of the Company. At the same time, the current share price environment has materially reduced the holding and incentive power of outstanding equity awards. When making new awards a lower stock price results in a greater number of shares being needed to deliver competitive grant values. As a result, there is an insufficient number of shares in our current equity plan reserve to make competitive and retentive awards to our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2" w:name="page33"/>
    <w:bookmarkEnd w:id="32"/>
    <w:p>
      <w:pPr>
        <w:ind w:right="320"/>
        <w:spacing w:after="0" w:line="287" w:lineRule="auto"/>
        <w:rPr>
          <w:sz w:val="20"/>
          <w:szCs w:val="20"/>
          <w:color w:val="auto"/>
        </w:rPr>
      </w:pPr>
      <w:r>
        <w:rPr>
          <w:rFonts w:ascii="Arial" w:cs="Arial" w:eastAsia="Arial" w:hAnsi="Arial"/>
          <w:sz w:val="18"/>
          <w:szCs w:val="18"/>
          <w:color w:val="auto"/>
        </w:rPr>
        <w:t>equity participants. Without additional share capacity, we would face increased reliance on cash-based alternatives to retain and motivate key leaders through our continued integration and reinvention.</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 this context, retention extends beyond any single executive and encompasses the leadership team responsible for executing integration priorities and sustaining operational momentum.</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proposed share authorization request is therefore directly connected to the 2026 compensation framework and our integration strategy. It is intended to:</w:t>
      </w:r>
    </w:p>
    <w:p>
      <w:pPr>
        <w:spacing w:after="0" w:line="4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Preserve a performance-oriented long-term incentive structure;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Reinforce leadership stability during a multi-year integration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management incentives with long-term shareholder value creation; and</w:t>
      </w:r>
    </w:p>
    <w:p>
      <w:pPr>
        <w:spacing w:after="0" w:line="9" w:lineRule="exact"/>
        <w:rPr>
          <w:rFonts w:ascii="Arial" w:cs="Arial" w:eastAsia="Arial" w:hAnsi="Arial"/>
          <w:sz w:val="18"/>
          <w:szCs w:val="18"/>
          <w:color w:val="auto"/>
        </w:rPr>
      </w:pPr>
    </w:p>
    <w:p>
      <w:pPr>
        <w:ind w:left="660" w:right="52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Avoid shifting retention costs disproportionately to cash, preserving financial flexibility and supporting disciplined balance sheet management as part of the broader transformation.</w:t>
      </w:r>
    </w:p>
    <w:p>
      <w:pPr>
        <w:spacing w:after="0" w:line="19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Committee carefully evaluated projected dilution, share usage, competitive positioning, and governance considerations in developing this proposal. We recognize that this is a meaningful request and that our equity usage has temporarily increased from previous year's norms. However, we believe that maintaining adequate equity capacity during this execution phase is essential to mitigating leadership disruption risk and ensuring stability across the leadership team during a period of active transition.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to Governance and Shareholder Alignment</w:t>
      </w:r>
    </w:p>
    <w:p>
      <w:pPr>
        <w:spacing w:after="0" w:line="11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Compensation and Human Capital Committee remains committed to a disciplined pay-for-performance philosophy. Incentive compensation is earned based on measurable outcomes that support our strategic and financial objectives, and payouts are reduced or eliminated when performance expectations are not achieved.</w:t>
      </w:r>
    </w:p>
    <w:p>
      <w:pPr>
        <w:spacing w:after="0" w:line="6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We value ongoing dialogue with our shareholders and appreciate your engagement as Xerox advances its Reinvention strategy and integration priorities.</w:t>
      </w:r>
    </w:p>
    <w:p>
      <w:pPr>
        <w:spacing w:after="0" w:line="4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Our “say-on-pay” proposal and the related share authorization proposal are described in this Proxy Statement. The Board recommends that you vote “FOR” both proposals, which are designed to support disciplined execution, leadership continuity, and sustainable long-term value creation.</w:t>
      </w:r>
    </w:p>
    <w:p>
      <w:pPr>
        <w:spacing w:after="0" w:line="63"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On behalf of the Compensation and Human Capital Committee, thank you for your continued engagement and support during this important phase of Xerox’s transformation.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Nichelle Maynard-Elliott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 Compensation and Human Capital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DA2031"/>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SAY-ON-PAY VOTES AND SHAREHOLDER ENGAGEMENT</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year, Xerox engages with shareholders to explain the Compensation and Human Capital Committee's (the Committee) process and decisions regarding executive compensation and to understand shareholders’ perspectives on our executive compensation programs, equity practices, and governance framework.</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2025-2026 engagement cycle, our outreach efforts included discussions in advance of and following our 2025 Annual Shareholder Meeting, as well as targeted outreach between December 2025 and February 2026 in connection with the anticipated share authorization request to be presented at the 2026 Annual Shareholder Meeting. As in prior years, the Chair of the Committee participated in these discussions, together with members of management responsible for executive compensation design and governance matters.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proactively contacted institutional shareholders holding approximately 57% of Xerox's outstanding shares. We held calls with shareholders representing approximately 34% of outstanding shares, including one institutional investor that voted against say-on-pay at the 2025 Annual Shareholder Meeting. Feedback from these discussions was shared with the full Board and considered by the Committee in its ongoing evaluation of our executive compensation programs and equity plan structure.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2025-2026 Engagement Topics</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Consistent with our historical approach, our discussions with shareholders covered a broad range of topics, including executive compensation, governance, and business strategy matters. In light of the anticipated 2026 equity share authorization request, we placed particular emphasis on providing context regarding equity plan capacity and forward-looking compensation design. Topics discussed during our outreach included:</w:t>
      </w:r>
    </w:p>
    <w:p>
      <w:pPr>
        <w:spacing w:after="0" w:line="203" w:lineRule="exact"/>
        <w:rPr>
          <w:sz w:val="20"/>
          <w:szCs w:val="20"/>
          <w:color w:val="auto"/>
        </w:rPr>
      </w:pPr>
    </w:p>
    <w:p>
      <w:pPr>
        <w:ind w:left="660" w:right="28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strategic rationale for the proposed share authorization request, including equity plan burn rate, anticipated equity usage, and the importance of maintaining sufficient share reserves to support annual grants and retention needs;</w:t>
      </w:r>
    </w:p>
    <w:p>
      <w:pPr>
        <w:spacing w:after="0" w:line="1" w:lineRule="exact"/>
        <w:rPr>
          <w:rFonts w:ascii="Arial" w:cs="Arial" w:eastAsia="Arial" w:hAnsi="Arial"/>
          <w:sz w:val="18"/>
          <w:szCs w:val="18"/>
          <w:color w:val="auto"/>
        </w:rPr>
      </w:pPr>
    </w:p>
    <w:p>
      <w:pPr>
        <w:ind w:left="660" w:right="7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transformation and Reinvention strategy, including the role of executive compensation in driving operational efficiencies, cost savings, balance sheet strength, and long-term shareholder value creation;</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2025 incentive plan design updates and enhancements reflected in the Compensation Discussion and Analysis section of this Proxy;</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Preliminary considerations for possible 2026 short-term and long-term incentive design adjustments, including performance metrics, performance periods, and alignment with financial and strategic priorities;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role of equity-based compensation in retaining key executives and critical talent during a period of transformation;</w:t>
      </w:r>
    </w:p>
    <w:p>
      <w:pPr>
        <w:spacing w:after="0" w:line="9" w:lineRule="exact"/>
        <w:rPr>
          <w:rFonts w:ascii="Arial" w:cs="Arial" w:eastAsia="Arial" w:hAnsi="Arial"/>
          <w:sz w:val="18"/>
          <w:szCs w:val="18"/>
          <w:color w:val="auto"/>
        </w:rPr>
      </w:pPr>
    </w:p>
    <w:p>
      <w:pPr>
        <w:ind w:left="660" w:right="20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Governance practices, including Committee oversight, use of independent compensation advisors, and alignment with shareholder interests; and</w:t>
      </w:r>
    </w:p>
    <w:p>
      <w:pPr>
        <w:spacing w:after="0" w:line="63"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Disclosure enhancements intended to provide greater transparency into our compensation philosophy, program design decisions, and equity usage framework.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Commitment to Shareholder Engagement</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believe that engaging openly and regularly with our shareholders strengthens corporate accountability, improves decision-making, and supports long-term value for all shareholders. We are committed to:</w:t>
      </w:r>
    </w:p>
    <w:p>
      <w:pPr>
        <w:spacing w:after="0" w:line="79"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22"/>
          <w:szCs w:val="22"/>
          <w:color w:val="EE2724"/>
        </w:rPr>
      </w:pPr>
      <w:r>
        <w:rPr>
          <w:rFonts w:ascii="Arial" w:cs="Arial" w:eastAsia="Arial" w:hAnsi="Arial"/>
          <w:sz w:val="18"/>
          <w:szCs w:val="18"/>
          <w:b w:val="1"/>
          <w:bCs w:val="1"/>
          <w:color w:val="D92231"/>
        </w:rPr>
        <w:t>Accountability</w:t>
      </w:r>
      <w:r>
        <w:rPr>
          <w:rFonts w:ascii="Arial" w:cs="Arial" w:eastAsia="Arial" w:hAnsi="Arial"/>
          <w:sz w:val="18"/>
          <w:szCs w:val="18"/>
          <w:color w:val="000000"/>
        </w:rPr>
        <w:t>: Maintaining strong governance practices, and disciplined oversight of executive compensation and equity usage.</w:t>
      </w:r>
    </w:p>
    <w:p>
      <w:pPr>
        <w:spacing w:after="0" w:line="117" w:lineRule="exact"/>
        <w:rPr>
          <w:rFonts w:ascii="Arial" w:cs="Arial" w:eastAsia="Arial" w:hAnsi="Arial"/>
          <w:sz w:val="22"/>
          <w:szCs w:val="22"/>
          <w:color w:val="EE2724"/>
        </w:rPr>
      </w:pPr>
    </w:p>
    <w:p>
      <w:pPr>
        <w:ind w:left="820" w:right="380" w:hanging="326"/>
        <w:spacing w:after="0" w:line="237" w:lineRule="auto"/>
        <w:tabs>
          <w:tab w:leader="none" w:pos="815" w:val="left"/>
        </w:tabs>
        <w:numPr>
          <w:ilvl w:val="0"/>
          <w:numId w:val="21"/>
        </w:numPr>
        <w:rPr>
          <w:rFonts w:ascii="Arial" w:cs="Arial" w:eastAsia="Arial" w:hAnsi="Arial"/>
          <w:sz w:val="22"/>
          <w:szCs w:val="22"/>
          <w:color w:val="EE2724"/>
        </w:rPr>
      </w:pPr>
      <w:r>
        <w:rPr>
          <w:rFonts w:ascii="Arial" w:cs="Arial" w:eastAsia="Arial" w:hAnsi="Arial"/>
          <w:sz w:val="18"/>
          <w:szCs w:val="18"/>
          <w:b w:val="1"/>
          <w:bCs w:val="1"/>
          <w:color w:val="D92231"/>
        </w:rPr>
        <w:t>Transparency</w:t>
      </w:r>
      <w:r>
        <w:rPr>
          <w:rFonts w:ascii="Arial" w:cs="Arial" w:eastAsia="Arial" w:hAnsi="Arial"/>
          <w:sz w:val="18"/>
          <w:szCs w:val="18"/>
          <w:color w:val="000000"/>
        </w:rPr>
        <w:t>: Providing clear disclosure of compensation philosophy, performance metrics, equity plan management and the</w:t>
      </w:r>
      <w:r>
        <w:rPr>
          <w:rFonts w:ascii="Arial" w:cs="Arial" w:eastAsia="Arial" w:hAnsi="Arial"/>
          <w:sz w:val="18"/>
          <w:szCs w:val="18"/>
          <w:b w:val="1"/>
          <w:bCs w:val="1"/>
          <w:color w:val="D92231"/>
        </w:rPr>
        <w:t xml:space="preserve"> </w:t>
      </w:r>
      <w:r>
        <w:rPr>
          <w:rFonts w:ascii="Arial" w:cs="Arial" w:eastAsia="Arial" w:hAnsi="Arial"/>
          <w:sz w:val="18"/>
          <w:szCs w:val="18"/>
          <w:color w:val="000000"/>
        </w:rPr>
        <w:t>rationale for significant proposals presented for shareholder approval.</w:t>
      </w:r>
    </w:p>
    <w:p>
      <w:pPr>
        <w:spacing w:after="0" w:line="126" w:lineRule="exact"/>
        <w:rPr>
          <w:rFonts w:ascii="Arial" w:cs="Arial" w:eastAsia="Arial" w:hAnsi="Arial"/>
          <w:sz w:val="22"/>
          <w:szCs w:val="22"/>
          <w:color w:val="EE2724"/>
        </w:rPr>
      </w:pPr>
    </w:p>
    <w:p>
      <w:pPr>
        <w:ind w:left="820" w:right="60" w:hanging="326"/>
        <w:spacing w:after="0" w:line="249" w:lineRule="auto"/>
        <w:tabs>
          <w:tab w:leader="none" w:pos="815" w:val="left"/>
        </w:tabs>
        <w:numPr>
          <w:ilvl w:val="0"/>
          <w:numId w:val="21"/>
        </w:numPr>
        <w:rPr>
          <w:rFonts w:ascii="Arial" w:cs="Arial" w:eastAsia="Arial" w:hAnsi="Arial"/>
          <w:sz w:val="22"/>
          <w:szCs w:val="22"/>
          <w:color w:val="EE2724"/>
        </w:rPr>
      </w:pPr>
      <w:r>
        <w:rPr>
          <w:rFonts w:ascii="Arial" w:cs="Arial" w:eastAsia="Arial" w:hAnsi="Arial"/>
          <w:sz w:val="18"/>
          <w:szCs w:val="18"/>
          <w:b w:val="1"/>
          <w:bCs w:val="1"/>
          <w:color w:val="D92231"/>
        </w:rPr>
        <w:t>Robust Engagement</w:t>
      </w:r>
      <w:r>
        <w:rPr>
          <w:rFonts w:ascii="Arial" w:cs="Arial" w:eastAsia="Arial" w:hAnsi="Arial"/>
          <w:sz w:val="18"/>
          <w:szCs w:val="18"/>
          <w:color w:val="000000"/>
        </w:rPr>
        <w:t>: Proactively engaging with shareholders throughout the year on executive compensation, business strategy,</w:t>
      </w:r>
      <w:r>
        <w:rPr>
          <w:rFonts w:ascii="Arial" w:cs="Arial" w:eastAsia="Arial" w:hAnsi="Arial"/>
          <w:sz w:val="18"/>
          <w:szCs w:val="18"/>
          <w:b w:val="1"/>
          <w:bCs w:val="1"/>
          <w:color w:val="D92231"/>
        </w:rPr>
        <w:t xml:space="preserve"> </w:t>
      </w:r>
      <w:r>
        <w:rPr>
          <w:rFonts w:ascii="Arial" w:cs="Arial" w:eastAsia="Arial" w:hAnsi="Arial"/>
          <w:sz w:val="18"/>
          <w:szCs w:val="18"/>
          <w:color w:val="000000"/>
        </w:rPr>
        <w:t>governance and human capital management matters.</w:t>
      </w:r>
    </w:p>
    <w:p>
      <w:pPr>
        <w:spacing w:after="0" w:line="116" w:lineRule="exact"/>
        <w:rPr>
          <w:rFonts w:ascii="Arial" w:cs="Arial" w:eastAsia="Arial" w:hAnsi="Arial"/>
          <w:sz w:val="22"/>
          <w:szCs w:val="22"/>
          <w:color w:val="EE2724"/>
        </w:rPr>
      </w:pPr>
    </w:p>
    <w:p>
      <w:pPr>
        <w:ind w:left="820" w:right="700" w:hanging="326"/>
        <w:spacing w:after="0" w:line="237" w:lineRule="auto"/>
        <w:tabs>
          <w:tab w:leader="none" w:pos="815" w:val="left"/>
        </w:tabs>
        <w:numPr>
          <w:ilvl w:val="0"/>
          <w:numId w:val="21"/>
        </w:numPr>
        <w:rPr>
          <w:rFonts w:ascii="Arial" w:cs="Arial" w:eastAsia="Arial" w:hAnsi="Arial"/>
          <w:sz w:val="22"/>
          <w:szCs w:val="22"/>
          <w:color w:val="EE2724"/>
        </w:rPr>
      </w:pPr>
      <w:r>
        <w:rPr>
          <w:rFonts w:ascii="Arial" w:cs="Arial" w:eastAsia="Arial" w:hAnsi="Arial"/>
          <w:sz w:val="18"/>
          <w:szCs w:val="18"/>
          <w:b w:val="1"/>
          <w:bCs w:val="1"/>
          <w:color w:val="D92231"/>
        </w:rPr>
        <w:t>Incorporation of Feedback</w:t>
      </w:r>
      <w:r>
        <w:rPr>
          <w:rFonts w:ascii="Arial" w:cs="Arial" w:eastAsia="Arial" w:hAnsi="Arial"/>
          <w:sz w:val="18"/>
          <w:szCs w:val="18"/>
          <w:color w:val="000000"/>
        </w:rPr>
        <w:t>: Considering shareholder perspectives in evaluating and refining our executive compensation</w:t>
      </w:r>
      <w:r>
        <w:rPr>
          <w:rFonts w:ascii="Arial" w:cs="Arial" w:eastAsia="Arial" w:hAnsi="Arial"/>
          <w:sz w:val="18"/>
          <w:szCs w:val="18"/>
          <w:b w:val="1"/>
          <w:bCs w:val="1"/>
          <w:color w:val="D92231"/>
        </w:rPr>
        <w:t xml:space="preserve"> </w:t>
      </w:r>
      <w:r>
        <w:rPr>
          <w:rFonts w:ascii="Arial" w:cs="Arial" w:eastAsia="Arial" w:hAnsi="Arial"/>
          <w:sz w:val="18"/>
          <w:szCs w:val="18"/>
          <w:color w:val="000000"/>
        </w:rPr>
        <w:t>programs and equity plan structure.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right="80"/>
        <w:spacing w:after="0" w:line="318" w:lineRule="auto"/>
        <w:rPr>
          <w:sz w:val="20"/>
          <w:szCs w:val="20"/>
          <w:color w:val="auto"/>
        </w:rPr>
      </w:pPr>
      <w:r>
        <w:rPr>
          <w:rFonts w:ascii="Arial" w:cs="Arial" w:eastAsia="Arial" w:hAnsi="Arial"/>
          <w:sz w:val="17"/>
          <w:szCs w:val="17"/>
          <w:color w:val="auto"/>
        </w:rPr>
        <w:t>We will continue to engage with our shareholders as we approach the 2026 Annual Shareholder Meeting and as we evaluate the appropriate structure of our executive compensation programs and equity plans to support the Company's long-term strategy and shareholder interests.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Say-on-Pay Results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our 2025 Annual Meeting of Shareholders, approximately 94.3% of votes cast were for the say-on-pay proposal. We believe this level of support reflects our continued commitment to pay-for-performance alignment, governance best practices, and responsiveness to shareholder feedback.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FISCAL YEAR 2026 STRATEGIC PRIORITIES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long-term strategic objective is to grow our share of our clients' technology spending, as well as the associated Total Addressable Market (TAM), through expanded penetration of IT Solutions and Digital Services. We believe Xerox’s globally recognizable brand, our deep understanding of clients’ industries and businesses, and clients’ trust have afforded us a path to win in IT Solutions and Digital Services markets where we already have leading solutions, and where we are actively investing to develop more.</w:t>
      </w:r>
    </w:p>
    <w:p>
      <w:pPr>
        <w:spacing w:after="0" w:line="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2025 was the third year of Xerox’s Reinvention, a multi-year strategy designed to transform the way Xerox operates. Reinvention objectives are to strengthen our core business, and improve financial flexibility to enable investments in solutions, initiatives, and capabilities that will position Xerox to deliver long-term, sustainable growth in revenue and profits. In 2026, aided by the acquisition of Lexmark, the focus of Reinvention will progress to specific initiatives designed to i) further optimize our commercial operations, ii) leverage the capabilities of our acquired business to accelerate Reinvention, and iii) simplify the business. We will continue to leverage the Global Business Services (GBS) organization to design and implement continuous operating efficiencies.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strategic priorities for 2026 are: </w:t>
      </w:r>
      <w:r>
        <w:rPr>
          <w:rFonts w:ascii="Arial" w:cs="Arial" w:eastAsia="Arial" w:hAnsi="Arial"/>
          <w:sz w:val="18"/>
          <w:szCs w:val="18"/>
          <w:b w:val="1"/>
          <w:bCs w:val="1"/>
          <w:color w:val="D92231"/>
        </w:rPr>
        <w:t>Execute Reinvention, Realize the Benefits of Recent Acquisitions, and Balance Sheet Strength.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priorities will enable us to deliver on our Reinvention goals of sustainable, profitable growth over the long-term.</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2026 Strategic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340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3760" w:type="dxa"/>
            <w:vAlign w:val="bottom"/>
            <w:tcBorders>
              <w:top w:val="single" w:sz="8" w:color="B6B6B6"/>
              <w:left w:val="single" w:sz="8" w:color="B6B6B6"/>
              <w:bottom w:val="single" w:sz="8" w:color="B6B6B6"/>
              <w:right w:val="single" w:sz="8" w:color="B6B6B6"/>
            </w:tcBorders>
          </w:tcPr>
          <w:p>
            <w:pPr>
              <w:ind w:left="1000"/>
              <w:spacing w:after="0"/>
              <w:rPr>
                <w:sz w:val="20"/>
                <w:szCs w:val="20"/>
                <w:color w:val="auto"/>
              </w:rPr>
            </w:pPr>
            <w:r>
              <w:rPr>
                <w:rFonts w:ascii="Arial" w:cs="Arial" w:eastAsia="Arial" w:hAnsi="Arial"/>
                <w:sz w:val="18"/>
                <w:szCs w:val="18"/>
                <w:b w:val="1"/>
                <w:bCs w:val="1"/>
                <w:color w:val="FFFFFF"/>
              </w:rPr>
              <w:t>Execute Reinvention</w:t>
            </w:r>
          </w:p>
        </w:tc>
        <w:tc>
          <w:tcPr>
            <w:tcW w:w="3740" w:type="dxa"/>
            <w:vAlign w:val="bottom"/>
            <w:tcBorders>
              <w:top w:val="single" w:sz="8" w:color="B6B6B6"/>
              <w:bottom w:val="single" w:sz="8" w:color="B6B6B6"/>
              <w:right w:val="single" w:sz="8" w:color="B6B6B6"/>
            </w:tcBorders>
          </w:tcPr>
          <w:p>
            <w:pPr>
              <w:spacing w:after="0"/>
              <w:rPr>
                <w:sz w:val="20"/>
                <w:szCs w:val="20"/>
                <w:color w:val="auto"/>
              </w:rPr>
            </w:pPr>
            <w:r>
              <w:rPr>
                <w:rFonts w:ascii="Arial" w:cs="Arial" w:eastAsia="Arial" w:hAnsi="Arial"/>
                <w:sz w:val="18"/>
                <w:szCs w:val="18"/>
                <w:b w:val="1"/>
                <w:bCs w:val="1"/>
                <w:color w:val="FFFFFF"/>
                <w:w w:val="99"/>
              </w:rPr>
              <w:t>Realize the Benefits of Recent Acquisitions</w:t>
            </w:r>
          </w:p>
        </w:tc>
        <w:tc>
          <w:tcPr>
            <w:tcW w:w="3760" w:type="dxa"/>
            <w:vAlign w:val="bottom"/>
            <w:tcBorders>
              <w:top w:val="single" w:sz="8" w:color="B6B6B6"/>
              <w:bottom w:val="single" w:sz="8" w:color="B6B6B6"/>
              <w:right w:val="single" w:sz="8" w:color="B6B6B6"/>
            </w:tcBorders>
          </w:tcPr>
          <w:p>
            <w:pPr>
              <w:ind w:left="860"/>
              <w:spacing w:after="0"/>
              <w:rPr>
                <w:sz w:val="20"/>
                <w:szCs w:val="20"/>
                <w:color w:val="auto"/>
              </w:rPr>
            </w:pPr>
            <w:r>
              <w:rPr>
                <w:rFonts w:ascii="Arial" w:cs="Arial" w:eastAsia="Arial" w:hAnsi="Arial"/>
                <w:sz w:val="18"/>
                <w:szCs w:val="18"/>
                <w:b w:val="1"/>
                <w:bCs w:val="1"/>
                <w:color w:val="FFFFFF"/>
              </w:rPr>
              <w:t>Balance Sheet Strength</w:t>
            </w:r>
          </w:p>
        </w:tc>
        <w:tc>
          <w:tcPr>
            <w:tcW w:w="0" w:type="dxa"/>
            <w:vAlign w:val="bottom"/>
          </w:tcPr>
          <w:p>
            <w:pPr>
              <w:spacing w:after="0"/>
              <w:rPr>
                <w:sz w:val="1"/>
                <w:szCs w:val="1"/>
                <w:color w:val="auto"/>
              </w:rPr>
            </w:pPr>
          </w:p>
        </w:tc>
      </w:tr>
      <w:tr>
        <w:trPr>
          <w:trHeight w:val="195"/>
        </w:trPr>
        <w:tc>
          <w:tcPr>
            <w:tcW w:w="3760" w:type="dxa"/>
            <w:vAlign w:val="bottom"/>
            <w:tcBorders>
              <w:left w:val="single" w:sz="8" w:color="B6B6B6"/>
              <w:right w:val="single" w:sz="8" w:color="B6B6B6"/>
            </w:tcBorders>
          </w:tcPr>
          <w:p>
            <w:pPr>
              <w:ind w:left="40"/>
              <w:spacing w:after="0" w:line="195" w:lineRule="exact"/>
              <w:rPr>
                <w:sz w:val="20"/>
                <w:szCs w:val="20"/>
                <w:color w:val="auto"/>
              </w:rPr>
            </w:pPr>
            <w:r>
              <w:rPr>
                <w:rFonts w:ascii="Arial" w:cs="Arial" w:eastAsia="Arial" w:hAnsi="Arial"/>
                <w:sz w:val="18"/>
                <w:szCs w:val="18"/>
                <w:b w:val="1"/>
                <w:bCs w:val="1"/>
                <w:color w:val="auto"/>
              </w:rPr>
              <w:t xml:space="preserve">Commercial Optimization </w:t>
            </w:r>
            <w:r>
              <w:rPr>
                <w:rFonts w:ascii="Arial" w:cs="Arial" w:eastAsia="Arial" w:hAnsi="Arial"/>
                <w:sz w:val="18"/>
                <w:szCs w:val="18"/>
                <w:color w:val="auto"/>
              </w:rPr>
              <w:t>Strengthen core</w:t>
            </w:r>
          </w:p>
        </w:tc>
        <w:tc>
          <w:tcPr>
            <w:tcW w:w="3740" w:type="dxa"/>
            <w:vAlign w:val="bottom"/>
            <w:tcBorders>
              <w:right w:val="single" w:sz="8" w:color="B6B6B6"/>
            </w:tcBorders>
          </w:tcPr>
          <w:p>
            <w:pPr>
              <w:spacing w:after="0" w:line="195" w:lineRule="exact"/>
              <w:rPr>
                <w:sz w:val="20"/>
                <w:szCs w:val="20"/>
                <w:color w:val="auto"/>
              </w:rPr>
            </w:pPr>
            <w:r>
              <w:rPr>
                <w:rFonts w:ascii="Arial" w:cs="Arial" w:eastAsia="Arial" w:hAnsi="Arial"/>
                <w:sz w:val="18"/>
                <w:szCs w:val="18"/>
                <w:color w:val="auto"/>
              </w:rPr>
              <w:t>Increase share of clients’ technology spend</w:t>
            </w:r>
          </w:p>
        </w:tc>
        <w:tc>
          <w:tcPr>
            <w:tcW w:w="3760" w:type="dxa"/>
            <w:vAlign w:val="bottom"/>
            <w:tcBorders>
              <w:right w:val="single" w:sz="8" w:color="B6B6B6"/>
            </w:tcBorders>
          </w:tcPr>
          <w:p>
            <w:pPr>
              <w:ind w:left="20"/>
              <w:spacing w:after="0" w:line="195" w:lineRule="exact"/>
              <w:rPr>
                <w:sz w:val="20"/>
                <w:szCs w:val="20"/>
                <w:color w:val="auto"/>
              </w:rPr>
            </w:pPr>
            <w:r>
              <w:rPr>
                <w:rFonts w:ascii="Arial" w:cs="Arial" w:eastAsia="Arial" w:hAnsi="Arial"/>
                <w:sz w:val="17"/>
                <w:szCs w:val="17"/>
                <w:color w:val="auto"/>
              </w:rPr>
              <w:t>Optimize free cash flow</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generation through</w:t>
            </w:r>
          </w:p>
        </w:tc>
        <w:tc>
          <w:tcPr>
            <w:tcW w:w="0" w:type="dxa"/>
            <w:vAlign w:val="bottom"/>
          </w:tcPr>
          <w:p>
            <w:pPr>
              <w:spacing w:after="0"/>
              <w:rPr>
                <w:sz w:val="1"/>
                <w:szCs w:val="1"/>
                <w:color w:val="auto"/>
              </w:rPr>
            </w:pPr>
          </w:p>
        </w:tc>
      </w:tr>
      <w:tr>
        <w:trPr>
          <w:trHeight w:val="203"/>
        </w:trPr>
        <w:tc>
          <w:tcPr>
            <w:tcW w:w="3760" w:type="dxa"/>
            <w:vAlign w:val="bottom"/>
            <w:tcBorders>
              <w:left w:val="single" w:sz="8" w:color="B6B6B6"/>
              <w:right w:val="single" w:sz="8" w:color="B6B6B6"/>
            </w:tcBorders>
          </w:tcPr>
          <w:p>
            <w:pPr>
              <w:ind w:left="40"/>
              <w:spacing w:after="0" w:line="202" w:lineRule="exact"/>
              <w:rPr>
                <w:sz w:val="20"/>
                <w:szCs w:val="20"/>
                <w:color w:val="auto"/>
              </w:rPr>
            </w:pPr>
            <w:r>
              <w:rPr>
                <w:rFonts w:ascii="Arial" w:cs="Arial" w:eastAsia="Arial" w:hAnsi="Arial"/>
                <w:sz w:val="18"/>
                <w:szCs w:val="18"/>
                <w:color w:val="auto"/>
              </w:rPr>
              <w:t>business through continued route-to-market</w:t>
            </w:r>
          </w:p>
        </w:tc>
        <w:tc>
          <w:tcPr>
            <w:tcW w:w="3740" w:type="dxa"/>
            <w:vAlign w:val="bottom"/>
            <w:tcBorders>
              <w:right w:val="single" w:sz="8" w:color="B6B6B6"/>
            </w:tcBorders>
          </w:tcPr>
          <w:p>
            <w:pPr>
              <w:spacing w:after="0" w:line="202" w:lineRule="exact"/>
              <w:rPr>
                <w:sz w:val="20"/>
                <w:szCs w:val="20"/>
                <w:color w:val="auto"/>
              </w:rPr>
            </w:pPr>
            <w:r>
              <w:rPr>
                <w:rFonts w:ascii="Arial" w:cs="Arial" w:eastAsia="Arial" w:hAnsi="Arial"/>
                <w:sz w:val="18"/>
                <w:szCs w:val="18"/>
                <w:color w:val="auto"/>
              </w:rPr>
              <w:t>with improved IT Solutions offering.</w:t>
            </w:r>
          </w:p>
        </w:tc>
        <w:tc>
          <w:tcPr>
            <w:tcW w:w="3760" w:type="dxa"/>
            <w:vAlign w:val="bottom"/>
            <w:tcBorders>
              <w:right w:val="single" w:sz="8" w:color="B6B6B6"/>
            </w:tcBorders>
          </w:tcPr>
          <w:p>
            <w:pPr>
              <w:ind w:left="20"/>
              <w:spacing w:after="0" w:line="202" w:lineRule="exact"/>
              <w:rPr>
                <w:sz w:val="20"/>
                <w:szCs w:val="20"/>
                <w:color w:val="auto"/>
              </w:rPr>
            </w:pPr>
            <w:r>
              <w:rPr>
                <w:rFonts w:ascii="Arial" w:cs="Arial" w:eastAsia="Arial" w:hAnsi="Arial"/>
                <w:sz w:val="18"/>
                <w:szCs w:val="18"/>
                <w:color w:val="auto"/>
              </w:rPr>
              <w:t>increased profits and the forward flow finance</w:t>
            </w:r>
          </w:p>
        </w:tc>
        <w:tc>
          <w:tcPr>
            <w:tcW w:w="0" w:type="dxa"/>
            <w:vAlign w:val="bottom"/>
          </w:tcPr>
          <w:p>
            <w:pPr>
              <w:spacing w:after="0"/>
              <w:rPr>
                <w:sz w:val="1"/>
                <w:szCs w:val="1"/>
                <w:color w:val="auto"/>
              </w:rPr>
            </w:pPr>
          </w:p>
        </w:tc>
      </w:tr>
      <w:tr>
        <w:trPr>
          <w:trHeight w:val="235"/>
        </w:trPr>
        <w:tc>
          <w:tcPr>
            <w:tcW w:w="3760" w:type="dxa"/>
            <w:vAlign w:val="bottom"/>
            <w:tcBorders>
              <w:left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and offering optimization, expanded partner</w:t>
            </w:r>
          </w:p>
        </w:tc>
        <w:tc>
          <w:tcPr>
            <w:tcW w:w="3740" w:type="dxa"/>
            <w:vAlign w:val="bottom"/>
            <w:tcBorders>
              <w:right w:val="single" w:sz="8" w:color="B6B6B6"/>
            </w:tcBorders>
          </w:tcPr>
          <w:p>
            <w:pPr>
              <w:spacing w:after="0"/>
              <w:rPr>
                <w:sz w:val="20"/>
                <w:szCs w:val="20"/>
                <w:color w:val="auto"/>
              </w:rPr>
            </w:pPr>
            <w:r>
              <w:rPr>
                <w:rFonts w:ascii="Arial" w:cs="Arial" w:eastAsia="Arial" w:hAnsi="Arial"/>
                <w:sz w:val="18"/>
                <w:szCs w:val="18"/>
                <w:color w:val="auto"/>
              </w:rPr>
              <w:t>Realize cost synergies by optimizing the</w:t>
            </w:r>
          </w:p>
        </w:tc>
        <w:tc>
          <w:tcPr>
            <w:tcW w:w="3760" w:type="dxa"/>
            <w:vAlign w:val="bottom"/>
            <w:tcBorders>
              <w:right w:val="single" w:sz="8" w:color="B6B6B6"/>
            </w:tcBorders>
          </w:tcPr>
          <w:p>
            <w:pPr>
              <w:ind w:left="20"/>
              <w:spacing w:after="0"/>
              <w:rPr>
                <w:sz w:val="20"/>
                <w:szCs w:val="20"/>
                <w:color w:val="auto"/>
              </w:rPr>
            </w:pPr>
            <w:r>
              <w:rPr>
                <w:rFonts w:ascii="Arial" w:cs="Arial" w:eastAsia="Arial" w:hAnsi="Arial"/>
                <w:sz w:val="18"/>
                <w:szCs w:val="18"/>
                <w:color w:val="auto"/>
              </w:rPr>
              <w:t>receivables funding program.</w:t>
            </w:r>
          </w:p>
        </w:tc>
        <w:tc>
          <w:tcPr>
            <w:tcW w:w="0" w:type="dxa"/>
            <w:vAlign w:val="bottom"/>
          </w:tcPr>
          <w:p>
            <w:pPr>
              <w:spacing w:after="0"/>
              <w:rPr>
                <w:sz w:val="1"/>
                <w:szCs w:val="1"/>
                <w:color w:val="auto"/>
              </w:rPr>
            </w:pPr>
          </w:p>
        </w:tc>
      </w:tr>
      <w:tr>
        <w:trPr>
          <w:trHeight w:val="203"/>
        </w:trPr>
        <w:tc>
          <w:tcPr>
            <w:tcW w:w="3760" w:type="dxa"/>
            <w:vAlign w:val="bottom"/>
            <w:tcBorders>
              <w:left w:val="single" w:sz="8" w:color="B6B6B6"/>
              <w:right w:val="single" w:sz="8" w:color="B6B6B6"/>
            </w:tcBorders>
          </w:tcPr>
          <w:p>
            <w:pPr>
              <w:ind w:left="40"/>
              <w:spacing w:after="0" w:line="202" w:lineRule="exact"/>
              <w:rPr>
                <w:sz w:val="20"/>
                <w:szCs w:val="20"/>
                <w:color w:val="auto"/>
              </w:rPr>
            </w:pPr>
            <w:r>
              <w:rPr>
                <w:rFonts w:ascii="Arial" w:cs="Arial" w:eastAsia="Arial" w:hAnsi="Arial"/>
                <w:sz w:val="18"/>
                <w:szCs w:val="18"/>
                <w:color w:val="auto"/>
              </w:rPr>
              <w:t>relationships and greater penetration of IT</w:t>
            </w:r>
          </w:p>
        </w:tc>
        <w:tc>
          <w:tcPr>
            <w:tcW w:w="3740" w:type="dxa"/>
            <w:vAlign w:val="bottom"/>
            <w:tcBorders>
              <w:right w:val="single" w:sz="8" w:color="B6B6B6"/>
            </w:tcBorders>
          </w:tcPr>
          <w:p>
            <w:pPr>
              <w:spacing w:after="0" w:line="202" w:lineRule="exact"/>
              <w:rPr>
                <w:sz w:val="20"/>
                <w:szCs w:val="20"/>
                <w:color w:val="auto"/>
              </w:rPr>
            </w:pPr>
            <w:r>
              <w:rPr>
                <w:rFonts w:ascii="Arial" w:cs="Arial" w:eastAsia="Arial" w:hAnsi="Arial"/>
                <w:sz w:val="18"/>
                <w:szCs w:val="18"/>
                <w:color w:val="auto"/>
              </w:rPr>
              <w:t>integrated IT Solutions business.</w:t>
            </w:r>
          </w:p>
        </w:tc>
        <w:tc>
          <w:tcPr>
            <w:tcW w:w="3760" w:type="dxa"/>
            <w:vAlign w:val="bottom"/>
            <w:tcBorders>
              <w:right w:val="single" w:sz="8" w:color="B6B6B6"/>
            </w:tcBorders>
            <w:vMerge w:val="restart"/>
          </w:tcPr>
          <w:p>
            <w:pPr>
              <w:ind w:left="20"/>
              <w:spacing w:after="0"/>
              <w:rPr>
                <w:sz w:val="20"/>
                <w:szCs w:val="20"/>
                <w:color w:val="auto"/>
              </w:rPr>
            </w:pPr>
            <w:r>
              <w:rPr>
                <w:rFonts w:ascii="Arial" w:cs="Arial" w:eastAsia="Arial" w:hAnsi="Arial"/>
                <w:sz w:val="18"/>
                <w:szCs w:val="18"/>
                <w:color w:val="auto"/>
              </w:rPr>
              <w:t>Prioritize the reduction of debt while</w:t>
            </w:r>
          </w:p>
        </w:tc>
        <w:tc>
          <w:tcPr>
            <w:tcW w:w="0" w:type="dxa"/>
            <w:vAlign w:val="bottom"/>
          </w:tcPr>
          <w:p>
            <w:pPr>
              <w:spacing w:after="0"/>
              <w:rPr>
                <w:sz w:val="1"/>
                <w:szCs w:val="1"/>
                <w:color w:val="auto"/>
              </w:rPr>
            </w:pPr>
          </w:p>
        </w:tc>
      </w:tr>
      <w:tr>
        <w:trPr>
          <w:trHeight w:val="189"/>
        </w:trPr>
        <w:tc>
          <w:tcPr>
            <w:tcW w:w="3760" w:type="dxa"/>
            <w:vAlign w:val="bottom"/>
            <w:tcBorders>
              <w:left w:val="single" w:sz="8" w:color="B6B6B6"/>
              <w:right w:val="single" w:sz="8" w:color="B6B6B6"/>
            </w:tcBorders>
          </w:tcPr>
          <w:p>
            <w:pPr>
              <w:ind w:left="40"/>
              <w:spacing w:after="0" w:line="189" w:lineRule="exact"/>
              <w:rPr>
                <w:sz w:val="20"/>
                <w:szCs w:val="20"/>
                <w:color w:val="auto"/>
              </w:rPr>
            </w:pPr>
            <w:r>
              <w:rPr>
                <w:rFonts w:ascii="Arial" w:cs="Arial" w:eastAsia="Arial" w:hAnsi="Arial"/>
                <w:sz w:val="18"/>
                <w:szCs w:val="18"/>
                <w:color w:val="auto"/>
              </w:rPr>
              <w:t>Solutions &amp; Digital Services across Xerox’s</w:t>
            </w:r>
          </w:p>
        </w:tc>
        <w:tc>
          <w:tcPr>
            <w:tcW w:w="3740" w:type="dxa"/>
            <w:vAlign w:val="bottom"/>
            <w:tcBorders>
              <w:right w:val="single" w:sz="8" w:color="B6B6B6"/>
            </w:tcBorders>
            <w:vMerge w:val="restart"/>
          </w:tcPr>
          <w:p>
            <w:pPr>
              <w:spacing w:after="0"/>
              <w:rPr>
                <w:sz w:val="20"/>
                <w:szCs w:val="20"/>
                <w:color w:val="auto"/>
              </w:rPr>
            </w:pPr>
            <w:r>
              <w:rPr>
                <w:rFonts w:ascii="Arial" w:cs="Arial" w:eastAsia="Arial" w:hAnsi="Arial"/>
                <w:sz w:val="18"/>
                <w:szCs w:val="18"/>
                <w:color w:val="auto"/>
              </w:rPr>
              <w:t>Expand the reach of new solutions through</w:t>
            </w:r>
          </w:p>
        </w:tc>
        <w:tc>
          <w:tcPr>
            <w:tcW w:w="3760" w:type="dxa"/>
            <w:vAlign w:val="bottom"/>
            <w:tcBorders>
              <w:right w:val="single" w:sz="8" w:color="B6B6B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3760" w:type="dxa"/>
            <w:vAlign w:val="bottom"/>
            <w:tcBorders>
              <w:left w:val="single" w:sz="8" w:color="B6B6B6"/>
              <w:right w:val="single" w:sz="8" w:color="B6B6B6"/>
            </w:tcBorders>
            <w:vMerge w:val="restart"/>
          </w:tcPr>
          <w:p>
            <w:pPr>
              <w:ind w:left="40"/>
              <w:spacing w:after="0"/>
              <w:rPr>
                <w:sz w:val="20"/>
                <w:szCs w:val="20"/>
                <w:color w:val="auto"/>
              </w:rPr>
            </w:pPr>
            <w:r>
              <w:rPr>
                <w:rFonts w:ascii="Arial" w:cs="Arial" w:eastAsia="Arial" w:hAnsi="Arial"/>
                <w:sz w:val="18"/>
                <w:szCs w:val="18"/>
                <w:color w:val="auto"/>
              </w:rPr>
              <w:t>Print client base.</w:t>
            </w:r>
          </w:p>
        </w:tc>
        <w:tc>
          <w:tcPr>
            <w:tcW w:w="3740" w:type="dxa"/>
            <w:vAlign w:val="bottom"/>
            <w:tcBorders>
              <w:right w:val="single" w:sz="8" w:color="B6B6B6"/>
            </w:tcBorders>
            <w:vMerge w:val="continue"/>
          </w:tcPr>
          <w:p>
            <w:pPr>
              <w:spacing w:after="0"/>
              <w:rPr>
                <w:sz w:val="7"/>
                <w:szCs w:val="7"/>
                <w:color w:val="auto"/>
              </w:rPr>
            </w:pPr>
          </w:p>
        </w:tc>
        <w:tc>
          <w:tcPr>
            <w:tcW w:w="3760" w:type="dxa"/>
            <w:vAlign w:val="bottom"/>
            <w:tcBorders>
              <w:right w:val="single" w:sz="8" w:color="B6B6B6"/>
            </w:tcBorders>
            <w:vMerge w:val="restart"/>
          </w:tcPr>
          <w:p>
            <w:pPr>
              <w:ind w:left="20"/>
              <w:spacing w:after="0"/>
              <w:rPr>
                <w:sz w:val="20"/>
                <w:szCs w:val="20"/>
                <w:color w:val="auto"/>
              </w:rPr>
            </w:pPr>
            <w:r>
              <w:rPr>
                <w:rFonts w:ascii="Arial" w:cs="Arial" w:eastAsia="Arial" w:hAnsi="Arial"/>
                <w:sz w:val="18"/>
                <w:szCs w:val="18"/>
                <w:color w:val="auto"/>
              </w:rPr>
              <w:t>continuing to return cash to shareholders via</w:t>
            </w:r>
          </w:p>
        </w:tc>
        <w:tc>
          <w:tcPr>
            <w:tcW w:w="0" w:type="dxa"/>
            <w:vAlign w:val="bottom"/>
          </w:tcPr>
          <w:p>
            <w:pPr>
              <w:spacing w:after="0"/>
              <w:rPr>
                <w:sz w:val="1"/>
                <w:szCs w:val="1"/>
                <w:color w:val="auto"/>
              </w:rPr>
            </w:pPr>
          </w:p>
        </w:tc>
      </w:tr>
      <w:tr>
        <w:trPr>
          <w:trHeight w:val="135"/>
        </w:trPr>
        <w:tc>
          <w:tcPr>
            <w:tcW w:w="3760" w:type="dxa"/>
            <w:vAlign w:val="bottom"/>
            <w:tcBorders>
              <w:left w:val="single" w:sz="8" w:color="B6B6B6"/>
              <w:right w:val="single" w:sz="8" w:color="B6B6B6"/>
            </w:tcBorders>
            <w:vMerge w:val="continue"/>
          </w:tcPr>
          <w:p>
            <w:pPr>
              <w:spacing w:after="0"/>
              <w:rPr>
                <w:sz w:val="11"/>
                <w:szCs w:val="11"/>
                <w:color w:val="auto"/>
              </w:rPr>
            </w:pPr>
          </w:p>
        </w:tc>
        <w:tc>
          <w:tcPr>
            <w:tcW w:w="3740" w:type="dxa"/>
            <w:vAlign w:val="bottom"/>
            <w:tcBorders>
              <w:right w:val="single" w:sz="8" w:color="B6B6B6"/>
            </w:tcBorders>
            <w:vMerge w:val="restart"/>
          </w:tcPr>
          <w:p>
            <w:pPr>
              <w:spacing w:after="0" w:line="202" w:lineRule="exact"/>
              <w:rPr>
                <w:sz w:val="20"/>
                <w:szCs w:val="20"/>
                <w:color w:val="auto"/>
              </w:rPr>
            </w:pPr>
            <w:r>
              <w:rPr>
                <w:rFonts w:ascii="Arial" w:cs="Arial" w:eastAsia="Arial" w:hAnsi="Arial"/>
                <w:sz w:val="18"/>
                <w:szCs w:val="18"/>
                <w:color w:val="auto"/>
              </w:rPr>
              <w:t>deeper penetration of combined customer</w:t>
            </w:r>
          </w:p>
        </w:tc>
        <w:tc>
          <w:tcPr>
            <w:tcW w:w="3760" w:type="dxa"/>
            <w:vAlign w:val="bottom"/>
            <w:tcBorders>
              <w:right w:val="single" w:sz="8" w:color="B6B6B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760" w:type="dxa"/>
            <w:vAlign w:val="bottom"/>
            <w:tcBorders>
              <w:left w:val="single" w:sz="8" w:color="B6B6B6"/>
              <w:right w:val="single" w:sz="8" w:color="B6B6B6"/>
            </w:tcBorders>
          </w:tcPr>
          <w:p>
            <w:pPr>
              <w:spacing w:after="0"/>
              <w:rPr>
                <w:sz w:val="5"/>
                <w:szCs w:val="5"/>
                <w:color w:val="auto"/>
              </w:rPr>
            </w:pPr>
          </w:p>
        </w:tc>
        <w:tc>
          <w:tcPr>
            <w:tcW w:w="3740" w:type="dxa"/>
            <w:vAlign w:val="bottom"/>
            <w:tcBorders>
              <w:right w:val="single" w:sz="8" w:color="B6B6B6"/>
            </w:tcBorders>
            <w:vMerge w:val="continue"/>
          </w:tcPr>
          <w:p>
            <w:pPr>
              <w:spacing w:after="0"/>
              <w:rPr>
                <w:sz w:val="5"/>
                <w:szCs w:val="5"/>
                <w:color w:val="auto"/>
              </w:rPr>
            </w:pPr>
          </w:p>
        </w:tc>
        <w:tc>
          <w:tcPr>
            <w:tcW w:w="3760" w:type="dxa"/>
            <w:vAlign w:val="bottom"/>
            <w:tcBorders>
              <w:right w:val="single" w:sz="8" w:color="B6B6B6"/>
            </w:tcBorders>
            <w:vMerge w:val="restart"/>
          </w:tcPr>
          <w:p>
            <w:pPr>
              <w:ind w:left="20"/>
              <w:spacing w:after="0" w:line="202" w:lineRule="exact"/>
              <w:rPr>
                <w:sz w:val="20"/>
                <w:szCs w:val="20"/>
                <w:color w:val="auto"/>
              </w:rPr>
            </w:pPr>
            <w:r>
              <w:rPr>
                <w:rFonts w:ascii="Arial" w:cs="Arial" w:eastAsia="Arial" w:hAnsi="Arial"/>
                <w:sz w:val="18"/>
                <w:szCs w:val="18"/>
                <w:color w:val="auto"/>
              </w:rPr>
              <w:t>the annual</w:t>
            </w:r>
          </w:p>
        </w:tc>
        <w:tc>
          <w:tcPr>
            <w:tcW w:w="0" w:type="dxa"/>
            <w:vAlign w:val="bottom"/>
          </w:tcPr>
          <w:p>
            <w:pPr>
              <w:spacing w:after="0"/>
              <w:rPr>
                <w:sz w:val="1"/>
                <w:szCs w:val="1"/>
                <w:color w:val="auto"/>
              </w:rPr>
            </w:pPr>
          </w:p>
        </w:tc>
      </w:tr>
      <w:tr>
        <w:trPr>
          <w:trHeight w:val="135"/>
        </w:trPr>
        <w:tc>
          <w:tcPr>
            <w:tcW w:w="3760" w:type="dxa"/>
            <w:vAlign w:val="bottom"/>
            <w:tcBorders>
              <w:left w:val="single" w:sz="8" w:color="B6B6B6"/>
              <w:right w:val="single" w:sz="8" w:color="B6B6B6"/>
            </w:tcBorders>
            <w:vMerge w:val="restart"/>
          </w:tcPr>
          <w:p>
            <w:pPr>
              <w:ind w:left="40"/>
              <w:spacing w:after="0" w:line="189" w:lineRule="exact"/>
              <w:rPr>
                <w:sz w:val="20"/>
                <w:szCs w:val="20"/>
                <w:color w:val="auto"/>
              </w:rPr>
            </w:pPr>
            <w:r>
              <w:rPr>
                <w:rFonts w:ascii="Arial" w:cs="Arial" w:eastAsia="Arial" w:hAnsi="Arial"/>
                <w:sz w:val="18"/>
                <w:szCs w:val="18"/>
                <w:b w:val="1"/>
                <w:bCs w:val="1"/>
                <w:color w:val="auto"/>
              </w:rPr>
              <w:t>Operational Simplification</w:t>
            </w:r>
          </w:p>
        </w:tc>
        <w:tc>
          <w:tcPr>
            <w:tcW w:w="3740" w:type="dxa"/>
            <w:vAlign w:val="bottom"/>
            <w:tcBorders>
              <w:right w:val="single" w:sz="8" w:color="B6B6B6"/>
            </w:tcBorders>
            <w:vMerge w:val="restart"/>
          </w:tcPr>
          <w:p>
            <w:pPr>
              <w:spacing w:after="0" w:line="189" w:lineRule="exact"/>
              <w:rPr>
                <w:sz w:val="20"/>
                <w:szCs w:val="20"/>
                <w:color w:val="auto"/>
              </w:rPr>
            </w:pPr>
            <w:r>
              <w:rPr>
                <w:rFonts w:ascii="Arial" w:cs="Arial" w:eastAsia="Arial" w:hAnsi="Arial"/>
                <w:sz w:val="18"/>
                <w:szCs w:val="18"/>
                <w:color w:val="auto"/>
              </w:rPr>
              <w:t>base.</w:t>
            </w:r>
          </w:p>
        </w:tc>
        <w:tc>
          <w:tcPr>
            <w:tcW w:w="3760" w:type="dxa"/>
            <w:vAlign w:val="bottom"/>
            <w:tcBorders>
              <w:right w:val="single" w:sz="8" w:color="B6B6B6"/>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760" w:type="dxa"/>
            <w:vAlign w:val="bottom"/>
            <w:tcBorders>
              <w:left w:val="single" w:sz="8" w:color="B6B6B6"/>
              <w:right w:val="single" w:sz="8" w:color="B6B6B6"/>
            </w:tcBorders>
            <w:vMerge w:val="continue"/>
          </w:tcPr>
          <w:p>
            <w:pPr>
              <w:spacing w:after="0"/>
              <w:rPr>
                <w:sz w:val="4"/>
                <w:szCs w:val="4"/>
                <w:color w:val="auto"/>
              </w:rPr>
            </w:pPr>
          </w:p>
        </w:tc>
        <w:tc>
          <w:tcPr>
            <w:tcW w:w="3740" w:type="dxa"/>
            <w:vAlign w:val="bottom"/>
            <w:tcBorders>
              <w:right w:val="single" w:sz="8" w:color="B6B6B6"/>
            </w:tcBorders>
            <w:vMerge w:val="continue"/>
          </w:tcPr>
          <w:p>
            <w:pPr>
              <w:spacing w:after="0"/>
              <w:rPr>
                <w:sz w:val="4"/>
                <w:szCs w:val="4"/>
                <w:color w:val="auto"/>
              </w:rPr>
            </w:pPr>
          </w:p>
        </w:tc>
        <w:tc>
          <w:tcPr>
            <w:tcW w:w="3760" w:type="dxa"/>
            <w:vAlign w:val="bottom"/>
            <w:tcBorders>
              <w:right w:val="single" w:sz="8" w:color="B6B6B6"/>
            </w:tcBorders>
            <w:vMerge w:val="restart"/>
          </w:tcPr>
          <w:p>
            <w:pPr>
              <w:ind w:left="20"/>
              <w:spacing w:after="0"/>
              <w:rPr>
                <w:sz w:val="20"/>
                <w:szCs w:val="20"/>
                <w:color w:val="auto"/>
              </w:rPr>
            </w:pPr>
            <w:r>
              <w:rPr>
                <w:rFonts w:ascii="Arial" w:cs="Arial" w:eastAsia="Arial" w:hAnsi="Arial"/>
                <w:sz w:val="18"/>
                <w:szCs w:val="18"/>
                <w:color w:val="auto"/>
              </w:rPr>
              <w:t>dividend.</w:t>
            </w:r>
          </w:p>
        </w:tc>
        <w:tc>
          <w:tcPr>
            <w:tcW w:w="0" w:type="dxa"/>
            <w:vAlign w:val="bottom"/>
          </w:tcPr>
          <w:p>
            <w:pPr>
              <w:spacing w:after="0"/>
              <w:rPr>
                <w:sz w:val="1"/>
                <w:szCs w:val="1"/>
                <w:color w:val="auto"/>
              </w:rPr>
            </w:pPr>
          </w:p>
        </w:tc>
      </w:tr>
      <w:tr>
        <w:trPr>
          <w:trHeight w:val="235"/>
        </w:trPr>
        <w:tc>
          <w:tcPr>
            <w:tcW w:w="3760" w:type="dxa"/>
            <w:vAlign w:val="bottom"/>
            <w:tcBorders>
              <w:left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GBS to drive structural cost improvements</w:t>
            </w:r>
          </w:p>
        </w:tc>
        <w:tc>
          <w:tcPr>
            <w:tcW w:w="3740" w:type="dxa"/>
            <w:vAlign w:val="bottom"/>
            <w:tcBorders>
              <w:right w:val="single" w:sz="8" w:color="B6B6B6"/>
            </w:tcBorders>
          </w:tcPr>
          <w:p>
            <w:pPr>
              <w:spacing w:after="0"/>
              <w:rPr>
                <w:sz w:val="20"/>
                <w:szCs w:val="20"/>
                <w:color w:val="auto"/>
              </w:rPr>
            </w:pPr>
            <w:r>
              <w:rPr>
                <w:rFonts w:ascii="Arial" w:cs="Arial" w:eastAsia="Arial" w:hAnsi="Arial"/>
                <w:sz w:val="18"/>
                <w:szCs w:val="18"/>
                <w:color w:val="auto"/>
              </w:rPr>
              <w:t>Capture Lexmark acquisition-related revenue,</w:t>
            </w:r>
          </w:p>
        </w:tc>
        <w:tc>
          <w:tcPr>
            <w:tcW w:w="3760" w:type="dxa"/>
            <w:vAlign w:val="bottom"/>
            <w:tcBorders>
              <w:right w:val="single" w:sz="8" w:color="B6B6B6"/>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60" w:type="dxa"/>
            <w:vAlign w:val="bottom"/>
            <w:tcBorders>
              <w:left w:val="single" w:sz="8" w:color="B6B6B6"/>
              <w:right w:val="single" w:sz="8" w:color="B6B6B6"/>
            </w:tcBorders>
          </w:tcPr>
          <w:p>
            <w:pPr>
              <w:ind w:left="40"/>
              <w:spacing w:after="0" w:line="202" w:lineRule="exact"/>
              <w:rPr>
                <w:sz w:val="20"/>
                <w:szCs w:val="20"/>
                <w:color w:val="auto"/>
              </w:rPr>
            </w:pPr>
            <w:r>
              <w:rPr>
                <w:rFonts w:ascii="Arial" w:cs="Arial" w:eastAsia="Arial" w:hAnsi="Arial"/>
                <w:sz w:val="18"/>
                <w:szCs w:val="18"/>
                <w:color w:val="auto"/>
              </w:rPr>
              <w:t>and higher service quality through continued</w:t>
            </w:r>
          </w:p>
        </w:tc>
        <w:tc>
          <w:tcPr>
            <w:tcW w:w="3740" w:type="dxa"/>
            <w:vAlign w:val="bottom"/>
            <w:tcBorders>
              <w:right w:val="single" w:sz="8" w:color="B6B6B6"/>
            </w:tcBorders>
          </w:tcPr>
          <w:p>
            <w:pPr>
              <w:spacing w:after="0" w:line="202" w:lineRule="exact"/>
              <w:rPr>
                <w:sz w:val="20"/>
                <w:szCs w:val="20"/>
                <w:color w:val="auto"/>
              </w:rPr>
            </w:pPr>
            <w:r>
              <w:rPr>
                <w:rFonts w:ascii="Arial" w:cs="Arial" w:eastAsia="Arial" w:hAnsi="Arial"/>
                <w:sz w:val="18"/>
                <w:szCs w:val="18"/>
                <w:color w:val="auto"/>
              </w:rPr>
              <w:t>cost and working capital synergies</w:t>
            </w:r>
          </w:p>
        </w:tc>
        <w:tc>
          <w:tcPr>
            <w:tcW w:w="376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left w:val="single" w:sz="8" w:color="B6B6B6"/>
              <w:right w:val="single" w:sz="8" w:color="B6B6B6"/>
            </w:tcBorders>
          </w:tcPr>
          <w:p>
            <w:pPr>
              <w:ind w:left="40"/>
              <w:spacing w:after="0" w:line="202" w:lineRule="exact"/>
              <w:rPr>
                <w:sz w:val="20"/>
                <w:szCs w:val="20"/>
                <w:color w:val="auto"/>
              </w:rPr>
            </w:pPr>
            <w:r>
              <w:rPr>
                <w:rFonts w:ascii="Arial" w:cs="Arial" w:eastAsia="Arial" w:hAnsi="Arial"/>
                <w:sz w:val="18"/>
                <w:szCs w:val="18"/>
                <w:color w:val="auto"/>
              </w:rPr>
              <w:t>technology-enabled productivity</w:t>
            </w:r>
          </w:p>
        </w:tc>
        <w:tc>
          <w:tcPr>
            <w:tcW w:w="3740" w:type="dxa"/>
            <w:vAlign w:val="bottom"/>
            <w:tcBorders>
              <w:right w:val="single" w:sz="8" w:color="B6B6B6"/>
            </w:tcBorders>
          </w:tcPr>
          <w:p>
            <w:pPr>
              <w:spacing w:after="0" w:line="202" w:lineRule="exact"/>
              <w:rPr>
                <w:sz w:val="20"/>
                <w:szCs w:val="20"/>
                <w:color w:val="auto"/>
              </w:rPr>
            </w:pPr>
            <w:r>
              <w:rPr>
                <w:rFonts w:ascii="Arial" w:cs="Arial" w:eastAsia="Arial" w:hAnsi="Arial"/>
                <w:sz w:val="18"/>
                <w:szCs w:val="18"/>
                <w:color w:val="auto"/>
              </w:rPr>
              <w:t>through the execution of a comprehensive</w:t>
            </w:r>
          </w:p>
        </w:tc>
        <w:tc>
          <w:tcPr>
            <w:tcW w:w="376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left w:val="single" w:sz="8" w:color="B6B6B6"/>
              <w:right w:val="single" w:sz="8" w:color="B6B6B6"/>
            </w:tcBorders>
          </w:tcPr>
          <w:p>
            <w:pPr>
              <w:ind w:left="40"/>
              <w:spacing w:after="0" w:line="202" w:lineRule="exact"/>
              <w:rPr>
                <w:sz w:val="20"/>
                <w:szCs w:val="20"/>
                <w:color w:val="auto"/>
              </w:rPr>
            </w:pPr>
            <w:r>
              <w:rPr>
                <w:rFonts w:ascii="Arial" w:cs="Arial" w:eastAsia="Arial" w:hAnsi="Arial"/>
                <w:sz w:val="18"/>
                <w:szCs w:val="18"/>
                <w:color w:val="auto"/>
              </w:rPr>
              <w:t>enhancements, outsourcing optimization, and</w:t>
            </w:r>
          </w:p>
        </w:tc>
        <w:tc>
          <w:tcPr>
            <w:tcW w:w="3740" w:type="dxa"/>
            <w:vAlign w:val="bottom"/>
            <w:tcBorders>
              <w:right w:val="single" w:sz="8" w:color="B6B6B6"/>
            </w:tcBorders>
          </w:tcPr>
          <w:p>
            <w:pPr>
              <w:spacing w:after="0" w:line="202" w:lineRule="exact"/>
              <w:rPr>
                <w:sz w:val="20"/>
                <w:szCs w:val="20"/>
                <w:color w:val="auto"/>
              </w:rPr>
            </w:pPr>
            <w:r>
              <w:rPr>
                <w:rFonts w:ascii="Arial" w:cs="Arial" w:eastAsia="Arial" w:hAnsi="Arial"/>
                <w:sz w:val="18"/>
                <w:szCs w:val="18"/>
                <w:color w:val="auto"/>
              </w:rPr>
              <w:t>integration plan.</w:t>
            </w:r>
          </w:p>
        </w:tc>
        <w:tc>
          <w:tcPr>
            <w:tcW w:w="3760" w:type="dxa"/>
            <w:vAlign w:val="bottom"/>
            <w:tcBorders>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60" w:type="dxa"/>
            <w:vAlign w:val="bottom"/>
            <w:tcBorders>
              <w:left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process standardization.</w:t>
            </w:r>
          </w:p>
        </w:tc>
        <w:tc>
          <w:tcPr>
            <w:tcW w:w="3740" w:type="dxa"/>
            <w:vAlign w:val="bottom"/>
            <w:tcBorders>
              <w:right w:val="single" w:sz="8" w:color="B6B6B6"/>
            </w:tcBorders>
          </w:tcPr>
          <w:p>
            <w:pPr>
              <w:spacing w:after="0"/>
              <w:rPr>
                <w:sz w:val="20"/>
                <w:szCs w:val="20"/>
                <w:color w:val="auto"/>
              </w:rPr>
            </w:pPr>
          </w:p>
        </w:tc>
        <w:tc>
          <w:tcPr>
            <w:tcW w:w="3760" w:type="dxa"/>
            <w:vAlign w:val="bottom"/>
            <w:tcBorders>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60" w:type="dxa"/>
            <w:vAlign w:val="bottom"/>
            <w:tcBorders>
              <w:left w:val="single" w:sz="8" w:color="B6B6B6"/>
              <w:bottom w:val="single" w:sz="8" w:color="B6B6B6"/>
              <w:right w:val="single" w:sz="8" w:color="B6B6B6"/>
            </w:tcBorders>
          </w:tcPr>
          <w:p>
            <w:pPr>
              <w:spacing w:after="0"/>
              <w:rPr>
                <w:sz w:val="20"/>
                <w:szCs w:val="20"/>
                <w:color w:val="auto"/>
              </w:rPr>
            </w:pPr>
          </w:p>
        </w:tc>
        <w:tc>
          <w:tcPr>
            <w:tcW w:w="3740" w:type="dxa"/>
            <w:vAlign w:val="bottom"/>
            <w:tcBorders>
              <w:bottom w:val="single" w:sz="8" w:color="B6B6B6"/>
              <w:right w:val="single" w:sz="8" w:color="B6B6B6"/>
            </w:tcBorders>
          </w:tcPr>
          <w:p>
            <w:pPr>
              <w:spacing w:after="0"/>
              <w:rPr>
                <w:sz w:val="20"/>
                <w:szCs w:val="20"/>
                <w:color w:val="auto"/>
              </w:rPr>
            </w:pPr>
          </w:p>
        </w:tc>
        <w:tc>
          <w:tcPr>
            <w:tcW w:w="376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760" w:type="dxa"/>
            <w:vAlign w:val="bottom"/>
          </w:tcPr>
          <w:p>
            <w:pPr>
              <w:spacing w:after="0"/>
              <w:rPr>
                <w:sz w:val="20"/>
                <w:szCs w:val="20"/>
                <w:color w:val="auto"/>
              </w:rPr>
            </w:pPr>
            <w:r>
              <w:rPr>
                <w:rFonts w:ascii="Arial" w:cs="Arial" w:eastAsia="Arial" w:hAnsi="Arial"/>
                <w:sz w:val="18"/>
                <w:szCs w:val="18"/>
                <w:color w:val="auto"/>
              </w:rPr>
              <w:t>________</w:t>
            </w:r>
          </w:p>
        </w:tc>
        <w:tc>
          <w:tcPr>
            <w:tcW w:w="3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520" w:right="2360" w:hanging="5512"/>
        <w:spacing w:after="0" w:line="900" w:lineRule="auto"/>
        <w:tabs>
          <w:tab w:leader="none" w:pos="197"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Refer to the “Non-GAAP Financial Measures” section for a reconciliation of this non-GAAP financial measure.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Fiscal Year 2025 Achievements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2025, we completed the acquisition of Lexmark International II, LLC (Lexmark) (the Lexmark Acquisition). The addition of Lexmark is intended to enhance Xerox's operational resilience and cost structure. Expected benefits include increased presence in the A4 color segment, entry into the APAC print market, potential reductions in product and tariff-related costs through the use of Lexmark’s manufacturing footprint, improved supply chain flexibility, and the ability to leverage Lexmark’s global capability centers and IT infrastructure to support customer satisfaction and operational efficiency. The combined company also offers a wider portfolio of offerings and services to Lexmark’s large customer base. During the year, we also completed the integration of ITsavvy, forming our new Xerox IT Solutions organization (IT Solutions). IT Solutions meaningfully expands Xerox’s reach of the typical IT budget by providing additional offerings as well as opportunities that strengthen our relationship with existing clients. In 2025, growth of the IT Solutions business, driven by the acquisition of ITsavvy, reflected client demand for integrated infrastructure, cloud, security, and automation solutions.</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Reinvention efforts are focused on Operational Simplification, and Commercial Optimization and Growth. During 2025, we made significant progress across each priority.</w:t>
      </w:r>
    </w:p>
    <w:p>
      <w:pPr>
        <w:spacing w:after="0" w:line="18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Operational Simplification</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300" w:hanging="320"/>
        <w:spacing w:after="0" w:line="242" w:lineRule="auto"/>
        <w:tabs>
          <w:tab w:leader="none" w:pos="13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Achieved cumulative run-rate gross cost savings of more than $500 million through year-end 2025, including Integration savings</w:t>
      </w:r>
    </w:p>
    <w:p>
      <w:pPr>
        <w:spacing w:after="0" w:line="1" w:lineRule="exact"/>
        <w:rPr>
          <w:rFonts w:ascii="Arial" w:cs="Arial" w:eastAsia="Arial" w:hAnsi="Arial"/>
          <w:sz w:val="18"/>
          <w:szCs w:val="18"/>
          <w:color w:val="auto"/>
        </w:rPr>
      </w:pPr>
    </w:p>
    <w:p>
      <w:pPr>
        <w:ind w:left="1300" w:right="1080" w:hanging="320"/>
        <w:spacing w:after="0" w:line="242"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Eliminated duplicative systems, implemented more efficient systems and processes, and enhanced efficiency in procurement, warehousing, inventory management and demand planning</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Launched tools focused on digital transformation</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Commercial Optimization and Growth</w:t>
      </w:r>
      <w:r>
        <w:rPr>
          <w:rFonts w:ascii="Arial" w:cs="Arial" w:eastAsia="Arial" w:hAnsi="Arial"/>
          <w:sz w:val="18"/>
          <w:szCs w:val="18"/>
          <w:color w:val="auto"/>
        </w:rPr>
        <w:t>:</w:t>
      </w:r>
    </w:p>
    <w:p>
      <w:pPr>
        <w:ind w:left="1300" w:right="280" w:hanging="320"/>
        <w:spacing w:after="0" w:line="242"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Re-entered the growing mid-volume Production inkjet market through partnerships, with the launch of IJP900 and Proficio products</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Launched Inside Sales operations in U.S. and Canada</w:t>
      </w:r>
    </w:p>
    <w:p>
      <w:pPr>
        <w:ind w:left="1300" w:hanging="320"/>
        <w:spacing w:after="0" w:line="23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Invested in partner programs and customer initiatives</w:t>
      </w: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Integrated ITsavvy, enhancing Xerox’s IT Solutions offering and expanding the TAM of Xerox's offerings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Closed the Lexmark Acquisition, providing greater exposure to growing Print markets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Leadership Transitions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During 2025, the Company implemented a series of leadership transitions aligned with its ongoing transformation and integration priorities. These changes were previously disclosed in the Company’s Current Reports on Form 8-K and related public filings and are summarized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Chief Operating Officer Transition</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2025, John Bruno resigned from his role as President and Chief Operating Officer but continues to serve on the Board and as Chair of the Board’s Integration Committee, where he continues to provide strategic oversight of integration activities. The Board believes that this continued Board-level involvement supports execution continuity during a period of significant operational change.</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September 1, 2025, Louis J. Pastor, previously the Company's Executive Vice President, Chief Transformation and Administrative Officer, was appointed President and Chief Operating Officer. The Board determined that Mr. Pastor’s operational leadership experience and familiarity with the Company’s strategic priorities positioned him to lead global operations and execution of integration and transformation initiatives. Effective March 31, 2026, Mr. Pastor was appointed Chief Executive Officer, as disclosed below under “2026 Leadership Transitions — CEO Transition.”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Transitions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of Xavier Heiss and Appointment of Mirlanda Gecaj</w:t>
      </w:r>
    </w:p>
    <w:p>
      <w:pPr>
        <w:spacing w:after="0" w:line="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Xavier Heiss retired as Executive Vice President and Chief Financial Officer effective January 31, 2025, consistent with the Company’s succession planning. His retirement arrangements were provided in accordance with his existing agreements and the Company’s executive programs.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ind w:right="20"/>
        <w:spacing w:after="0" w:line="262" w:lineRule="auto"/>
        <w:rPr>
          <w:sz w:val="20"/>
          <w:szCs w:val="20"/>
          <w:color w:val="auto"/>
        </w:rPr>
      </w:pPr>
      <w:r>
        <w:rPr>
          <w:rFonts w:ascii="Arial" w:cs="Arial" w:eastAsia="Arial" w:hAnsi="Arial"/>
          <w:sz w:val="18"/>
          <w:szCs w:val="18"/>
          <w:color w:val="auto"/>
        </w:rPr>
        <w:t>Upon Mr. Heiss' retirement, Mirlanda Gecaj, previously the Company’s Chief Accounting Officer, was appointed Executive Vice President and Chief Financial Officer effective February 1, 2025. The Board’s decision reflected its focus on internal succession and leadership continuity. Ms. Gecaj's compensation was established based on peer benchmarking, internal equity considerations, and the scope of her expanded responsibilities.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Mirlanda Gecaj and Appointment of Charles Butler</w:t>
      </w:r>
    </w:p>
    <w:p>
      <w:pPr>
        <w:spacing w:after="0" w:line="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On December 2, 2025, Ms. Gecaj's employment with the Company ended and she departed from her role as Executive Vice President and Chief Financial Officer. Her separation arrangements were consistent with the terms of her employment and the Company’s executive severance framework, as disclosed in the Company’s Form 8-K.</w:t>
      </w:r>
    </w:p>
    <w:p>
      <w:pPr>
        <w:spacing w:after="0" w:line="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Effective December 2, 2025, the Board appointed Charles Butler as Executive Vice President and Chief Financial Officer. Mr. Butler joined the Company on July 1, 2025 in connection with the closing of the Lexmark acquisition, where he had served as Chief Financial Officer. In his role at Xerox, Mr. Butler is responsible for the Company’s global finance organization, including financial planning and analysis, accounting, treasury, tax, and investor relations.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Prior to his appointment as Executive Vice President and Chief Financial Officer of Xerox, Mr. Butler agreed to waive and release any remaining right to benefits, payments and entitlements under the Lexmark change-in-control agreement. Xerox did not enhance, reimburse, or supplement the contractual benefits payable under the legacy arrangement, and Mr. Butler does not participate in any legacy Lexmark change-in-control protections.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Revenue Officer Appointment</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Also effective September 1, 2025, Jacques-Edouard Gueden was appointed Chief Revenue Officer, with responsibility for the Company’s global sales organization and revenue growth strategy.</w:t>
      </w:r>
    </w:p>
    <w:p>
      <w:pPr>
        <w:spacing w:after="0" w:line="4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the September 2025 appointments of Mr. Pastor and Mr. Gueden, the Compensation and Human Capital Committee did not increase their base salaries or target incentive opportunities during fiscal year 2025. The Committee determined to evaluate any compensation adjustments in the context of the Company’s broader 2026 executive compensation review to ensure alignment with scope of responsibilities, internal equity, and shareholder considerations.</w:t>
      </w:r>
    </w:p>
    <w:p>
      <w:pPr>
        <w:spacing w:after="0" w:line="68"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Collectively, these leadership transitions reflect the Board’s emphasis on succession planning, operational execution, disciplined compensation governance, and financial stewardship during a period of significant transformation.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Leadership Transitions - CEO Transition</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March 30, 2026, the Company announced the appointment of Louis J. Pastor, the Company’s President and Chief Operating Officer, as Chief Executive Officer, effective as of March 31, 2026, to succeed Steven J. Bandrowczak. Mr. Pastor was also appointed to the Board, effective March 31, 2026, to fill the vacancy created by Mr. Bandrowczak’s departure.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2025 Named Executive Officers</w:t>
      </w:r>
      <w:r>
        <w:rPr>
          <w:rFonts w:ascii="Arial" w:cs="Arial" w:eastAsia="Arial" w:hAnsi="Arial"/>
          <w:sz w:val="23"/>
          <w:szCs w:val="23"/>
          <w:b w:val="1"/>
          <w:bCs w:val="1"/>
          <w:color w:val="auto"/>
          <w:vertAlign w:val="superscript"/>
        </w:rPr>
        <w:t>(1)</w:t>
      </w:r>
    </w:p>
    <w:p>
      <w:pPr>
        <w:spacing w:after="0" w:line="64"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This CD&amp;A explains the key elements of the compensation of our Company’s Named Executive Officers (NEOs) and describes the objectives and principles underlying our Company’s executive compensation program for 2025. For 2025, our NEOs were:</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560" w:type="dxa"/>
            <w:vAlign w:val="bottom"/>
            <w:tcBorders>
              <w:top w:val="single" w:sz="8" w:color="929292"/>
              <w:left w:val="single" w:sz="8" w:color="929292"/>
              <w:right w:val="single" w:sz="8" w:color="929292"/>
            </w:tcBorders>
            <w:shd w:val="clear" w:color="auto" w:fill="F7323F"/>
          </w:tcPr>
          <w:p>
            <w:pPr>
              <w:ind w:left="40"/>
              <w:spacing w:after="0"/>
              <w:rPr>
                <w:sz w:val="20"/>
                <w:szCs w:val="20"/>
                <w:color w:val="auto"/>
              </w:rPr>
            </w:pPr>
            <w:r>
              <w:rPr>
                <w:rFonts w:ascii="Arial" w:cs="Arial" w:eastAsia="Arial" w:hAnsi="Arial"/>
                <w:sz w:val="18"/>
                <w:szCs w:val="18"/>
                <w:b w:val="1"/>
                <w:bCs w:val="1"/>
                <w:color w:val="FFFFFF"/>
              </w:rPr>
              <w:t>Executive</w:t>
            </w:r>
          </w:p>
        </w:tc>
        <w:tc>
          <w:tcPr>
            <w:tcW w:w="7240" w:type="dxa"/>
            <w:vAlign w:val="bottom"/>
            <w:tcBorders>
              <w:top w:val="single" w:sz="8" w:color="929292"/>
              <w:right w:val="single" w:sz="8" w:color="929292"/>
            </w:tcBorders>
            <w:shd w:val="clear" w:color="auto" w:fill="F7323F"/>
          </w:tcPr>
          <w:p>
            <w:pPr>
              <w:ind w:left="3200"/>
              <w:spacing w:after="0"/>
              <w:rPr>
                <w:sz w:val="20"/>
                <w:szCs w:val="20"/>
                <w:color w:val="auto"/>
              </w:rPr>
            </w:pPr>
            <w:r>
              <w:rPr>
                <w:rFonts w:ascii="Arial" w:cs="Arial" w:eastAsia="Arial" w:hAnsi="Arial"/>
                <w:sz w:val="18"/>
                <w:szCs w:val="18"/>
                <w:b w:val="1"/>
                <w:bCs w:val="1"/>
                <w:color w:val="FFFFFF"/>
              </w:rPr>
              <w:t>2025 Title</w:t>
            </w:r>
          </w:p>
        </w:tc>
      </w:tr>
      <w:tr>
        <w:trPr>
          <w:trHeight w:val="229"/>
        </w:trPr>
        <w:tc>
          <w:tcPr>
            <w:tcW w:w="2560" w:type="dxa"/>
            <w:vAlign w:val="bottom"/>
            <w:tcBorders>
              <w:left w:val="single" w:sz="8" w:color="B6B6B6"/>
              <w:bottom w:val="single" w:sz="8" w:color="B6B6B6"/>
              <w:right w:val="single" w:sz="8" w:color="B6B6B6"/>
            </w:tcBorders>
          </w:tcPr>
          <w:p>
            <w:pPr>
              <w:ind w:left="40"/>
              <w:spacing w:after="0" w:line="230" w:lineRule="exact"/>
              <w:rPr>
                <w:sz w:val="20"/>
                <w:szCs w:val="20"/>
                <w:color w:val="auto"/>
              </w:rPr>
            </w:pPr>
            <w:r>
              <w:rPr>
                <w:rFonts w:ascii="Arial" w:cs="Arial" w:eastAsia="Arial" w:hAnsi="Arial"/>
                <w:sz w:val="18"/>
                <w:szCs w:val="18"/>
                <w:color w:val="auto"/>
              </w:rPr>
              <w:t>Steven J. Bandrowczak</w:t>
            </w:r>
            <w:r>
              <w:rPr>
                <w:rFonts w:ascii="Arial" w:cs="Arial" w:eastAsia="Arial" w:hAnsi="Arial"/>
                <w:sz w:val="23"/>
                <w:szCs w:val="23"/>
                <w:color w:val="auto"/>
                <w:vertAlign w:val="superscript"/>
              </w:rPr>
              <w:t>(1)</w:t>
            </w:r>
          </w:p>
        </w:tc>
        <w:tc>
          <w:tcPr>
            <w:tcW w:w="7240" w:type="dxa"/>
            <w:vAlign w:val="bottom"/>
            <w:tcBorders>
              <w:bottom w:val="single" w:sz="8" w:color="B6B6B6"/>
              <w:right w:val="single" w:sz="8" w:color="B6B6B6"/>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223"/>
        </w:trPr>
        <w:tc>
          <w:tcPr>
            <w:tcW w:w="2560" w:type="dxa"/>
            <w:vAlign w:val="bottom"/>
            <w:tcBorders>
              <w:left w:val="single" w:sz="8" w:color="B6B6B6"/>
              <w:bottom w:val="single" w:sz="8" w:color="B6B6B6"/>
              <w:right w:val="single" w:sz="8" w:color="B6B6B6"/>
            </w:tcBorders>
            <w:shd w:val="clear" w:color="auto" w:fill="D8D8D8"/>
          </w:tcPr>
          <w:p>
            <w:pPr>
              <w:ind w:left="40"/>
              <w:spacing w:after="0" w:line="223" w:lineRule="exact"/>
              <w:rPr>
                <w:sz w:val="20"/>
                <w:szCs w:val="20"/>
                <w:color w:val="auto"/>
              </w:rPr>
            </w:pPr>
            <w:r>
              <w:rPr>
                <w:rFonts w:ascii="Arial" w:cs="Arial" w:eastAsia="Arial" w:hAnsi="Arial"/>
                <w:sz w:val="18"/>
                <w:szCs w:val="18"/>
                <w:color w:val="auto"/>
              </w:rPr>
              <w:t>John Bruno</w:t>
            </w:r>
            <w:r>
              <w:rPr>
                <w:rFonts w:ascii="Arial" w:cs="Arial" w:eastAsia="Arial" w:hAnsi="Arial"/>
                <w:sz w:val="23"/>
                <w:szCs w:val="23"/>
                <w:color w:val="auto"/>
                <w:vertAlign w:val="superscript"/>
              </w:rPr>
              <w:t>(2)</w:t>
            </w:r>
          </w:p>
        </w:tc>
        <w:tc>
          <w:tcPr>
            <w:tcW w:w="7240" w:type="dxa"/>
            <w:vAlign w:val="bottom"/>
            <w:tcBorders>
              <w:bottom w:val="single" w:sz="8" w:color="B6B6B6"/>
              <w:right w:val="single" w:sz="8" w:color="B6B6B6"/>
            </w:tcBorders>
            <w:shd w:val="clear" w:color="auto" w:fill="D8D8D8"/>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23"/>
        </w:trPr>
        <w:tc>
          <w:tcPr>
            <w:tcW w:w="256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Louis J. Pastor</w:t>
            </w:r>
            <w:r>
              <w:rPr>
                <w:rFonts w:ascii="Arial" w:cs="Arial" w:eastAsia="Arial" w:hAnsi="Arial"/>
                <w:sz w:val="23"/>
                <w:szCs w:val="23"/>
                <w:color w:val="auto"/>
                <w:vertAlign w:val="superscript"/>
              </w:rPr>
              <w:t>(3)</w:t>
            </w:r>
          </w:p>
        </w:tc>
        <w:tc>
          <w:tcPr>
            <w:tcW w:w="7240" w:type="dxa"/>
            <w:vAlign w:val="bottom"/>
            <w:tcBorders>
              <w:bottom w:val="single" w:sz="8" w:color="B6B6B6"/>
              <w:right w:val="single" w:sz="8" w:color="B6B6B6"/>
            </w:tcBorders>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23"/>
        </w:trPr>
        <w:tc>
          <w:tcPr>
            <w:tcW w:w="2560" w:type="dxa"/>
            <w:vAlign w:val="bottom"/>
            <w:tcBorders>
              <w:left w:val="single" w:sz="8" w:color="B6B6B6"/>
              <w:bottom w:val="single" w:sz="8" w:color="B6B6B6"/>
              <w:right w:val="single" w:sz="8" w:color="B6B6B6"/>
            </w:tcBorders>
            <w:shd w:val="clear" w:color="auto" w:fill="D8D8D8"/>
          </w:tcPr>
          <w:p>
            <w:pPr>
              <w:ind w:left="40"/>
              <w:spacing w:after="0" w:line="223" w:lineRule="exact"/>
              <w:rPr>
                <w:sz w:val="20"/>
                <w:szCs w:val="20"/>
                <w:color w:val="auto"/>
              </w:rPr>
            </w:pPr>
            <w:r>
              <w:rPr>
                <w:rFonts w:ascii="Arial" w:cs="Arial" w:eastAsia="Arial" w:hAnsi="Arial"/>
                <w:sz w:val="18"/>
                <w:szCs w:val="18"/>
                <w:color w:val="auto"/>
              </w:rPr>
              <w:t>Charles Butler</w:t>
            </w:r>
            <w:r>
              <w:rPr>
                <w:rFonts w:ascii="Arial" w:cs="Arial" w:eastAsia="Arial" w:hAnsi="Arial"/>
                <w:sz w:val="23"/>
                <w:szCs w:val="23"/>
                <w:color w:val="auto"/>
                <w:vertAlign w:val="superscript"/>
              </w:rPr>
              <w:t>(4)</w:t>
            </w:r>
          </w:p>
        </w:tc>
        <w:tc>
          <w:tcPr>
            <w:tcW w:w="7240" w:type="dxa"/>
            <w:vAlign w:val="bottom"/>
            <w:tcBorders>
              <w:bottom w:val="single" w:sz="8" w:color="B6B6B6"/>
              <w:right w:val="single" w:sz="8" w:color="B6B6B6"/>
            </w:tcBorders>
            <w:shd w:val="clear" w:color="auto" w:fill="D8D8D8"/>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23"/>
        </w:trPr>
        <w:tc>
          <w:tcPr>
            <w:tcW w:w="256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Jacques-Edouard Gueden</w:t>
            </w:r>
            <w:r>
              <w:rPr>
                <w:rFonts w:ascii="Arial" w:cs="Arial" w:eastAsia="Arial" w:hAnsi="Arial"/>
                <w:sz w:val="23"/>
                <w:szCs w:val="23"/>
                <w:color w:val="auto"/>
                <w:vertAlign w:val="superscript"/>
              </w:rPr>
              <w:t>(5)</w:t>
            </w:r>
          </w:p>
        </w:tc>
        <w:tc>
          <w:tcPr>
            <w:tcW w:w="7240" w:type="dxa"/>
            <w:vAlign w:val="bottom"/>
            <w:tcBorders>
              <w:bottom w:val="single" w:sz="8" w:color="B6B6B6"/>
              <w:right w:val="single" w:sz="8" w:color="B6B6B6"/>
            </w:tcBorders>
          </w:tcPr>
          <w:p>
            <w:pPr>
              <w:ind w:left="20"/>
              <w:spacing w:after="0"/>
              <w:rPr>
                <w:sz w:val="20"/>
                <w:szCs w:val="20"/>
                <w:color w:val="auto"/>
              </w:rPr>
            </w:pPr>
            <w:r>
              <w:rPr>
                <w:rFonts w:ascii="Arial" w:cs="Arial" w:eastAsia="Arial" w:hAnsi="Arial"/>
                <w:sz w:val="18"/>
                <w:szCs w:val="18"/>
                <w:color w:val="auto"/>
              </w:rPr>
              <w:t>Executive Vice President, Chief Revenue Officer</w:t>
            </w:r>
          </w:p>
        </w:tc>
      </w:tr>
      <w:tr>
        <w:trPr>
          <w:trHeight w:val="223"/>
        </w:trPr>
        <w:tc>
          <w:tcPr>
            <w:tcW w:w="256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Flor M. Colón</w:t>
            </w:r>
          </w:p>
        </w:tc>
        <w:tc>
          <w:tcPr>
            <w:tcW w:w="7240" w:type="dxa"/>
            <w:vAlign w:val="bottom"/>
            <w:tcBorders>
              <w:bottom w:val="single" w:sz="8" w:color="B6B6B6"/>
              <w:right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Executive Vice President, Chief Legal Officer and Corporate Secretary</w:t>
            </w:r>
          </w:p>
        </w:tc>
      </w:tr>
      <w:tr>
        <w:trPr>
          <w:trHeight w:val="223"/>
        </w:trPr>
        <w:tc>
          <w:tcPr>
            <w:tcW w:w="256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Mirlanda Gecaj</w:t>
            </w:r>
            <w:r>
              <w:rPr>
                <w:rFonts w:ascii="Arial" w:cs="Arial" w:eastAsia="Arial" w:hAnsi="Arial"/>
                <w:sz w:val="23"/>
                <w:szCs w:val="23"/>
                <w:color w:val="auto"/>
                <w:vertAlign w:val="superscript"/>
              </w:rPr>
              <w:t>(2)</w:t>
            </w:r>
          </w:p>
        </w:tc>
        <w:tc>
          <w:tcPr>
            <w:tcW w:w="7240" w:type="dxa"/>
            <w:vAlign w:val="bottom"/>
            <w:tcBorders>
              <w:bottom w:val="single" w:sz="8" w:color="B6B6B6"/>
              <w:right w:val="single" w:sz="8" w:color="B6B6B6"/>
            </w:tcBorders>
          </w:tcPr>
          <w:p>
            <w:pPr>
              <w:ind w:left="20"/>
              <w:spacing w:after="0"/>
              <w:rPr>
                <w:sz w:val="20"/>
                <w:szCs w:val="20"/>
                <w:color w:val="auto"/>
              </w:rPr>
            </w:pPr>
            <w:r>
              <w:rPr>
                <w:rFonts w:ascii="Arial" w:cs="Arial" w:eastAsia="Arial" w:hAnsi="Arial"/>
                <w:sz w:val="18"/>
                <w:szCs w:val="18"/>
                <w:color w:val="auto"/>
              </w:rPr>
              <w:t>Former Executive Vice President, Chief Financial Officer</w:t>
            </w:r>
          </w:p>
        </w:tc>
      </w:tr>
      <w:tr>
        <w:trPr>
          <w:trHeight w:val="223"/>
        </w:trPr>
        <w:tc>
          <w:tcPr>
            <w:tcW w:w="256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Xavier Heiss</w:t>
            </w:r>
            <w:r>
              <w:rPr>
                <w:rFonts w:ascii="Arial" w:cs="Arial" w:eastAsia="Arial" w:hAnsi="Arial"/>
                <w:sz w:val="23"/>
                <w:szCs w:val="23"/>
                <w:color w:val="auto"/>
                <w:vertAlign w:val="superscript"/>
              </w:rPr>
              <w:t>(2)</w:t>
            </w:r>
          </w:p>
        </w:tc>
        <w:tc>
          <w:tcPr>
            <w:tcW w:w="7240" w:type="dxa"/>
            <w:vAlign w:val="bottom"/>
            <w:tcBorders>
              <w:bottom w:val="single" w:sz="8" w:color="B6B6B6"/>
              <w:right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Former Executive Vice President, Chief Financial Officer</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ind w:left="180" w:hanging="172"/>
        <w:spacing w:after="0" w:line="214"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Mr. Bandrowczak ceased serving as Chief Executive Officer effective March 31, 2026.</w:t>
      </w:r>
    </w:p>
    <w:p>
      <w:pPr>
        <w:ind w:left="180" w:right="120" w:hanging="172"/>
        <w:spacing w:after="0" w:line="227" w:lineRule="auto"/>
        <w:tabs>
          <w:tab w:leader="none" w:pos="193"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Also includes three executive officers who are no longer serving in their roles as of December 31, 2025: (i) John Bruno, former President and Chief Operating Officer, who resigned on August 31,2025, but continues to serve on the Board; (ii) Mirlanda Gecaj, former EVP, Chief Financial Officer whose employment with the Company ended on December 2, 2025; and (iii) Xavier Heiss, former EVP, Chief Financial Officer, who retired on January 31, 2025.</w:t>
      </w:r>
    </w:p>
    <w:p>
      <w:pPr>
        <w:spacing w:after="0" w:line="2" w:lineRule="exact"/>
        <w:rPr>
          <w:rFonts w:ascii="Arial" w:cs="Arial" w:eastAsia="Arial" w:hAnsi="Arial"/>
          <w:sz w:val="22"/>
          <w:szCs w:val="22"/>
          <w:color w:val="auto"/>
          <w:vertAlign w:val="superscript"/>
        </w:rPr>
      </w:pPr>
    </w:p>
    <w:p>
      <w:pPr>
        <w:ind w:left="180" w:right="240" w:hanging="172"/>
        <w:spacing w:after="0" w:line="216" w:lineRule="auto"/>
        <w:tabs>
          <w:tab w:leader="none" w:pos="193"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Mr. Pastor was appointed Chief Executive Officer effective March 31, 2026. He was previously appointed President and Chief Operating Officer effective September 1, 2025, and prior to that served as the Chief Administrative Officer and Global Head of Operations.</w:t>
      </w:r>
    </w:p>
    <w:p>
      <w:pPr>
        <w:spacing w:after="0" w:line="1" w:lineRule="exact"/>
        <w:rPr>
          <w:rFonts w:ascii="Arial" w:cs="Arial" w:eastAsia="Arial" w:hAnsi="Arial"/>
          <w:sz w:val="22"/>
          <w:szCs w:val="22"/>
          <w:color w:val="auto"/>
          <w:vertAlign w:val="superscript"/>
        </w:rPr>
      </w:pPr>
    </w:p>
    <w:p>
      <w:pPr>
        <w:ind w:left="180" w:hanging="172"/>
        <w:spacing w:after="0" w:line="216" w:lineRule="auto"/>
        <w:tabs>
          <w:tab w:leader="none" w:pos="193"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Mr. Butler became an employee of Xerox on July 1, 2025 in connection with the closing of the Lexmark acquisition. He was appointed EVP, Chief Financial Officer of the Company on December 2, 2025.</w:t>
      </w:r>
    </w:p>
    <w:p>
      <w:pPr>
        <w:spacing w:after="0" w:line="1" w:lineRule="exact"/>
        <w:rPr>
          <w:rFonts w:ascii="Arial" w:cs="Arial" w:eastAsia="Arial" w:hAnsi="Arial"/>
          <w:sz w:val="22"/>
          <w:szCs w:val="22"/>
          <w:color w:val="auto"/>
          <w:vertAlign w:val="superscript"/>
        </w:rPr>
      </w:pPr>
    </w:p>
    <w:p>
      <w:pPr>
        <w:ind w:left="180" w:hanging="172"/>
        <w:spacing w:after="0" w:line="201"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Mr. Gueden was appointed Chief Revenue Officer effective September 1, 2025. Previously he served as the</w:t>
      </w:r>
    </w:p>
    <w:p>
      <w:pPr>
        <w:spacing w:after="0"/>
        <w:rPr>
          <w:sz w:val="20"/>
          <w:szCs w:val="20"/>
          <w:color w:val="auto"/>
        </w:rPr>
      </w:pPr>
      <w:r>
        <w:rPr>
          <w:rFonts w:ascii="Arial" w:cs="Arial" w:eastAsia="Arial" w:hAnsi="Arial"/>
          <w:sz w:val="18"/>
          <w:szCs w:val="18"/>
          <w:color w:val="auto"/>
        </w:rPr>
        <w:t>Executive Vice President, Chief Channel and Partner Officer.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D92231"/>
        </w:rPr>
        <w:t>OUR EXECUTIVE COMPENSATION GUIDING PRINCIPLES FOR FISCAL YEAR 2025</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core principles are directly connected with our decision framework to 1) align competitive pay with performance, 2) incentivize and reward successful business decisions, and 3) enhance a winning culture. This framework is reflected in our philosophy with respect to NEO compensation. These design principles, set forth in the table below, are established and refined from time to time by the Committee.</w:t>
      </w:r>
    </w:p>
    <w:p>
      <w:pPr>
        <w:spacing w:after="0" w:line="10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FFFFFF"/>
        </w:rPr>
        <w:t>Executive Compensation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-127635</wp:posOffset>
            </wp:positionV>
            <wp:extent cx="672909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29095" cy="145415"/>
                    </a:xfrm>
                    <a:prstGeom prst="rect">
                      <a:avLst/>
                    </a:prstGeom>
                    <a:noFill/>
                  </pic:spPr>
                </pic:pic>
              </a:graphicData>
            </a:graphic>
          </wp:anchor>
        </w:drawing>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92231"/>
        </w:rPr>
        <w:t>Reinforce our Business Objectives and Values</w:t>
      </w:r>
    </w:p>
    <w:p>
      <w:pPr>
        <w:spacing w:after="0" w:line="117" w:lineRule="exact"/>
        <w:rPr>
          <w:sz w:val="20"/>
          <w:szCs w:val="20"/>
          <w:color w:val="auto"/>
        </w:rPr>
      </w:pPr>
    </w:p>
    <w:p>
      <w:pPr>
        <w:ind w:left="1240" w:hanging="32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Reward contributions that better the Company and create increased profit, cash flow, and shareholder value over time.</w:t>
      </w:r>
    </w:p>
    <w:p>
      <w:pPr>
        <w:spacing w:after="0" w:line="117" w:lineRule="exact"/>
        <w:rPr>
          <w:rFonts w:ascii="Arial" w:cs="Arial" w:eastAsia="Arial" w:hAnsi="Arial"/>
          <w:sz w:val="18"/>
          <w:szCs w:val="18"/>
          <w:color w:val="auto"/>
        </w:rPr>
      </w:pPr>
    </w:p>
    <w:p>
      <w:pPr>
        <w:ind w:left="1240" w:hanging="32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Incentivize behaviors and reward talent for delivering results to further our Reinvention.</w:t>
      </w:r>
    </w:p>
    <w:p>
      <w:pPr>
        <w:spacing w:after="0" w:line="117" w:lineRule="exact"/>
        <w:rPr>
          <w:rFonts w:ascii="Arial" w:cs="Arial" w:eastAsia="Arial" w:hAnsi="Arial"/>
          <w:sz w:val="18"/>
          <w:szCs w:val="18"/>
          <w:color w:val="auto"/>
        </w:rPr>
      </w:pPr>
    </w:p>
    <w:p>
      <w:pPr>
        <w:ind w:left="1240" w:right="400" w:hanging="323"/>
        <w:spacing w:after="0" w:line="287" w:lineRule="auto"/>
        <w:tabs>
          <w:tab w:leader="none" w:pos="1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 Determine and deliver optimal balance of incentives and total rewards to ensure key leaders are motivated to stay with Xerox and remain focused through our Reinvention journey.</w:t>
      </w:r>
    </w:p>
    <w:p>
      <w:pPr>
        <w:spacing w:after="0" w:line="44" w:lineRule="exact"/>
        <w:rPr>
          <w:rFonts w:ascii="Arial" w:cs="Arial" w:eastAsia="Arial" w:hAnsi="Arial"/>
          <w:sz w:val="18"/>
          <w:szCs w:val="18"/>
          <w:color w:val="auto"/>
        </w:rPr>
      </w:pPr>
    </w:p>
    <w:p>
      <w:pPr>
        <w:ind w:left="1240" w:right="640" w:hanging="323"/>
        <w:spacing w:after="0" w:line="287" w:lineRule="auto"/>
        <w:tabs>
          <w:tab w:leader="none" w:pos="1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develop, and maintain a long-term commitment to our clients' success, partner relationships, and employee engagement, while continuing to drive innovation.</w:t>
      </w:r>
    </w:p>
    <w:p>
      <w:pPr>
        <w:spacing w:after="0" w:line="44" w:lineRule="exact"/>
        <w:rPr>
          <w:rFonts w:ascii="Arial" w:cs="Arial" w:eastAsia="Arial" w:hAnsi="Arial"/>
          <w:sz w:val="18"/>
          <w:szCs w:val="18"/>
          <w:color w:val="auto"/>
        </w:rPr>
      </w:pPr>
    </w:p>
    <w:p>
      <w:pPr>
        <w:ind w:left="1240" w:right="780" w:hanging="323"/>
        <w:spacing w:after="0" w:line="287" w:lineRule="auto"/>
        <w:tabs>
          <w:tab w:leader="none" w:pos="1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 programs that mitigate risk, drive line-of-sight, and reinforce rigorous alignment with strategic performance outcomes and defined measures.</w:t>
      </w:r>
    </w:p>
    <w:p>
      <w:pPr>
        <w:spacing w:after="0" w:line="44" w:lineRule="exact"/>
        <w:rPr>
          <w:rFonts w:ascii="Arial" w:cs="Arial" w:eastAsia="Arial" w:hAnsi="Arial"/>
          <w:sz w:val="18"/>
          <w:szCs w:val="18"/>
          <w:color w:val="auto"/>
        </w:rPr>
      </w:pPr>
    </w:p>
    <w:p>
      <w:pPr>
        <w:ind w:left="1240" w:right="800" w:hanging="323"/>
        <w:spacing w:after="0" w:line="287" w:lineRule="auto"/>
        <w:tabs>
          <w:tab w:leader="none" w:pos="12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 Ensure continued commitment to our core values, including connection and belonging, while supporting our talent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-10160</wp:posOffset>
            </wp:positionV>
            <wp:extent cx="6729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92231"/>
        </w:rPr>
        <w:t>Link Pay and Company Performance without Motivating Unnecessary Risk</w:t>
      </w:r>
    </w:p>
    <w:p>
      <w:pPr>
        <w:spacing w:after="0" w:line="117" w:lineRule="exact"/>
        <w:rPr>
          <w:sz w:val="20"/>
          <w:szCs w:val="20"/>
          <w:color w:val="auto"/>
        </w:rPr>
      </w:pPr>
    </w:p>
    <w:p>
      <w:pPr>
        <w:ind w:left="1240" w:right="540" w:hanging="323"/>
        <w:spacing w:after="0" w:line="287" w:lineRule="auto"/>
        <w:tabs>
          <w:tab w:leader="none" w:pos="1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 Approximately 83% of our NEO compensation, on average, is designed to be at risk, and actual compensation varies from year-to-year based on performance and share appreciation.</w:t>
      </w:r>
    </w:p>
    <w:p>
      <w:pPr>
        <w:spacing w:after="0" w:line="44" w:lineRule="exact"/>
        <w:rPr>
          <w:rFonts w:ascii="Arial" w:cs="Arial" w:eastAsia="Arial" w:hAnsi="Arial"/>
          <w:sz w:val="18"/>
          <w:szCs w:val="18"/>
          <w:color w:val="auto"/>
        </w:rPr>
      </w:pPr>
    </w:p>
    <w:p>
      <w:pPr>
        <w:ind w:left="1240" w:right="1100" w:hanging="323"/>
        <w:spacing w:after="0" w:line="318" w:lineRule="auto"/>
        <w:tabs>
          <w:tab w:leader="none" w:pos="12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 Through an independent risk analysis, the Committee monitors whether our compensation programs motivate executives to take unnecessary risk that could jeopardize the financial health and future of the Company.</w:t>
      </w:r>
    </w:p>
    <w:p>
      <w:pPr>
        <w:spacing w:after="0" w:line="21" w:lineRule="exact"/>
        <w:rPr>
          <w:rFonts w:ascii="Arial" w:cs="Arial" w:eastAsia="Arial" w:hAnsi="Arial"/>
          <w:sz w:val="17"/>
          <w:szCs w:val="17"/>
          <w:color w:val="auto"/>
        </w:rPr>
      </w:pPr>
    </w:p>
    <w:p>
      <w:pPr>
        <w:ind w:left="1240" w:right="520" w:hanging="323"/>
        <w:spacing w:after="0" w:line="287" w:lineRule="auto"/>
        <w:tabs>
          <w:tab w:leader="none" w:pos="1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 Incentive opportunities based on both annual and long-term incentive plan objectives are designed to promote strong annual results and the Company’s long-term viability and success.</w:t>
      </w:r>
    </w:p>
    <w:p>
      <w:pPr>
        <w:spacing w:after="0" w:line="44" w:lineRule="exact"/>
        <w:rPr>
          <w:rFonts w:ascii="Arial" w:cs="Arial" w:eastAsia="Arial" w:hAnsi="Arial"/>
          <w:sz w:val="18"/>
          <w:szCs w:val="18"/>
          <w:color w:val="auto"/>
        </w:rPr>
      </w:pPr>
    </w:p>
    <w:p>
      <w:pPr>
        <w:ind w:left="1240" w:right="460" w:hanging="323"/>
        <w:spacing w:after="0" w:line="287" w:lineRule="auto"/>
        <w:tabs>
          <w:tab w:leader="none" w:pos="1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 NEOs are required to own and retain shares of Company stock in order to further align their financial risk and rewards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-10160</wp:posOffset>
            </wp:positionV>
            <wp:extent cx="67290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D92231"/>
        </w:rPr>
        <w:t>Be Fair and Competitive</w:t>
      </w:r>
    </w:p>
    <w:p>
      <w:pPr>
        <w:spacing w:after="0" w:line="117" w:lineRule="exact"/>
        <w:rPr>
          <w:sz w:val="20"/>
          <w:szCs w:val="20"/>
          <w:color w:val="auto"/>
        </w:rPr>
      </w:pPr>
    </w:p>
    <w:p>
      <w:pPr>
        <w:ind w:left="1240" w:right="420" w:hanging="323"/>
        <w:spacing w:after="0" w:line="287" w:lineRule="auto"/>
        <w:tabs>
          <w:tab w:leader="none" w:pos="12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 The Committee reviews peer group compensation data, as well as other third-party compensation surveys annually, to ensure that our executive compensation programs are competitive.</w:t>
      </w:r>
    </w:p>
    <w:p>
      <w:pPr>
        <w:spacing w:after="0" w:line="44" w:lineRule="exact"/>
        <w:rPr>
          <w:rFonts w:ascii="Arial" w:cs="Arial" w:eastAsia="Arial" w:hAnsi="Arial"/>
          <w:sz w:val="18"/>
          <w:szCs w:val="18"/>
          <w:color w:val="auto"/>
        </w:rPr>
      </w:pPr>
    </w:p>
    <w:p>
      <w:pPr>
        <w:ind w:left="1240" w:hanging="323"/>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 Our compensation program ensures pay levels are aligned with performance, individual contributions, and other factors.</w:t>
      </w:r>
    </w:p>
    <w:p>
      <w:pPr>
        <w:spacing w:after="0" w:line="117" w:lineRule="exact"/>
        <w:rPr>
          <w:rFonts w:ascii="Arial" w:cs="Arial" w:eastAsia="Arial" w:hAnsi="Arial"/>
          <w:sz w:val="18"/>
          <w:szCs w:val="18"/>
          <w:color w:val="auto"/>
        </w:rPr>
      </w:pPr>
    </w:p>
    <w:p>
      <w:pPr>
        <w:ind w:left="1240" w:right="640" w:hanging="323"/>
        <w:spacing w:after="0" w:line="287" w:lineRule="auto"/>
        <w:tabs>
          <w:tab w:leader="none" w:pos="12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 The practices we use to set base pay, retirement and savings, and health and welfare benefits for the NEOs are generally consistent with the practices used to set compensation, and benefits for our other senior level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-10160</wp:posOffset>
            </wp:positionV>
            <wp:extent cx="67290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49" w:right="5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Executive Compensation Best Practices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Committee, with input from our independent compensation consultant, regularly reviews executive compensation best practices, and makes changes to the Company’s programs as appropriate. Our program reflects best practices as follows:</w:t>
      </w:r>
    </w:p>
    <w:p>
      <w:pPr>
        <w:spacing w:after="0" w:line="85" w:lineRule="exact"/>
        <w:rPr>
          <w:sz w:val="20"/>
          <w:szCs w:val="20"/>
          <w:color w:val="auto"/>
        </w:rPr>
      </w:pPr>
    </w:p>
    <w:p>
      <w:pPr>
        <w:ind w:left="2220"/>
        <w:spacing w:after="0"/>
        <w:tabs>
          <w:tab w:leader="none" w:pos="7560" w:val="left"/>
        </w:tabs>
        <w:rPr>
          <w:sz w:val="20"/>
          <w:szCs w:val="20"/>
          <w:color w:val="auto"/>
        </w:rPr>
      </w:pPr>
      <w:r>
        <w:rPr>
          <w:rFonts w:ascii="Arial" w:cs="Arial" w:eastAsia="Arial" w:hAnsi="Arial"/>
          <w:sz w:val="18"/>
          <w:szCs w:val="18"/>
          <w:b w:val="1"/>
          <w:bCs w:val="1"/>
          <w:color w:val="FFFFFF"/>
        </w:rPr>
        <w:t>What We Do</w:t>
      </w:r>
      <w:r>
        <w:rPr>
          <w:sz w:val="20"/>
          <w:szCs w:val="20"/>
          <w:color w:val="auto"/>
        </w:rPr>
        <w:tab/>
      </w:r>
      <w:r>
        <w:rPr>
          <w:rFonts w:ascii="Arial" w:cs="Arial" w:eastAsia="Arial" w:hAnsi="Arial"/>
          <w:sz w:val="17"/>
          <w:szCs w:val="17"/>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42430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4243070"/>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p>
      <w:pPr>
        <w:spacing w:after="0" w:line="158" w:lineRule="exact"/>
        <w:rPr>
          <w:sz w:val="20"/>
          <w:szCs w:val="20"/>
          <w:color w:val="auto"/>
        </w:rPr>
      </w:pPr>
    </w:p>
    <w:p>
      <w:pPr>
        <w:ind w:left="280" w:right="100" w:hanging="160"/>
        <w:spacing w:after="0" w:line="268" w:lineRule="auto"/>
        <w:tabs>
          <w:tab w:leader="none" w:pos="317"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Emphasize pay for performance to align executive compensation with our business strategy and promote creation of long-term shareholder value.</w:t>
      </w:r>
    </w:p>
    <w:p>
      <w:pPr>
        <w:spacing w:after="0" w:line="62" w:lineRule="exact"/>
        <w:rPr>
          <w:rFonts w:ascii="MS PGothic" w:cs="MS PGothic" w:eastAsia="MS PGothic" w:hAnsi="MS PGothic"/>
          <w:sz w:val="18"/>
          <w:szCs w:val="18"/>
          <w:color w:val="auto"/>
        </w:rPr>
      </w:pPr>
    </w:p>
    <w:p>
      <w:pPr>
        <w:ind w:left="280" w:right="380" w:hanging="160"/>
        <w:spacing w:after="0" w:line="268" w:lineRule="auto"/>
        <w:tabs>
          <w:tab w:leader="none" w:pos="317"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Use multiple sources of data including peer group and survey information as reference points to assess total target compensation.</w:t>
      </w:r>
    </w:p>
    <w:p>
      <w:pPr>
        <w:spacing w:after="0" w:line="62" w:lineRule="exact"/>
        <w:rPr>
          <w:rFonts w:ascii="MS PGothic" w:cs="MS PGothic" w:eastAsia="MS PGothic" w:hAnsi="MS PGothic"/>
          <w:sz w:val="18"/>
          <w:szCs w:val="18"/>
          <w:color w:val="auto"/>
        </w:rPr>
      </w:pPr>
    </w:p>
    <w:p>
      <w:pPr>
        <w:ind w:left="280" w:right="60" w:hanging="160"/>
        <w:spacing w:after="0" w:line="287" w:lineRule="auto"/>
        <w:tabs>
          <w:tab w:leader="none" w:pos="317"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Require double-trigger vesting of equity awards upon a change in control.</w:t>
      </w:r>
    </w:p>
    <w:p>
      <w:pPr>
        <w:spacing w:after="0" w:line="44" w:lineRule="exact"/>
        <w:rPr>
          <w:rFonts w:ascii="MS PGothic" w:cs="MS PGothic" w:eastAsia="MS PGothic" w:hAnsi="MS PGothic"/>
          <w:sz w:val="18"/>
          <w:szCs w:val="18"/>
          <w:color w:val="auto"/>
        </w:rPr>
      </w:pPr>
    </w:p>
    <w:p>
      <w:pPr>
        <w:ind w:left="280" w:right="260" w:hanging="160"/>
        <w:spacing w:after="0" w:line="268" w:lineRule="auto"/>
        <w:tabs>
          <w:tab w:leader="none" w:pos="317"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Recover from executive officers the amount of any erroneously awarded incentive-based compensation in the event of an accounting restatement.</w:t>
      </w:r>
    </w:p>
    <w:p>
      <w:pPr>
        <w:spacing w:after="0" w:line="62" w:lineRule="exact"/>
        <w:rPr>
          <w:rFonts w:ascii="MS PGothic" w:cs="MS PGothic" w:eastAsia="MS PGothic" w:hAnsi="MS PGothic"/>
          <w:sz w:val="18"/>
          <w:szCs w:val="18"/>
          <w:color w:val="auto"/>
        </w:rPr>
      </w:pPr>
    </w:p>
    <w:p>
      <w:pPr>
        <w:ind w:left="280" w:right="140" w:hanging="160"/>
        <w:spacing w:after="0" w:line="287" w:lineRule="auto"/>
        <w:tabs>
          <w:tab w:leader="none" w:pos="317"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Impose clawback provisions enabling recovery of compensation, in the event of detrimental activity.</w:t>
      </w:r>
    </w:p>
    <w:p>
      <w:pPr>
        <w:spacing w:after="0" w:line="44" w:lineRule="exact"/>
        <w:rPr>
          <w:rFonts w:ascii="MS PGothic" w:cs="MS PGothic" w:eastAsia="MS PGothic" w:hAnsi="MS PGothic"/>
          <w:sz w:val="18"/>
          <w:szCs w:val="18"/>
          <w:color w:val="auto"/>
        </w:rPr>
      </w:pPr>
    </w:p>
    <w:p>
      <w:pPr>
        <w:ind w:left="280" w:right="440" w:hanging="160"/>
        <w:spacing w:after="0" w:line="287" w:lineRule="auto"/>
        <w:tabs>
          <w:tab w:leader="none" w:pos="317"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Maintain stock ownership holding requirements for executive officers.</w:t>
      </w:r>
    </w:p>
    <w:p>
      <w:pPr>
        <w:spacing w:after="0" w:line="44" w:lineRule="exact"/>
        <w:rPr>
          <w:rFonts w:ascii="MS PGothic" w:cs="MS PGothic" w:eastAsia="MS PGothic" w:hAnsi="MS PGothic"/>
          <w:sz w:val="18"/>
          <w:szCs w:val="18"/>
          <w:color w:val="auto"/>
        </w:rPr>
      </w:pPr>
    </w:p>
    <w:p>
      <w:pPr>
        <w:ind w:left="280" w:hanging="160"/>
        <w:spacing w:after="0" w:line="306" w:lineRule="auto"/>
        <w:tabs>
          <w:tab w:leader="none" w:pos="317" w:val="left"/>
        </w:tabs>
        <w:numPr>
          <w:ilvl w:val="0"/>
          <w:numId w:val="28"/>
        </w:numPr>
        <w:rPr>
          <w:rFonts w:ascii="MS PGothic" w:cs="MS PGothic" w:eastAsia="MS PGothic" w:hAnsi="MS PGothic"/>
          <w:sz w:val="17"/>
          <w:szCs w:val="17"/>
          <w:color w:val="auto"/>
        </w:rPr>
      </w:pPr>
      <w:r>
        <w:rPr>
          <w:rFonts w:ascii="Arial" w:cs="Arial" w:eastAsia="Arial" w:hAnsi="Arial"/>
          <w:sz w:val="17"/>
          <w:szCs w:val="17"/>
          <w:color w:val="auto"/>
        </w:rPr>
        <w:t>Require non-compete and non-solicitation agreements during employment and post-employment, as permissible under local law.</w:t>
      </w:r>
    </w:p>
    <w:p>
      <w:pPr>
        <w:spacing w:after="0" w:line="41" w:lineRule="exact"/>
        <w:rPr>
          <w:rFonts w:ascii="MS PGothic" w:cs="MS PGothic" w:eastAsia="MS PGothic" w:hAnsi="MS PGothic"/>
          <w:sz w:val="17"/>
          <w:szCs w:val="17"/>
          <w:color w:val="auto"/>
        </w:rPr>
      </w:pPr>
    </w:p>
    <w:p>
      <w:pPr>
        <w:ind w:left="320" w:hanging="200"/>
        <w:spacing w:after="0"/>
        <w:tabs>
          <w:tab w:leader="none" w:pos="32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Provide minimal executive perquisites.</w:t>
      </w:r>
    </w:p>
    <w:p>
      <w:pPr>
        <w:spacing w:after="0" w:line="117" w:lineRule="exact"/>
        <w:rPr>
          <w:rFonts w:ascii="MS PGothic" w:cs="MS PGothic" w:eastAsia="MS PGothic" w:hAnsi="MS PGothic"/>
          <w:sz w:val="18"/>
          <w:szCs w:val="18"/>
          <w:color w:val="auto"/>
        </w:rPr>
      </w:pPr>
    </w:p>
    <w:p>
      <w:pPr>
        <w:ind w:left="320" w:hanging="200"/>
        <w:spacing w:after="0"/>
        <w:tabs>
          <w:tab w:leader="none" w:pos="32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Design compensation programs with controls to mitigate risk.</w:t>
      </w:r>
    </w:p>
    <w:p>
      <w:pPr>
        <w:spacing w:after="0" w:line="117" w:lineRule="exact"/>
        <w:rPr>
          <w:rFonts w:ascii="MS PGothic" w:cs="MS PGothic" w:eastAsia="MS PGothic" w:hAnsi="MS PGothic"/>
          <w:sz w:val="18"/>
          <w:szCs w:val="18"/>
          <w:color w:val="auto"/>
        </w:rPr>
      </w:pPr>
    </w:p>
    <w:p>
      <w:pPr>
        <w:jc w:val="both"/>
        <w:ind w:left="280" w:hanging="160"/>
        <w:spacing w:after="0" w:line="268" w:lineRule="auto"/>
        <w:tabs>
          <w:tab w:leader="none" w:pos="317"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Engage an independent compensation consultant that advises the Committee on executive compensation and non-employee director compensation matters.</w:t>
      </w:r>
    </w:p>
    <w:p>
      <w:pPr>
        <w:spacing w:after="0" w:line="62" w:lineRule="exact"/>
        <w:rPr>
          <w:rFonts w:ascii="MS PGothic" w:cs="MS PGothic" w:eastAsia="MS PGothic" w:hAnsi="MS PGothic"/>
          <w:sz w:val="18"/>
          <w:szCs w:val="18"/>
          <w:color w:val="auto"/>
        </w:rPr>
      </w:pPr>
    </w:p>
    <w:p>
      <w:pPr>
        <w:jc w:val="both"/>
        <w:ind w:left="280" w:right="360" w:hanging="160"/>
        <w:spacing w:after="0" w:line="287" w:lineRule="auto"/>
        <w:tabs>
          <w:tab w:leader="none" w:pos="317"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Conduct continuous shareholder outreach to discuss matters related to executive compensation and corporate governance.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64" w:right="280" w:hanging="164"/>
        <w:spacing w:after="0" w:line="268" w:lineRule="auto"/>
        <w:tabs>
          <w:tab w:leader="none" w:pos="2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NO payment of dividends or dividend equivalents before RSUs are vested or PSUs are earned. Additionally, no payment of dividends or dividend equivalents on stock options.</w:t>
      </w:r>
    </w:p>
    <w:p>
      <w:pPr>
        <w:spacing w:after="0" w:line="62" w:lineRule="exact"/>
        <w:rPr>
          <w:rFonts w:ascii="MS PGothic" w:cs="MS PGothic" w:eastAsia="MS PGothic" w:hAnsi="MS PGothic"/>
          <w:sz w:val="18"/>
          <w:szCs w:val="18"/>
          <w:color w:val="auto"/>
        </w:rPr>
      </w:pPr>
    </w:p>
    <w:p>
      <w:pPr>
        <w:ind w:left="164" w:right="80" w:hanging="164"/>
        <w:spacing w:after="0" w:line="262" w:lineRule="auto"/>
        <w:tabs>
          <w:tab w:leader="none" w:pos="2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NO accrual of additional benefits under our non-qualified pension plans, which were frozen in 2012, and no Company contributions under our non-qualified deferred compensation plan, which was closed to new contributions after 2018.</w:t>
      </w:r>
    </w:p>
    <w:p>
      <w:pPr>
        <w:spacing w:after="0" w:line="68" w:lineRule="exact"/>
        <w:rPr>
          <w:rFonts w:ascii="MS PGothic" w:cs="MS PGothic" w:eastAsia="MS PGothic" w:hAnsi="MS PGothic"/>
          <w:sz w:val="18"/>
          <w:szCs w:val="18"/>
          <w:color w:val="auto"/>
        </w:rPr>
      </w:pPr>
    </w:p>
    <w:p>
      <w:pPr>
        <w:ind w:left="164" w:right="300" w:hanging="164"/>
        <w:spacing w:after="0" w:line="268" w:lineRule="auto"/>
        <w:tabs>
          <w:tab w:leader="none" w:pos="2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NO payment of tax gross-ups on perquisites other than in connection with relocation and tax equalization for international assignment allowances.</w:t>
      </w:r>
    </w:p>
    <w:p>
      <w:pPr>
        <w:spacing w:after="0" w:line="62" w:lineRule="exact"/>
        <w:rPr>
          <w:rFonts w:ascii="MS PGothic" w:cs="MS PGothic" w:eastAsia="MS PGothic" w:hAnsi="MS PGothic"/>
          <w:sz w:val="18"/>
          <w:szCs w:val="18"/>
          <w:color w:val="auto"/>
        </w:rPr>
      </w:pPr>
    </w:p>
    <w:p>
      <w:pPr>
        <w:ind w:left="204" w:hanging="204"/>
        <w:spacing w:after="0"/>
        <w:tabs>
          <w:tab w:leader="none" w:pos="204"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NO excise tax gross-ups in change-in-control arrangements.</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NO hedging or pledging of Xerox stock by executive officers.</w:t>
      </w:r>
    </w:p>
    <w:p>
      <w:pPr>
        <w:spacing w:after="0" w:line="117" w:lineRule="exact"/>
        <w:rPr>
          <w:rFonts w:ascii="MS PGothic" w:cs="MS PGothic" w:eastAsia="MS PGothic" w:hAnsi="MS PGothic"/>
          <w:sz w:val="18"/>
          <w:szCs w:val="18"/>
          <w:color w:val="auto"/>
        </w:rPr>
      </w:pPr>
    </w:p>
    <w:p>
      <w:pPr>
        <w:ind w:left="164" w:right="80" w:hanging="164"/>
        <w:spacing w:after="0" w:line="287" w:lineRule="auto"/>
        <w:tabs>
          <w:tab w:leader="none" w:pos="200" w:val="left"/>
        </w:tabs>
        <w:numPr>
          <w:ilvl w:val="0"/>
          <w:numId w:val="29"/>
        </w:numPr>
        <w:rPr>
          <w:rFonts w:ascii="MS PGothic" w:cs="MS PGothic" w:eastAsia="MS PGothic" w:hAnsi="MS PGothic"/>
          <w:sz w:val="18"/>
          <w:szCs w:val="18"/>
          <w:color w:val="auto"/>
        </w:rPr>
      </w:pPr>
      <w:r>
        <w:rPr>
          <w:rFonts w:ascii="Arial" w:cs="Arial" w:eastAsia="Arial" w:hAnsi="Arial"/>
          <w:sz w:val="18"/>
          <w:szCs w:val="18"/>
          <w:color w:val="auto"/>
        </w:rPr>
        <w:t>NO employment agreements (unless customary under applicable law or in connection with new hire arrangements).</w:t>
      </w:r>
    </w:p>
    <w:p>
      <w:pPr>
        <w:spacing w:after="0" w:line="2880" w:lineRule="exact"/>
        <w:rPr>
          <w:sz w:val="20"/>
          <w:szCs w:val="20"/>
          <w:color w:val="auto"/>
        </w:rPr>
      </w:pPr>
    </w:p>
    <w:p>
      <w:pPr>
        <w:sectPr>
          <w:pgSz w:w="11900" w:h="16838" w:orient="portrait"/>
          <w:cols w:equalWidth="0" w:num="2">
            <w:col w:w="5580" w:space="156"/>
            <w:col w:w="5464"/>
          </w:cols>
          <w:pgMar w:left="320" w:top="1039" w:right="3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Compensation Structure for Fiscal Year (FY) 2025</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compensation structure includes base salary, annual cash incentive (Management Incentive Plan or MIP), and long-term equity incentive (Long-Term Incentive Program or LTIP) awards.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Overall, the aggregate total target compensation of our NEOs is within the competitive range of target compensation for the Company's peer group. In addition, the mix of pay elements as a percentage of total target compensation is similar to that of our peers.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2060" w:type="dxa"/>
            <w:vAlign w:val="bottom"/>
            <w:tcBorders>
              <w:right w:val="single" w:sz="8" w:color="DBDBDB"/>
            </w:tcBorders>
            <w:shd w:val="clear" w:color="auto" w:fill="D92231"/>
          </w:tcPr>
          <w:p>
            <w:pPr>
              <w:ind w:left="20"/>
              <w:spacing w:after="0"/>
              <w:rPr>
                <w:sz w:val="20"/>
                <w:szCs w:val="20"/>
                <w:color w:val="auto"/>
              </w:rPr>
            </w:pPr>
            <w:r>
              <w:rPr>
                <w:rFonts w:ascii="Arial" w:cs="Arial" w:eastAsia="Arial" w:hAnsi="Arial"/>
                <w:sz w:val="18"/>
                <w:szCs w:val="18"/>
                <w:b w:val="1"/>
                <w:bCs w:val="1"/>
                <w:color w:val="FFFFFF"/>
              </w:rPr>
              <w:t>Type of Pay</w:t>
            </w:r>
          </w:p>
        </w:tc>
        <w:tc>
          <w:tcPr>
            <w:tcW w:w="4540" w:type="dxa"/>
            <w:vAlign w:val="bottom"/>
            <w:tcBorders>
              <w:right w:val="single" w:sz="8" w:color="DBDBDB"/>
            </w:tcBorders>
            <w:shd w:val="clear" w:color="auto" w:fill="D92231"/>
          </w:tcPr>
          <w:p>
            <w:pPr>
              <w:ind w:left="20"/>
              <w:spacing w:after="0"/>
              <w:rPr>
                <w:sz w:val="20"/>
                <w:szCs w:val="20"/>
                <w:color w:val="auto"/>
              </w:rPr>
            </w:pPr>
            <w:r>
              <w:rPr>
                <w:rFonts w:ascii="Arial" w:cs="Arial" w:eastAsia="Arial" w:hAnsi="Arial"/>
                <w:sz w:val="18"/>
                <w:szCs w:val="18"/>
                <w:b w:val="1"/>
                <w:bCs w:val="1"/>
                <w:color w:val="FFFFFF"/>
              </w:rPr>
              <w:t>Purpose</w:t>
            </w:r>
          </w:p>
        </w:tc>
        <w:tc>
          <w:tcPr>
            <w:tcW w:w="4640" w:type="dxa"/>
            <w:vAlign w:val="bottom"/>
            <w:shd w:val="clear" w:color="auto" w:fill="D92231"/>
          </w:tcPr>
          <w:p>
            <w:pPr>
              <w:ind w:left="20"/>
              <w:spacing w:after="0"/>
              <w:rPr>
                <w:sz w:val="20"/>
                <w:szCs w:val="20"/>
                <w:color w:val="auto"/>
              </w:rPr>
            </w:pPr>
            <w:r>
              <w:rPr>
                <w:rFonts w:ascii="Arial" w:cs="Arial" w:eastAsia="Arial" w:hAnsi="Arial"/>
                <w:sz w:val="18"/>
                <w:szCs w:val="18"/>
                <w:b w:val="1"/>
                <w:bCs w:val="1"/>
                <w:color w:val="FFFFFF"/>
              </w:rPr>
              <w:t>Key Characteristics</w:t>
            </w:r>
          </w:p>
        </w:tc>
      </w:tr>
      <w:tr>
        <w:trPr>
          <w:trHeight w:val="256"/>
        </w:trPr>
        <w:tc>
          <w:tcPr>
            <w:tcW w:w="206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Base Salary</w:t>
            </w:r>
          </w:p>
        </w:tc>
        <w:tc>
          <w:tcPr>
            <w:tcW w:w="4540" w:type="dxa"/>
            <w:vAlign w:val="bottom"/>
            <w:tcBorders>
              <w:right w:val="single" w:sz="8" w:color="DBDBDB"/>
            </w:tcBorders>
            <w:shd w:val="clear" w:color="auto" w:fill="DBDBDB"/>
          </w:tcPr>
          <w:p>
            <w:pPr>
              <w:spacing w:after="0"/>
              <w:rPr>
                <w:sz w:val="22"/>
                <w:szCs w:val="22"/>
                <w:color w:val="auto"/>
              </w:rPr>
            </w:pPr>
          </w:p>
        </w:tc>
        <w:tc>
          <w:tcPr>
            <w:tcW w:w="4640" w:type="dxa"/>
            <w:vAlign w:val="bottom"/>
            <w:shd w:val="clear" w:color="auto" w:fill="DBDBDB"/>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0</wp:posOffset>
            </wp:positionV>
            <wp:extent cx="8255" cy="7886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78867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40" w:type="dxa"/>
            <w:vAlign w:val="bottom"/>
            <w:tcBorders>
              <w:right w:val="single" w:sz="8" w:color="DBDBDB"/>
            </w:tcBorders>
          </w:tcPr>
          <w:p>
            <w:pPr>
              <w:spacing w:after="0"/>
              <w:rPr>
                <w:sz w:val="17"/>
                <w:szCs w:val="17"/>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 Fixed cash compensation based on the individual’s</w:t>
            </w:r>
          </w:p>
        </w:tc>
      </w:tr>
      <w:tr>
        <w:trPr>
          <w:trHeight w:val="216"/>
        </w:trPr>
        <w:tc>
          <w:tcPr>
            <w:tcW w:w="2040" w:type="dxa"/>
            <w:vAlign w:val="bottom"/>
            <w:tcBorders>
              <w:right w:val="single" w:sz="8" w:color="DBDBDB"/>
            </w:tcBorders>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experience, skills, and competencies, relative to</w:t>
            </w:r>
          </w:p>
        </w:tc>
      </w:tr>
      <w:tr>
        <w:trPr>
          <w:trHeight w:val="301"/>
        </w:trPr>
        <w:tc>
          <w:tcPr>
            <w:tcW w:w="2040" w:type="dxa"/>
            <w:vAlign w:val="bottom"/>
            <w:tcBorders>
              <w:right w:val="single" w:sz="8" w:color="DBDBDB"/>
            </w:tcBorders>
          </w:tcPr>
          <w:p>
            <w:pPr>
              <w:spacing w:after="0"/>
              <w:rPr>
                <w:sz w:val="20"/>
                <w:szCs w:val="20"/>
                <w:color w:val="auto"/>
              </w:rPr>
            </w:pPr>
            <w:r>
              <w:rPr>
                <w:rFonts w:ascii="Arial" w:cs="Arial" w:eastAsia="Arial" w:hAnsi="Arial"/>
                <w:sz w:val="18"/>
                <w:szCs w:val="18"/>
                <w:b w:val="1"/>
                <w:bCs w:val="1"/>
                <w:color w:val="auto"/>
              </w:rPr>
              <w:t>Fixed</w:t>
            </w:r>
          </w:p>
        </w:tc>
        <w:tc>
          <w:tcPr>
            <w:tcW w:w="4380" w:type="dxa"/>
            <w:vAlign w:val="bottom"/>
          </w:tcPr>
          <w:p>
            <w:pPr>
              <w:ind w:left="340"/>
              <w:spacing w:after="0"/>
              <w:rPr>
                <w:sz w:val="20"/>
                <w:szCs w:val="20"/>
                <w:color w:val="auto"/>
              </w:rPr>
            </w:pPr>
            <w:r>
              <w:rPr>
                <w:rFonts w:ascii="Arial" w:cs="Arial" w:eastAsia="Arial" w:hAnsi="Arial"/>
                <w:sz w:val="18"/>
                <w:szCs w:val="18"/>
                <w:color w:val="auto"/>
              </w:rPr>
              <w:t>competitive market value of the role.</w:t>
            </w:r>
          </w:p>
        </w:tc>
      </w:tr>
      <w:tr>
        <w:trPr>
          <w:trHeight w:val="501"/>
        </w:trPr>
        <w:tc>
          <w:tcPr>
            <w:tcW w:w="2040" w:type="dxa"/>
            <w:vAlign w:val="bottom"/>
            <w:tcBorders>
              <w:right w:val="single" w:sz="8" w:color="DBDBDB"/>
            </w:tcBorders>
          </w:tcPr>
          <w:p>
            <w:pPr>
              <w:spacing w:after="0"/>
              <w:rPr>
                <w:sz w:val="24"/>
                <w:szCs w:val="24"/>
                <w:color w:val="auto"/>
              </w:rPr>
            </w:pPr>
          </w:p>
        </w:tc>
        <w:tc>
          <w:tcPr>
            <w:tcW w:w="4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6" w:right="100" w:hanging="196"/>
        <w:spacing w:after="0" w:line="287" w:lineRule="auto"/>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competitive market conditions and individual performance.</w:t>
      </w:r>
    </w:p>
    <w:p>
      <w:pPr>
        <w:spacing w:after="0" w:line="44" w:lineRule="exact"/>
        <w:rPr>
          <w:rFonts w:ascii="Arial" w:cs="Arial" w:eastAsia="Arial" w:hAnsi="Arial"/>
          <w:sz w:val="18"/>
          <w:szCs w:val="18"/>
          <w:color w:val="auto"/>
        </w:rPr>
      </w:pPr>
    </w:p>
    <w:p>
      <w:pPr>
        <w:ind w:left="196" w:right="220" w:hanging="196"/>
        <w:spacing w:after="0" w:line="268" w:lineRule="auto"/>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Commensurate with scope of responsibility, internal value of the position, and impact to the Company, reflecting internal pay equity.</w:t>
      </w:r>
    </w:p>
    <w:p>
      <w:pPr>
        <w:spacing w:after="0" w:line="1" w:lineRule="exact"/>
        <w:rPr>
          <w:sz w:val="20"/>
          <w:szCs w:val="20"/>
          <w:color w:val="auto"/>
        </w:rPr>
      </w:pPr>
    </w:p>
    <w:p>
      <w:pPr>
        <w:sectPr>
          <w:pgSz w:w="11900" w:h="16838" w:orient="portrait"/>
          <w:cols w:equalWidth="0" w:num="2">
            <w:col w:w="6440" w:space="304"/>
            <w:col w:w="4496"/>
          </w:cols>
          <w:pgMar w:left="320" w:top="1085"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Annual Cash Incentive (MIP)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14605</wp:posOffset>
            </wp:positionV>
            <wp:extent cx="8255" cy="1680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68021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14605</wp:posOffset>
            </wp:positionV>
            <wp:extent cx="8255" cy="16802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680210"/>
                    </a:xfrm>
                    <a:prstGeom prst="rect">
                      <a:avLst/>
                    </a:prstGeom>
                    <a:noFill/>
                  </pic:spPr>
                </pic:pic>
              </a:graphicData>
            </a:graphic>
          </wp:anchor>
        </w:drawing>
      </w:r>
    </w:p>
    <w:p>
      <w:pPr>
        <w:spacing w:after="0" w:line="15" w:lineRule="exact"/>
        <w:rPr>
          <w:sz w:val="20"/>
          <w:szCs w:val="20"/>
          <w:color w:val="auto"/>
        </w:rPr>
      </w:pPr>
    </w:p>
    <w:p>
      <w:pPr>
        <w:jc w:val="both"/>
        <w:ind w:left="2400" w:hanging="192"/>
        <w:spacing w:after="0" w:line="289" w:lineRule="auto"/>
        <w:tabs>
          <w:tab w:leader="none" w:pos="239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Variable cash compensation motivates achievement of annual strategic goals, as measured by objective, pre-established financial and strategic metrics.</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Performance-Based</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96" w:right="280" w:hanging="196"/>
        <w:spacing w:after="0" w:line="287" w:lineRule="auto"/>
        <w:tabs>
          <w:tab w:leader="none" w:pos="1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Target opportunities are based on market data and reflect impact to the Company.</w:t>
      </w:r>
    </w:p>
    <w:p>
      <w:pPr>
        <w:spacing w:after="0" w:line="44" w:lineRule="exact"/>
        <w:rPr>
          <w:rFonts w:ascii="Arial" w:cs="Arial" w:eastAsia="Arial" w:hAnsi="Arial"/>
          <w:sz w:val="18"/>
          <w:szCs w:val="18"/>
          <w:color w:val="auto"/>
        </w:rPr>
      </w:pPr>
    </w:p>
    <w:p>
      <w:pPr>
        <w:ind w:left="196" w:right="360" w:hanging="196"/>
        <w:spacing w:after="0" w:line="268" w:lineRule="auto"/>
        <w:tabs>
          <w:tab w:leader="none" w:pos="1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Metrics are intended to drive consistent growth by measuring successful execution of our current strategy.</w:t>
      </w:r>
    </w:p>
    <w:p>
      <w:pPr>
        <w:spacing w:after="0" w:line="62" w:lineRule="exact"/>
        <w:rPr>
          <w:rFonts w:ascii="Arial" w:cs="Arial" w:eastAsia="Arial" w:hAnsi="Arial"/>
          <w:sz w:val="18"/>
          <w:szCs w:val="18"/>
          <w:color w:val="auto"/>
        </w:rPr>
      </w:pPr>
    </w:p>
    <w:p>
      <w:pPr>
        <w:ind w:left="196" w:right="160" w:hanging="196"/>
        <w:spacing w:after="0" w:line="268" w:lineRule="auto"/>
        <w:tabs>
          <w:tab w:leader="none" w:pos="1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Inclusion of CSR metric underscores the importance of our environment, safety, and people in a measurable and objective way.</w:t>
      </w:r>
    </w:p>
    <w:p>
      <w:pPr>
        <w:spacing w:after="0" w:line="62" w:lineRule="exact"/>
        <w:rPr>
          <w:rFonts w:ascii="Arial" w:cs="Arial" w:eastAsia="Arial" w:hAnsi="Arial"/>
          <w:sz w:val="18"/>
          <w:szCs w:val="18"/>
          <w:color w:val="auto"/>
        </w:rPr>
      </w:pPr>
    </w:p>
    <w:p>
      <w:pPr>
        <w:ind w:left="196" w:right="820" w:hanging="196"/>
        <w:spacing w:after="0" w:line="277" w:lineRule="auto"/>
        <w:tabs>
          <w:tab w:leader="none" w:pos="186"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awards are based on achievement of measurable performance targets.</w:t>
      </w:r>
    </w:p>
    <w:p>
      <w:pPr>
        <w:spacing w:after="0" w:line="1" w:lineRule="exact"/>
        <w:rPr>
          <w:sz w:val="20"/>
          <w:szCs w:val="20"/>
          <w:color w:val="auto"/>
        </w:rPr>
      </w:pPr>
    </w:p>
    <w:p>
      <w:pPr>
        <w:sectPr>
          <w:pgSz w:w="11900" w:h="16838" w:orient="portrait"/>
          <w:cols w:equalWidth="0" w:num="2">
            <w:col w:w="6540" w:space="204"/>
            <w:col w:w="4496"/>
          </w:cols>
          <w:pgMar w:left="320" w:top="108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600" w:type="dxa"/>
            <w:vAlign w:val="bottom"/>
            <w:tcBorders>
              <w:right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Long-Term Incentives (LTIP)</w:t>
            </w:r>
          </w:p>
        </w:tc>
        <w:tc>
          <w:tcPr>
            <w:tcW w:w="4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60" w:type="dxa"/>
            <w:vAlign w:val="bottom"/>
            <w:tcBorders>
              <w:right w:val="single" w:sz="8" w:color="DBDBDB"/>
            </w:tcBorders>
          </w:tcPr>
          <w:p>
            <w:pPr>
              <w:spacing w:after="0"/>
              <w:rPr>
                <w:sz w:val="21"/>
                <w:szCs w:val="21"/>
                <w:color w:val="auto"/>
              </w:rPr>
            </w:pP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426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Aligns with market practice.</w:t>
            </w:r>
          </w:p>
        </w:tc>
        <w:tc>
          <w:tcPr>
            <w:tcW w:w="4640" w:type="dxa"/>
            <w:vAlign w:val="bottom"/>
          </w:tcPr>
          <w:p>
            <w:pPr>
              <w:ind w:left="140"/>
              <w:spacing w:after="0"/>
              <w:rPr>
                <w:sz w:val="20"/>
                <w:szCs w:val="20"/>
                <w:color w:val="auto"/>
              </w:rPr>
            </w:pPr>
            <w:r>
              <w:rPr>
                <w:rFonts w:ascii="Arial" w:cs="Arial" w:eastAsia="Arial" w:hAnsi="Arial"/>
                <w:sz w:val="18"/>
                <w:szCs w:val="18"/>
                <w:color w:val="auto"/>
              </w:rPr>
              <w:t>• Comprises 50% of LTI grant for FY 2025</w:t>
            </w:r>
          </w:p>
        </w:tc>
        <w:tc>
          <w:tcPr>
            <w:tcW w:w="0" w:type="dxa"/>
            <w:vAlign w:val="bottom"/>
          </w:tcPr>
          <w:p>
            <w:pPr>
              <w:spacing w:after="0"/>
              <w:rPr>
                <w:sz w:val="1"/>
                <w:szCs w:val="1"/>
                <w:color w:val="auto"/>
              </w:rPr>
            </w:pPr>
          </w:p>
        </w:tc>
      </w:tr>
      <w:tr>
        <w:trPr>
          <w:trHeight w:val="266"/>
        </w:trPr>
        <w:tc>
          <w:tcPr>
            <w:tcW w:w="2060" w:type="dxa"/>
            <w:vAlign w:val="bottom"/>
            <w:tcBorders>
              <w:right w:val="single" w:sz="8" w:color="DBDBDB"/>
            </w:tcBorders>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426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Promotes retention in a highly competitive</w:t>
            </w:r>
          </w:p>
        </w:tc>
        <w:tc>
          <w:tcPr>
            <w:tcW w:w="4640" w:type="dxa"/>
            <w:vAlign w:val="bottom"/>
          </w:tcPr>
          <w:p>
            <w:pPr>
              <w:ind w:left="140"/>
              <w:spacing w:after="0"/>
              <w:rPr>
                <w:sz w:val="20"/>
                <w:szCs w:val="20"/>
                <w:color w:val="auto"/>
              </w:rPr>
            </w:pPr>
            <w:r>
              <w:rPr>
                <w:rFonts w:ascii="Arial" w:cs="Arial" w:eastAsia="Arial" w:hAnsi="Arial"/>
                <w:sz w:val="18"/>
                <w:szCs w:val="18"/>
                <w:color w:val="auto"/>
              </w:rPr>
              <w:t>• Beginning with the FY 2025 award, vesting over 3</w:t>
            </w:r>
          </w:p>
        </w:tc>
        <w:tc>
          <w:tcPr>
            <w:tcW w:w="0" w:type="dxa"/>
            <w:vAlign w:val="bottom"/>
          </w:tcPr>
          <w:p>
            <w:pPr>
              <w:spacing w:after="0"/>
              <w:rPr>
                <w:sz w:val="1"/>
                <w:szCs w:val="1"/>
                <w:color w:val="auto"/>
              </w:rPr>
            </w:pPr>
          </w:p>
        </w:tc>
      </w:tr>
      <w:tr>
        <w:trPr>
          <w:trHeight w:val="216"/>
        </w:trPr>
        <w:tc>
          <w:tcPr>
            <w:tcW w:w="2060" w:type="dxa"/>
            <w:vAlign w:val="bottom"/>
            <w:tcBorders>
              <w:right w:val="single" w:sz="8" w:color="DBDBDB"/>
            </w:tcBorders>
          </w:tcPr>
          <w:p>
            <w:pPr>
              <w:ind w:left="20"/>
              <w:spacing w:after="0"/>
              <w:rPr>
                <w:sz w:val="20"/>
                <w:szCs w:val="20"/>
                <w:color w:val="auto"/>
              </w:rPr>
            </w:pPr>
            <w:r>
              <w:rPr>
                <w:rFonts w:ascii="Arial" w:cs="Arial" w:eastAsia="Arial" w:hAnsi="Arial"/>
                <w:sz w:val="18"/>
                <w:szCs w:val="18"/>
                <w:b w:val="1"/>
                <w:bCs w:val="1"/>
                <w:color w:val="auto"/>
              </w:rPr>
              <w:t>(RSUs)</w:t>
            </w:r>
          </w:p>
        </w:tc>
        <w:tc>
          <w:tcPr>
            <w:tcW w:w="280" w:type="dxa"/>
            <w:vAlign w:val="bottom"/>
          </w:tcPr>
          <w:p>
            <w:pPr>
              <w:spacing w:after="0"/>
              <w:rPr>
                <w:sz w:val="18"/>
                <w:szCs w:val="18"/>
                <w:color w:val="auto"/>
              </w:rPr>
            </w:pPr>
          </w:p>
        </w:tc>
        <w:tc>
          <w:tcPr>
            <w:tcW w:w="4260" w:type="dxa"/>
            <w:vAlign w:val="bottom"/>
            <w:tcBorders>
              <w:right w:val="single" w:sz="8" w:color="DBDBDB"/>
            </w:tcBorders>
            <w:vMerge w:val="restart"/>
          </w:tcPr>
          <w:p>
            <w:pPr>
              <w:ind w:left="60"/>
              <w:spacing w:after="0"/>
              <w:rPr>
                <w:sz w:val="20"/>
                <w:szCs w:val="20"/>
                <w:color w:val="auto"/>
              </w:rPr>
            </w:pPr>
            <w:r>
              <w:rPr>
                <w:rFonts w:ascii="Arial" w:cs="Arial" w:eastAsia="Arial" w:hAnsi="Arial"/>
                <w:sz w:val="18"/>
                <w:szCs w:val="18"/>
                <w:color w:val="auto"/>
              </w:rPr>
              <w:t>marketplace.</w:t>
            </w: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years (33% vesting after 12 months and the</w:t>
            </w:r>
          </w:p>
        </w:tc>
        <w:tc>
          <w:tcPr>
            <w:tcW w:w="0" w:type="dxa"/>
            <w:vAlign w:val="bottom"/>
          </w:tcPr>
          <w:p>
            <w:pPr>
              <w:spacing w:after="0"/>
              <w:rPr>
                <w:sz w:val="1"/>
                <w:szCs w:val="1"/>
                <w:color w:val="auto"/>
              </w:rPr>
            </w:pPr>
          </w:p>
        </w:tc>
      </w:tr>
      <w:tr>
        <w:trPr>
          <w:trHeight w:val="35"/>
        </w:trPr>
        <w:tc>
          <w:tcPr>
            <w:tcW w:w="2060" w:type="dxa"/>
            <w:vAlign w:val="bottom"/>
            <w:tcBorders>
              <w:right w:val="single" w:sz="8" w:color="DBDBDB"/>
            </w:tcBorders>
          </w:tcPr>
          <w:p>
            <w:pPr>
              <w:spacing w:after="0"/>
              <w:rPr>
                <w:sz w:val="3"/>
                <w:szCs w:val="3"/>
                <w:color w:val="auto"/>
              </w:rPr>
            </w:pPr>
          </w:p>
        </w:tc>
        <w:tc>
          <w:tcPr>
            <w:tcW w:w="280" w:type="dxa"/>
            <w:vAlign w:val="bottom"/>
          </w:tcPr>
          <w:p>
            <w:pPr>
              <w:spacing w:after="0"/>
              <w:rPr>
                <w:sz w:val="3"/>
                <w:szCs w:val="3"/>
                <w:color w:val="auto"/>
              </w:rPr>
            </w:pPr>
          </w:p>
        </w:tc>
        <w:tc>
          <w:tcPr>
            <w:tcW w:w="4260" w:type="dxa"/>
            <w:vAlign w:val="bottom"/>
            <w:tcBorders>
              <w:right w:val="single" w:sz="8" w:color="DBDBDB"/>
            </w:tcBorders>
            <w:vMerge w:val="continue"/>
          </w:tcPr>
          <w:p>
            <w:pPr>
              <w:spacing w:after="0"/>
              <w:rPr>
                <w:sz w:val="3"/>
                <w:szCs w:val="3"/>
                <w:color w:val="auto"/>
              </w:rPr>
            </w:pPr>
          </w:p>
        </w:tc>
        <w:tc>
          <w:tcPr>
            <w:tcW w:w="4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60" w:type="dxa"/>
            <w:vAlign w:val="bottom"/>
            <w:tcBorders>
              <w:right w:val="single" w:sz="8" w:color="DBDBDB"/>
            </w:tcBorders>
          </w:tcPr>
          <w:p>
            <w:pPr>
              <w:spacing w:after="0"/>
              <w:rPr>
                <w:sz w:val="20"/>
                <w:szCs w:val="20"/>
                <w:color w:val="auto"/>
              </w:rPr>
            </w:pPr>
          </w:p>
        </w:tc>
        <w:tc>
          <w:tcPr>
            <w:tcW w:w="280" w:type="dxa"/>
            <w:vAlign w:val="bottom"/>
          </w:tcPr>
          <w:p>
            <w:pPr>
              <w:spacing w:after="0"/>
              <w:rPr>
                <w:sz w:val="20"/>
                <w:szCs w:val="20"/>
                <w:color w:val="auto"/>
              </w:rPr>
            </w:pPr>
          </w:p>
        </w:tc>
        <w:tc>
          <w:tcPr>
            <w:tcW w:w="4260" w:type="dxa"/>
            <w:vAlign w:val="bottom"/>
            <w:tcBorders>
              <w:right w:val="single" w:sz="8" w:color="DBDBDB"/>
            </w:tcBorders>
          </w:tcPr>
          <w:p>
            <w:pPr>
              <w:spacing w:after="0"/>
              <w:rPr>
                <w:sz w:val="20"/>
                <w:szCs w:val="20"/>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remaining vests ratably, or quarterly thereafter)</w:t>
            </w:r>
          </w:p>
        </w:tc>
        <w:tc>
          <w:tcPr>
            <w:tcW w:w="0" w:type="dxa"/>
            <w:vAlign w:val="bottom"/>
          </w:tcPr>
          <w:p>
            <w:pPr>
              <w:spacing w:after="0"/>
              <w:rPr>
                <w:sz w:val="1"/>
                <w:szCs w:val="1"/>
                <w:color w:val="auto"/>
              </w:rPr>
            </w:pPr>
          </w:p>
        </w:tc>
      </w:tr>
      <w:tr>
        <w:trPr>
          <w:trHeight w:val="23"/>
        </w:trPr>
        <w:tc>
          <w:tcPr>
            <w:tcW w:w="2060" w:type="dxa"/>
            <w:vAlign w:val="bottom"/>
            <w:tcBorders>
              <w:bottom w:val="single" w:sz="8" w:color="DBDBDB"/>
              <w:right w:val="single" w:sz="8" w:color="DBDBDB"/>
            </w:tcBorders>
          </w:tcPr>
          <w:p>
            <w:pPr>
              <w:spacing w:after="0"/>
              <w:rPr>
                <w:sz w:val="2"/>
                <w:szCs w:val="2"/>
                <w:color w:val="auto"/>
              </w:rPr>
            </w:pPr>
          </w:p>
        </w:tc>
        <w:tc>
          <w:tcPr>
            <w:tcW w:w="280" w:type="dxa"/>
            <w:vAlign w:val="bottom"/>
            <w:tcBorders>
              <w:bottom w:val="single" w:sz="8" w:color="DBDBDB"/>
            </w:tcBorders>
          </w:tcPr>
          <w:p>
            <w:pPr>
              <w:spacing w:after="0"/>
              <w:rPr>
                <w:sz w:val="2"/>
                <w:szCs w:val="2"/>
                <w:color w:val="auto"/>
              </w:rPr>
            </w:pPr>
          </w:p>
        </w:tc>
        <w:tc>
          <w:tcPr>
            <w:tcW w:w="4260" w:type="dxa"/>
            <w:vAlign w:val="bottom"/>
            <w:tcBorders>
              <w:bottom w:val="single" w:sz="8" w:color="DBDBDB"/>
              <w:right w:val="single" w:sz="8" w:color="DBDBDB"/>
            </w:tcBorders>
          </w:tcPr>
          <w:p>
            <w:pPr>
              <w:spacing w:after="0"/>
              <w:rPr>
                <w:sz w:val="2"/>
                <w:szCs w:val="2"/>
                <w:color w:val="auto"/>
              </w:rPr>
            </w:pPr>
          </w:p>
        </w:tc>
        <w:tc>
          <w:tcPr>
            <w:tcW w:w="464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2060" w:type="dxa"/>
            <w:vAlign w:val="bottom"/>
            <w:tcBorders>
              <w:right w:val="single" w:sz="8" w:color="DBDBDB"/>
            </w:tcBorders>
          </w:tcPr>
          <w:p>
            <w:pPr>
              <w:spacing w:after="0"/>
              <w:rPr>
                <w:sz w:val="24"/>
                <w:szCs w:val="24"/>
                <w:color w:val="auto"/>
              </w:rPr>
            </w:pP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426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Aligns compensation with key indicators of success</w:t>
            </w:r>
          </w:p>
        </w:tc>
        <w:tc>
          <w:tcPr>
            <w:tcW w:w="4640" w:type="dxa"/>
            <w:vAlign w:val="bottom"/>
          </w:tcPr>
          <w:p>
            <w:pPr>
              <w:ind w:left="140"/>
              <w:spacing w:after="0"/>
              <w:rPr>
                <w:sz w:val="20"/>
                <w:szCs w:val="20"/>
                <w:color w:val="auto"/>
              </w:rPr>
            </w:pPr>
            <w:r>
              <w:rPr>
                <w:rFonts w:ascii="Arial" w:cs="Arial" w:eastAsia="Arial" w:hAnsi="Arial"/>
                <w:sz w:val="18"/>
                <w:szCs w:val="18"/>
                <w:color w:val="auto"/>
              </w:rPr>
              <w:t>• Comprises 50% of LTI grant for FY 2025</w:t>
            </w:r>
          </w:p>
        </w:tc>
        <w:tc>
          <w:tcPr>
            <w:tcW w:w="0" w:type="dxa"/>
            <w:vAlign w:val="bottom"/>
          </w:tcPr>
          <w:p>
            <w:pPr>
              <w:spacing w:after="0"/>
              <w:rPr>
                <w:sz w:val="1"/>
                <w:szCs w:val="1"/>
                <w:color w:val="auto"/>
              </w:rPr>
            </w:pPr>
          </w:p>
        </w:tc>
      </w:tr>
      <w:tr>
        <w:trPr>
          <w:trHeight w:val="239"/>
        </w:trPr>
        <w:tc>
          <w:tcPr>
            <w:tcW w:w="2060" w:type="dxa"/>
            <w:vAlign w:val="bottom"/>
            <w:tcBorders>
              <w:right w:val="single" w:sz="8" w:color="DBDBDB"/>
            </w:tcBorders>
          </w:tcPr>
          <w:p>
            <w:pPr>
              <w:spacing w:after="0"/>
              <w:rPr>
                <w:sz w:val="20"/>
                <w:szCs w:val="20"/>
                <w:color w:val="auto"/>
              </w:rPr>
            </w:pPr>
          </w:p>
        </w:tc>
        <w:tc>
          <w:tcPr>
            <w:tcW w:w="280" w:type="dxa"/>
            <w:vAlign w:val="bottom"/>
          </w:tcPr>
          <w:p>
            <w:pPr>
              <w:spacing w:after="0"/>
              <w:rPr>
                <w:sz w:val="20"/>
                <w:szCs w:val="20"/>
                <w:color w:val="auto"/>
              </w:rPr>
            </w:pPr>
          </w:p>
        </w:tc>
        <w:tc>
          <w:tcPr>
            <w:tcW w:w="426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of our strategy.</w:t>
            </w:r>
          </w:p>
        </w:tc>
        <w:tc>
          <w:tcPr>
            <w:tcW w:w="4640" w:type="dxa"/>
            <w:vAlign w:val="bottom"/>
            <w:vMerge w:val="restart"/>
          </w:tcPr>
          <w:p>
            <w:pPr>
              <w:ind w:left="140"/>
              <w:spacing w:after="0"/>
              <w:rPr>
                <w:sz w:val="20"/>
                <w:szCs w:val="20"/>
                <w:color w:val="auto"/>
              </w:rPr>
            </w:pPr>
            <w:r>
              <w:rPr>
                <w:rFonts w:ascii="Arial" w:cs="Arial" w:eastAsia="Arial" w:hAnsi="Arial"/>
                <w:sz w:val="18"/>
                <w:szCs w:val="18"/>
                <w:color w:val="auto"/>
              </w:rPr>
              <w:t>• Cliff vesting three-years from grant date.</w:t>
            </w:r>
          </w:p>
        </w:tc>
        <w:tc>
          <w:tcPr>
            <w:tcW w:w="0" w:type="dxa"/>
            <w:vAlign w:val="bottom"/>
          </w:tcPr>
          <w:p>
            <w:pPr>
              <w:spacing w:after="0"/>
              <w:rPr>
                <w:sz w:val="1"/>
                <w:szCs w:val="1"/>
                <w:color w:val="auto"/>
              </w:rPr>
            </w:pPr>
          </w:p>
        </w:tc>
      </w:tr>
      <w:tr>
        <w:trPr>
          <w:trHeight w:val="108"/>
        </w:trPr>
        <w:tc>
          <w:tcPr>
            <w:tcW w:w="2060" w:type="dxa"/>
            <w:vAlign w:val="bottom"/>
            <w:tcBorders>
              <w:right w:val="single" w:sz="8" w:color="DBDBDB"/>
            </w:tcBorders>
          </w:tcPr>
          <w:p>
            <w:pPr>
              <w:spacing w:after="0"/>
              <w:rPr>
                <w:sz w:val="9"/>
                <w:szCs w:val="9"/>
                <w:color w:val="auto"/>
              </w:rPr>
            </w:pPr>
          </w:p>
        </w:tc>
        <w:tc>
          <w:tcPr>
            <w:tcW w:w="4540" w:type="dxa"/>
            <w:vAlign w:val="bottom"/>
            <w:tcBorders>
              <w:right w:val="single" w:sz="8" w:color="DBDBDB"/>
            </w:tcBorders>
            <w:gridSpan w:val="2"/>
            <w:vMerge w:val="restart"/>
          </w:tcPr>
          <w:p>
            <w:pPr>
              <w:ind w:left="140"/>
              <w:spacing w:after="0"/>
              <w:rPr>
                <w:sz w:val="20"/>
                <w:szCs w:val="20"/>
                <w:color w:val="auto"/>
              </w:rPr>
            </w:pPr>
            <w:r>
              <w:rPr>
                <w:rFonts w:ascii="Arial" w:cs="Arial" w:eastAsia="Arial" w:hAnsi="Arial"/>
                <w:sz w:val="18"/>
                <w:szCs w:val="18"/>
                <w:color w:val="auto"/>
              </w:rPr>
              <w:t>• Encourages focus on long-term shareholder value</w:t>
            </w:r>
          </w:p>
        </w:tc>
        <w:tc>
          <w:tcPr>
            <w:tcW w:w="4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60" w:type="dxa"/>
            <w:vAlign w:val="bottom"/>
            <w:tcBorders>
              <w:right w:val="single" w:sz="8" w:color="DBDBDB"/>
            </w:tcBorders>
          </w:tcPr>
          <w:p>
            <w:pPr>
              <w:spacing w:after="0"/>
              <w:rPr>
                <w:sz w:val="16"/>
                <w:szCs w:val="16"/>
                <w:color w:val="auto"/>
              </w:rPr>
            </w:pPr>
          </w:p>
        </w:tc>
        <w:tc>
          <w:tcPr>
            <w:tcW w:w="4540" w:type="dxa"/>
            <w:vAlign w:val="bottom"/>
            <w:tcBorders>
              <w:right w:val="single" w:sz="8" w:color="DBDBDB"/>
            </w:tcBorders>
            <w:gridSpan w:val="2"/>
            <w:vMerge w:val="continue"/>
          </w:tcPr>
          <w:p>
            <w:pPr>
              <w:spacing w:after="0"/>
              <w:rPr>
                <w:sz w:val="16"/>
                <w:szCs w:val="16"/>
                <w:color w:val="auto"/>
              </w:rPr>
            </w:pPr>
          </w:p>
        </w:tc>
        <w:tc>
          <w:tcPr>
            <w:tcW w:w="4640" w:type="dxa"/>
            <w:vAlign w:val="bottom"/>
            <w:vMerge w:val="restart"/>
          </w:tcPr>
          <w:p>
            <w:pPr>
              <w:ind w:left="140"/>
              <w:spacing w:after="0"/>
              <w:rPr>
                <w:sz w:val="20"/>
                <w:szCs w:val="20"/>
                <w:color w:val="auto"/>
              </w:rPr>
            </w:pPr>
            <w:r>
              <w:rPr>
                <w:rFonts w:ascii="Arial" w:cs="Arial" w:eastAsia="Arial" w:hAnsi="Arial"/>
                <w:sz w:val="18"/>
                <w:szCs w:val="18"/>
                <w:color w:val="auto"/>
              </w:rPr>
              <w:t>• Payouts based on achieving performance metrics</w:t>
            </w:r>
          </w:p>
        </w:tc>
        <w:tc>
          <w:tcPr>
            <w:tcW w:w="0" w:type="dxa"/>
            <w:vAlign w:val="bottom"/>
          </w:tcPr>
          <w:p>
            <w:pPr>
              <w:spacing w:after="0"/>
              <w:rPr>
                <w:sz w:val="1"/>
                <w:szCs w:val="1"/>
                <w:color w:val="auto"/>
              </w:rPr>
            </w:pPr>
          </w:p>
        </w:tc>
      </w:tr>
      <w:tr>
        <w:trPr>
          <w:trHeight w:val="108"/>
        </w:trPr>
        <w:tc>
          <w:tcPr>
            <w:tcW w:w="2060" w:type="dxa"/>
            <w:vAlign w:val="bottom"/>
            <w:tcBorders>
              <w:right w:val="single" w:sz="8" w:color="DBDBDB"/>
            </w:tcBorders>
            <w:vMerge w:val="restart"/>
          </w:tcPr>
          <w:p>
            <w:pPr>
              <w:ind w:left="20"/>
              <w:spacing w:after="0"/>
              <w:rPr>
                <w:sz w:val="20"/>
                <w:szCs w:val="20"/>
                <w:color w:val="auto"/>
              </w:rPr>
            </w:pPr>
            <w:r>
              <w:rPr>
                <w:rFonts w:ascii="Arial" w:cs="Arial" w:eastAsia="Arial" w:hAnsi="Arial"/>
                <w:sz w:val="18"/>
                <w:szCs w:val="18"/>
                <w:b w:val="1"/>
                <w:bCs w:val="1"/>
                <w:color w:val="auto"/>
              </w:rPr>
              <w:t>Performance Share</w:t>
            </w:r>
          </w:p>
        </w:tc>
        <w:tc>
          <w:tcPr>
            <w:tcW w:w="280" w:type="dxa"/>
            <w:vAlign w:val="bottom"/>
          </w:tcPr>
          <w:p>
            <w:pPr>
              <w:spacing w:after="0"/>
              <w:rPr>
                <w:sz w:val="9"/>
                <w:szCs w:val="9"/>
                <w:color w:val="auto"/>
              </w:rPr>
            </w:pPr>
          </w:p>
        </w:tc>
        <w:tc>
          <w:tcPr>
            <w:tcW w:w="4260" w:type="dxa"/>
            <w:vAlign w:val="bottom"/>
            <w:tcBorders>
              <w:right w:val="single" w:sz="8" w:color="DBDBDB"/>
            </w:tcBorders>
            <w:vMerge w:val="restart"/>
          </w:tcPr>
          <w:p>
            <w:pPr>
              <w:ind w:left="60"/>
              <w:spacing w:after="0"/>
              <w:rPr>
                <w:sz w:val="20"/>
                <w:szCs w:val="20"/>
                <w:color w:val="auto"/>
              </w:rPr>
            </w:pPr>
            <w:r>
              <w:rPr>
                <w:rFonts w:ascii="Arial" w:cs="Arial" w:eastAsia="Arial" w:hAnsi="Arial"/>
                <w:sz w:val="18"/>
                <w:szCs w:val="18"/>
                <w:color w:val="auto"/>
              </w:rPr>
              <w:t>creation through profitable growth and increase in</w:t>
            </w:r>
          </w:p>
        </w:tc>
        <w:tc>
          <w:tcPr>
            <w:tcW w:w="4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60" w:type="dxa"/>
            <w:vAlign w:val="bottom"/>
            <w:tcBorders>
              <w:right w:val="single" w:sz="8" w:color="DBDBDB"/>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4260" w:type="dxa"/>
            <w:vAlign w:val="bottom"/>
            <w:tcBorders>
              <w:right w:val="single" w:sz="8" w:color="DBDBDB"/>
            </w:tcBorders>
            <w:vMerge w:val="continue"/>
          </w:tcPr>
          <w:p>
            <w:pPr>
              <w:spacing w:after="0"/>
              <w:rPr>
                <w:sz w:val="8"/>
                <w:szCs w:val="8"/>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reflecting creation of shareholder value.</w:t>
            </w:r>
          </w:p>
        </w:tc>
        <w:tc>
          <w:tcPr>
            <w:tcW w:w="0" w:type="dxa"/>
            <w:vAlign w:val="bottom"/>
          </w:tcPr>
          <w:p>
            <w:pPr>
              <w:spacing w:after="0"/>
              <w:rPr>
                <w:sz w:val="1"/>
                <w:szCs w:val="1"/>
                <w:color w:val="auto"/>
              </w:rPr>
            </w:pPr>
          </w:p>
        </w:tc>
      </w:tr>
      <w:tr>
        <w:trPr>
          <w:trHeight w:val="139"/>
        </w:trPr>
        <w:tc>
          <w:tcPr>
            <w:tcW w:w="2060" w:type="dxa"/>
            <w:vAlign w:val="bottom"/>
            <w:tcBorders>
              <w:right w:val="single" w:sz="8" w:color="DBDBDB"/>
            </w:tcBorders>
            <w:vMerge w:val="restart"/>
          </w:tcPr>
          <w:p>
            <w:pPr>
              <w:ind w:left="20"/>
              <w:spacing w:after="0"/>
              <w:rPr>
                <w:sz w:val="20"/>
                <w:szCs w:val="20"/>
                <w:color w:val="auto"/>
              </w:rPr>
            </w:pPr>
            <w:r>
              <w:rPr>
                <w:rFonts w:ascii="Arial" w:cs="Arial" w:eastAsia="Arial" w:hAnsi="Arial"/>
                <w:sz w:val="18"/>
                <w:szCs w:val="18"/>
                <w:b w:val="1"/>
                <w:bCs w:val="1"/>
                <w:color w:val="auto"/>
              </w:rPr>
              <w:t>Units (PSUs)</w:t>
            </w:r>
          </w:p>
        </w:tc>
        <w:tc>
          <w:tcPr>
            <w:tcW w:w="280" w:type="dxa"/>
            <w:vAlign w:val="bottom"/>
          </w:tcPr>
          <w:p>
            <w:pPr>
              <w:spacing w:after="0"/>
              <w:rPr>
                <w:sz w:val="12"/>
                <w:szCs w:val="12"/>
                <w:color w:val="auto"/>
              </w:rPr>
            </w:pPr>
          </w:p>
        </w:tc>
        <w:tc>
          <w:tcPr>
            <w:tcW w:w="4260" w:type="dxa"/>
            <w:vAlign w:val="bottom"/>
            <w:tcBorders>
              <w:right w:val="single" w:sz="8" w:color="DBDBDB"/>
            </w:tcBorders>
            <w:vMerge w:val="restart"/>
          </w:tcPr>
          <w:p>
            <w:pPr>
              <w:ind w:left="60"/>
              <w:spacing w:after="0"/>
              <w:rPr>
                <w:sz w:val="20"/>
                <w:szCs w:val="20"/>
                <w:color w:val="auto"/>
              </w:rPr>
            </w:pPr>
            <w:r>
              <w:rPr>
                <w:rFonts w:ascii="Arial" w:cs="Arial" w:eastAsia="Arial" w:hAnsi="Arial"/>
                <w:sz w:val="18"/>
                <w:szCs w:val="18"/>
                <w:color w:val="auto"/>
              </w:rPr>
              <w:t>stock price over time.</w:t>
            </w:r>
          </w:p>
        </w:tc>
        <w:tc>
          <w:tcPr>
            <w:tcW w:w="4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60" w:type="dxa"/>
            <w:vAlign w:val="bottom"/>
            <w:tcBorders>
              <w:right w:val="single" w:sz="8" w:color="DBDBDB"/>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4260" w:type="dxa"/>
            <w:vAlign w:val="bottom"/>
            <w:tcBorders>
              <w:right w:val="single" w:sz="8" w:color="DBDBDB"/>
            </w:tcBorders>
            <w:vMerge w:val="continue"/>
          </w:tcPr>
          <w:p>
            <w:pPr>
              <w:spacing w:after="0"/>
              <w:rPr>
                <w:sz w:val="9"/>
                <w:szCs w:val="9"/>
                <w:color w:val="auto"/>
              </w:rPr>
            </w:pPr>
          </w:p>
        </w:tc>
        <w:tc>
          <w:tcPr>
            <w:tcW w:w="4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060" w:type="dxa"/>
            <w:vAlign w:val="bottom"/>
            <w:tcBorders>
              <w:right w:val="single" w:sz="8" w:color="DBDBDB"/>
            </w:tcBorders>
          </w:tcPr>
          <w:p>
            <w:pPr>
              <w:spacing w:after="0"/>
              <w:rPr>
                <w:sz w:val="24"/>
                <w:szCs w:val="24"/>
                <w:color w:val="auto"/>
              </w:rPr>
            </w:pPr>
          </w:p>
        </w:tc>
        <w:tc>
          <w:tcPr>
            <w:tcW w:w="4540" w:type="dxa"/>
            <w:vAlign w:val="bottom"/>
            <w:tcBorders>
              <w:right w:val="single" w:sz="8" w:color="DBDBDB"/>
            </w:tcBorders>
            <w:gridSpan w:val="2"/>
          </w:tcPr>
          <w:p>
            <w:pPr>
              <w:ind w:left="140"/>
              <w:spacing w:after="0"/>
              <w:rPr>
                <w:sz w:val="20"/>
                <w:szCs w:val="20"/>
                <w:color w:val="auto"/>
              </w:rPr>
            </w:pPr>
            <w:r>
              <w:rPr>
                <w:rFonts w:ascii="Arial" w:cs="Arial" w:eastAsia="Arial" w:hAnsi="Arial"/>
                <w:sz w:val="18"/>
                <w:szCs w:val="18"/>
                <w:color w:val="auto"/>
              </w:rPr>
              <w:t>• Promotes retention through long-term performance</w:t>
            </w:r>
          </w:p>
        </w:tc>
        <w:tc>
          <w:tcPr>
            <w:tcW w:w="4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60" w:type="dxa"/>
            <w:vAlign w:val="bottom"/>
            <w:tcBorders>
              <w:right w:val="single" w:sz="8" w:color="DBDBDB"/>
            </w:tcBorders>
          </w:tcPr>
          <w:p>
            <w:pPr>
              <w:spacing w:after="0"/>
              <w:rPr>
                <w:sz w:val="20"/>
                <w:szCs w:val="20"/>
                <w:color w:val="auto"/>
              </w:rPr>
            </w:pPr>
          </w:p>
        </w:tc>
        <w:tc>
          <w:tcPr>
            <w:tcW w:w="280" w:type="dxa"/>
            <w:vAlign w:val="bottom"/>
          </w:tcPr>
          <w:p>
            <w:pPr>
              <w:spacing w:after="0"/>
              <w:rPr>
                <w:sz w:val="20"/>
                <w:szCs w:val="20"/>
                <w:color w:val="auto"/>
              </w:rPr>
            </w:pPr>
          </w:p>
        </w:tc>
        <w:tc>
          <w:tcPr>
            <w:tcW w:w="4260" w:type="dxa"/>
            <w:vAlign w:val="bottom"/>
            <w:tcBorders>
              <w:right w:val="single" w:sz="8" w:color="DBDBDB"/>
            </w:tcBorders>
          </w:tcPr>
          <w:p>
            <w:pPr>
              <w:ind w:left="60"/>
              <w:spacing w:after="0"/>
              <w:rPr>
                <w:sz w:val="20"/>
                <w:szCs w:val="20"/>
                <w:color w:val="auto"/>
              </w:rPr>
            </w:pPr>
            <w:r>
              <w:rPr>
                <w:rFonts w:ascii="Arial" w:cs="Arial" w:eastAsia="Arial" w:hAnsi="Arial"/>
                <w:sz w:val="18"/>
                <w:szCs w:val="18"/>
                <w:color w:val="auto"/>
              </w:rPr>
              <w:t>achievement and vesting requirements.</w:t>
            </w: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060" w:type="dxa"/>
            <w:vAlign w:val="bottom"/>
            <w:tcBorders>
              <w:bottom w:val="single" w:sz="8" w:color="DBDBDB"/>
              <w:right w:val="single" w:sz="8" w:color="DBDBDB"/>
            </w:tcBorders>
          </w:tcPr>
          <w:p>
            <w:pPr>
              <w:spacing w:after="0"/>
              <w:rPr>
                <w:sz w:val="24"/>
                <w:szCs w:val="24"/>
                <w:color w:val="auto"/>
              </w:rPr>
            </w:pPr>
          </w:p>
        </w:tc>
        <w:tc>
          <w:tcPr>
            <w:tcW w:w="280" w:type="dxa"/>
            <w:vAlign w:val="bottom"/>
            <w:tcBorders>
              <w:bottom w:val="single" w:sz="8" w:color="DBDBDB"/>
            </w:tcBorders>
          </w:tcPr>
          <w:p>
            <w:pPr>
              <w:spacing w:after="0"/>
              <w:rPr>
                <w:sz w:val="24"/>
                <w:szCs w:val="24"/>
                <w:color w:val="auto"/>
              </w:rPr>
            </w:pPr>
          </w:p>
        </w:tc>
        <w:tc>
          <w:tcPr>
            <w:tcW w:w="4260" w:type="dxa"/>
            <w:vAlign w:val="bottom"/>
            <w:tcBorders>
              <w:bottom w:val="single" w:sz="8" w:color="DBDBDB"/>
              <w:right w:val="single" w:sz="8" w:color="DBDBDB"/>
            </w:tcBorders>
          </w:tcPr>
          <w:p>
            <w:pPr>
              <w:spacing w:after="0"/>
              <w:rPr>
                <w:sz w:val="24"/>
                <w:szCs w:val="24"/>
                <w:color w:val="auto"/>
              </w:rPr>
            </w:pPr>
          </w:p>
        </w:tc>
        <w:tc>
          <w:tcPr>
            <w:tcW w:w="464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Linking Pay to Performance</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2025, our compensation programs demonstrated alignment between the compensation paid to our NEOs and the delivered Company performance results. Our executive compensation programs are designed to:</w:t>
      </w:r>
    </w:p>
    <w:p>
      <w:pPr>
        <w:spacing w:after="0" w:line="45"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for performance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 and retain top talent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Reward past performance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Motivate future performance</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executive compensation program is aligned with our business strategy and designed to create long-term shareholder value. By making performance a substantial element of compensation, we link our executives’ interests to the interests of our shareholders. We reward NEOs when the Company achieves short- and long-term performance objectives, and we reduce or eliminate performance-based compensation when the Company does not achieve those objectives.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PROCESS FOR SETTING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 Information</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Each year, the Committee receives and reviews a report comparing all elements of compensation for our NEOs with the compensation of the NEOs from companies in our peer group.</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Committee reviews the peer group total target compensation for each NEO. The competitive peer group market data is prepared, analyzed, and presented to the Committee’s independent compensation consultant. The independent compensation consultant also provides a broader set of survey data that is size-adjusted to reflect companies of similar revenue scope.</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When setting compensation, the Committee also reviews the Company’s performance in relation to the peer group as well as individual performance and contributions by each NEO.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Peer Group</w:t>
      </w:r>
    </w:p>
    <w:p>
      <w:pPr>
        <w:spacing w:after="0" w:line="117"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Committee regularly reviews the composition of the compensation peer group, and makes modifications as appropriate. The 2025 peer group was approved in July 2024, following an assessment and guidance from the Committee's independent compensation consultant. No changes were made to the peer group from the prior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Committee relied on the following factors when evaluating the appropriateness of the peer group:</w:t>
      </w:r>
    </w:p>
    <w:p>
      <w:pPr>
        <w:spacing w:after="0" w:line="117"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Comparable in size (considering revenue, market capitalization, enterprise value, and other size metrics);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Comparable in terms of business complexity and industry focus;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Companies with which Xerox is likely to compete for executive talent; and/or</w:t>
      </w:r>
    </w:p>
    <w:p>
      <w:pPr>
        <w:spacing w:after="0" w:line="117" w:lineRule="exact"/>
        <w:rPr>
          <w:rFonts w:ascii="Arial" w:cs="Arial" w:eastAsia="Arial" w:hAnsi="Arial"/>
          <w:sz w:val="18"/>
          <w:szCs w:val="18"/>
          <w:color w:val="auto"/>
        </w:rPr>
      </w:pPr>
    </w:p>
    <w:p>
      <w:pPr>
        <w:ind w:left="820" w:right="40" w:hanging="326"/>
        <w:spacing w:after="0" w:line="287"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Companies that share a similar business model and/or similar business content in one or more areas to our traditional business, as well as our changing business model through our business reinvention.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peer group was approved by the Committee and was used in determining 2025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40575" cy="12433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124333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2025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Borders>
              <w:top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CDW Corporation</w:t>
            </w:r>
          </w:p>
        </w:tc>
        <w:tc>
          <w:tcPr>
            <w:tcW w:w="3620" w:type="dxa"/>
            <w:vAlign w:val="bottom"/>
            <w:tcBorders>
              <w:top w:val="single" w:sz="8" w:color="B6B6B6"/>
              <w:bottom w:val="single" w:sz="8" w:color="B6B6B6"/>
              <w:right w:val="single" w:sz="8" w:color="B6B6B6"/>
            </w:tcBorders>
          </w:tcPr>
          <w:p>
            <w:pPr>
              <w:spacing w:after="0"/>
              <w:rPr>
                <w:sz w:val="20"/>
                <w:szCs w:val="20"/>
                <w:color w:val="auto"/>
              </w:rPr>
            </w:pPr>
            <w:r>
              <w:rPr>
                <w:rFonts w:ascii="Arial" w:cs="Arial" w:eastAsia="Arial" w:hAnsi="Arial"/>
                <w:sz w:val="18"/>
                <w:szCs w:val="18"/>
                <w:color w:val="auto"/>
              </w:rPr>
              <w:t>Motorola Solutions, Inc.</w:t>
            </w:r>
          </w:p>
        </w:tc>
        <w:tc>
          <w:tcPr>
            <w:tcW w:w="3620" w:type="dxa"/>
            <w:vAlign w:val="bottom"/>
            <w:tcBorders>
              <w:top w:val="single" w:sz="8" w:color="B6B6B6"/>
              <w:bottom w:val="single" w:sz="8" w:color="B6B6B6"/>
            </w:tcBorders>
          </w:tcPr>
          <w:p>
            <w:pPr>
              <w:ind w:left="20"/>
              <w:spacing w:after="0"/>
              <w:rPr>
                <w:sz w:val="20"/>
                <w:szCs w:val="20"/>
                <w:color w:val="auto"/>
              </w:rPr>
            </w:pPr>
            <w:r>
              <w:rPr>
                <w:rFonts w:ascii="Arial" w:cs="Arial" w:eastAsia="Arial" w:hAnsi="Arial"/>
                <w:sz w:val="18"/>
                <w:szCs w:val="18"/>
                <w:color w:val="auto"/>
              </w:rPr>
              <w:t>Trimble Inc.</w:t>
            </w:r>
          </w:p>
        </w:tc>
        <w:tc>
          <w:tcPr>
            <w:tcW w:w="20" w:type="dxa"/>
            <w:vAlign w:val="bottom"/>
            <w:tcBorders>
              <w:top w:val="single" w:sz="8" w:color="B6B6B6"/>
              <w:bottom w:val="single" w:sz="8" w:color="B6B6B6"/>
            </w:tcBorders>
          </w:tcPr>
          <w:p>
            <w:pPr>
              <w:spacing w:after="0"/>
              <w:rPr>
                <w:sz w:val="19"/>
                <w:szCs w:val="19"/>
                <w:color w:val="auto"/>
              </w:rPr>
            </w:pPr>
          </w:p>
        </w:tc>
      </w:tr>
      <w:tr>
        <w:trPr>
          <w:trHeight w:val="223"/>
        </w:trPr>
        <w:tc>
          <w:tcPr>
            <w:tcW w:w="4000" w:type="dxa"/>
            <w:vAlign w:val="bottom"/>
            <w:tcBorders>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CGI Inc.</w:t>
            </w:r>
          </w:p>
        </w:tc>
        <w:tc>
          <w:tcPr>
            <w:tcW w:w="3620" w:type="dxa"/>
            <w:vAlign w:val="bottom"/>
            <w:tcBorders>
              <w:bottom w:val="single" w:sz="8" w:color="B6B6B6"/>
              <w:right w:val="single" w:sz="8" w:color="B6B6B6"/>
            </w:tcBorders>
            <w:shd w:val="clear" w:color="auto" w:fill="DBDBDB"/>
          </w:tcPr>
          <w:p>
            <w:pPr>
              <w:spacing w:after="0" w:line="223" w:lineRule="exact"/>
              <w:rPr>
                <w:sz w:val="20"/>
                <w:szCs w:val="20"/>
                <w:color w:val="auto"/>
              </w:rPr>
            </w:pPr>
            <w:r>
              <w:rPr>
                <w:rFonts w:ascii="Arial" w:cs="Arial" w:eastAsia="Arial" w:hAnsi="Arial"/>
                <w:sz w:val="18"/>
                <w:szCs w:val="18"/>
                <w:color w:val="auto"/>
              </w:rPr>
              <w:t>NCR Corporation</w:t>
            </w:r>
            <w:r>
              <w:rPr>
                <w:rFonts w:ascii="Arial" w:cs="Arial" w:eastAsia="Arial" w:hAnsi="Arial"/>
                <w:sz w:val="23"/>
                <w:szCs w:val="23"/>
                <w:color w:val="auto"/>
                <w:vertAlign w:val="superscript"/>
              </w:rPr>
              <w:t>(1)</w:t>
            </w:r>
          </w:p>
        </w:tc>
        <w:tc>
          <w:tcPr>
            <w:tcW w:w="3620" w:type="dxa"/>
            <w:vAlign w:val="bottom"/>
            <w:tcBorders>
              <w:bottom w:val="single" w:sz="8" w:color="B6B6B6"/>
            </w:tcBorders>
            <w:shd w:val="clear" w:color="auto" w:fill="DBDBDB"/>
          </w:tcPr>
          <w:p>
            <w:pPr>
              <w:ind w:left="20"/>
              <w:spacing w:after="0"/>
              <w:rPr>
                <w:sz w:val="20"/>
                <w:szCs w:val="20"/>
                <w:color w:val="auto"/>
              </w:rPr>
            </w:pPr>
            <w:r>
              <w:rPr>
                <w:rFonts w:ascii="Arial" w:cs="Arial" w:eastAsia="Arial" w:hAnsi="Arial"/>
                <w:sz w:val="18"/>
                <w:szCs w:val="18"/>
                <w:color w:val="auto"/>
              </w:rPr>
              <w:t>Western Digital Corporation</w:t>
            </w:r>
          </w:p>
        </w:tc>
        <w:tc>
          <w:tcPr>
            <w:tcW w:w="20" w:type="dxa"/>
            <w:vAlign w:val="bottom"/>
            <w:tcBorders>
              <w:bottom w:val="single" w:sz="8" w:color="B6B6B6"/>
            </w:tcBorders>
          </w:tcPr>
          <w:p>
            <w:pPr>
              <w:spacing w:after="0"/>
              <w:rPr>
                <w:sz w:val="19"/>
                <w:szCs w:val="19"/>
                <w:color w:val="auto"/>
              </w:rPr>
            </w:pPr>
          </w:p>
        </w:tc>
      </w:tr>
      <w:tr>
        <w:trPr>
          <w:trHeight w:val="223"/>
        </w:trPr>
        <w:tc>
          <w:tcPr>
            <w:tcW w:w="4000" w:type="dxa"/>
            <w:vAlign w:val="bottom"/>
            <w:tcBorders>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Ciena Corporation</w:t>
            </w:r>
          </w:p>
        </w:tc>
        <w:tc>
          <w:tcPr>
            <w:tcW w:w="362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8"/>
                <w:szCs w:val="18"/>
                <w:color w:val="auto"/>
              </w:rPr>
              <w:t>NetApp, Inc.</w:t>
            </w:r>
          </w:p>
        </w:tc>
        <w:tc>
          <w:tcPr>
            <w:tcW w:w="362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Zebra Technologies Corporation</w:t>
            </w:r>
          </w:p>
        </w:tc>
        <w:tc>
          <w:tcPr>
            <w:tcW w:w="20" w:type="dxa"/>
            <w:vAlign w:val="bottom"/>
            <w:tcBorders>
              <w:bottom w:val="single" w:sz="8" w:color="B6B6B6"/>
            </w:tcBorders>
          </w:tcPr>
          <w:p>
            <w:pPr>
              <w:spacing w:after="0"/>
              <w:rPr>
                <w:sz w:val="19"/>
                <w:szCs w:val="19"/>
                <w:color w:val="auto"/>
              </w:rPr>
            </w:pPr>
          </w:p>
        </w:tc>
      </w:tr>
      <w:tr>
        <w:trPr>
          <w:trHeight w:val="223"/>
        </w:trPr>
        <w:tc>
          <w:tcPr>
            <w:tcW w:w="4000" w:type="dxa"/>
            <w:vAlign w:val="bottom"/>
            <w:tcBorders>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CommScope Holding Company, Inc.</w:t>
            </w:r>
          </w:p>
        </w:tc>
        <w:tc>
          <w:tcPr>
            <w:tcW w:w="3620" w:type="dxa"/>
            <w:vAlign w:val="bottom"/>
            <w:tcBorders>
              <w:bottom w:val="single" w:sz="8" w:color="B6B6B6"/>
              <w:right w:val="single" w:sz="8" w:color="B6B6B6"/>
            </w:tcBorders>
            <w:shd w:val="clear" w:color="auto" w:fill="DBDBDB"/>
          </w:tcPr>
          <w:p>
            <w:pPr>
              <w:spacing w:after="0"/>
              <w:rPr>
                <w:sz w:val="20"/>
                <w:szCs w:val="20"/>
                <w:color w:val="auto"/>
              </w:rPr>
            </w:pPr>
            <w:r>
              <w:rPr>
                <w:rFonts w:ascii="Arial" w:cs="Arial" w:eastAsia="Arial" w:hAnsi="Arial"/>
                <w:sz w:val="18"/>
                <w:szCs w:val="18"/>
                <w:color w:val="auto"/>
              </w:rPr>
              <w:t>OpenText Corporation</w:t>
            </w:r>
          </w:p>
        </w:tc>
        <w:tc>
          <w:tcPr>
            <w:tcW w:w="3620" w:type="dxa"/>
            <w:vAlign w:val="bottom"/>
            <w:tcBorders>
              <w:bottom w:val="single" w:sz="8" w:color="B6B6B6"/>
            </w:tcBorders>
            <w:shd w:val="clear" w:color="auto" w:fill="DBDBDB"/>
          </w:tcPr>
          <w:p>
            <w:pPr>
              <w:spacing w:after="0"/>
              <w:rPr>
                <w:sz w:val="19"/>
                <w:szCs w:val="19"/>
                <w:color w:val="auto"/>
              </w:rPr>
            </w:pPr>
          </w:p>
        </w:tc>
        <w:tc>
          <w:tcPr>
            <w:tcW w:w="20" w:type="dxa"/>
            <w:vAlign w:val="bottom"/>
            <w:tcBorders>
              <w:bottom w:val="single" w:sz="8" w:color="B6B6B6"/>
            </w:tcBorders>
          </w:tcPr>
          <w:p>
            <w:pPr>
              <w:spacing w:after="0"/>
              <w:rPr>
                <w:sz w:val="19"/>
                <w:szCs w:val="19"/>
                <w:color w:val="auto"/>
              </w:rPr>
            </w:pPr>
          </w:p>
        </w:tc>
      </w:tr>
      <w:tr>
        <w:trPr>
          <w:trHeight w:val="223"/>
        </w:trPr>
        <w:tc>
          <w:tcPr>
            <w:tcW w:w="4000" w:type="dxa"/>
            <w:vAlign w:val="bottom"/>
            <w:tcBorders>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DXC Technology Company</w:t>
            </w:r>
          </w:p>
        </w:tc>
        <w:tc>
          <w:tcPr>
            <w:tcW w:w="362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8"/>
                <w:szCs w:val="18"/>
                <w:color w:val="auto"/>
              </w:rPr>
              <w:t>Sanmina Corporation</w:t>
            </w:r>
          </w:p>
        </w:tc>
        <w:tc>
          <w:tcPr>
            <w:tcW w:w="3620" w:type="dxa"/>
            <w:vAlign w:val="bottom"/>
            <w:tcBorders>
              <w:bottom w:val="single" w:sz="8" w:color="B6B6B6"/>
            </w:tcBorders>
          </w:tcPr>
          <w:p>
            <w:pPr>
              <w:spacing w:after="0"/>
              <w:rPr>
                <w:sz w:val="19"/>
                <w:szCs w:val="19"/>
                <w:color w:val="auto"/>
              </w:rPr>
            </w:pPr>
          </w:p>
        </w:tc>
        <w:tc>
          <w:tcPr>
            <w:tcW w:w="20" w:type="dxa"/>
            <w:vAlign w:val="bottom"/>
            <w:tcBorders>
              <w:bottom w:val="single" w:sz="8" w:color="B6B6B6"/>
            </w:tcBorders>
          </w:tcPr>
          <w:p>
            <w:pPr>
              <w:spacing w:after="0"/>
              <w:rPr>
                <w:sz w:val="19"/>
                <w:szCs w:val="19"/>
                <w:color w:val="auto"/>
              </w:rPr>
            </w:pPr>
          </w:p>
        </w:tc>
      </w:tr>
      <w:tr>
        <w:trPr>
          <w:trHeight w:val="223"/>
        </w:trPr>
        <w:tc>
          <w:tcPr>
            <w:tcW w:w="4000" w:type="dxa"/>
            <w:vAlign w:val="bottom"/>
            <w:tcBorders>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Juniper Networks, Inc.</w:t>
            </w:r>
          </w:p>
        </w:tc>
        <w:tc>
          <w:tcPr>
            <w:tcW w:w="3620" w:type="dxa"/>
            <w:vAlign w:val="bottom"/>
            <w:tcBorders>
              <w:bottom w:val="single" w:sz="8" w:color="B6B6B6"/>
              <w:right w:val="single" w:sz="8" w:color="B6B6B6"/>
            </w:tcBorders>
            <w:shd w:val="clear" w:color="auto" w:fill="DBDBDB"/>
          </w:tcPr>
          <w:p>
            <w:pPr>
              <w:spacing w:after="0"/>
              <w:rPr>
                <w:sz w:val="20"/>
                <w:szCs w:val="20"/>
                <w:color w:val="auto"/>
              </w:rPr>
            </w:pPr>
            <w:r>
              <w:rPr>
                <w:rFonts w:ascii="Arial" w:cs="Arial" w:eastAsia="Arial" w:hAnsi="Arial"/>
                <w:sz w:val="18"/>
                <w:szCs w:val="18"/>
                <w:color w:val="auto"/>
              </w:rPr>
              <w:t>Seagate Technology Holdings plc</w:t>
            </w:r>
          </w:p>
        </w:tc>
        <w:tc>
          <w:tcPr>
            <w:tcW w:w="3620" w:type="dxa"/>
            <w:vAlign w:val="bottom"/>
            <w:tcBorders>
              <w:bottom w:val="single" w:sz="8" w:color="B6B6B6"/>
            </w:tcBorders>
            <w:shd w:val="clear" w:color="auto" w:fill="DBDBDB"/>
          </w:tcPr>
          <w:p>
            <w:pPr>
              <w:spacing w:after="0"/>
              <w:rPr>
                <w:sz w:val="19"/>
                <w:szCs w:val="19"/>
                <w:color w:val="auto"/>
              </w:rPr>
            </w:pPr>
          </w:p>
        </w:tc>
        <w:tc>
          <w:tcPr>
            <w:tcW w:w="20" w:type="dxa"/>
            <w:vAlign w:val="bottom"/>
            <w:tcBorders>
              <w:bottom w:val="single" w:sz="8" w:color="B6B6B6"/>
            </w:tcBorders>
          </w:tcPr>
          <w:p>
            <w:pPr>
              <w:spacing w:after="0"/>
              <w:rPr>
                <w:sz w:val="19"/>
                <w:szCs w:val="19"/>
                <w:color w:val="auto"/>
              </w:rPr>
            </w:pPr>
          </w:p>
        </w:tc>
      </w:tr>
      <w:tr>
        <w:trPr>
          <w:trHeight w:val="223"/>
        </w:trPr>
        <w:tc>
          <w:tcPr>
            <w:tcW w:w="4000" w:type="dxa"/>
            <w:vAlign w:val="bottom"/>
            <w:tcBorders>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Keysight Technologies, Inc.</w:t>
            </w:r>
          </w:p>
        </w:tc>
        <w:tc>
          <w:tcPr>
            <w:tcW w:w="362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8"/>
                <w:szCs w:val="18"/>
                <w:color w:val="auto"/>
              </w:rPr>
              <w:t>Teledyne Technologies Incorporated</w:t>
            </w:r>
          </w:p>
        </w:tc>
        <w:tc>
          <w:tcPr>
            <w:tcW w:w="3620" w:type="dxa"/>
            <w:vAlign w:val="bottom"/>
            <w:tcBorders>
              <w:bottom w:val="single" w:sz="8" w:color="B6B6B6"/>
            </w:tcBorders>
          </w:tcPr>
          <w:p>
            <w:pPr>
              <w:spacing w:after="0"/>
              <w:rPr>
                <w:sz w:val="19"/>
                <w:szCs w:val="19"/>
                <w:color w:val="auto"/>
              </w:rPr>
            </w:pPr>
          </w:p>
        </w:tc>
        <w:tc>
          <w:tcPr>
            <w:tcW w:w="20" w:type="dxa"/>
            <w:vAlign w:val="bottom"/>
            <w:tcBorders>
              <w:bottom w:val="single" w:sz="8" w:color="B6B6B6"/>
            </w:tcBorders>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4"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For NCR Corporation, our 2025 Peer Group now reflects their split into NCR Voyix Corporation and NCR Atleos Corporation.</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Compensation Determination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shown in the chart below, the Committee follows a thorough and multi-faceted process to establish compensation for our NEOs.</w:t>
      </w:r>
    </w:p>
    <w:p>
      <w:pPr>
        <w:sectPr>
          <w:pgSz w:w="11900" w:h="16838" w:orient="portrait"/>
          <w:cols w:equalWidth="0" w:num="1">
            <w:col w:w="11260"/>
          </w:cols>
          <w:pgMar w:left="320" w:top="1039" w:right="319" w:bottom="1440" w:gutter="0" w:footer="0" w:header="0"/>
        </w:sectPr>
      </w:pPr>
    </w:p>
    <w:p>
      <w:pPr>
        <w:spacing w:after="0" w:line="2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FFFFFF"/>
        </w:rPr>
        <w:t>Committee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2245995" cy="2339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45995" cy="2339975"/>
                    </a:xfrm>
                    <a:prstGeom prst="rect">
                      <a:avLst/>
                    </a:prstGeom>
                    <a:noFill/>
                  </pic:spPr>
                </pic:pic>
              </a:graphicData>
            </a:graphic>
          </wp:anchor>
        </w:drawing>
      </w:r>
    </w:p>
    <w:p>
      <w:pPr>
        <w:spacing w:after="0" w:line="178" w:lineRule="exact"/>
        <w:rPr>
          <w:sz w:val="20"/>
          <w:szCs w:val="20"/>
          <w:color w:val="auto"/>
        </w:rPr>
      </w:pPr>
    </w:p>
    <w:p>
      <w:pPr>
        <w:ind w:left="360" w:hanging="159"/>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Company performance</w:t>
      </w:r>
    </w:p>
    <w:p>
      <w:pPr>
        <w:spacing w:after="0" w:line="63" w:lineRule="exact"/>
        <w:rPr>
          <w:rFonts w:ascii="Arial" w:cs="Arial" w:eastAsia="Arial" w:hAnsi="Arial"/>
          <w:sz w:val="18"/>
          <w:szCs w:val="18"/>
          <w:color w:val="auto"/>
        </w:rPr>
      </w:pPr>
    </w:p>
    <w:p>
      <w:pPr>
        <w:ind w:left="360" w:hanging="159"/>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Past contributions</w:t>
      </w:r>
    </w:p>
    <w:p>
      <w:pPr>
        <w:spacing w:after="0" w:line="63" w:lineRule="exact"/>
        <w:rPr>
          <w:rFonts w:ascii="Arial" w:cs="Arial" w:eastAsia="Arial" w:hAnsi="Arial"/>
          <w:sz w:val="18"/>
          <w:szCs w:val="18"/>
          <w:color w:val="auto"/>
        </w:rPr>
      </w:pPr>
    </w:p>
    <w:p>
      <w:pPr>
        <w:ind w:left="360" w:hanging="159"/>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future contributions</w:t>
      </w:r>
    </w:p>
    <w:p>
      <w:pPr>
        <w:spacing w:after="0" w:line="63" w:lineRule="exact"/>
        <w:rPr>
          <w:rFonts w:ascii="Arial" w:cs="Arial" w:eastAsia="Arial" w:hAnsi="Arial"/>
          <w:sz w:val="18"/>
          <w:szCs w:val="18"/>
          <w:color w:val="auto"/>
        </w:rPr>
      </w:pPr>
    </w:p>
    <w:p>
      <w:pPr>
        <w:ind w:left="360" w:hanging="159"/>
        <w:spacing w:after="0"/>
        <w:tabs>
          <w:tab w:leader="none" w:pos="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Succession planning objectives</w:t>
      </w:r>
    </w:p>
    <w:p>
      <w:pPr>
        <w:spacing w:after="0" w:line="74" w:lineRule="exact"/>
        <w:rPr>
          <w:rFonts w:ascii="Arial" w:cs="Arial" w:eastAsia="Arial" w:hAnsi="Arial"/>
          <w:sz w:val="17"/>
          <w:szCs w:val="17"/>
          <w:color w:val="auto"/>
        </w:rPr>
      </w:pPr>
    </w:p>
    <w:p>
      <w:pPr>
        <w:ind w:left="360" w:hanging="159"/>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Retention objectives</w:t>
      </w:r>
    </w:p>
    <w:p>
      <w:pPr>
        <w:spacing w:after="0" w:line="63" w:lineRule="exact"/>
        <w:rPr>
          <w:rFonts w:ascii="Arial" w:cs="Arial" w:eastAsia="Arial" w:hAnsi="Arial"/>
          <w:sz w:val="18"/>
          <w:szCs w:val="18"/>
          <w:color w:val="auto"/>
        </w:rPr>
      </w:pPr>
    </w:p>
    <w:p>
      <w:pPr>
        <w:ind w:left="360" w:hanging="159"/>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Internal pay equity</w:t>
      </w:r>
    </w:p>
    <w:p>
      <w:pPr>
        <w:spacing w:after="0" w:line="63" w:lineRule="exact"/>
        <w:rPr>
          <w:rFonts w:ascii="Arial" w:cs="Arial" w:eastAsia="Arial" w:hAnsi="Arial"/>
          <w:sz w:val="18"/>
          <w:szCs w:val="18"/>
          <w:color w:val="auto"/>
        </w:rPr>
      </w:pPr>
    </w:p>
    <w:p>
      <w:pPr>
        <w:ind w:left="360" w:hanging="159"/>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Target Compensation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left="-17"/>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-118745</wp:posOffset>
            </wp:positionV>
            <wp:extent cx="225425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54250" cy="265430"/>
                    </a:xfrm>
                    <a:prstGeom prst="rect">
                      <a:avLst/>
                    </a:prstGeom>
                    <a:noFill/>
                  </pic:spPr>
                </pic:pic>
              </a:graphicData>
            </a:graphic>
          </wp:anchor>
        </w:drawing>
      </w:r>
    </w:p>
    <w:p>
      <w:pPr>
        <w:jc w:val="center"/>
        <w:ind w:left="-17"/>
        <w:spacing w:after="0"/>
        <w:rPr>
          <w:sz w:val="20"/>
          <w:szCs w:val="20"/>
          <w:color w:val="auto"/>
        </w:rPr>
      </w:pPr>
      <w:r>
        <w:rPr>
          <w:rFonts w:ascii="Arial" w:cs="Arial" w:eastAsia="Arial" w:hAnsi="Arial"/>
          <w:sz w:val="18"/>
          <w:szCs w:val="18"/>
          <w:b w:val="1"/>
          <w:bCs w:val="1"/>
          <w:color w:val="FFFFFF"/>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14605</wp:posOffset>
            </wp:positionV>
            <wp:extent cx="2263140" cy="2074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63140" cy="2074545"/>
                    </a:xfrm>
                    <a:prstGeom prst="rect">
                      <a:avLst/>
                    </a:prstGeom>
                    <a:noFill/>
                  </pic:spPr>
                </pic:pic>
              </a:graphicData>
            </a:graphic>
          </wp:anchor>
        </w:drawing>
      </w:r>
    </w:p>
    <w:p>
      <w:pPr>
        <w:spacing w:after="0" w:line="79" w:lineRule="exact"/>
        <w:rPr>
          <w:sz w:val="20"/>
          <w:szCs w:val="20"/>
          <w:color w:val="auto"/>
        </w:rPr>
      </w:pPr>
    </w:p>
    <w:p>
      <w:pPr>
        <w:jc w:val="both"/>
        <w:ind w:left="158" w:right="340" w:hanging="158"/>
        <w:spacing w:after="0" w:line="268" w:lineRule="auto"/>
        <w:tabs>
          <w:tab w:leader="none" w:pos="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Evaluation of CEO’s performance relative to specified performance objectives</w:t>
      </w:r>
    </w:p>
    <w:p>
      <w:pPr>
        <w:spacing w:after="0" w:line="8" w:lineRule="exact"/>
        <w:rPr>
          <w:rFonts w:ascii="Arial" w:cs="Arial" w:eastAsia="Arial" w:hAnsi="Arial"/>
          <w:sz w:val="18"/>
          <w:szCs w:val="18"/>
          <w:color w:val="auto"/>
        </w:rPr>
      </w:pPr>
    </w:p>
    <w:p>
      <w:pPr>
        <w:ind w:left="158" w:right="20" w:hanging="158"/>
        <w:spacing w:after="0" w:line="268" w:lineRule="auto"/>
        <w:tabs>
          <w:tab w:leader="none" w:pos="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CEO’s evaluation of the management team, their contributions, and performance</w:t>
      </w:r>
    </w:p>
    <w:p>
      <w:pPr>
        <w:spacing w:after="0" w:line="8" w:lineRule="exact"/>
        <w:rPr>
          <w:rFonts w:ascii="Arial" w:cs="Arial" w:eastAsia="Arial" w:hAnsi="Arial"/>
          <w:sz w:val="18"/>
          <w:szCs w:val="18"/>
          <w:color w:val="auto"/>
        </w:rPr>
      </w:pPr>
    </w:p>
    <w:p>
      <w:pPr>
        <w:ind w:left="158" w:hanging="158"/>
        <w:spacing w:after="0" w:line="281" w:lineRule="auto"/>
        <w:tabs>
          <w:tab w:leader="none" w:pos="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CEO’s recommendations for compensation actions for other NEOs</w:t>
      </w:r>
    </w:p>
    <w:p>
      <w:pPr>
        <w:spacing w:after="0" w:line="1" w:lineRule="exact"/>
        <w:rPr>
          <w:rFonts w:ascii="Arial" w:cs="Arial" w:eastAsia="Arial" w:hAnsi="Arial"/>
          <w:sz w:val="18"/>
          <w:szCs w:val="18"/>
          <w:color w:val="auto"/>
        </w:rPr>
      </w:pPr>
    </w:p>
    <w:p>
      <w:pPr>
        <w:ind w:left="158" w:hanging="158"/>
        <w:spacing w:after="0"/>
        <w:tabs>
          <w:tab w:leader="none" w:pos="1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executive pay practices</w:t>
      </w:r>
    </w:p>
    <w:p>
      <w:pPr>
        <w:spacing w:after="0" w:line="63" w:lineRule="exact"/>
        <w:rPr>
          <w:rFonts w:ascii="Arial" w:cs="Arial" w:eastAsia="Arial" w:hAnsi="Arial"/>
          <w:sz w:val="18"/>
          <w:szCs w:val="18"/>
          <w:color w:val="auto"/>
        </w:rPr>
      </w:pPr>
    </w:p>
    <w:p>
      <w:pPr>
        <w:ind w:left="158" w:hanging="158"/>
        <w:spacing w:after="0"/>
        <w:tabs>
          <w:tab w:leader="none" w:pos="1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feasibility</w:t>
      </w:r>
    </w:p>
    <w:p>
      <w:pPr>
        <w:spacing w:after="0" w:line="63" w:lineRule="exact"/>
        <w:rPr>
          <w:rFonts w:ascii="Arial" w:cs="Arial" w:eastAsia="Arial" w:hAnsi="Arial"/>
          <w:sz w:val="18"/>
          <w:szCs w:val="18"/>
          <w:color w:val="auto"/>
        </w:rPr>
      </w:pPr>
    </w:p>
    <w:p>
      <w:pPr>
        <w:ind w:left="158" w:hanging="158"/>
        <w:spacing w:after="0"/>
        <w:tabs>
          <w:tab w:leader="none" w:pos="1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CEO’s self-assessment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1091"/>
        <w:spacing w:after="0"/>
        <w:rPr>
          <w:sz w:val="20"/>
          <w:szCs w:val="20"/>
          <w:color w:val="auto"/>
        </w:rPr>
      </w:pPr>
      <w:r>
        <w:rPr>
          <w:rFonts w:ascii="Arial" w:cs="Arial" w:eastAsia="Arial" w:hAnsi="Arial"/>
          <w:sz w:val="18"/>
          <w:szCs w:val="18"/>
          <w:b w:val="1"/>
          <w:bCs w:val="1"/>
          <w:color w:val="FFFFFF"/>
        </w:rPr>
        <w:t>Final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-187325</wp:posOffset>
            </wp:positionV>
            <wp:extent cx="2254250" cy="2339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54250" cy="2339975"/>
                    </a:xfrm>
                    <a:prstGeom prst="rect">
                      <a:avLst/>
                    </a:prstGeom>
                    <a:noFill/>
                  </pic:spPr>
                </pic:pic>
              </a:graphicData>
            </a:graphic>
          </wp:anchor>
        </w:drawing>
      </w:r>
    </w:p>
    <w:p>
      <w:pPr>
        <w:spacing w:after="0" w:line="178" w:lineRule="exact"/>
        <w:rPr>
          <w:sz w:val="20"/>
          <w:szCs w:val="20"/>
          <w:color w:val="auto"/>
        </w:rPr>
      </w:pPr>
    </w:p>
    <w:p>
      <w:pPr>
        <w:ind w:left="171" w:right="200" w:hanging="171"/>
        <w:spacing w:after="0" w:line="298" w:lineRule="auto"/>
        <w:tabs>
          <w:tab w:leader="none" w:pos="166" w:val="left"/>
        </w:tabs>
        <w:numPr>
          <w:ilvl w:val="0"/>
          <w:numId w:val="38"/>
        </w:numPr>
        <w:rPr>
          <w:rFonts w:ascii="Arial" w:cs="Arial" w:eastAsia="Arial" w:hAnsi="Arial"/>
          <w:sz w:val="17"/>
          <w:szCs w:val="17"/>
          <w:color w:val="auto"/>
        </w:rPr>
      </w:pPr>
      <w:r>
        <w:rPr>
          <w:rFonts w:ascii="Arial" w:cs="Arial" w:eastAsia="Arial" w:hAnsi="Arial"/>
          <w:sz w:val="17"/>
          <w:szCs w:val="17"/>
          <w:color w:val="auto"/>
        </w:rPr>
        <w:t> Input from the Committee’s independent compensation consultant</w:t>
      </w:r>
    </w:p>
    <w:p>
      <w:pPr>
        <w:ind w:left="171" w:right="140" w:hanging="171"/>
        <w:spacing w:after="0" w:line="278" w:lineRule="auto"/>
        <w:tabs>
          <w:tab w:leader="none" w:pos="166"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Review of evolving market practices, regulatory developments, the market for executive talent, and compensation philosophy from the Committee’s independent compensation consultant</w:t>
      </w:r>
    </w:p>
    <w:p>
      <w:pPr>
        <w:spacing w:after="0" w:line="1" w:lineRule="exact"/>
        <w:rPr>
          <w:rFonts w:ascii="Arial" w:cs="Arial" w:eastAsia="Arial" w:hAnsi="Arial"/>
          <w:sz w:val="17"/>
          <w:szCs w:val="17"/>
          <w:color w:val="auto"/>
        </w:rPr>
      </w:pPr>
    </w:p>
    <w:p>
      <w:pPr>
        <w:ind w:left="171" w:right="60" w:hanging="171"/>
        <w:spacing w:after="0" w:line="274" w:lineRule="auto"/>
        <w:tabs>
          <w:tab w:leader="none" w:pos="16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After receiving input from the CEO, the Committee makes its own assessments and formulates compensation amounts; once all components of compensation are established, the Committee verifies that the total compensation for each NEO is appropriate and competitive</w:t>
      </w:r>
    </w:p>
    <w:p>
      <w:pPr>
        <w:spacing w:after="0" w:line="516" w:lineRule="exact"/>
        <w:rPr>
          <w:sz w:val="20"/>
          <w:szCs w:val="20"/>
          <w:color w:val="auto"/>
        </w:rPr>
      </w:pPr>
    </w:p>
    <w:p>
      <w:pPr>
        <w:sectPr>
          <w:pgSz w:w="11900" w:h="16838" w:orient="portrait"/>
          <w:cols w:equalWidth="0" w:num="3">
            <w:col w:w="3302" w:space="720"/>
            <w:col w:w="3158" w:space="689"/>
            <w:col w:w="3391"/>
          </w:cols>
          <w:pgMar w:left="320" w:top="1039" w:right="319" w:bottom="1440" w:gutter="0" w:footer="0" w:header="0"/>
          <w:type w:val="continuous"/>
        </w:sectPr>
      </w:pPr>
    </w:p>
    <w:p>
      <w:pPr>
        <w:ind w:right="120"/>
        <w:spacing w:after="0" w:line="262" w:lineRule="auto"/>
        <w:rPr>
          <w:sz w:val="20"/>
          <w:szCs w:val="20"/>
          <w:color w:val="auto"/>
        </w:rPr>
      </w:pPr>
      <w:r>
        <w:rPr>
          <w:rFonts w:ascii="Arial" w:cs="Arial" w:eastAsia="Arial" w:hAnsi="Arial"/>
          <w:sz w:val="18"/>
          <w:szCs w:val="18"/>
          <w:color w:val="auto"/>
        </w:rPr>
        <w:t>As previously stated, the Committee employs a comprehensive and systematic approach to determine total target compensation for our NEOs. Given Xerox's financial circumstances—taking into account factors such as market volatility, the Lexmark acquisition, and projected 2025 performance—merit increases were not provided to Xerox employees for this fiscal year. The table below outlines the 2025 annualized total target compensation for the NEOs.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960" w:type="dxa"/>
            <w:vAlign w:val="bottom"/>
            <w:tcBorders>
              <w:left w:val="single" w:sz="8" w:color="DA2031"/>
              <w:right w:val="single" w:sz="8" w:color="DA2031"/>
            </w:tcBorders>
            <w:shd w:val="clear" w:color="auto" w:fill="DA2031"/>
          </w:tcPr>
          <w:p>
            <w:pPr>
              <w:spacing w:after="0"/>
              <w:rPr>
                <w:sz w:val="16"/>
                <w:szCs w:val="16"/>
                <w:color w:val="auto"/>
              </w:rPr>
            </w:pPr>
          </w:p>
        </w:tc>
        <w:tc>
          <w:tcPr>
            <w:tcW w:w="160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6"/>
                <w:szCs w:val="16"/>
                <w:b w:val="1"/>
                <w:bCs w:val="1"/>
                <w:color w:val="FFFFFF"/>
                <w:w w:val="99"/>
              </w:rPr>
              <w:t>Annual</w:t>
            </w:r>
          </w:p>
        </w:tc>
        <w:tc>
          <w:tcPr>
            <w:tcW w:w="158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60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58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6"/>
                <w:szCs w:val="16"/>
                <w:b w:val="1"/>
                <w:bCs w:val="1"/>
                <w:color w:val="FFFFFF"/>
                <w:w w:val="97"/>
              </w:rPr>
              <w:t>LTIP</w:t>
            </w:r>
          </w:p>
        </w:tc>
        <w:tc>
          <w:tcPr>
            <w:tcW w:w="194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6"/>
                <w:szCs w:val="16"/>
                <w:b w:val="1"/>
                <w:bCs w:val="1"/>
                <w:color w:val="FFFFFF"/>
                <w:w w:val="98"/>
              </w:rPr>
              <w:t>Total Target</w:t>
            </w:r>
          </w:p>
        </w:tc>
        <w:tc>
          <w:tcPr>
            <w:tcW w:w="0" w:type="dxa"/>
            <w:vAlign w:val="bottom"/>
          </w:tcPr>
          <w:p>
            <w:pPr>
              <w:spacing w:after="0"/>
              <w:rPr>
                <w:sz w:val="1"/>
                <w:szCs w:val="1"/>
                <w:color w:val="auto"/>
              </w:rPr>
            </w:pPr>
          </w:p>
        </w:tc>
      </w:tr>
      <w:tr>
        <w:trPr>
          <w:trHeight w:val="162"/>
        </w:trPr>
        <w:tc>
          <w:tcPr>
            <w:tcW w:w="2960" w:type="dxa"/>
            <w:vAlign w:val="bottom"/>
            <w:tcBorders>
              <w:left w:val="single" w:sz="8" w:color="DA2031"/>
              <w:right w:val="single" w:sz="8" w:color="DA2031"/>
            </w:tcBorders>
            <w:shd w:val="clear" w:color="auto" w:fill="DA2031"/>
          </w:tcPr>
          <w:p>
            <w:pPr>
              <w:spacing w:after="0"/>
              <w:rPr>
                <w:sz w:val="14"/>
                <w:szCs w:val="14"/>
                <w:color w:val="auto"/>
              </w:rPr>
            </w:pPr>
          </w:p>
        </w:tc>
        <w:tc>
          <w:tcPr>
            <w:tcW w:w="1600" w:type="dxa"/>
            <w:vAlign w:val="bottom"/>
            <w:tcBorders>
              <w:right w:val="single" w:sz="8" w:color="DA2031"/>
            </w:tcBorders>
            <w:vMerge w:val="continue"/>
            <w:shd w:val="clear" w:color="auto" w:fill="DA2031"/>
          </w:tcPr>
          <w:p>
            <w:pPr>
              <w:spacing w:after="0"/>
              <w:rPr>
                <w:sz w:val="14"/>
                <w:szCs w:val="14"/>
                <w:color w:val="auto"/>
              </w:rPr>
            </w:pPr>
          </w:p>
        </w:tc>
        <w:tc>
          <w:tcPr>
            <w:tcW w:w="1580" w:type="dxa"/>
            <w:vAlign w:val="bottom"/>
            <w:tcBorders>
              <w:right w:val="single" w:sz="8" w:color="DA2031"/>
            </w:tcBorders>
            <w:vMerge w:val="continue"/>
            <w:shd w:val="clear" w:color="auto" w:fill="DA2031"/>
          </w:tcPr>
          <w:p>
            <w:pPr>
              <w:spacing w:after="0"/>
              <w:rPr>
                <w:sz w:val="14"/>
                <w:szCs w:val="14"/>
                <w:color w:val="auto"/>
              </w:rPr>
            </w:pPr>
          </w:p>
        </w:tc>
        <w:tc>
          <w:tcPr>
            <w:tcW w:w="1600" w:type="dxa"/>
            <w:vAlign w:val="bottom"/>
            <w:tcBorders>
              <w:right w:val="single" w:sz="8" w:color="DA2031"/>
            </w:tcBorders>
            <w:vMerge w:val="continue"/>
            <w:shd w:val="clear" w:color="auto" w:fill="DA2031"/>
          </w:tcPr>
          <w:p>
            <w:pPr>
              <w:spacing w:after="0"/>
              <w:rPr>
                <w:sz w:val="14"/>
                <w:szCs w:val="14"/>
                <w:color w:val="auto"/>
              </w:rPr>
            </w:pPr>
          </w:p>
        </w:tc>
        <w:tc>
          <w:tcPr>
            <w:tcW w:w="1580" w:type="dxa"/>
            <w:vAlign w:val="bottom"/>
            <w:tcBorders>
              <w:right w:val="single" w:sz="8" w:color="DA2031"/>
            </w:tcBorders>
            <w:shd w:val="clear" w:color="auto" w:fill="DA2031"/>
          </w:tcPr>
          <w:p>
            <w:pPr>
              <w:jc w:val="center"/>
              <w:spacing w:after="0" w:line="162" w:lineRule="exact"/>
              <w:rPr>
                <w:sz w:val="20"/>
                <w:szCs w:val="20"/>
                <w:color w:val="auto"/>
              </w:rPr>
            </w:pPr>
            <w:r>
              <w:rPr>
                <w:rFonts w:ascii="Arial" w:cs="Arial" w:eastAsia="Arial" w:hAnsi="Arial"/>
                <w:sz w:val="16"/>
                <w:szCs w:val="16"/>
                <w:b w:val="1"/>
                <w:bCs w:val="1"/>
                <w:color w:val="FFFFFF"/>
              </w:rPr>
              <w:t>(RSUs and</w:t>
            </w:r>
          </w:p>
        </w:tc>
        <w:tc>
          <w:tcPr>
            <w:tcW w:w="1940" w:type="dxa"/>
            <w:vAlign w:val="bottom"/>
            <w:tcBorders>
              <w:right w:val="single" w:sz="8" w:color="DA2031"/>
            </w:tcBorders>
            <w:shd w:val="clear" w:color="auto" w:fill="DA2031"/>
          </w:tcPr>
          <w:p>
            <w:pPr>
              <w:jc w:val="center"/>
              <w:spacing w:after="0" w:line="162" w:lineRule="exact"/>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62"/>
        </w:trPr>
        <w:tc>
          <w:tcPr>
            <w:tcW w:w="2960" w:type="dxa"/>
            <w:vAlign w:val="bottom"/>
            <w:tcBorders>
              <w:left w:val="single" w:sz="8" w:color="DA2031"/>
              <w:right w:val="single" w:sz="8" w:color="DA2031"/>
            </w:tcBorders>
            <w:shd w:val="clear" w:color="auto" w:fill="DA2031"/>
          </w:tcPr>
          <w:p>
            <w:pPr>
              <w:spacing w:after="0"/>
              <w:rPr>
                <w:sz w:val="14"/>
                <w:szCs w:val="14"/>
                <w:color w:val="auto"/>
              </w:rPr>
            </w:pPr>
          </w:p>
        </w:tc>
        <w:tc>
          <w:tcPr>
            <w:tcW w:w="1600" w:type="dxa"/>
            <w:vAlign w:val="bottom"/>
            <w:tcBorders>
              <w:right w:val="single" w:sz="8" w:color="DA2031"/>
            </w:tcBorders>
            <w:shd w:val="clear" w:color="auto" w:fill="DA2031"/>
          </w:tcPr>
          <w:p>
            <w:pPr>
              <w:jc w:val="center"/>
              <w:spacing w:after="0" w:line="162" w:lineRule="exact"/>
              <w:rPr>
                <w:sz w:val="20"/>
                <w:szCs w:val="20"/>
                <w:color w:val="auto"/>
              </w:rPr>
            </w:pPr>
            <w:r>
              <w:rPr>
                <w:rFonts w:ascii="Arial" w:cs="Arial" w:eastAsia="Arial" w:hAnsi="Arial"/>
                <w:sz w:val="16"/>
                <w:szCs w:val="16"/>
                <w:b w:val="1"/>
                <w:bCs w:val="1"/>
                <w:color w:val="FFFFFF"/>
              </w:rPr>
              <w:t>Base Salary</w:t>
            </w:r>
          </w:p>
        </w:tc>
        <w:tc>
          <w:tcPr>
            <w:tcW w:w="1580" w:type="dxa"/>
            <w:vAlign w:val="bottom"/>
            <w:tcBorders>
              <w:right w:val="single" w:sz="8" w:color="DA2031"/>
            </w:tcBorders>
            <w:shd w:val="clear" w:color="auto" w:fill="DA2031"/>
          </w:tcPr>
          <w:p>
            <w:pPr>
              <w:jc w:val="center"/>
              <w:spacing w:after="0" w:line="162" w:lineRule="exact"/>
              <w:rPr>
                <w:sz w:val="20"/>
                <w:szCs w:val="20"/>
                <w:color w:val="auto"/>
              </w:rPr>
            </w:pPr>
            <w:r>
              <w:rPr>
                <w:rFonts w:ascii="Arial" w:cs="Arial" w:eastAsia="Arial" w:hAnsi="Arial"/>
                <w:sz w:val="16"/>
                <w:szCs w:val="16"/>
                <w:b w:val="1"/>
                <w:bCs w:val="1"/>
                <w:color w:val="FFFFFF"/>
              </w:rPr>
              <w:t>MIP</w:t>
            </w:r>
          </w:p>
        </w:tc>
        <w:tc>
          <w:tcPr>
            <w:tcW w:w="1600" w:type="dxa"/>
            <w:vAlign w:val="bottom"/>
            <w:tcBorders>
              <w:right w:val="single" w:sz="8" w:color="DA2031"/>
            </w:tcBorders>
            <w:shd w:val="clear" w:color="auto" w:fill="DA2031"/>
          </w:tcPr>
          <w:p>
            <w:pPr>
              <w:jc w:val="center"/>
              <w:spacing w:after="0" w:line="162" w:lineRule="exact"/>
              <w:rPr>
                <w:sz w:val="20"/>
                <w:szCs w:val="20"/>
                <w:color w:val="auto"/>
              </w:rPr>
            </w:pPr>
            <w:r>
              <w:rPr>
                <w:rFonts w:ascii="Arial" w:cs="Arial" w:eastAsia="Arial" w:hAnsi="Arial"/>
                <w:sz w:val="16"/>
                <w:szCs w:val="16"/>
                <w:b w:val="1"/>
                <w:bCs w:val="1"/>
                <w:color w:val="FFFFFF"/>
                <w:w w:val="98"/>
              </w:rPr>
              <w:t>MIP</w:t>
            </w:r>
          </w:p>
        </w:tc>
        <w:tc>
          <w:tcPr>
            <w:tcW w:w="1580" w:type="dxa"/>
            <w:vAlign w:val="bottom"/>
            <w:tcBorders>
              <w:right w:val="single" w:sz="8" w:color="DA2031"/>
            </w:tcBorders>
            <w:shd w:val="clear" w:color="auto" w:fill="DA2031"/>
          </w:tcPr>
          <w:p>
            <w:pPr>
              <w:jc w:val="center"/>
              <w:spacing w:after="0" w:line="162" w:lineRule="exact"/>
              <w:rPr>
                <w:sz w:val="20"/>
                <w:szCs w:val="20"/>
                <w:color w:val="auto"/>
              </w:rPr>
            </w:pPr>
            <w:r>
              <w:rPr>
                <w:rFonts w:ascii="Arial" w:cs="Arial" w:eastAsia="Arial" w:hAnsi="Arial"/>
                <w:sz w:val="16"/>
                <w:szCs w:val="16"/>
                <w:b w:val="1"/>
                <w:bCs w:val="1"/>
                <w:color w:val="FFFFFF"/>
                <w:w w:val="99"/>
              </w:rPr>
              <w:t>Target PSUs)</w:t>
            </w:r>
          </w:p>
        </w:tc>
        <w:tc>
          <w:tcPr>
            <w:tcW w:w="1940" w:type="dxa"/>
            <w:vAlign w:val="bottom"/>
            <w:tcBorders>
              <w:right w:val="single" w:sz="8" w:color="DA2031"/>
            </w:tcBorders>
            <w:shd w:val="clear" w:color="auto" w:fill="DA2031"/>
          </w:tcPr>
          <w:p>
            <w:pPr>
              <w:jc w:val="center"/>
              <w:spacing w:after="0" w:line="162" w:lineRule="exact"/>
              <w:rPr>
                <w:sz w:val="20"/>
                <w:szCs w:val="20"/>
                <w:color w:val="auto"/>
              </w:rPr>
            </w:pPr>
            <w:r>
              <w:rPr>
                <w:rFonts w:ascii="Arial" w:cs="Arial" w:eastAsia="Arial" w:hAnsi="Arial"/>
                <w:sz w:val="16"/>
                <w:szCs w:val="16"/>
                <w:b w:val="1"/>
                <w:bCs w:val="1"/>
                <w:color w:val="FFFFFF"/>
                <w:w w:val="99"/>
              </w:rPr>
              <w:t>(Base + Target</w:t>
            </w:r>
          </w:p>
        </w:tc>
        <w:tc>
          <w:tcPr>
            <w:tcW w:w="0" w:type="dxa"/>
            <w:vAlign w:val="bottom"/>
          </w:tcPr>
          <w:p>
            <w:pPr>
              <w:spacing w:after="0"/>
              <w:rPr>
                <w:sz w:val="1"/>
                <w:szCs w:val="1"/>
                <w:color w:val="auto"/>
              </w:rPr>
            </w:pPr>
          </w:p>
        </w:tc>
      </w:tr>
      <w:tr>
        <w:trPr>
          <w:trHeight w:val="216"/>
        </w:trPr>
        <w:tc>
          <w:tcPr>
            <w:tcW w:w="2960" w:type="dxa"/>
            <w:vAlign w:val="bottom"/>
            <w:tcBorders>
              <w:left w:val="single" w:sz="8" w:color="DA2031"/>
              <w:bottom w:val="single" w:sz="8" w:color="B6B6B6"/>
              <w:right w:val="single" w:sz="8" w:color="DA2031"/>
            </w:tcBorders>
            <w:shd w:val="clear" w:color="auto" w:fill="DA2031"/>
          </w:tcPr>
          <w:p>
            <w:pPr>
              <w:spacing w:after="0"/>
              <w:rPr>
                <w:sz w:val="18"/>
                <w:szCs w:val="18"/>
                <w:color w:val="auto"/>
              </w:rPr>
            </w:pPr>
          </w:p>
        </w:tc>
        <w:tc>
          <w:tcPr>
            <w:tcW w:w="1600" w:type="dxa"/>
            <w:vAlign w:val="bottom"/>
            <w:tcBorders>
              <w:bottom w:val="single" w:sz="8" w:color="B6B6B6"/>
              <w:right w:val="single" w:sz="8" w:color="DA2031"/>
            </w:tcBorders>
            <w:shd w:val="clear" w:color="auto" w:fill="DA2031"/>
          </w:tcPr>
          <w:p>
            <w:pPr>
              <w:jc w:val="center"/>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(1)</w:t>
            </w:r>
          </w:p>
        </w:tc>
        <w:tc>
          <w:tcPr>
            <w:tcW w:w="1580" w:type="dxa"/>
            <w:vAlign w:val="bottom"/>
            <w:tcBorders>
              <w:bottom w:val="single" w:sz="8" w:color="B6B6B6"/>
              <w:right w:val="single" w:sz="8" w:color="DA2031"/>
            </w:tcBorders>
            <w:shd w:val="clear" w:color="auto" w:fill="DA2031"/>
          </w:tcPr>
          <w:p>
            <w:pPr>
              <w:jc w:val="center"/>
              <w:spacing w:after="0" w:line="216" w:lineRule="exact"/>
              <w:rPr>
                <w:sz w:val="20"/>
                <w:szCs w:val="20"/>
                <w:color w:val="auto"/>
              </w:rPr>
            </w:pPr>
            <w:r>
              <w:rPr>
                <w:rFonts w:ascii="Arial" w:cs="Arial" w:eastAsia="Arial" w:hAnsi="Arial"/>
                <w:sz w:val="16"/>
                <w:szCs w:val="16"/>
                <w:b w:val="1"/>
                <w:bCs w:val="1"/>
                <w:color w:val="FFFFFF"/>
                <w:w w:val="96"/>
              </w:rPr>
              <w:t>(% of Salary)</w:t>
            </w:r>
            <w:r>
              <w:rPr>
                <w:rFonts w:ascii="Arial" w:cs="Arial" w:eastAsia="Arial" w:hAnsi="Arial"/>
                <w:sz w:val="21"/>
                <w:szCs w:val="21"/>
                <w:b w:val="1"/>
                <w:bCs w:val="1"/>
                <w:color w:val="FFFFFF"/>
                <w:w w:val="96"/>
                <w:vertAlign w:val="superscript"/>
              </w:rPr>
              <w:t>(1)</w:t>
            </w:r>
          </w:p>
        </w:tc>
        <w:tc>
          <w:tcPr>
            <w:tcW w:w="1600" w:type="dxa"/>
            <w:vAlign w:val="bottom"/>
            <w:tcBorders>
              <w:bottom w:val="single" w:sz="8" w:color="B6B6B6"/>
              <w:right w:val="single" w:sz="8" w:color="DA2031"/>
            </w:tcBorders>
            <w:shd w:val="clear" w:color="auto" w:fill="DA2031"/>
          </w:tcPr>
          <w:p>
            <w:pPr>
              <w:jc w:val="center"/>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(1)</w:t>
            </w:r>
          </w:p>
        </w:tc>
        <w:tc>
          <w:tcPr>
            <w:tcW w:w="158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6"/>
                <w:szCs w:val="16"/>
                <w:b w:val="1"/>
                <w:bCs w:val="1"/>
                <w:color w:val="FFFFFF"/>
              </w:rPr>
              <w:t>($)</w:t>
            </w:r>
          </w:p>
        </w:tc>
        <w:tc>
          <w:tcPr>
            <w:tcW w:w="194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6"/>
                <w:szCs w:val="16"/>
                <w:b w:val="1"/>
                <w:bCs w:val="1"/>
                <w:color w:val="FFFFFF"/>
                <w:w w:val="99"/>
              </w:rPr>
              <w:t>MIP + LTIP) ($)</w:t>
            </w:r>
          </w:p>
        </w:tc>
        <w:tc>
          <w:tcPr>
            <w:tcW w:w="0" w:type="dxa"/>
            <w:vAlign w:val="bottom"/>
          </w:tcPr>
          <w:p>
            <w:pPr>
              <w:spacing w:after="0"/>
              <w:rPr>
                <w:sz w:val="1"/>
                <w:szCs w:val="1"/>
                <w:color w:val="auto"/>
              </w:rPr>
            </w:pPr>
          </w:p>
        </w:tc>
      </w:tr>
      <w:tr>
        <w:trPr>
          <w:trHeight w:val="223"/>
        </w:trPr>
        <w:tc>
          <w:tcPr>
            <w:tcW w:w="29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Steven J. Bandrowczak</w:t>
            </w:r>
          </w:p>
        </w:tc>
        <w:tc>
          <w:tcPr>
            <w:tcW w:w="1600" w:type="dxa"/>
            <w:vAlign w:val="bottom"/>
            <w:tcBorders>
              <w:bottom w:val="single" w:sz="8" w:color="B6B6B6"/>
              <w:right w:val="single" w:sz="8" w:color="B6B6B6"/>
            </w:tcBorders>
          </w:tcPr>
          <w:p>
            <w:pPr>
              <w:jc w:val="right"/>
              <w:ind w:right="16"/>
              <w:spacing w:after="0"/>
              <w:rPr>
                <w:sz w:val="20"/>
                <w:szCs w:val="20"/>
                <w:color w:val="auto"/>
              </w:rPr>
            </w:pPr>
            <w:r>
              <w:rPr>
                <w:rFonts w:ascii="Arial" w:cs="Arial" w:eastAsia="Arial" w:hAnsi="Arial"/>
                <w:sz w:val="18"/>
                <w:szCs w:val="18"/>
                <w:color w:val="auto"/>
              </w:rPr>
              <w:t>1,100,000</w:t>
            </w:r>
          </w:p>
        </w:tc>
        <w:tc>
          <w:tcPr>
            <w:tcW w:w="158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170%</w:t>
            </w:r>
          </w:p>
        </w:tc>
        <w:tc>
          <w:tcPr>
            <w:tcW w:w="1600" w:type="dxa"/>
            <w:vAlign w:val="bottom"/>
            <w:tcBorders>
              <w:bottom w:val="single" w:sz="8" w:color="B6B6B6"/>
              <w:right w:val="single" w:sz="8" w:color="B6B6B6"/>
            </w:tcBorders>
          </w:tcPr>
          <w:p>
            <w:pPr>
              <w:jc w:val="right"/>
              <w:ind w:right="16"/>
              <w:spacing w:after="0"/>
              <w:rPr>
                <w:sz w:val="20"/>
                <w:szCs w:val="20"/>
                <w:color w:val="auto"/>
              </w:rPr>
            </w:pPr>
            <w:r>
              <w:rPr>
                <w:rFonts w:ascii="Arial" w:cs="Arial" w:eastAsia="Arial" w:hAnsi="Arial"/>
                <w:sz w:val="18"/>
                <w:szCs w:val="18"/>
                <w:color w:val="auto"/>
              </w:rPr>
              <w:t>1,870,000</w:t>
            </w:r>
          </w:p>
        </w:tc>
        <w:tc>
          <w:tcPr>
            <w:tcW w:w="15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11,400,000</w:t>
            </w:r>
          </w:p>
        </w:tc>
        <w:tc>
          <w:tcPr>
            <w:tcW w:w="1940" w:type="dxa"/>
            <w:vAlign w:val="bottom"/>
            <w:tcBorders>
              <w:bottom w:val="single" w:sz="8" w:color="B6B6B6"/>
              <w:right w:val="single" w:sz="8" w:color="B6B6B6"/>
            </w:tcBorders>
          </w:tcPr>
          <w:p>
            <w:pPr>
              <w:jc w:val="right"/>
              <w:ind w:right="13"/>
              <w:spacing w:after="0"/>
              <w:rPr>
                <w:sz w:val="20"/>
                <w:szCs w:val="20"/>
                <w:color w:val="auto"/>
              </w:rPr>
            </w:pPr>
            <w:r>
              <w:rPr>
                <w:rFonts w:ascii="Arial" w:cs="Arial" w:eastAsia="Arial" w:hAnsi="Arial"/>
                <w:sz w:val="18"/>
                <w:szCs w:val="18"/>
                <w:color w:val="auto"/>
              </w:rPr>
              <w:t>14,370,000</w:t>
            </w:r>
          </w:p>
        </w:tc>
        <w:tc>
          <w:tcPr>
            <w:tcW w:w="0" w:type="dxa"/>
            <w:vAlign w:val="bottom"/>
          </w:tcPr>
          <w:p>
            <w:pPr>
              <w:spacing w:after="0"/>
              <w:rPr>
                <w:sz w:val="1"/>
                <w:szCs w:val="1"/>
                <w:color w:val="auto"/>
              </w:rPr>
            </w:pPr>
          </w:p>
        </w:tc>
      </w:tr>
      <w:tr>
        <w:trPr>
          <w:trHeight w:val="223"/>
        </w:trPr>
        <w:tc>
          <w:tcPr>
            <w:tcW w:w="296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John Bruno</w:t>
            </w:r>
            <w:r>
              <w:rPr>
                <w:rFonts w:ascii="Arial" w:cs="Arial" w:eastAsia="Arial" w:hAnsi="Arial"/>
                <w:sz w:val="23"/>
                <w:szCs w:val="23"/>
                <w:color w:val="auto"/>
                <w:vertAlign w:val="superscript"/>
              </w:rPr>
              <w:t>(2)</w:t>
            </w:r>
          </w:p>
        </w:tc>
        <w:tc>
          <w:tcPr>
            <w:tcW w:w="1600" w:type="dxa"/>
            <w:vAlign w:val="bottom"/>
            <w:tcBorders>
              <w:bottom w:val="single" w:sz="8" w:color="B6B6B6"/>
              <w:right w:val="single" w:sz="8" w:color="B6B6B6"/>
            </w:tcBorders>
            <w:shd w:val="clear" w:color="auto" w:fill="DBDBDB"/>
          </w:tcPr>
          <w:p>
            <w:pPr>
              <w:jc w:val="right"/>
              <w:ind w:right="16"/>
              <w:spacing w:after="0"/>
              <w:rPr>
                <w:sz w:val="20"/>
                <w:szCs w:val="20"/>
                <w:color w:val="auto"/>
              </w:rPr>
            </w:pPr>
            <w:r>
              <w:rPr>
                <w:rFonts w:ascii="Arial" w:cs="Arial" w:eastAsia="Arial" w:hAnsi="Arial"/>
                <w:sz w:val="18"/>
                <w:szCs w:val="18"/>
                <w:color w:val="auto"/>
              </w:rPr>
              <w:t>850,000</w:t>
            </w:r>
          </w:p>
        </w:tc>
        <w:tc>
          <w:tcPr>
            <w:tcW w:w="158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150%</w:t>
            </w:r>
          </w:p>
        </w:tc>
        <w:tc>
          <w:tcPr>
            <w:tcW w:w="1600" w:type="dxa"/>
            <w:vAlign w:val="bottom"/>
            <w:tcBorders>
              <w:bottom w:val="single" w:sz="8" w:color="B6B6B6"/>
              <w:right w:val="single" w:sz="8" w:color="B6B6B6"/>
            </w:tcBorders>
            <w:shd w:val="clear" w:color="auto" w:fill="DBDBDB"/>
          </w:tcPr>
          <w:p>
            <w:pPr>
              <w:jc w:val="right"/>
              <w:ind w:right="16"/>
              <w:spacing w:after="0"/>
              <w:rPr>
                <w:sz w:val="20"/>
                <w:szCs w:val="20"/>
                <w:color w:val="auto"/>
              </w:rPr>
            </w:pPr>
            <w:r>
              <w:rPr>
                <w:rFonts w:ascii="Arial" w:cs="Arial" w:eastAsia="Arial" w:hAnsi="Arial"/>
                <w:sz w:val="18"/>
                <w:szCs w:val="18"/>
                <w:color w:val="auto"/>
              </w:rPr>
              <w:t>1,275,000</w:t>
            </w:r>
          </w:p>
        </w:tc>
        <w:tc>
          <w:tcPr>
            <w:tcW w:w="15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7,500,000</w:t>
            </w:r>
          </w:p>
        </w:tc>
        <w:tc>
          <w:tcPr>
            <w:tcW w:w="1940" w:type="dxa"/>
            <w:vAlign w:val="bottom"/>
            <w:tcBorders>
              <w:bottom w:val="single" w:sz="8" w:color="B6B6B6"/>
              <w:right w:val="single" w:sz="8" w:color="B6B6B6"/>
            </w:tcBorders>
            <w:shd w:val="clear" w:color="auto" w:fill="DBDBDB"/>
          </w:tcPr>
          <w:p>
            <w:pPr>
              <w:jc w:val="right"/>
              <w:ind w:right="13"/>
              <w:spacing w:after="0"/>
              <w:rPr>
                <w:sz w:val="20"/>
                <w:szCs w:val="20"/>
                <w:color w:val="auto"/>
              </w:rPr>
            </w:pPr>
            <w:r>
              <w:rPr>
                <w:rFonts w:ascii="Arial" w:cs="Arial" w:eastAsia="Arial" w:hAnsi="Arial"/>
                <w:sz w:val="18"/>
                <w:szCs w:val="18"/>
                <w:color w:val="auto"/>
              </w:rPr>
              <w:t>9,625,000</w:t>
            </w:r>
          </w:p>
        </w:tc>
        <w:tc>
          <w:tcPr>
            <w:tcW w:w="0" w:type="dxa"/>
            <w:vAlign w:val="bottom"/>
          </w:tcPr>
          <w:p>
            <w:pPr>
              <w:spacing w:after="0"/>
              <w:rPr>
                <w:sz w:val="1"/>
                <w:szCs w:val="1"/>
                <w:color w:val="auto"/>
              </w:rPr>
            </w:pPr>
          </w:p>
        </w:tc>
      </w:tr>
      <w:tr>
        <w:trPr>
          <w:trHeight w:val="223"/>
        </w:trPr>
        <w:tc>
          <w:tcPr>
            <w:tcW w:w="29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Louis J. Pastor</w:t>
            </w:r>
          </w:p>
        </w:tc>
        <w:tc>
          <w:tcPr>
            <w:tcW w:w="1600" w:type="dxa"/>
            <w:vAlign w:val="bottom"/>
            <w:tcBorders>
              <w:bottom w:val="single" w:sz="8" w:color="B6B6B6"/>
              <w:right w:val="single" w:sz="8" w:color="B6B6B6"/>
            </w:tcBorders>
          </w:tcPr>
          <w:p>
            <w:pPr>
              <w:jc w:val="right"/>
              <w:ind w:right="16"/>
              <w:spacing w:after="0"/>
              <w:rPr>
                <w:sz w:val="20"/>
                <w:szCs w:val="20"/>
                <w:color w:val="auto"/>
              </w:rPr>
            </w:pPr>
            <w:r>
              <w:rPr>
                <w:rFonts w:ascii="Arial" w:cs="Arial" w:eastAsia="Arial" w:hAnsi="Arial"/>
                <w:sz w:val="18"/>
                <w:szCs w:val="18"/>
                <w:color w:val="auto"/>
              </w:rPr>
              <w:t>625,000</w:t>
            </w:r>
          </w:p>
        </w:tc>
        <w:tc>
          <w:tcPr>
            <w:tcW w:w="158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100%</w:t>
            </w:r>
          </w:p>
        </w:tc>
        <w:tc>
          <w:tcPr>
            <w:tcW w:w="1600" w:type="dxa"/>
            <w:vAlign w:val="bottom"/>
            <w:tcBorders>
              <w:bottom w:val="single" w:sz="8" w:color="B6B6B6"/>
              <w:right w:val="single" w:sz="8" w:color="B6B6B6"/>
            </w:tcBorders>
          </w:tcPr>
          <w:p>
            <w:pPr>
              <w:jc w:val="right"/>
              <w:ind w:right="16"/>
              <w:spacing w:after="0"/>
              <w:rPr>
                <w:sz w:val="20"/>
                <w:szCs w:val="20"/>
                <w:color w:val="auto"/>
              </w:rPr>
            </w:pPr>
            <w:r>
              <w:rPr>
                <w:rFonts w:ascii="Arial" w:cs="Arial" w:eastAsia="Arial" w:hAnsi="Arial"/>
                <w:sz w:val="18"/>
                <w:szCs w:val="18"/>
                <w:color w:val="auto"/>
              </w:rPr>
              <w:t>625,000</w:t>
            </w:r>
          </w:p>
        </w:tc>
        <w:tc>
          <w:tcPr>
            <w:tcW w:w="15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3,250,000</w:t>
            </w:r>
          </w:p>
        </w:tc>
        <w:tc>
          <w:tcPr>
            <w:tcW w:w="1940" w:type="dxa"/>
            <w:vAlign w:val="bottom"/>
            <w:tcBorders>
              <w:bottom w:val="single" w:sz="8" w:color="B6B6B6"/>
              <w:right w:val="single" w:sz="8" w:color="B6B6B6"/>
            </w:tcBorders>
          </w:tcPr>
          <w:p>
            <w:pPr>
              <w:jc w:val="right"/>
              <w:ind w:right="13"/>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7"/>
        </w:trPr>
        <w:tc>
          <w:tcPr>
            <w:tcW w:w="2960" w:type="dxa"/>
            <w:vAlign w:val="bottom"/>
            <w:tcBorders>
              <w:left w:val="single" w:sz="8" w:color="B6B6B6"/>
              <w:bottom w:val="single" w:sz="8" w:color="B6B6B6"/>
              <w:right w:val="single" w:sz="8" w:color="B6B6B6"/>
            </w:tcBorders>
            <w:shd w:val="clear" w:color="auto" w:fill="DBDBDB"/>
          </w:tcPr>
          <w:p>
            <w:pPr>
              <w:ind w:left="40"/>
              <w:spacing w:after="0" w:line="216" w:lineRule="exact"/>
              <w:rPr>
                <w:sz w:val="20"/>
                <w:szCs w:val="20"/>
                <w:color w:val="auto"/>
              </w:rPr>
            </w:pPr>
            <w:r>
              <w:rPr>
                <w:rFonts w:ascii="Arial" w:cs="Arial" w:eastAsia="Arial" w:hAnsi="Arial"/>
                <w:sz w:val="18"/>
                <w:szCs w:val="18"/>
                <w:color w:val="auto"/>
              </w:rPr>
              <w:t>Charles Butler</w:t>
            </w:r>
            <w:r>
              <w:rPr>
                <w:rFonts w:ascii="Arial" w:cs="Arial" w:eastAsia="Arial" w:hAnsi="Arial"/>
                <w:sz w:val="23"/>
                <w:szCs w:val="23"/>
                <w:color w:val="auto"/>
                <w:vertAlign w:val="superscript"/>
              </w:rPr>
              <w:t>(3)</w:t>
            </w:r>
          </w:p>
        </w:tc>
        <w:tc>
          <w:tcPr>
            <w:tcW w:w="1600" w:type="dxa"/>
            <w:vAlign w:val="bottom"/>
            <w:tcBorders>
              <w:bottom w:val="single" w:sz="8" w:color="B6B6B6"/>
              <w:right w:val="single" w:sz="8" w:color="B6B6B6"/>
            </w:tcBorders>
            <w:shd w:val="clear" w:color="auto" w:fill="DBDBDB"/>
          </w:tcPr>
          <w:p>
            <w:pPr>
              <w:jc w:val="right"/>
              <w:ind w:right="16"/>
              <w:spacing w:after="0"/>
              <w:rPr>
                <w:sz w:val="20"/>
                <w:szCs w:val="20"/>
                <w:color w:val="auto"/>
              </w:rPr>
            </w:pPr>
            <w:r>
              <w:rPr>
                <w:rFonts w:ascii="Arial" w:cs="Arial" w:eastAsia="Arial" w:hAnsi="Arial"/>
                <w:sz w:val="18"/>
                <w:szCs w:val="18"/>
                <w:color w:val="auto"/>
              </w:rPr>
              <w:t>550,000</w:t>
            </w:r>
          </w:p>
        </w:tc>
        <w:tc>
          <w:tcPr>
            <w:tcW w:w="158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100%</w:t>
            </w:r>
          </w:p>
        </w:tc>
        <w:tc>
          <w:tcPr>
            <w:tcW w:w="1600" w:type="dxa"/>
            <w:vAlign w:val="bottom"/>
            <w:tcBorders>
              <w:bottom w:val="single" w:sz="8" w:color="B6B6B6"/>
              <w:right w:val="single" w:sz="8" w:color="B6B6B6"/>
            </w:tcBorders>
            <w:shd w:val="clear" w:color="auto" w:fill="DBDBDB"/>
          </w:tcPr>
          <w:p>
            <w:pPr>
              <w:jc w:val="right"/>
              <w:ind w:right="16"/>
              <w:spacing w:after="0"/>
              <w:rPr>
                <w:sz w:val="20"/>
                <w:szCs w:val="20"/>
                <w:color w:val="auto"/>
              </w:rPr>
            </w:pPr>
            <w:r>
              <w:rPr>
                <w:rFonts w:ascii="Arial" w:cs="Arial" w:eastAsia="Arial" w:hAnsi="Arial"/>
                <w:sz w:val="18"/>
                <w:szCs w:val="18"/>
                <w:color w:val="auto"/>
                <w:highlight w:val="lightGray"/>
              </w:rPr>
              <w:t>550,000</w:t>
            </w:r>
          </w:p>
        </w:tc>
        <w:tc>
          <w:tcPr>
            <w:tcW w:w="15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highlight w:val="lightGray"/>
              </w:rPr>
              <w:t>2,000,000</w:t>
            </w:r>
          </w:p>
        </w:tc>
        <w:tc>
          <w:tcPr>
            <w:tcW w:w="1940" w:type="dxa"/>
            <w:vAlign w:val="bottom"/>
            <w:tcBorders>
              <w:bottom w:val="single" w:sz="8" w:color="B6B6B6"/>
              <w:right w:val="single" w:sz="8" w:color="B6B6B6"/>
            </w:tcBorders>
            <w:shd w:val="clear" w:color="auto" w:fill="DBDBDB"/>
          </w:tcPr>
          <w:p>
            <w:pPr>
              <w:jc w:val="right"/>
              <w:ind w:right="13"/>
              <w:spacing w:after="0"/>
              <w:rPr>
                <w:sz w:val="20"/>
                <w:szCs w:val="20"/>
                <w:color w:val="auto"/>
              </w:rPr>
            </w:pPr>
            <w:r>
              <w:rPr>
                <w:rFonts w:ascii="Arial" w:cs="Arial" w:eastAsia="Arial" w:hAnsi="Arial"/>
                <w:sz w:val="18"/>
                <w:szCs w:val="18"/>
                <w:color w:val="auto"/>
                <w:highlight w:val="lightGray"/>
              </w:rPr>
              <w:t>3,100,000</w:t>
            </w:r>
          </w:p>
        </w:tc>
        <w:tc>
          <w:tcPr>
            <w:tcW w:w="0" w:type="dxa"/>
            <w:vAlign w:val="bottom"/>
          </w:tcPr>
          <w:p>
            <w:pPr>
              <w:spacing w:after="0"/>
              <w:rPr>
                <w:sz w:val="1"/>
                <w:szCs w:val="1"/>
                <w:color w:val="auto"/>
              </w:rPr>
            </w:pPr>
          </w:p>
        </w:tc>
      </w:tr>
      <w:tr>
        <w:trPr>
          <w:trHeight w:val="230"/>
        </w:trPr>
        <w:tc>
          <w:tcPr>
            <w:tcW w:w="2960" w:type="dxa"/>
            <w:vAlign w:val="bottom"/>
            <w:tcBorders>
              <w:left w:val="single" w:sz="8" w:color="B6B6B6"/>
              <w:bottom w:val="single" w:sz="8" w:color="B6B6B6"/>
              <w:right w:val="single" w:sz="8" w:color="B6B6B6"/>
            </w:tcBorders>
          </w:tcPr>
          <w:p>
            <w:pPr>
              <w:ind w:left="40"/>
              <w:spacing w:after="0" w:line="230" w:lineRule="exact"/>
              <w:rPr>
                <w:sz w:val="20"/>
                <w:szCs w:val="20"/>
                <w:color w:val="auto"/>
              </w:rPr>
            </w:pPr>
            <w:r>
              <w:rPr>
                <w:rFonts w:ascii="Arial" w:cs="Arial" w:eastAsia="Arial" w:hAnsi="Arial"/>
                <w:sz w:val="18"/>
                <w:szCs w:val="18"/>
                <w:color w:val="auto"/>
              </w:rPr>
              <w:t>Jacques-Edouard Gueden</w:t>
            </w:r>
            <w:r>
              <w:rPr>
                <w:rFonts w:ascii="Arial" w:cs="Arial" w:eastAsia="Arial" w:hAnsi="Arial"/>
                <w:sz w:val="23"/>
                <w:szCs w:val="23"/>
                <w:color w:val="auto"/>
                <w:vertAlign w:val="superscript"/>
              </w:rPr>
              <w:t>(4)</w:t>
            </w:r>
          </w:p>
        </w:tc>
        <w:tc>
          <w:tcPr>
            <w:tcW w:w="1600" w:type="dxa"/>
            <w:vAlign w:val="bottom"/>
            <w:tcBorders>
              <w:bottom w:val="single" w:sz="8" w:color="B6B6B6"/>
              <w:right w:val="single" w:sz="8" w:color="B6B6B6"/>
            </w:tcBorders>
          </w:tcPr>
          <w:p>
            <w:pPr>
              <w:jc w:val="right"/>
              <w:ind w:right="16"/>
              <w:spacing w:after="0"/>
              <w:rPr>
                <w:sz w:val="20"/>
                <w:szCs w:val="20"/>
                <w:color w:val="auto"/>
              </w:rPr>
            </w:pPr>
            <w:r>
              <w:rPr>
                <w:rFonts w:ascii="Arial" w:cs="Arial" w:eastAsia="Arial" w:hAnsi="Arial"/>
                <w:sz w:val="18"/>
                <w:szCs w:val="18"/>
                <w:color w:val="auto"/>
              </w:rPr>
              <w:t>590,071</w:t>
            </w:r>
          </w:p>
        </w:tc>
        <w:tc>
          <w:tcPr>
            <w:tcW w:w="158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100%</w:t>
            </w:r>
          </w:p>
        </w:tc>
        <w:tc>
          <w:tcPr>
            <w:tcW w:w="1600" w:type="dxa"/>
            <w:vAlign w:val="bottom"/>
            <w:tcBorders>
              <w:bottom w:val="single" w:sz="8" w:color="B6B6B6"/>
              <w:right w:val="single" w:sz="8" w:color="B6B6B6"/>
            </w:tcBorders>
          </w:tcPr>
          <w:p>
            <w:pPr>
              <w:jc w:val="right"/>
              <w:ind w:right="16"/>
              <w:spacing w:after="0"/>
              <w:rPr>
                <w:sz w:val="20"/>
                <w:szCs w:val="20"/>
                <w:color w:val="auto"/>
              </w:rPr>
            </w:pPr>
            <w:r>
              <w:rPr>
                <w:rFonts w:ascii="Arial" w:cs="Arial" w:eastAsia="Arial" w:hAnsi="Arial"/>
                <w:sz w:val="18"/>
                <w:szCs w:val="18"/>
                <w:color w:val="auto"/>
              </w:rPr>
              <w:t>590,071</w:t>
            </w:r>
          </w:p>
        </w:tc>
        <w:tc>
          <w:tcPr>
            <w:tcW w:w="15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2,200,000</w:t>
            </w:r>
          </w:p>
        </w:tc>
        <w:tc>
          <w:tcPr>
            <w:tcW w:w="1940" w:type="dxa"/>
            <w:vAlign w:val="bottom"/>
            <w:tcBorders>
              <w:bottom w:val="single" w:sz="8" w:color="B6B6B6"/>
              <w:right w:val="single" w:sz="8" w:color="B6B6B6"/>
            </w:tcBorders>
          </w:tcPr>
          <w:p>
            <w:pPr>
              <w:jc w:val="right"/>
              <w:ind w:right="13"/>
              <w:spacing w:after="0"/>
              <w:rPr>
                <w:sz w:val="20"/>
                <w:szCs w:val="20"/>
                <w:color w:val="auto"/>
              </w:rPr>
            </w:pPr>
            <w:r>
              <w:rPr>
                <w:rFonts w:ascii="Arial" w:cs="Arial" w:eastAsia="Arial" w:hAnsi="Arial"/>
                <w:sz w:val="18"/>
                <w:szCs w:val="18"/>
                <w:color w:val="auto"/>
              </w:rPr>
              <w:t>3,380,142</w:t>
            </w:r>
          </w:p>
        </w:tc>
        <w:tc>
          <w:tcPr>
            <w:tcW w:w="0" w:type="dxa"/>
            <w:vAlign w:val="bottom"/>
          </w:tcPr>
          <w:p>
            <w:pPr>
              <w:spacing w:after="0"/>
              <w:rPr>
                <w:sz w:val="1"/>
                <w:szCs w:val="1"/>
                <w:color w:val="auto"/>
              </w:rPr>
            </w:pPr>
          </w:p>
        </w:tc>
      </w:tr>
      <w:tr>
        <w:trPr>
          <w:trHeight w:val="223"/>
        </w:trPr>
        <w:tc>
          <w:tcPr>
            <w:tcW w:w="296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Flor M. Colón</w:t>
            </w:r>
          </w:p>
        </w:tc>
        <w:tc>
          <w:tcPr>
            <w:tcW w:w="1600" w:type="dxa"/>
            <w:vAlign w:val="bottom"/>
            <w:tcBorders>
              <w:bottom w:val="single" w:sz="8" w:color="B6B6B6"/>
              <w:right w:val="single" w:sz="8" w:color="B6B6B6"/>
            </w:tcBorders>
            <w:shd w:val="clear" w:color="auto" w:fill="DBDBDB"/>
          </w:tcPr>
          <w:p>
            <w:pPr>
              <w:jc w:val="right"/>
              <w:ind w:right="16"/>
              <w:spacing w:after="0"/>
              <w:rPr>
                <w:sz w:val="20"/>
                <w:szCs w:val="20"/>
                <w:color w:val="auto"/>
              </w:rPr>
            </w:pPr>
            <w:r>
              <w:rPr>
                <w:rFonts w:ascii="Arial" w:cs="Arial" w:eastAsia="Arial" w:hAnsi="Arial"/>
                <w:sz w:val="18"/>
                <w:szCs w:val="18"/>
                <w:color w:val="auto"/>
              </w:rPr>
              <w:t>505,000</w:t>
            </w:r>
          </w:p>
        </w:tc>
        <w:tc>
          <w:tcPr>
            <w:tcW w:w="158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100%</w:t>
            </w:r>
          </w:p>
        </w:tc>
        <w:tc>
          <w:tcPr>
            <w:tcW w:w="1600" w:type="dxa"/>
            <w:vAlign w:val="bottom"/>
            <w:tcBorders>
              <w:bottom w:val="single" w:sz="8" w:color="B6B6B6"/>
              <w:right w:val="single" w:sz="8" w:color="B6B6B6"/>
            </w:tcBorders>
            <w:shd w:val="clear" w:color="auto" w:fill="DBDBDB"/>
          </w:tcPr>
          <w:p>
            <w:pPr>
              <w:jc w:val="right"/>
              <w:ind w:right="16"/>
              <w:spacing w:after="0"/>
              <w:rPr>
                <w:sz w:val="20"/>
                <w:szCs w:val="20"/>
                <w:color w:val="auto"/>
              </w:rPr>
            </w:pPr>
            <w:r>
              <w:rPr>
                <w:rFonts w:ascii="Arial" w:cs="Arial" w:eastAsia="Arial" w:hAnsi="Arial"/>
                <w:sz w:val="18"/>
                <w:szCs w:val="18"/>
                <w:color w:val="auto"/>
              </w:rPr>
              <w:t>505,000</w:t>
            </w:r>
          </w:p>
        </w:tc>
        <w:tc>
          <w:tcPr>
            <w:tcW w:w="15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1,000,000</w:t>
            </w:r>
          </w:p>
        </w:tc>
        <w:tc>
          <w:tcPr>
            <w:tcW w:w="1940" w:type="dxa"/>
            <w:vAlign w:val="bottom"/>
            <w:tcBorders>
              <w:bottom w:val="single" w:sz="8" w:color="B6B6B6"/>
              <w:right w:val="single" w:sz="8" w:color="B6B6B6"/>
            </w:tcBorders>
            <w:shd w:val="clear" w:color="auto" w:fill="DBDBDB"/>
          </w:tcPr>
          <w:p>
            <w:pPr>
              <w:jc w:val="right"/>
              <w:ind w:right="13"/>
              <w:spacing w:after="0"/>
              <w:rPr>
                <w:sz w:val="20"/>
                <w:szCs w:val="20"/>
                <w:color w:val="auto"/>
              </w:rPr>
            </w:pPr>
            <w:r>
              <w:rPr>
                <w:rFonts w:ascii="Arial" w:cs="Arial" w:eastAsia="Arial" w:hAnsi="Arial"/>
                <w:sz w:val="18"/>
                <w:szCs w:val="18"/>
                <w:color w:val="auto"/>
              </w:rPr>
              <w:t>2,010,000</w:t>
            </w:r>
          </w:p>
        </w:tc>
        <w:tc>
          <w:tcPr>
            <w:tcW w:w="0" w:type="dxa"/>
            <w:vAlign w:val="bottom"/>
          </w:tcPr>
          <w:p>
            <w:pPr>
              <w:spacing w:after="0"/>
              <w:rPr>
                <w:sz w:val="1"/>
                <w:szCs w:val="1"/>
                <w:color w:val="auto"/>
              </w:rPr>
            </w:pPr>
          </w:p>
        </w:tc>
      </w:tr>
      <w:tr>
        <w:trPr>
          <w:trHeight w:val="223"/>
        </w:trPr>
        <w:tc>
          <w:tcPr>
            <w:tcW w:w="296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Mirlanda Gecaj</w:t>
            </w:r>
            <w:r>
              <w:rPr>
                <w:rFonts w:ascii="Arial" w:cs="Arial" w:eastAsia="Arial" w:hAnsi="Arial"/>
                <w:sz w:val="23"/>
                <w:szCs w:val="23"/>
                <w:color w:val="auto"/>
                <w:vertAlign w:val="superscript"/>
              </w:rPr>
              <w:t>(5)</w:t>
            </w:r>
          </w:p>
        </w:tc>
        <w:tc>
          <w:tcPr>
            <w:tcW w:w="1600" w:type="dxa"/>
            <w:vAlign w:val="bottom"/>
            <w:tcBorders>
              <w:bottom w:val="single" w:sz="8" w:color="B6B6B6"/>
              <w:right w:val="single" w:sz="8" w:color="B6B6B6"/>
            </w:tcBorders>
          </w:tcPr>
          <w:p>
            <w:pPr>
              <w:jc w:val="right"/>
              <w:ind w:right="16"/>
              <w:spacing w:after="0"/>
              <w:rPr>
                <w:sz w:val="20"/>
                <w:szCs w:val="20"/>
                <w:color w:val="auto"/>
              </w:rPr>
            </w:pPr>
            <w:r>
              <w:rPr>
                <w:rFonts w:ascii="Arial" w:cs="Arial" w:eastAsia="Arial" w:hAnsi="Arial"/>
                <w:sz w:val="18"/>
                <w:szCs w:val="18"/>
                <w:color w:val="auto"/>
              </w:rPr>
              <w:t>550,000</w:t>
            </w:r>
          </w:p>
        </w:tc>
        <w:tc>
          <w:tcPr>
            <w:tcW w:w="158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100%</w:t>
            </w:r>
          </w:p>
        </w:tc>
        <w:tc>
          <w:tcPr>
            <w:tcW w:w="1600" w:type="dxa"/>
            <w:vAlign w:val="bottom"/>
            <w:tcBorders>
              <w:bottom w:val="single" w:sz="8" w:color="B6B6B6"/>
              <w:right w:val="single" w:sz="8" w:color="B6B6B6"/>
            </w:tcBorders>
          </w:tcPr>
          <w:p>
            <w:pPr>
              <w:jc w:val="right"/>
              <w:ind w:right="16"/>
              <w:spacing w:after="0"/>
              <w:rPr>
                <w:sz w:val="20"/>
                <w:szCs w:val="20"/>
                <w:color w:val="auto"/>
              </w:rPr>
            </w:pPr>
            <w:r>
              <w:rPr>
                <w:rFonts w:ascii="Arial" w:cs="Arial" w:eastAsia="Arial" w:hAnsi="Arial"/>
                <w:sz w:val="18"/>
                <w:szCs w:val="18"/>
                <w:color w:val="auto"/>
              </w:rPr>
              <w:t>550,000</w:t>
            </w:r>
          </w:p>
        </w:tc>
        <w:tc>
          <w:tcPr>
            <w:tcW w:w="158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8"/>
                <w:szCs w:val="18"/>
                <w:color w:val="auto"/>
              </w:rPr>
              <w:t>2,000,000</w:t>
            </w:r>
          </w:p>
        </w:tc>
        <w:tc>
          <w:tcPr>
            <w:tcW w:w="1940" w:type="dxa"/>
            <w:vAlign w:val="bottom"/>
            <w:tcBorders>
              <w:bottom w:val="single" w:sz="8" w:color="B6B6B6"/>
              <w:right w:val="single" w:sz="8" w:color="B6B6B6"/>
            </w:tcBorders>
          </w:tcPr>
          <w:p>
            <w:pPr>
              <w:jc w:val="right"/>
              <w:ind w:right="13"/>
              <w:spacing w:after="0"/>
              <w:rPr>
                <w:sz w:val="20"/>
                <w:szCs w:val="20"/>
                <w:color w:val="auto"/>
              </w:rPr>
            </w:pPr>
            <w:r>
              <w:rPr>
                <w:rFonts w:ascii="Arial" w:cs="Arial" w:eastAsia="Arial" w:hAnsi="Arial"/>
                <w:sz w:val="18"/>
                <w:szCs w:val="18"/>
                <w:color w:val="auto"/>
              </w:rPr>
              <w:t>3,100,000</w:t>
            </w:r>
          </w:p>
        </w:tc>
        <w:tc>
          <w:tcPr>
            <w:tcW w:w="0" w:type="dxa"/>
            <w:vAlign w:val="bottom"/>
          </w:tcPr>
          <w:p>
            <w:pPr>
              <w:spacing w:after="0"/>
              <w:rPr>
                <w:sz w:val="1"/>
                <w:szCs w:val="1"/>
                <w:color w:val="auto"/>
              </w:rPr>
            </w:pPr>
          </w:p>
        </w:tc>
      </w:tr>
      <w:tr>
        <w:trPr>
          <w:trHeight w:val="223"/>
        </w:trPr>
        <w:tc>
          <w:tcPr>
            <w:tcW w:w="296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Xavier Heiss</w:t>
            </w:r>
            <w:r>
              <w:rPr>
                <w:rFonts w:ascii="Arial" w:cs="Arial" w:eastAsia="Arial" w:hAnsi="Arial"/>
                <w:sz w:val="23"/>
                <w:szCs w:val="23"/>
                <w:color w:val="auto"/>
                <w:vertAlign w:val="superscript"/>
              </w:rPr>
              <w:t>(4)(6)</w:t>
            </w:r>
          </w:p>
        </w:tc>
        <w:tc>
          <w:tcPr>
            <w:tcW w:w="1600" w:type="dxa"/>
            <w:vAlign w:val="bottom"/>
            <w:tcBorders>
              <w:bottom w:val="single" w:sz="8" w:color="B6B6B6"/>
              <w:right w:val="single" w:sz="8" w:color="B6B6B6"/>
            </w:tcBorders>
            <w:shd w:val="clear" w:color="auto" w:fill="DBDBDB"/>
          </w:tcPr>
          <w:p>
            <w:pPr>
              <w:jc w:val="right"/>
              <w:ind w:right="16"/>
              <w:spacing w:after="0"/>
              <w:rPr>
                <w:sz w:val="20"/>
                <w:szCs w:val="20"/>
                <w:color w:val="auto"/>
              </w:rPr>
            </w:pPr>
            <w:r>
              <w:rPr>
                <w:rFonts w:ascii="Arial" w:cs="Arial" w:eastAsia="Arial" w:hAnsi="Arial"/>
                <w:sz w:val="18"/>
                <w:szCs w:val="18"/>
                <w:color w:val="auto"/>
              </w:rPr>
              <w:t>750,999</w:t>
            </w:r>
          </w:p>
        </w:tc>
        <w:tc>
          <w:tcPr>
            <w:tcW w:w="158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B6B6B6"/>
              <w:right w:val="single" w:sz="8" w:color="B6B6B6"/>
            </w:tcBorders>
            <w:shd w:val="clear" w:color="auto" w:fill="DBDBDB"/>
          </w:tcPr>
          <w:p>
            <w:pPr>
              <w:jc w:val="right"/>
              <w:ind w:right="16"/>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B6B6B6"/>
              <w:right w:val="single" w:sz="8" w:color="B6B6B6"/>
            </w:tcBorders>
            <w:shd w:val="clear" w:color="auto" w:fill="DBDBDB"/>
          </w:tcPr>
          <w:p>
            <w:pPr>
              <w:jc w:val="right"/>
              <w:ind w:right="13"/>
              <w:spacing w:after="0"/>
              <w:rPr>
                <w:sz w:val="20"/>
                <w:szCs w:val="20"/>
                <w:color w:val="auto"/>
              </w:rPr>
            </w:pPr>
            <w:r>
              <w:rPr>
                <w:rFonts w:ascii="Arial" w:cs="Arial" w:eastAsia="Arial" w:hAnsi="Arial"/>
                <w:sz w:val="18"/>
                <w:szCs w:val="18"/>
                <w:color w:val="auto"/>
              </w:rPr>
              <w:t>750,999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ind w:left="200" w:hanging="192"/>
        <w:spacing w:after="0" w:line="196" w:lineRule="auto"/>
        <w:tabs>
          <w:tab w:leader="none" w:pos="20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Reflects annualized base salary and full target incentive.</w:t>
      </w:r>
    </w:p>
    <w:p>
      <w:pPr>
        <w:ind w:right="2660" w:firstLine="8"/>
        <w:spacing w:after="0" w:line="219" w:lineRule="auto"/>
        <w:tabs>
          <w:tab w:leader="none" w:pos="193" w:val="left"/>
        </w:tabs>
        <w:numPr>
          <w:ilvl w:val="0"/>
          <w:numId w:val="39"/>
        </w:numPr>
        <w:rPr>
          <w:rFonts w:ascii="Arial" w:cs="Arial" w:eastAsia="Arial" w:hAnsi="Arial"/>
          <w:sz w:val="22"/>
          <w:szCs w:val="22"/>
          <w:color w:val="auto"/>
          <w:vertAlign w:val="superscript"/>
        </w:rPr>
      </w:pPr>
      <w:r>
        <w:rPr>
          <w:rFonts w:ascii="Arial" w:cs="Arial" w:eastAsia="Arial" w:hAnsi="Arial"/>
          <w:sz w:val="17"/>
          <w:szCs w:val="17"/>
          <w:color w:val="auto"/>
        </w:rPr>
        <w:t>Mr. Bruno resigned from his position with the Company on August 31, 2025, but continues to serve on the Board.</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type w:val="continuous"/>
        </w:sectPr>
      </w:pPr>
    </w:p>
    <w:bookmarkStart w:id="43" w:name="page44"/>
    <w:bookmarkEnd w:id="43"/>
    <w:p>
      <w:pPr>
        <w:ind w:left="180" w:right="20" w:hanging="172"/>
        <w:spacing w:after="0" w:line="226" w:lineRule="auto"/>
        <w:tabs>
          <w:tab w:leader="none" w:pos="193" w:val="left"/>
        </w:tabs>
        <w:numPr>
          <w:ilvl w:val="0"/>
          <w:numId w:val="40"/>
        </w:numPr>
        <w:rPr>
          <w:rFonts w:ascii="Arial" w:cs="Arial" w:eastAsia="Arial" w:hAnsi="Arial"/>
          <w:sz w:val="22"/>
          <w:szCs w:val="22"/>
          <w:color w:val="auto"/>
          <w:vertAlign w:val="superscript"/>
        </w:rPr>
      </w:pPr>
      <w:r>
        <w:rPr>
          <w:rFonts w:ascii="Arial" w:cs="Arial" w:eastAsia="Arial" w:hAnsi="Arial"/>
          <w:sz w:val="17"/>
          <w:szCs w:val="17"/>
          <w:color w:val="auto"/>
        </w:rPr>
        <w:t>Mr. Butler was appointed EVP, CFO effective December 3, 2025. Amounts disclosed above reflect the annualized compensation approved by the Committee as disclosed in the Form 8-K, dated December 19, 2025.</w:t>
      </w:r>
    </w:p>
    <w:p>
      <w:pPr>
        <w:ind w:left="180" w:right="80" w:hanging="172"/>
        <w:spacing w:after="0" w:line="216" w:lineRule="auto"/>
        <w:tabs>
          <w:tab w:leader="none" w:pos="193" w:val="left"/>
        </w:tabs>
        <w:numPr>
          <w:ilvl w:val="0"/>
          <w:numId w:val="40"/>
        </w:numPr>
        <w:rPr>
          <w:rFonts w:ascii="Arial" w:cs="Arial" w:eastAsia="Arial" w:hAnsi="Arial"/>
          <w:sz w:val="22"/>
          <w:szCs w:val="22"/>
          <w:color w:val="auto"/>
          <w:vertAlign w:val="superscript"/>
        </w:rPr>
      </w:pPr>
      <w:r>
        <w:rPr>
          <w:rFonts w:ascii="Arial" w:cs="Arial" w:eastAsia="Arial" w:hAnsi="Arial"/>
          <w:sz w:val="17"/>
          <w:szCs w:val="17"/>
          <w:color w:val="auto"/>
        </w:rPr>
        <w:t>Mr. Gueden's and Mr. Heiss' base salaries and MIP are denominated and paid in EUR. The amounts shown above are in USD and reflect the December average exchange rate of 1.1697 EUR per USD on December 31, 2025.</w:t>
      </w:r>
    </w:p>
    <w:p>
      <w:pPr>
        <w:spacing w:after="0" w:line="1" w:lineRule="exact"/>
        <w:rPr>
          <w:rFonts w:ascii="Arial" w:cs="Arial" w:eastAsia="Arial" w:hAnsi="Arial"/>
          <w:sz w:val="22"/>
          <w:szCs w:val="22"/>
          <w:color w:val="auto"/>
          <w:vertAlign w:val="superscript"/>
        </w:rPr>
      </w:pPr>
    </w:p>
    <w:p>
      <w:pPr>
        <w:ind w:left="180" w:hanging="172"/>
        <w:spacing w:after="0" w:line="201" w:lineRule="auto"/>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Ms. Gecaj's employment with the Company ended on December 2, 2025.</w:t>
      </w:r>
    </w:p>
    <w:p>
      <w:pPr>
        <w:ind w:left="180" w:hanging="172"/>
        <w:spacing w:after="0" w:line="219" w:lineRule="auto"/>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231F20"/>
        </w:rPr>
        <w:t>Mr. Heiss retired from his position with the Company on January 31, 2025.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Pay Mix</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charts below show the 2025 pay mix for our NEOs, and the portion of their total compensation that is at risk. The target pay in the charts represents base salary, target MIP incentive awards, and grants of LTIP incentive awards at target (which include a PSU and RSU component).</w:t>
      </w:r>
    </w:p>
    <w:p>
      <w:pPr>
        <w:spacing w:after="0" w:line="63" w:lineRule="exact"/>
        <w:rPr>
          <w:sz w:val="20"/>
          <w:szCs w:val="20"/>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93% of pay for our CEO is at risk and creates alignment with shareholders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83% of pay for our other NEOs is at risk and creates alignment 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657850" cy="29057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7"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Setting Annual Bonus Plan Targets and Determining Payout</w:t>
      </w:r>
    </w:p>
    <w:p>
      <w:pPr>
        <w:spacing w:after="0" w:line="117"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following chart shows our annual process for setting MIP targets and determining payout of the prior year’s awards. This process typically takes place in the first quarter of each year.</w:t>
      </w:r>
    </w:p>
    <w:p>
      <w:pPr>
        <w:spacing w:after="0" w:line="9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220" w:type="dxa"/>
            <w:vAlign w:val="bottom"/>
            <w:tcBorders>
              <w:right w:val="single" w:sz="8" w:color="D92231"/>
            </w:tcBorders>
            <w:shd w:val="clear" w:color="auto" w:fill="D92231"/>
          </w:tcPr>
          <w:p>
            <w:pPr>
              <w:spacing w:after="0"/>
              <w:rPr>
                <w:sz w:val="20"/>
                <w:szCs w:val="20"/>
                <w:color w:val="auto"/>
              </w:rPr>
            </w:pPr>
            <w:r>
              <w:rPr>
                <w:rFonts w:ascii="Arial" w:cs="Arial" w:eastAsia="Arial" w:hAnsi="Arial"/>
                <w:sz w:val="18"/>
                <w:szCs w:val="18"/>
                <w:color w:val="FFFFFF"/>
              </w:rPr>
              <w:t>Role</w:t>
            </w:r>
          </w:p>
        </w:tc>
        <w:tc>
          <w:tcPr>
            <w:tcW w:w="280" w:type="dxa"/>
            <w:vAlign w:val="bottom"/>
            <w:shd w:val="clear" w:color="auto" w:fill="D92231"/>
          </w:tcPr>
          <w:p>
            <w:pPr>
              <w:spacing w:after="0"/>
              <w:rPr>
                <w:sz w:val="19"/>
                <w:szCs w:val="19"/>
                <w:color w:val="auto"/>
              </w:rPr>
            </w:pPr>
          </w:p>
        </w:tc>
        <w:tc>
          <w:tcPr>
            <w:tcW w:w="7000" w:type="dxa"/>
            <w:vAlign w:val="bottom"/>
            <w:shd w:val="clear" w:color="auto" w:fill="D92231"/>
          </w:tcPr>
          <w:p>
            <w:pPr>
              <w:ind w:left="2800"/>
              <w:spacing w:after="0"/>
              <w:rPr>
                <w:sz w:val="20"/>
                <w:szCs w:val="20"/>
                <w:color w:val="auto"/>
              </w:rPr>
            </w:pPr>
            <w:r>
              <w:rPr>
                <w:rFonts w:ascii="Arial" w:cs="Arial" w:eastAsia="Arial" w:hAnsi="Arial"/>
                <w:sz w:val="18"/>
                <w:szCs w:val="18"/>
                <w:color w:val="FFFFFF"/>
              </w:rPr>
              <w:t>Responsibility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3220" w:type="dxa"/>
            <w:vAlign w:val="bottom"/>
            <w:tcBorders>
              <w:bottom w:val="single" w:sz="8" w:color="D8D8D8"/>
            </w:tcBorders>
          </w:tcPr>
          <w:p>
            <w:pPr>
              <w:spacing w:after="0"/>
              <w:rPr>
                <w:sz w:val="8"/>
                <w:szCs w:val="8"/>
                <w:color w:val="auto"/>
              </w:rPr>
            </w:pPr>
          </w:p>
        </w:tc>
        <w:tc>
          <w:tcPr>
            <w:tcW w:w="7280" w:type="dxa"/>
            <w:vAlign w:val="bottom"/>
            <w:tcBorders>
              <w:bottom w:val="single" w:sz="8" w:color="DBDBDB"/>
            </w:tcBorders>
            <w:gridSpan w:val="2"/>
          </w:tcPr>
          <w:p>
            <w:pPr>
              <w:spacing w:after="0"/>
              <w:rPr>
                <w:sz w:val="8"/>
                <w:szCs w:val="8"/>
                <w:color w:val="auto"/>
              </w:rPr>
            </w:pPr>
          </w:p>
        </w:tc>
        <w:tc>
          <w:tcPr>
            <w:tcW w:w="2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3220" w:type="dxa"/>
            <w:vAlign w:val="bottom"/>
            <w:tcBorders>
              <w:right w:val="single" w:sz="8" w:color="DBDBDB"/>
            </w:tcBorders>
            <w:shd w:val="clear" w:color="auto" w:fill="D8D8D8"/>
          </w:tcPr>
          <w:p>
            <w:pPr>
              <w:spacing w:after="0"/>
              <w:rPr>
                <w:sz w:val="20"/>
                <w:szCs w:val="20"/>
                <w:color w:val="auto"/>
              </w:rPr>
            </w:pPr>
            <w:r>
              <w:rPr>
                <w:rFonts w:ascii="Arial" w:cs="Arial" w:eastAsia="Arial" w:hAnsi="Arial"/>
                <w:sz w:val="18"/>
                <w:szCs w:val="18"/>
                <w:color w:val="auto"/>
              </w:rPr>
              <w:t>Board of</w:t>
            </w: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 Reviews Company results for prior year</w:t>
            </w:r>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220" w:type="dxa"/>
            <w:vAlign w:val="bottom"/>
            <w:tcBorders>
              <w:right w:val="single" w:sz="8" w:color="DBDBDB"/>
            </w:tcBorders>
            <w:shd w:val="clear" w:color="auto" w:fill="D8D8D8"/>
          </w:tcPr>
          <w:p>
            <w:pPr>
              <w:spacing w:after="0"/>
              <w:rPr>
                <w:sz w:val="20"/>
                <w:szCs w:val="20"/>
                <w:color w:val="auto"/>
              </w:rPr>
            </w:pPr>
            <w:r>
              <w:rPr>
                <w:rFonts w:ascii="Arial" w:cs="Arial" w:eastAsia="Arial" w:hAnsi="Arial"/>
                <w:sz w:val="18"/>
                <w:szCs w:val="18"/>
                <w:color w:val="auto"/>
              </w:rPr>
              <w:t>Directors</w:t>
            </w:r>
          </w:p>
        </w:tc>
        <w:tc>
          <w:tcPr>
            <w:tcW w:w="28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000" w:type="dxa"/>
            <w:vAlign w:val="bottom"/>
            <w:vMerge w:val="restart"/>
          </w:tcPr>
          <w:p>
            <w:pPr>
              <w:ind w:left="40"/>
              <w:spacing w:after="0"/>
              <w:rPr>
                <w:sz w:val="20"/>
                <w:szCs w:val="20"/>
                <w:color w:val="auto"/>
              </w:rPr>
            </w:pPr>
            <w:r>
              <w:rPr>
                <w:rFonts w:ascii="Arial" w:cs="Arial" w:eastAsia="Arial" w:hAnsi="Arial"/>
                <w:sz w:val="18"/>
                <w:szCs w:val="18"/>
                <w:color w:val="auto"/>
              </w:rPr>
              <w:t>Considers annual operating plan for the current year</w:t>
            </w: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3220" w:type="dxa"/>
            <w:vAlign w:val="bottom"/>
            <w:tcBorders>
              <w:bottom w:val="single" w:sz="8" w:color="D8D8D8"/>
              <w:right w:val="single" w:sz="8" w:color="DBDBDB"/>
            </w:tcBorders>
            <w:shd w:val="clear" w:color="auto" w:fill="D8D8D8"/>
          </w:tcPr>
          <w:p>
            <w:pPr>
              <w:spacing w:after="0"/>
              <w:rPr>
                <w:sz w:val="7"/>
                <w:szCs w:val="7"/>
                <w:color w:val="auto"/>
              </w:rPr>
            </w:pPr>
          </w:p>
        </w:tc>
        <w:tc>
          <w:tcPr>
            <w:tcW w:w="280" w:type="dxa"/>
            <w:vAlign w:val="bottom"/>
            <w:tcBorders>
              <w:bottom w:val="single" w:sz="8" w:color="DBDBDB"/>
            </w:tcBorders>
            <w:vMerge w:val="continue"/>
          </w:tcPr>
          <w:p>
            <w:pPr>
              <w:spacing w:after="0"/>
              <w:rPr>
                <w:sz w:val="7"/>
                <w:szCs w:val="7"/>
                <w:color w:val="auto"/>
              </w:rPr>
            </w:pPr>
          </w:p>
        </w:tc>
        <w:tc>
          <w:tcPr>
            <w:tcW w:w="7000" w:type="dxa"/>
            <w:vAlign w:val="bottom"/>
            <w:tcBorders>
              <w:bottom w:val="single" w:sz="8" w:color="DBDBDB"/>
            </w:tcBorders>
            <w:vMerge w:val="continue"/>
          </w:tcPr>
          <w:p>
            <w:pPr>
              <w:spacing w:after="0"/>
              <w:rPr>
                <w:sz w:val="7"/>
                <w:szCs w:val="7"/>
                <w:color w:val="auto"/>
              </w:rPr>
            </w:pPr>
          </w:p>
        </w:tc>
        <w:tc>
          <w:tcPr>
            <w:tcW w:w="20" w:type="dxa"/>
            <w:vAlign w:val="bottom"/>
            <w:tcBorders>
              <w:bottom w:val="single" w:sz="8" w:color="DBDBDB"/>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3220" w:type="dxa"/>
            <w:vAlign w:val="bottom"/>
            <w:tcBorders>
              <w:bottom w:val="single" w:sz="8" w:color="D8D8D8"/>
            </w:tcBorders>
          </w:tcPr>
          <w:p>
            <w:pPr>
              <w:spacing w:after="0"/>
              <w:rPr>
                <w:sz w:val="6"/>
                <w:szCs w:val="6"/>
                <w:color w:val="auto"/>
              </w:rPr>
            </w:pPr>
          </w:p>
        </w:tc>
        <w:tc>
          <w:tcPr>
            <w:tcW w:w="280" w:type="dxa"/>
            <w:vAlign w:val="bottom"/>
            <w:tcBorders>
              <w:bottom w:val="single" w:sz="8" w:color="DBDBDB"/>
            </w:tcBorders>
          </w:tcPr>
          <w:p>
            <w:pPr>
              <w:spacing w:after="0"/>
              <w:rPr>
                <w:sz w:val="6"/>
                <w:szCs w:val="6"/>
                <w:color w:val="auto"/>
              </w:rPr>
            </w:pPr>
          </w:p>
        </w:tc>
        <w:tc>
          <w:tcPr>
            <w:tcW w:w="7000" w:type="dxa"/>
            <w:vAlign w:val="bottom"/>
            <w:tcBorders>
              <w:bottom w:val="single" w:sz="8" w:color="DBDBDB"/>
            </w:tcBorders>
          </w:tcPr>
          <w:p>
            <w:pPr>
              <w:spacing w:after="0"/>
              <w:rPr>
                <w:sz w:val="6"/>
                <w:szCs w:val="6"/>
                <w:color w:val="auto"/>
              </w:rPr>
            </w:pPr>
          </w:p>
        </w:tc>
        <w:tc>
          <w:tcPr>
            <w:tcW w:w="2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3220" w:type="dxa"/>
            <w:vAlign w:val="bottom"/>
            <w:tcBorders>
              <w:right w:val="single" w:sz="8" w:color="DBDBDB"/>
            </w:tcBorders>
            <w:shd w:val="clear" w:color="auto" w:fill="D8D8D8"/>
          </w:tcPr>
          <w:p>
            <w:pPr>
              <w:spacing w:after="0"/>
              <w:rPr>
                <w:sz w:val="24"/>
                <w:szCs w:val="24"/>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40"/>
              <w:spacing w:after="0"/>
              <w:rPr>
                <w:sz w:val="20"/>
                <w:szCs w:val="20"/>
                <w:color w:val="auto"/>
              </w:rPr>
            </w:pPr>
            <w:r>
              <w:rPr>
                <w:rFonts w:ascii="Arial" w:cs="Arial" w:eastAsia="Arial" w:hAnsi="Arial"/>
                <w:sz w:val="18"/>
                <w:szCs w:val="18"/>
                <w:color w:val="auto"/>
              </w:rPr>
              <w:t>With the Chief Financial Officer (CFO), assesses prior-year performance</w:t>
            </w:r>
          </w:p>
        </w:tc>
        <w:tc>
          <w:tcPr>
            <w:tcW w:w="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220" w:type="dxa"/>
            <w:vAlign w:val="bottom"/>
            <w:tcBorders>
              <w:right w:val="single" w:sz="8" w:color="DBDBDB"/>
            </w:tcBorders>
            <w:shd w:val="clear" w:color="auto" w:fill="D8D8D8"/>
          </w:tcPr>
          <w:p>
            <w:pPr>
              <w:spacing w:after="0"/>
              <w:rPr>
                <w:sz w:val="21"/>
                <w:szCs w:val="21"/>
                <w:color w:val="auto"/>
              </w:rPr>
            </w:pP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 Recommends non-CEO actions related to payment of awards based on prior-year</w:t>
            </w:r>
          </w:p>
        </w:tc>
        <w:tc>
          <w:tcPr>
            <w:tcW w:w="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220" w:type="dxa"/>
            <w:vAlign w:val="bottom"/>
            <w:tcBorders>
              <w:right w:val="single" w:sz="8" w:color="DBDBDB"/>
            </w:tcBorders>
            <w:vMerge w:val="restart"/>
            <w:shd w:val="clear" w:color="auto" w:fill="D8D8D8"/>
          </w:tcPr>
          <w:p>
            <w:pPr>
              <w:spacing w:after="0"/>
              <w:rPr>
                <w:sz w:val="20"/>
                <w:szCs w:val="20"/>
                <w:color w:val="auto"/>
              </w:rPr>
            </w:pPr>
            <w:r>
              <w:rPr>
                <w:rFonts w:ascii="Arial" w:cs="Arial" w:eastAsia="Arial" w:hAnsi="Arial"/>
                <w:sz w:val="18"/>
                <w:szCs w:val="18"/>
                <w:color w:val="auto"/>
              </w:rPr>
              <w:t>CEO</w:t>
            </w:r>
          </w:p>
        </w:tc>
        <w:tc>
          <w:tcPr>
            <w:tcW w:w="280" w:type="dxa"/>
            <w:vAlign w:val="bottom"/>
          </w:tcPr>
          <w:p>
            <w:pPr>
              <w:spacing w:after="0"/>
              <w:rPr>
                <w:sz w:val="20"/>
                <w:szCs w:val="20"/>
                <w:color w:val="auto"/>
              </w:rPr>
            </w:pPr>
          </w:p>
        </w:tc>
        <w:tc>
          <w:tcPr>
            <w:tcW w:w="700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20" w:type="dxa"/>
            <w:vAlign w:val="bottom"/>
            <w:tcBorders>
              <w:right w:val="single" w:sz="8" w:color="DBDBDB"/>
            </w:tcBorders>
            <w:vMerge w:val="continue"/>
            <w:shd w:val="clear" w:color="auto" w:fill="D8D8D8"/>
          </w:tcPr>
          <w:p>
            <w:pPr>
              <w:spacing w:after="0"/>
              <w:rPr>
                <w:sz w:val="23"/>
                <w:szCs w:val="23"/>
                <w:color w:val="auto"/>
              </w:rPr>
            </w:pP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 Recommends to the Committee performance measures for the current year</w:t>
            </w:r>
          </w:p>
        </w:tc>
        <w:tc>
          <w:tcPr>
            <w:tcW w:w="2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220" w:type="dxa"/>
            <w:vAlign w:val="bottom"/>
            <w:tcBorders>
              <w:right w:val="single" w:sz="8" w:color="DBDBDB"/>
            </w:tcBorders>
            <w:shd w:val="clear" w:color="auto" w:fill="D8D8D8"/>
          </w:tcPr>
          <w:p>
            <w:pPr>
              <w:spacing w:after="0"/>
              <w:rPr>
                <w:sz w:val="21"/>
                <w:szCs w:val="21"/>
                <w:color w:val="auto"/>
              </w:rPr>
            </w:pP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 Recommends establishment of annual bonus target awards for the current year for the</w:t>
            </w:r>
          </w:p>
        </w:tc>
        <w:tc>
          <w:tcPr>
            <w:tcW w:w="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220" w:type="dxa"/>
            <w:vAlign w:val="bottom"/>
            <w:tcBorders>
              <w:bottom w:val="single" w:sz="8" w:color="D8D8D8"/>
              <w:right w:val="single" w:sz="8" w:color="DBDBDB"/>
            </w:tcBorders>
            <w:shd w:val="clear" w:color="auto" w:fill="D8D8D8"/>
          </w:tcPr>
          <w:p>
            <w:pPr>
              <w:spacing w:after="0"/>
              <w:rPr>
                <w:sz w:val="22"/>
                <w:szCs w:val="22"/>
                <w:color w:val="auto"/>
              </w:rPr>
            </w:pPr>
          </w:p>
        </w:tc>
        <w:tc>
          <w:tcPr>
            <w:tcW w:w="280" w:type="dxa"/>
            <w:vAlign w:val="bottom"/>
            <w:tcBorders>
              <w:bottom w:val="single" w:sz="8" w:color="DBDBDB"/>
            </w:tcBorders>
          </w:tcPr>
          <w:p>
            <w:pPr>
              <w:spacing w:after="0"/>
              <w:rPr>
                <w:sz w:val="22"/>
                <w:szCs w:val="22"/>
                <w:color w:val="auto"/>
              </w:rPr>
            </w:pPr>
          </w:p>
        </w:tc>
        <w:tc>
          <w:tcPr>
            <w:tcW w:w="7000" w:type="dxa"/>
            <w:vAlign w:val="bottom"/>
            <w:tcBorders>
              <w:bottom w:val="single" w:sz="8" w:color="DBDBDB"/>
            </w:tcBorders>
          </w:tcPr>
          <w:p>
            <w:pPr>
              <w:ind w:left="60"/>
              <w:spacing w:after="0"/>
              <w:rPr>
                <w:sz w:val="20"/>
                <w:szCs w:val="20"/>
                <w:color w:val="auto"/>
              </w:rPr>
            </w:pPr>
            <w:r>
              <w:rPr>
                <w:rFonts w:ascii="Arial" w:cs="Arial" w:eastAsia="Arial" w:hAnsi="Arial"/>
                <w:sz w:val="18"/>
                <w:szCs w:val="18"/>
                <w:color w:val="auto"/>
              </w:rPr>
              <w:t>other NEOs</w:t>
            </w:r>
          </w:p>
        </w:tc>
        <w:tc>
          <w:tcPr>
            <w:tcW w:w="20" w:type="dxa"/>
            <w:vAlign w:val="bottom"/>
            <w:tcBorders>
              <w:bottom w:val="single" w:sz="8" w:color="DBDBDB"/>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75"/>
        </w:trPr>
        <w:tc>
          <w:tcPr>
            <w:tcW w:w="3220" w:type="dxa"/>
            <w:vAlign w:val="bottom"/>
            <w:tcBorders>
              <w:bottom w:val="single" w:sz="8" w:color="D8D8D8"/>
            </w:tcBorders>
          </w:tcPr>
          <w:p>
            <w:pPr>
              <w:spacing w:after="0"/>
              <w:rPr>
                <w:sz w:val="6"/>
                <w:szCs w:val="6"/>
                <w:color w:val="auto"/>
              </w:rPr>
            </w:pPr>
          </w:p>
        </w:tc>
        <w:tc>
          <w:tcPr>
            <w:tcW w:w="280" w:type="dxa"/>
            <w:vAlign w:val="bottom"/>
            <w:tcBorders>
              <w:bottom w:val="single" w:sz="8" w:color="DBDBDB"/>
            </w:tcBorders>
          </w:tcPr>
          <w:p>
            <w:pPr>
              <w:spacing w:after="0"/>
              <w:rPr>
                <w:sz w:val="6"/>
                <w:szCs w:val="6"/>
                <w:color w:val="auto"/>
              </w:rPr>
            </w:pPr>
          </w:p>
        </w:tc>
        <w:tc>
          <w:tcPr>
            <w:tcW w:w="7000" w:type="dxa"/>
            <w:vAlign w:val="bottom"/>
            <w:tcBorders>
              <w:bottom w:val="single" w:sz="8" w:color="DBDBDB"/>
            </w:tcBorders>
          </w:tcPr>
          <w:p>
            <w:pPr>
              <w:spacing w:after="0"/>
              <w:rPr>
                <w:sz w:val="6"/>
                <w:szCs w:val="6"/>
                <w:color w:val="auto"/>
              </w:rPr>
            </w:pPr>
          </w:p>
        </w:tc>
        <w:tc>
          <w:tcPr>
            <w:tcW w:w="20" w:type="dxa"/>
            <w:vAlign w:val="bottom"/>
            <w:tcBorders>
              <w:bottom w:val="single" w:sz="8" w:color="DBDBDB"/>
            </w:tcBorders>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3220" w:type="dxa"/>
            <w:vAlign w:val="bottom"/>
            <w:tcBorders>
              <w:right w:val="single" w:sz="8" w:color="DBDBDB"/>
            </w:tcBorders>
            <w:shd w:val="clear" w:color="auto" w:fill="D8D8D8"/>
          </w:tcPr>
          <w:p>
            <w:pPr>
              <w:spacing w:after="0"/>
              <w:rPr>
                <w:sz w:val="24"/>
                <w:szCs w:val="24"/>
                <w:color w:val="auto"/>
              </w:rPr>
            </w:pP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 With the input of the CEO and CFO, assesses prior-year performance against goals</w:t>
            </w:r>
          </w:p>
        </w:tc>
        <w:tc>
          <w:tcPr>
            <w:tcW w:w="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20" w:type="dxa"/>
            <w:vAlign w:val="bottom"/>
            <w:tcBorders>
              <w:right w:val="single" w:sz="8" w:color="DBDBDB"/>
            </w:tcBorders>
            <w:shd w:val="clear" w:color="auto" w:fill="D8D8D8"/>
          </w:tcPr>
          <w:p>
            <w:pPr>
              <w:spacing w:after="0"/>
              <w:rPr>
                <w:sz w:val="23"/>
                <w:szCs w:val="23"/>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40"/>
              <w:spacing w:after="0"/>
              <w:rPr>
                <w:sz w:val="20"/>
                <w:szCs w:val="20"/>
                <w:color w:val="auto"/>
              </w:rPr>
            </w:pPr>
            <w:r>
              <w:rPr>
                <w:rFonts w:ascii="Arial" w:cs="Arial" w:eastAsia="Arial" w:hAnsi="Arial"/>
                <w:sz w:val="18"/>
                <w:szCs w:val="18"/>
                <w:color w:val="auto"/>
              </w:rPr>
              <w:t>Prior to Committee approval, CFO certifies prior-year performance results</w:t>
            </w:r>
          </w:p>
        </w:tc>
        <w:tc>
          <w:tcPr>
            <w:tcW w:w="2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220" w:type="dxa"/>
            <w:vAlign w:val="bottom"/>
            <w:tcBorders>
              <w:right w:val="single" w:sz="8" w:color="DBDBDB"/>
            </w:tcBorders>
            <w:shd w:val="clear" w:color="auto" w:fill="D8D8D8"/>
          </w:tcPr>
          <w:p>
            <w:pPr>
              <w:spacing w:after="0"/>
              <w:rPr>
                <w:sz w:val="20"/>
                <w:szCs w:val="20"/>
                <w:color w:val="auto"/>
              </w:rPr>
            </w:pPr>
            <w:r>
              <w:rPr>
                <w:rFonts w:ascii="Arial" w:cs="Arial" w:eastAsia="Arial" w:hAnsi="Arial"/>
                <w:sz w:val="18"/>
                <w:szCs w:val="18"/>
                <w:color w:val="auto"/>
              </w:rPr>
              <w:t>Compensation and Human Capital</w:t>
            </w:r>
          </w:p>
        </w:tc>
        <w:tc>
          <w:tcPr>
            <w:tcW w:w="7280" w:type="dxa"/>
            <w:vAlign w:val="bottom"/>
            <w:gridSpan w:val="2"/>
          </w:tcPr>
          <w:p>
            <w:pPr>
              <w:ind w:left="180"/>
              <w:spacing w:after="0"/>
              <w:rPr>
                <w:sz w:val="20"/>
                <w:szCs w:val="20"/>
                <w:color w:val="auto"/>
              </w:rPr>
            </w:pPr>
            <w:r>
              <w:rPr>
                <w:rFonts w:ascii="Arial" w:cs="Arial" w:eastAsia="Arial" w:hAnsi="Arial"/>
                <w:sz w:val="18"/>
                <w:szCs w:val="18"/>
                <w:color w:val="auto"/>
              </w:rPr>
              <w:t>• With the input of the CEO (excluding CEO pay-related actions), determines annual</w:t>
            </w:r>
          </w:p>
        </w:tc>
        <w:tc>
          <w:tcPr>
            <w:tcW w:w="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220" w:type="dxa"/>
            <w:vAlign w:val="bottom"/>
            <w:tcBorders>
              <w:right w:val="single" w:sz="8" w:color="DBDBDB"/>
            </w:tcBorders>
            <w:shd w:val="clear" w:color="auto" w:fill="D8D8D8"/>
          </w:tcPr>
          <w:p>
            <w:pPr>
              <w:spacing w:after="0"/>
              <w:rPr>
                <w:sz w:val="20"/>
                <w:szCs w:val="20"/>
                <w:color w:val="auto"/>
              </w:rPr>
            </w:pPr>
            <w:r>
              <w:rPr>
                <w:rFonts w:ascii="Arial" w:cs="Arial" w:eastAsia="Arial" w:hAnsi="Arial"/>
                <w:sz w:val="18"/>
                <w:szCs w:val="18"/>
                <w:color w:val="auto"/>
              </w:rPr>
              <w:t>Committee</w:t>
            </w:r>
          </w:p>
        </w:tc>
        <w:tc>
          <w:tcPr>
            <w:tcW w:w="280" w:type="dxa"/>
            <w:vAlign w:val="bottom"/>
          </w:tcPr>
          <w:p>
            <w:pPr>
              <w:spacing w:after="0"/>
              <w:rPr>
                <w:sz w:val="23"/>
                <w:szCs w:val="23"/>
                <w:color w:val="auto"/>
              </w:rPr>
            </w:pPr>
          </w:p>
        </w:tc>
        <w:tc>
          <w:tcPr>
            <w:tcW w:w="7000" w:type="dxa"/>
            <w:vAlign w:val="bottom"/>
          </w:tcPr>
          <w:p>
            <w:pPr>
              <w:ind w:left="60"/>
              <w:spacing w:after="0"/>
              <w:rPr>
                <w:sz w:val="20"/>
                <w:szCs w:val="20"/>
                <w:color w:val="auto"/>
              </w:rPr>
            </w:pPr>
            <w:r>
              <w:rPr>
                <w:rFonts w:ascii="Arial" w:cs="Arial" w:eastAsia="Arial" w:hAnsi="Arial"/>
                <w:sz w:val="18"/>
                <w:szCs w:val="18"/>
                <w:color w:val="auto"/>
              </w:rPr>
              <w:t>bonus awards earned for the prior year</w:t>
            </w:r>
          </w:p>
        </w:tc>
        <w:tc>
          <w:tcPr>
            <w:tcW w:w="2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20" w:type="dxa"/>
            <w:vAlign w:val="bottom"/>
            <w:tcBorders>
              <w:right w:val="single" w:sz="8" w:color="DBDBDB"/>
            </w:tcBorders>
            <w:shd w:val="clear" w:color="auto" w:fill="D8D8D8"/>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40"/>
              <w:spacing w:after="0"/>
              <w:rPr>
                <w:sz w:val="20"/>
                <w:szCs w:val="20"/>
                <w:color w:val="auto"/>
              </w:rPr>
            </w:pPr>
            <w:r>
              <w:rPr>
                <w:rFonts w:ascii="Arial" w:cs="Arial" w:eastAsia="Arial" w:hAnsi="Arial"/>
                <w:sz w:val="18"/>
                <w:szCs w:val="18"/>
                <w:color w:val="auto"/>
              </w:rPr>
              <w:t>Sets performance measures and weightings for the current year, including the</w:t>
            </w:r>
          </w:p>
        </w:tc>
        <w:tc>
          <w:tcPr>
            <w:tcW w:w="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Borders>
              <w:right w:val="single" w:sz="8" w:color="DBDBDB"/>
            </w:tcBorders>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tcPr>
          <w:p>
            <w:pPr>
              <w:ind w:left="60"/>
              <w:spacing w:after="0"/>
              <w:rPr>
                <w:sz w:val="20"/>
                <w:szCs w:val="20"/>
                <w:color w:val="auto"/>
              </w:rPr>
            </w:pPr>
            <w:r>
              <w:rPr>
                <w:rFonts w:ascii="Arial" w:cs="Arial" w:eastAsia="Arial" w:hAnsi="Arial"/>
                <w:sz w:val="18"/>
                <w:szCs w:val="18"/>
                <w:color w:val="auto"/>
              </w:rPr>
              <w:t>threshold, target and maximum goals for each measure, payout ranges, potential</w:t>
            </w:r>
          </w:p>
        </w:tc>
        <w:tc>
          <w:tcPr>
            <w:tcW w:w="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220" w:type="dxa"/>
            <w:vAlign w:val="bottom"/>
            <w:tcBorders>
              <w:bottom w:val="single" w:sz="8" w:color="D8D8D8"/>
              <w:right w:val="single" w:sz="8" w:color="DBDBDB"/>
            </w:tcBorders>
            <w:shd w:val="clear" w:color="auto" w:fill="D8D8D8"/>
          </w:tcPr>
          <w:p>
            <w:pPr>
              <w:spacing w:after="0"/>
              <w:rPr>
                <w:sz w:val="22"/>
                <w:szCs w:val="22"/>
                <w:color w:val="auto"/>
              </w:rPr>
            </w:pPr>
          </w:p>
        </w:tc>
        <w:tc>
          <w:tcPr>
            <w:tcW w:w="280" w:type="dxa"/>
            <w:vAlign w:val="bottom"/>
            <w:tcBorders>
              <w:bottom w:val="single" w:sz="8" w:color="DBDBDB"/>
            </w:tcBorders>
          </w:tcPr>
          <w:p>
            <w:pPr>
              <w:spacing w:after="0"/>
              <w:rPr>
                <w:sz w:val="22"/>
                <w:szCs w:val="22"/>
                <w:color w:val="auto"/>
              </w:rPr>
            </w:pPr>
          </w:p>
        </w:tc>
        <w:tc>
          <w:tcPr>
            <w:tcW w:w="7000" w:type="dxa"/>
            <w:vAlign w:val="bottom"/>
            <w:tcBorders>
              <w:bottom w:val="single" w:sz="8" w:color="DBDBDB"/>
            </w:tcBorders>
          </w:tcPr>
          <w:p>
            <w:pPr>
              <w:ind w:left="60"/>
              <w:spacing w:after="0"/>
              <w:rPr>
                <w:sz w:val="20"/>
                <w:szCs w:val="20"/>
                <w:color w:val="auto"/>
              </w:rPr>
            </w:pPr>
            <w:r>
              <w:rPr>
                <w:rFonts w:ascii="Arial" w:cs="Arial" w:eastAsia="Arial" w:hAnsi="Arial"/>
                <w:sz w:val="18"/>
                <w:szCs w:val="18"/>
                <w:color w:val="auto"/>
              </w:rPr>
              <w:t>adjustment categories, and overall design</w:t>
            </w:r>
          </w:p>
        </w:tc>
        <w:tc>
          <w:tcPr>
            <w:tcW w:w="20" w:type="dxa"/>
            <w:vAlign w:val="bottom"/>
            <w:tcBorders>
              <w:bottom w:val="single" w:sz="8" w:color="DBDBDB"/>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LTIP Targets and Determining Grants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following chart shows our annual process for setting LTIP targets and determining grants. This process typically takes place in the first quarter of each year.</w:t>
      </w:r>
    </w:p>
    <w:p>
      <w:pPr>
        <w:sectPr>
          <w:pgSz w:w="11900" w:h="16838" w:orient="portrait"/>
          <w:cols w:equalWidth="0" w:num="1">
            <w:col w:w="11180"/>
          </w:cols>
          <w:pgMar w:left="320" w:top="1039" w:right="39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Actions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-238760</wp:posOffset>
            </wp:positionV>
            <wp:extent cx="2074545" cy="796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74545" cy="796925"/>
                    </a:xfrm>
                    <a:prstGeom prst="rect">
                      <a:avLst/>
                    </a:prstGeom>
                    <a:noFill/>
                  </pic:spPr>
                </pic:pic>
              </a:graphicData>
            </a:graphic>
          </wp:anchor>
        </w:drawing>
      </w:r>
    </w:p>
    <w:p>
      <w:pPr>
        <w:spacing w:after="0" w:line="7" w:lineRule="exact"/>
        <w:rPr>
          <w:sz w:val="20"/>
          <w:szCs w:val="20"/>
          <w:color w:val="auto"/>
        </w:rPr>
      </w:pPr>
    </w:p>
    <w:p>
      <w:pPr>
        <w:ind w:left="360" w:firstLine="3"/>
        <w:spacing w:after="0" w:line="250" w:lineRule="auto"/>
        <w:tabs>
          <w:tab w:leader="none" w:pos="5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Human Capital Committee takes annually with respect to</w:t>
      </w:r>
    </w:p>
    <w:p>
      <w:pPr>
        <w:ind w:left="360"/>
        <w:spacing w:after="0"/>
        <w:rPr>
          <w:rFonts w:ascii="Arial" w:cs="Arial" w:eastAsia="Arial" w:hAnsi="Arial"/>
          <w:sz w:val="18"/>
          <w:szCs w:val="18"/>
          <w:color w:val="auto"/>
        </w:rPr>
      </w:pPr>
      <w:r>
        <w:rPr>
          <w:rFonts w:ascii="Arial" w:cs="Arial" w:eastAsia="Arial" w:hAnsi="Arial"/>
          <w:sz w:val="18"/>
          <w:szCs w:val="18"/>
          <w:color w:val="auto"/>
        </w:rPr>
        <w:t>LTIP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194945</wp:posOffset>
            </wp:positionV>
            <wp:extent cx="2074545" cy="659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74545" cy="65976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360" w:right="760"/>
        <w:spacing w:after="0" w:line="287" w:lineRule="auto"/>
        <w:rPr>
          <w:sz w:val="20"/>
          <w:szCs w:val="20"/>
          <w:color w:val="auto"/>
        </w:rPr>
      </w:pPr>
      <w:r>
        <w:rPr>
          <w:rFonts w:ascii="Arial" w:cs="Arial" w:eastAsia="Arial" w:hAnsi="Arial"/>
          <w:sz w:val="18"/>
          <w:szCs w:val="18"/>
          <w:color w:val="auto"/>
        </w:rPr>
        <w:t>Specific actions taken for 2025 LTIP Grants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914"/>
        <w:spacing w:after="0"/>
        <w:rPr>
          <w:sz w:val="20"/>
          <w:szCs w:val="20"/>
          <w:color w:val="auto"/>
        </w:rPr>
      </w:pPr>
      <w:r>
        <w:rPr>
          <w:rFonts w:ascii="Arial" w:cs="Arial" w:eastAsia="Arial" w:hAnsi="Arial"/>
          <w:sz w:val="18"/>
          <w:szCs w:val="18"/>
          <w:color w:val="FFFFFF"/>
        </w:rPr>
        <w:t>LTIP Planning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-127635</wp:posOffset>
            </wp:positionV>
            <wp:extent cx="6711950" cy="10115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11950" cy="1011555"/>
                    </a:xfrm>
                    <a:prstGeom prst="rect">
                      <a:avLst/>
                    </a:prstGeom>
                    <a:noFill/>
                  </pic:spPr>
                </pic:pic>
              </a:graphicData>
            </a:graphic>
          </wp:anchor>
        </w:drawing>
      </w:r>
    </w:p>
    <w:p>
      <w:pPr>
        <w:spacing w:after="0" w:line="178" w:lineRule="exact"/>
        <w:rPr>
          <w:sz w:val="20"/>
          <w:szCs w:val="20"/>
          <w:color w:val="auto"/>
        </w:rPr>
      </w:pPr>
    </w:p>
    <w:p>
      <w:pPr>
        <w:ind w:left="154" w:right="520" w:hanging="154"/>
        <w:spacing w:after="0" w:line="281" w:lineRule="auto"/>
        <w:tabs>
          <w:tab w:leader="none" w:pos="1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completed performance periods, determines the number of PSUs, if any, earned by each NEO based on the results for the performance period</w:t>
      </w:r>
    </w:p>
    <w:p>
      <w:pPr>
        <w:spacing w:after="0" w:line="1" w:lineRule="exact"/>
        <w:rPr>
          <w:rFonts w:ascii="Arial" w:cs="Arial" w:eastAsia="Arial" w:hAnsi="Arial"/>
          <w:sz w:val="18"/>
          <w:szCs w:val="18"/>
          <w:color w:val="auto"/>
        </w:rPr>
      </w:pPr>
    </w:p>
    <w:p>
      <w:pPr>
        <w:ind w:left="154" w:right="340" w:hanging="154"/>
        <w:spacing w:after="0" w:line="268" w:lineRule="auto"/>
        <w:tabs>
          <w:tab w:leader="none" w:pos="1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new PSU cycle, establishes overall design, performance measures and weightings; threshold, target, and maximum achievement levels for each measure with associated payout ranges; and vesting schedule.</w:t>
      </w:r>
    </w:p>
    <w:p>
      <w:pPr>
        <w:spacing w:after="0" w:line="170" w:lineRule="exact"/>
        <w:rPr>
          <w:rFonts w:ascii="Arial" w:cs="Arial" w:eastAsia="Arial" w:hAnsi="Arial"/>
          <w:sz w:val="18"/>
          <w:szCs w:val="18"/>
          <w:color w:val="auto"/>
        </w:rPr>
      </w:pPr>
    </w:p>
    <w:p>
      <w:pPr>
        <w:ind w:left="154" w:hanging="154"/>
        <w:spacing w:after="0"/>
        <w:tabs>
          <w:tab w:leader="none" w:pos="1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Approved new LTIP grant values and grant dates for NEOs</w:t>
      </w:r>
    </w:p>
    <w:p>
      <w:pPr>
        <w:spacing w:after="0" w:line="63" w:lineRule="exact"/>
        <w:rPr>
          <w:rFonts w:ascii="Arial" w:cs="Arial" w:eastAsia="Arial" w:hAnsi="Arial"/>
          <w:sz w:val="18"/>
          <w:szCs w:val="18"/>
          <w:color w:val="auto"/>
        </w:rPr>
      </w:pPr>
    </w:p>
    <w:p>
      <w:pPr>
        <w:ind w:left="154" w:right="620" w:hanging="154"/>
        <w:spacing w:after="0" w:line="268" w:lineRule="auto"/>
        <w:tabs>
          <w:tab w:leader="none" w:pos="1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Approved program design, performance measures and weightings; set threshold, target, and maximum achievement levels for each measure with associated payout ranges; and vesting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-659130</wp:posOffset>
            </wp:positionV>
            <wp:extent cx="4637405" cy="668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37405" cy="6686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3120" w:space="686"/>
            <w:col w:w="7374"/>
          </w:cols>
          <w:pgMar w:left="320" w:top="1039" w:right="3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Process for Determining Annual Bonus Plan and LTIP Results and Payouts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After the completion of each fiscal year, the CFO certifies the financial results used by the Committee to make compensation decisions. The CFO attends Committee meetings to discuss financial targets and results for the Annual Bonus Plan and the LTIP as described in the CD&amp;A. Executive officer compensation decisions are made by the Committee after discussing recommendations with the CEO. The Committee meets in executive session to review and recommend to the Board CEO compensation actions.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Annual Bonus Plan</w:t>
      </w:r>
    </w:p>
    <w:p>
      <w:pPr>
        <w:spacing w:after="0" w:line="117" w:lineRule="exact"/>
        <w:rPr>
          <w:sz w:val="20"/>
          <w:szCs w:val="20"/>
          <w:color w:val="auto"/>
        </w:rPr>
      </w:pPr>
    </w:p>
    <w:p>
      <w:pPr>
        <w:ind w:left="340" w:right="80" w:hanging="170"/>
        <w:spacing w:after="0" w:line="28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performance measure is assessed and calculated independently. The weighted results of each measure, if achieved at least at the threshold level, are added together to determine the overall payout factor.</w:t>
      </w:r>
    </w:p>
    <w:p>
      <w:pPr>
        <w:spacing w:after="0" w:line="44" w:lineRule="exact"/>
        <w:rPr>
          <w:rFonts w:ascii="Arial" w:cs="Arial" w:eastAsia="Arial" w:hAnsi="Arial"/>
          <w:sz w:val="18"/>
          <w:szCs w:val="18"/>
          <w:color w:val="auto"/>
        </w:rPr>
      </w:pPr>
    </w:p>
    <w:p>
      <w:pPr>
        <w:ind w:left="340" w:right="320" w:hanging="170"/>
        <w:spacing w:after="0" w:line="28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Committee’s review and approval, any material unusual or infrequent charges may be excluded from the annual bonus plan calculations in order to obtain normalized operational results of the business.</w:t>
      </w:r>
    </w:p>
    <w:p>
      <w:pPr>
        <w:spacing w:after="0" w:line="44" w:lineRule="exact"/>
        <w:rPr>
          <w:rFonts w:ascii="Arial" w:cs="Arial" w:eastAsia="Arial" w:hAnsi="Arial"/>
          <w:sz w:val="18"/>
          <w:szCs w:val="18"/>
          <w:color w:val="auto"/>
        </w:rPr>
      </w:pPr>
    </w:p>
    <w:p>
      <w:pPr>
        <w:ind w:left="340" w:hanging="170"/>
        <w:spacing w:after="0" w:line="259"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Even if pre-established performance measures are achieved, the Committee retains the discretion to adjust the calculated incentive payout, as it deems appropriate, based on overall Xerox performance. The Committee may use its discretion to adjust a payout based on individual performance, provided that an individual executive’s award never exceeds a cap of 2.5 times the executive’s target award opportunity. Beginning in fiscal year 2026, the cap has been reduced to 2.0 times the executive's target award opportunity to better align with market practice and ensure cost discipline and preserve liquidity during transformation.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LTIP</w:t>
      </w:r>
    </w:p>
    <w:p>
      <w:pPr>
        <w:spacing w:after="0" w:line="117" w:lineRule="exact"/>
        <w:rPr>
          <w:sz w:val="20"/>
          <w:szCs w:val="20"/>
          <w:color w:val="auto"/>
        </w:rPr>
      </w:pPr>
    </w:p>
    <w:p>
      <w:pPr>
        <w:ind w:left="340" w:right="460" w:hanging="170"/>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results for each PSU performance metric, subject to that metric’s weighting, are combined to determine the number of PSUs earned, as a percentage of the target number of PSUs awarded.</w:t>
      </w:r>
    </w:p>
    <w:p>
      <w:pPr>
        <w:spacing w:after="0" w:line="44" w:lineRule="exact"/>
        <w:rPr>
          <w:rFonts w:ascii="Arial" w:cs="Arial" w:eastAsia="Arial" w:hAnsi="Arial"/>
          <w:sz w:val="18"/>
          <w:szCs w:val="18"/>
          <w:color w:val="auto"/>
        </w:rPr>
      </w:pPr>
    </w:p>
    <w:p>
      <w:pPr>
        <w:ind w:left="340" w:right="260" w:hanging="170"/>
        <w:spacing w:after="0" w:line="268"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Payouts are made proportionately for achievement between threshold and target, and between target and maximum. No PSUs are earned if performance is below the threshold level for all of the performance metrics established by the Committee. Payout of PSUs is conditioned on actual achievement of the pre-established performance measures and satisfaction of all vesting requirements.</w:t>
      </w:r>
    </w:p>
    <w:p>
      <w:pPr>
        <w:spacing w:after="0" w:line="62" w:lineRule="exact"/>
        <w:rPr>
          <w:rFonts w:ascii="Arial" w:cs="Arial" w:eastAsia="Arial" w:hAnsi="Arial"/>
          <w:sz w:val="18"/>
          <w:szCs w:val="18"/>
          <w:color w:val="auto"/>
        </w:rPr>
      </w:pPr>
    </w:p>
    <w:p>
      <w:pPr>
        <w:ind w:left="340" w:right="60" w:hanging="170"/>
        <w:spacing w:after="0" w:line="262"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Beginning in fiscal year 2025, the target numbers of PSUs and RSUs granted to our NEOs were determined by dividing the approved LTIP grant-date values (dollar amount) by the average closing market price of our common stock over the 15 trading days preceding the grant date ($6.89) plus the fair value of the rTSR component ($0.08), as calculated using a Monte Carlo valuation model (for PSUs), and the average closing market price of our common stock over the 15 trading days preceding the grant date ($6.89) for RSUs.</w:t>
      </w:r>
    </w:p>
    <w:p>
      <w:pPr>
        <w:spacing w:after="0" w:line="68" w:lineRule="exact"/>
        <w:rPr>
          <w:rFonts w:ascii="Arial" w:cs="Arial" w:eastAsia="Arial" w:hAnsi="Arial"/>
          <w:sz w:val="18"/>
          <w:szCs w:val="18"/>
          <w:color w:val="auto"/>
        </w:rPr>
      </w:pPr>
    </w:p>
    <w:p>
      <w:pPr>
        <w:ind w:left="340" w:right="240" w:hanging="170"/>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earned PSUs are paid as shares, as soon as practicable following the later of the Compensation and Human Capital Committee's approval, or the PSU vesting date.</w:t>
      </w:r>
    </w:p>
    <w:p>
      <w:pPr>
        <w:spacing w:after="0" w:line="44" w:lineRule="exact"/>
        <w:rPr>
          <w:rFonts w:ascii="Arial" w:cs="Arial" w:eastAsia="Arial" w:hAnsi="Arial"/>
          <w:sz w:val="18"/>
          <w:szCs w:val="18"/>
          <w:color w:val="auto"/>
        </w:rPr>
      </w:pPr>
    </w:p>
    <w:p>
      <w:pPr>
        <w:ind w:left="340" w:right="660" w:hanging="170"/>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PSU performance targets were modified in fiscal year 2025 to reflect the Company's increase in value following the Lexmark transaction.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Committee's independent compensation consultant conducted an assessment of risk arising from the Company’s compensation programs. The assessment included reviews of our pay mix, incentive plan metrics and goal setting, performance appraisals, and other risk mitigation policies.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Based on the assessment of programs covering our executives for 2025, the Committee determined that our compensation plans, programs, and practices do not promote excessive risk taking or motivate behavior that is reasonably likely to have a material adverse impact on the Company. The Committee believes that our programs encourage appropriate behavior while balancing risk and reward, consistent with the interests of our shareholders.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2025 COMPENSATION 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In 2025, the Committee conducted its annual review of executive officer base salaries. Consistent with the Company’s focus on cost discipline and financial stewardship, no general base salary increases were approved during the year.</w:t>
      </w:r>
    </w:p>
    <w:p>
      <w:pPr>
        <w:spacing w:after="0" w:line="4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only base salary adjustments in 2025 were associated with appointments to the EVP, Chief Financial Officer role. Ms. Gecaj’s base salary was increased effective February 1, 2025 upon her promotion to EVP, Chief Financial Officer, and Mr. Butler’s base salary was established effective December 3, 2025 in connection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6" w:name="page47"/>
    <w:bookmarkEnd w:id="46"/>
    <w:p>
      <w:pPr>
        <w:ind w:right="240"/>
        <w:spacing w:after="0" w:line="271" w:lineRule="auto"/>
        <w:rPr>
          <w:sz w:val="20"/>
          <w:szCs w:val="20"/>
          <w:color w:val="auto"/>
        </w:rPr>
      </w:pPr>
      <w:r>
        <w:rPr>
          <w:rFonts w:ascii="Arial" w:cs="Arial" w:eastAsia="Arial" w:hAnsi="Arial"/>
          <w:sz w:val="18"/>
          <w:szCs w:val="18"/>
          <w:color w:val="auto"/>
        </w:rPr>
        <w:t>with his appointment to that role. These actions reflected the distinct scope and statutory responsibilities of the EVP, Chief Financial Officer position and market alignment considerations.</w:t>
      </w:r>
    </w:p>
    <w:p>
      <w:pPr>
        <w:spacing w:after="0" w:line="5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Messrs. Pastor and Gueden did not receive base salary increases in connection with their role changes during 2025, as the Committee determined their compensation remained appropriately positioned at that time. The Committee will continue to evaluate executive compensation in the ordinary course as part of its annual governance process, taking into account internal equity, scope of responsibilities, and relevant market data.</w:t>
      </w:r>
    </w:p>
    <w:tbl>
      <w:tblPr>
        <w:tblLayout w:type="fixed"/>
        <w:tblInd w:w="10" w:type="dxa"/>
        <w:tblCellMar>
          <w:top w:w="0" w:type="dxa"/>
          <w:left w:w="0" w:type="dxa"/>
          <w:bottom w:w="0" w:type="dxa"/>
          <w:right w:w="0" w:type="dxa"/>
        </w:tblCellMar>
      </w:tblPr>
      <w:tr>
        <w:trPr>
          <w:trHeight w:val="195"/>
        </w:trPr>
        <w:tc>
          <w:tcPr>
            <w:tcW w:w="7620" w:type="dxa"/>
            <w:vAlign w:val="bottom"/>
            <w:tcBorders>
              <w:left w:val="single" w:sz="8" w:color="B6B6B6"/>
              <w:right w:val="single" w:sz="8" w:color="B6B6B6"/>
            </w:tcBorders>
            <w:vMerge w:val="restart"/>
            <w:shd w:val="clear" w:color="auto" w:fill="D92231"/>
          </w:tcPr>
          <w:p>
            <w:pPr>
              <w:ind w:left="40"/>
              <w:spacing w:after="0"/>
              <w:rPr>
                <w:sz w:val="20"/>
                <w:szCs w:val="20"/>
                <w:color w:val="auto"/>
              </w:rPr>
            </w:pPr>
            <w:r>
              <w:rPr>
                <w:rFonts w:ascii="Arial" w:cs="Arial" w:eastAsia="Arial" w:hAnsi="Arial"/>
                <w:sz w:val="18"/>
                <w:szCs w:val="18"/>
                <w:b w:val="1"/>
                <w:bCs w:val="1"/>
                <w:color w:val="FFFFFF"/>
              </w:rPr>
              <w:t>Executive</w:t>
            </w:r>
          </w:p>
        </w:tc>
        <w:tc>
          <w:tcPr>
            <w:tcW w:w="1820" w:type="dxa"/>
            <w:vAlign w:val="bottom"/>
            <w:tcBorders>
              <w:right w:val="single" w:sz="8" w:color="B6B6B6"/>
            </w:tcBorders>
            <w:shd w:val="clear" w:color="auto" w:fill="D92231"/>
          </w:tcPr>
          <w:p>
            <w:pPr>
              <w:jc w:val="center"/>
              <w:spacing w:after="0" w:line="195" w:lineRule="exact"/>
              <w:rPr>
                <w:sz w:val="20"/>
                <w:szCs w:val="20"/>
                <w:color w:val="auto"/>
              </w:rPr>
            </w:pPr>
            <w:r>
              <w:rPr>
                <w:rFonts w:ascii="Arial" w:cs="Arial" w:eastAsia="Arial" w:hAnsi="Arial"/>
                <w:sz w:val="18"/>
                <w:szCs w:val="18"/>
                <w:b w:val="1"/>
                <w:bCs w:val="1"/>
                <w:color w:val="FFFFFF"/>
              </w:rPr>
              <w:t>2025 Annualized</w:t>
            </w:r>
          </w:p>
        </w:tc>
        <w:tc>
          <w:tcPr>
            <w:tcW w:w="1820" w:type="dxa"/>
            <w:vAlign w:val="bottom"/>
            <w:tcBorders>
              <w:right w:val="single" w:sz="8" w:color="B6B6B6"/>
            </w:tcBorders>
            <w:shd w:val="clear" w:color="auto" w:fill="D92231"/>
          </w:tcPr>
          <w:p>
            <w:pPr>
              <w:jc w:val="center"/>
              <w:spacing w:after="0" w:line="195" w:lineRule="exact"/>
              <w:rPr>
                <w:sz w:val="20"/>
                <w:szCs w:val="20"/>
                <w:color w:val="auto"/>
              </w:rPr>
            </w:pPr>
            <w:r>
              <w:rPr>
                <w:rFonts w:ascii="Arial" w:cs="Arial" w:eastAsia="Arial" w:hAnsi="Arial"/>
                <w:sz w:val="18"/>
                <w:szCs w:val="18"/>
                <w:b w:val="1"/>
                <w:bCs w:val="1"/>
                <w:color w:val="FFFFFF"/>
                <w:w w:val="99"/>
              </w:rPr>
              <w:t>2024 Annualized</w:t>
            </w:r>
          </w:p>
        </w:tc>
        <w:tc>
          <w:tcPr>
            <w:tcW w:w="0" w:type="dxa"/>
            <w:vAlign w:val="bottom"/>
          </w:tcPr>
          <w:p>
            <w:pPr>
              <w:spacing w:after="0"/>
              <w:rPr>
                <w:sz w:val="1"/>
                <w:szCs w:val="1"/>
                <w:color w:val="auto"/>
              </w:rPr>
            </w:pPr>
          </w:p>
        </w:tc>
      </w:tr>
      <w:tr>
        <w:trPr>
          <w:trHeight w:val="257"/>
        </w:trPr>
        <w:tc>
          <w:tcPr>
            <w:tcW w:w="7620" w:type="dxa"/>
            <w:vAlign w:val="bottom"/>
            <w:tcBorders>
              <w:left w:val="single" w:sz="8" w:color="B6B6B6"/>
              <w:right w:val="single" w:sz="8" w:color="B6B6B6"/>
            </w:tcBorders>
            <w:vMerge w:val="continue"/>
            <w:shd w:val="clear" w:color="auto" w:fill="D92231"/>
          </w:tcPr>
          <w:p>
            <w:pPr>
              <w:spacing w:after="0"/>
              <w:rPr>
                <w:sz w:val="22"/>
                <w:szCs w:val="22"/>
                <w:color w:val="auto"/>
              </w:rPr>
            </w:pPr>
          </w:p>
        </w:tc>
        <w:tc>
          <w:tcPr>
            <w:tcW w:w="1820" w:type="dxa"/>
            <w:vAlign w:val="bottom"/>
            <w:tcBorders>
              <w:right w:val="single" w:sz="8" w:color="B6B6B6"/>
            </w:tcBorders>
            <w:shd w:val="clear" w:color="auto" w:fill="D92231"/>
          </w:tcPr>
          <w:p>
            <w:pPr>
              <w:jc w:val="center"/>
              <w:spacing w:after="0"/>
              <w:rPr>
                <w:sz w:val="20"/>
                <w:szCs w:val="20"/>
                <w:color w:val="auto"/>
              </w:rPr>
            </w:pPr>
            <w:r>
              <w:rPr>
                <w:rFonts w:ascii="Arial" w:cs="Arial" w:eastAsia="Arial" w:hAnsi="Arial"/>
                <w:sz w:val="18"/>
                <w:szCs w:val="18"/>
                <w:b w:val="1"/>
                <w:bCs w:val="1"/>
                <w:color w:val="FFFFFF"/>
              </w:rPr>
              <w:t>Base Salary ($)</w:t>
            </w:r>
          </w:p>
        </w:tc>
        <w:tc>
          <w:tcPr>
            <w:tcW w:w="1820" w:type="dxa"/>
            <w:vAlign w:val="bottom"/>
            <w:tcBorders>
              <w:right w:val="single" w:sz="8" w:color="B6B6B6"/>
            </w:tcBorders>
            <w:shd w:val="clear" w:color="auto" w:fill="D92231"/>
          </w:tcPr>
          <w:p>
            <w:pPr>
              <w:jc w:val="center"/>
              <w:spacing w:after="0"/>
              <w:rPr>
                <w:sz w:val="20"/>
                <w:szCs w:val="20"/>
                <w:color w:val="auto"/>
              </w:rPr>
            </w:pPr>
            <w:r>
              <w:rPr>
                <w:rFonts w:ascii="Arial" w:cs="Arial" w:eastAsia="Arial" w:hAnsi="Arial"/>
                <w:sz w:val="18"/>
                <w:szCs w:val="18"/>
                <w:b w:val="1"/>
                <w:bCs w:val="1"/>
                <w:color w:val="FFFFFF"/>
                <w:w w:val="99"/>
              </w:rPr>
              <w:t>Base Salary ($)</w:t>
            </w:r>
          </w:p>
        </w:tc>
        <w:tc>
          <w:tcPr>
            <w:tcW w:w="0" w:type="dxa"/>
            <w:vAlign w:val="bottom"/>
          </w:tcPr>
          <w:p>
            <w:pPr>
              <w:spacing w:after="0"/>
              <w:rPr>
                <w:sz w:val="1"/>
                <w:szCs w:val="1"/>
                <w:color w:val="auto"/>
              </w:rPr>
            </w:pPr>
          </w:p>
        </w:tc>
      </w:tr>
      <w:tr>
        <w:trPr>
          <w:trHeight w:val="229"/>
        </w:trPr>
        <w:tc>
          <w:tcPr>
            <w:tcW w:w="762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Steven J. Bandrowczak</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1,100,000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1,100,000</w:t>
            </w:r>
          </w:p>
        </w:tc>
        <w:tc>
          <w:tcPr>
            <w:tcW w:w="0" w:type="dxa"/>
            <w:vAlign w:val="bottom"/>
          </w:tcPr>
          <w:p>
            <w:pPr>
              <w:spacing w:after="0"/>
              <w:rPr>
                <w:sz w:val="1"/>
                <w:szCs w:val="1"/>
                <w:color w:val="auto"/>
              </w:rPr>
            </w:pPr>
          </w:p>
        </w:tc>
      </w:tr>
      <w:tr>
        <w:trPr>
          <w:trHeight w:val="223"/>
        </w:trPr>
        <w:tc>
          <w:tcPr>
            <w:tcW w:w="762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John Bruno</w:t>
            </w:r>
            <w:r>
              <w:rPr>
                <w:rFonts w:ascii="Arial" w:cs="Arial" w:eastAsia="Arial" w:hAnsi="Arial"/>
                <w:sz w:val="23"/>
                <w:szCs w:val="23"/>
                <w:color w:val="auto"/>
                <w:vertAlign w:val="superscript"/>
              </w:rPr>
              <w:t>(1)</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850,000</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8"/>
              </w:rPr>
              <w:t>850,000</w:t>
            </w:r>
          </w:p>
        </w:tc>
        <w:tc>
          <w:tcPr>
            <w:tcW w:w="0" w:type="dxa"/>
            <w:vAlign w:val="bottom"/>
          </w:tcPr>
          <w:p>
            <w:pPr>
              <w:spacing w:after="0"/>
              <w:rPr>
                <w:sz w:val="1"/>
                <w:szCs w:val="1"/>
                <w:color w:val="auto"/>
              </w:rPr>
            </w:pPr>
          </w:p>
        </w:tc>
      </w:tr>
      <w:tr>
        <w:trPr>
          <w:trHeight w:val="223"/>
        </w:trPr>
        <w:tc>
          <w:tcPr>
            <w:tcW w:w="762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Louis J. Pastor</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rPr>
              <w:t>625,000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8"/>
              </w:rPr>
              <w:t>625,000</w:t>
            </w:r>
          </w:p>
        </w:tc>
        <w:tc>
          <w:tcPr>
            <w:tcW w:w="0" w:type="dxa"/>
            <w:vAlign w:val="bottom"/>
          </w:tcPr>
          <w:p>
            <w:pPr>
              <w:spacing w:after="0"/>
              <w:rPr>
                <w:sz w:val="1"/>
                <w:szCs w:val="1"/>
                <w:color w:val="auto"/>
              </w:rPr>
            </w:pPr>
          </w:p>
        </w:tc>
      </w:tr>
      <w:tr>
        <w:trPr>
          <w:trHeight w:val="223"/>
        </w:trPr>
        <w:tc>
          <w:tcPr>
            <w:tcW w:w="762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Charles Butler</w:t>
            </w:r>
            <w:r>
              <w:rPr>
                <w:rFonts w:ascii="Arial" w:cs="Arial" w:eastAsia="Arial" w:hAnsi="Arial"/>
                <w:sz w:val="23"/>
                <w:szCs w:val="23"/>
                <w:color w:val="auto"/>
                <w:vertAlign w:val="superscript"/>
              </w:rPr>
              <w:t>(2)(3)</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550,000</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62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Jacques-Edouard Gueden</w:t>
            </w:r>
            <w:r>
              <w:rPr>
                <w:rFonts w:ascii="Arial" w:cs="Arial" w:eastAsia="Arial" w:hAnsi="Arial"/>
                <w:sz w:val="23"/>
                <w:szCs w:val="23"/>
                <w:color w:val="auto"/>
                <w:vertAlign w:val="superscript"/>
              </w:rPr>
              <w:t>(4)</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rPr>
              <w:t>590,071</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8"/>
              </w:rPr>
              <w:t>528,941</w:t>
            </w:r>
          </w:p>
        </w:tc>
        <w:tc>
          <w:tcPr>
            <w:tcW w:w="0" w:type="dxa"/>
            <w:vAlign w:val="bottom"/>
          </w:tcPr>
          <w:p>
            <w:pPr>
              <w:spacing w:after="0"/>
              <w:rPr>
                <w:sz w:val="1"/>
                <w:szCs w:val="1"/>
                <w:color w:val="auto"/>
              </w:rPr>
            </w:pPr>
          </w:p>
        </w:tc>
      </w:tr>
      <w:tr>
        <w:trPr>
          <w:trHeight w:val="223"/>
        </w:trPr>
        <w:tc>
          <w:tcPr>
            <w:tcW w:w="762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Flor M. Colón</w:t>
            </w:r>
            <w:r>
              <w:rPr>
                <w:rFonts w:ascii="Arial" w:cs="Arial" w:eastAsia="Arial" w:hAnsi="Arial"/>
                <w:sz w:val="23"/>
                <w:szCs w:val="23"/>
                <w:color w:val="auto"/>
                <w:vertAlign w:val="superscript"/>
              </w:rPr>
              <w:t>(2)</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505,000</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62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Mirlanda Gecaj</w:t>
            </w:r>
            <w:r>
              <w:rPr>
                <w:rFonts w:ascii="Arial" w:cs="Arial" w:eastAsia="Arial" w:hAnsi="Arial"/>
                <w:sz w:val="23"/>
                <w:szCs w:val="23"/>
                <w:color w:val="auto"/>
                <w:vertAlign w:val="superscript"/>
              </w:rPr>
              <w:t>(2)(5)</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rPr>
              <w:t>550,000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62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 xml:space="preserve">Xavier Heiss </w:t>
            </w:r>
            <w:r>
              <w:rPr>
                <w:rFonts w:ascii="Arial" w:cs="Arial" w:eastAsia="Arial" w:hAnsi="Arial"/>
                <w:sz w:val="23"/>
                <w:szCs w:val="23"/>
                <w:color w:val="auto"/>
                <w:vertAlign w:val="superscript"/>
              </w:rPr>
              <w:t>(4)(6)</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750,999</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8"/>
              </w:rPr>
              <w:t>673,198</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14" w:lineRule="exact"/>
        <w:rPr>
          <w:sz w:val="20"/>
          <w:szCs w:val="20"/>
          <w:color w:val="auto"/>
        </w:rPr>
      </w:pPr>
    </w:p>
    <w:p>
      <w:pPr>
        <w:ind w:right="2680" w:firstLine="8"/>
        <w:spacing w:after="0"/>
        <w:tabs>
          <w:tab w:leader="none" w:pos="175"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Mr. Bruno resigned from his position with the Company on August 31, 2025, but continues to serve on the Board.</w:t>
      </w:r>
    </w:p>
    <w:p>
      <w:pPr>
        <w:spacing w:after="0" w:line="175" w:lineRule="exact"/>
        <w:rPr>
          <w:rFonts w:ascii="Arial" w:cs="Arial" w:eastAsia="Arial" w:hAnsi="Arial"/>
          <w:sz w:val="20"/>
          <w:szCs w:val="20"/>
          <w:color w:val="auto"/>
          <w:vertAlign w:val="superscript"/>
        </w:rPr>
      </w:pPr>
    </w:p>
    <w:p>
      <w:pPr>
        <w:ind w:left="200" w:hanging="192"/>
        <w:spacing w:after="0" w:line="183" w:lineRule="auto"/>
        <w:tabs>
          <w:tab w:leader="none" w:pos="20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Mr. Butler and Mses. Colón and Gecaj were not NEOs prior to 2025.</w:t>
      </w:r>
    </w:p>
    <w:p>
      <w:pPr>
        <w:ind w:right="2780" w:firstLine="8"/>
        <w:spacing w:after="0" w:line="216" w:lineRule="auto"/>
        <w:tabs>
          <w:tab w:leader="none" w:pos="193"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Mr. Butler was appointed EVP, Chief Financial Officer, effective December 3, 2025. His 2025 Annualized Base Salary reflects his annual base salary in effect on December 3, 2025.</w:t>
      </w:r>
    </w:p>
    <w:p>
      <w:pPr>
        <w:spacing w:after="0" w:line="1" w:lineRule="exact"/>
        <w:rPr>
          <w:rFonts w:ascii="Arial" w:cs="Arial" w:eastAsia="Arial" w:hAnsi="Arial"/>
          <w:sz w:val="22"/>
          <w:szCs w:val="22"/>
          <w:color w:val="auto"/>
          <w:vertAlign w:val="superscript"/>
        </w:rPr>
      </w:pPr>
    </w:p>
    <w:p>
      <w:pPr>
        <w:ind w:right="2440" w:firstLine="8"/>
        <w:spacing w:after="0" w:line="226" w:lineRule="auto"/>
        <w:tabs>
          <w:tab w:leader="none" w:pos="193" w:val="left"/>
        </w:tabs>
        <w:numPr>
          <w:ilvl w:val="0"/>
          <w:numId w:val="46"/>
        </w:numPr>
        <w:rPr>
          <w:rFonts w:ascii="Arial" w:cs="Arial" w:eastAsia="Arial" w:hAnsi="Arial"/>
          <w:sz w:val="22"/>
          <w:szCs w:val="22"/>
          <w:color w:val="auto"/>
          <w:vertAlign w:val="superscript"/>
        </w:rPr>
      </w:pPr>
      <w:r>
        <w:rPr>
          <w:rFonts w:ascii="Arial" w:cs="Arial" w:eastAsia="Arial" w:hAnsi="Arial"/>
          <w:sz w:val="17"/>
          <w:szCs w:val="17"/>
          <w:color w:val="auto"/>
        </w:rPr>
        <w:t>Mr. Gueden's and Mr. Heiss' base salary is denominated and paid in EUR. The amounts shown above are in USD and reflects the average exchange rate of 1.1697 and 1.04855 EUR per USD, for December 31, 2025 and 2024, respectively.</w:t>
      </w:r>
    </w:p>
    <w:p>
      <w:pPr>
        <w:spacing w:after="0" w:line="1" w:lineRule="exact"/>
        <w:rPr>
          <w:rFonts w:ascii="Arial" w:cs="Arial" w:eastAsia="Arial" w:hAnsi="Arial"/>
          <w:sz w:val="22"/>
          <w:szCs w:val="22"/>
          <w:color w:val="auto"/>
          <w:vertAlign w:val="superscript"/>
        </w:rPr>
      </w:pPr>
    </w:p>
    <w:p>
      <w:pPr>
        <w:ind w:left="180" w:hanging="172"/>
        <w:spacing w:after="0" w:line="201" w:lineRule="auto"/>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Ms. Gecaj's employment with the Company ended on December 2, 2025.</w:t>
      </w:r>
    </w:p>
    <w:p>
      <w:pPr>
        <w:ind w:left="180" w:hanging="172"/>
        <w:spacing w:after="0" w:line="219" w:lineRule="auto"/>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231F20"/>
        </w:rPr>
        <w:t>Mr. Heiss retired from his position with the Company on January 31, 2025.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Metrics, Results and Payout: 2025 MIP</w:t>
      </w:r>
    </w:p>
    <w:p>
      <w:pPr>
        <w:spacing w:after="0" w:line="11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principal financial metric under the 2025 MIP remained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EBITDA, consistent with 2024, reflecting the continued focus on business growth throughout our Reinvention journey. In connection with the closing of the Lexmark acquisition on July 1, 2025, the Committee approved an increase to the full-year 2025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EBITDA goal to reflect the anticipated contribution of Lexmark for the second half of the fiscal year and the expected results of the combined company. This increase ensured that executive performance would be measured against the business owned by shareholders following the acquisition. The Committee also determined that this approach maintained alignment between pay and performance and avoided any unintended windfall or dilution of performance standards as a result of the transaction.</w:t>
      </w:r>
    </w:p>
    <w:p>
      <w:pPr>
        <w:spacing w:after="0" w:line="9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2025 we also included fundamental CSR metrics reinforcing our commitment toward achieving carbon neutrality by 2040 and advancing employee learning and development initiatives.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overall metrics and weightings for 2025 and 2024 were as follows: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60" w:type="dxa"/>
            <w:vAlign w:val="bottom"/>
            <w:tcBorders>
              <w:left w:val="single" w:sz="8" w:color="DA2031"/>
              <w:bottom w:val="single" w:sz="8" w:color="B6B6B6"/>
              <w:right w:val="single" w:sz="8" w:color="DA2031"/>
            </w:tcBorders>
            <w:shd w:val="clear" w:color="auto" w:fill="DA2031"/>
          </w:tcPr>
          <w:p>
            <w:pPr>
              <w:ind w:left="20"/>
              <w:spacing w:after="0"/>
              <w:rPr>
                <w:sz w:val="20"/>
                <w:szCs w:val="20"/>
                <w:color w:val="auto"/>
              </w:rPr>
            </w:pPr>
            <w:r>
              <w:rPr>
                <w:rFonts w:ascii="Arial" w:cs="Arial" w:eastAsia="Arial" w:hAnsi="Arial"/>
                <w:sz w:val="18"/>
                <w:szCs w:val="18"/>
                <w:b w:val="1"/>
                <w:bCs w:val="1"/>
                <w:color w:val="FFFFFF"/>
              </w:rPr>
              <w:t>2025 Metrics</w:t>
            </w:r>
          </w:p>
        </w:tc>
        <w:tc>
          <w:tcPr>
            <w:tcW w:w="900" w:type="dxa"/>
            <w:vAlign w:val="bottom"/>
            <w:tcBorders>
              <w:bottom w:val="single" w:sz="8" w:color="B6B6B6"/>
              <w:right w:val="single" w:sz="8" w:color="DA2031"/>
            </w:tcBorders>
            <w:shd w:val="clear" w:color="auto" w:fill="DA2031"/>
          </w:tcPr>
          <w:p>
            <w:pPr>
              <w:jc w:val="right"/>
              <w:ind w:right="210"/>
              <w:spacing w:after="0"/>
              <w:rPr>
                <w:sz w:val="20"/>
                <w:szCs w:val="20"/>
                <w:color w:val="auto"/>
              </w:rPr>
            </w:pPr>
            <w:r>
              <w:rPr>
                <w:rFonts w:ascii="Arial" w:cs="Arial" w:eastAsia="Arial" w:hAnsi="Arial"/>
                <w:sz w:val="18"/>
                <w:szCs w:val="18"/>
                <w:b w:val="1"/>
                <w:bCs w:val="1"/>
                <w:color w:val="FFFFFF"/>
                <w:w w:val="96"/>
              </w:rPr>
              <w:t>Weight</w:t>
            </w:r>
          </w:p>
        </w:tc>
        <w:tc>
          <w:tcPr>
            <w:tcW w:w="4800" w:type="dxa"/>
            <w:vAlign w:val="bottom"/>
            <w:tcBorders>
              <w:bottom w:val="single" w:sz="8" w:color="B6B6B6"/>
              <w:right w:val="single" w:sz="8" w:color="DA2031"/>
            </w:tcBorders>
            <w:shd w:val="clear" w:color="auto" w:fill="DA2031"/>
          </w:tcPr>
          <w:p>
            <w:pPr>
              <w:spacing w:after="0"/>
              <w:rPr>
                <w:sz w:val="20"/>
                <w:szCs w:val="20"/>
                <w:color w:val="auto"/>
              </w:rPr>
            </w:pPr>
            <w:r>
              <w:rPr>
                <w:rFonts w:ascii="Arial" w:cs="Arial" w:eastAsia="Arial" w:hAnsi="Arial"/>
                <w:sz w:val="18"/>
                <w:szCs w:val="18"/>
                <w:b w:val="1"/>
                <w:bCs w:val="1"/>
                <w:color w:val="FFFFFF"/>
              </w:rPr>
              <w:t>2024 Metrics</w:t>
            </w:r>
          </w:p>
        </w:tc>
        <w:tc>
          <w:tcPr>
            <w:tcW w:w="900" w:type="dxa"/>
            <w:vAlign w:val="bottom"/>
            <w:tcBorders>
              <w:bottom w:val="single" w:sz="8" w:color="B6B6B6"/>
              <w:right w:val="single" w:sz="8" w:color="DA2031"/>
            </w:tcBorders>
            <w:shd w:val="clear" w:color="auto" w:fill="DA2031"/>
          </w:tcPr>
          <w:p>
            <w:pPr>
              <w:jc w:val="right"/>
              <w:ind w:right="230"/>
              <w:spacing w:after="0"/>
              <w:rPr>
                <w:sz w:val="20"/>
                <w:szCs w:val="20"/>
                <w:color w:val="auto"/>
              </w:rPr>
            </w:pPr>
            <w:r>
              <w:rPr>
                <w:rFonts w:ascii="Arial" w:cs="Arial" w:eastAsia="Arial" w:hAnsi="Arial"/>
                <w:sz w:val="18"/>
                <w:szCs w:val="18"/>
                <w:b w:val="1"/>
                <w:bCs w:val="1"/>
                <w:color w:val="FFFFFF"/>
                <w:w w:val="93"/>
              </w:rPr>
              <w:t>Weight</w:t>
            </w:r>
          </w:p>
        </w:tc>
        <w:tc>
          <w:tcPr>
            <w:tcW w:w="0" w:type="dxa"/>
            <w:vAlign w:val="bottom"/>
          </w:tcPr>
          <w:p>
            <w:pPr>
              <w:spacing w:after="0"/>
              <w:rPr>
                <w:sz w:val="1"/>
                <w:szCs w:val="1"/>
                <w:color w:val="auto"/>
              </w:rPr>
            </w:pPr>
          </w:p>
        </w:tc>
      </w:tr>
      <w:tr>
        <w:trPr>
          <w:trHeight w:val="223"/>
        </w:trPr>
        <w:tc>
          <w:tcPr>
            <w:tcW w:w="466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EBITDA</w:t>
            </w:r>
          </w:p>
        </w:tc>
        <w:tc>
          <w:tcPr>
            <w:tcW w:w="900" w:type="dxa"/>
            <w:vAlign w:val="bottom"/>
            <w:tcBorders>
              <w:bottom w:val="single" w:sz="8" w:color="B6B6B6"/>
              <w:right w:val="single" w:sz="8" w:color="B6B6B6"/>
            </w:tcBorders>
            <w:shd w:val="clear" w:color="auto" w:fill="DBDBDB"/>
          </w:tcPr>
          <w:p>
            <w:pPr>
              <w:jc w:val="right"/>
              <w:ind w:right="190"/>
              <w:spacing w:after="0"/>
              <w:rPr>
                <w:sz w:val="20"/>
                <w:szCs w:val="20"/>
                <w:color w:val="auto"/>
              </w:rPr>
            </w:pPr>
            <w:r>
              <w:rPr>
                <w:rFonts w:ascii="Arial" w:cs="Arial" w:eastAsia="Arial" w:hAnsi="Arial"/>
                <w:sz w:val="18"/>
                <w:szCs w:val="18"/>
                <w:color w:val="auto"/>
              </w:rPr>
              <w:t>90%</w:t>
            </w:r>
          </w:p>
        </w:tc>
        <w:tc>
          <w:tcPr>
            <w:tcW w:w="4800" w:type="dxa"/>
            <w:vAlign w:val="bottom"/>
            <w:tcBorders>
              <w:bottom w:val="single" w:sz="8" w:color="B6B6B6"/>
              <w:right w:val="single" w:sz="8" w:color="B6B6B6"/>
            </w:tcBorders>
            <w:shd w:val="clear" w:color="auto" w:fill="DBDBDB"/>
          </w:tcPr>
          <w:p>
            <w:pPr>
              <w:ind w:left="20"/>
              <w:spacing w:after="0" w:line="223" w:lineRule="exact"/>
              <w:rPr>
                <w:sz w:val="20"/>
                <w:szCs w:val="20"/>
                <w:color w:val="auto"/>
              </w:rPr>
            </w:pPr>
            <w:r>
              <w:rPr>
                <w:rFonts w:ascii="Arial" w:cs="Arial" w:eastAsia="Arial" w:hAnsi="Arial"/>
                <w:sz w:val="18"/>
                <w:szCs w:val="18"/>
                <w:color w:val="auto"/>
              </w:rPr>
              <w:t>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EBITDA</w:t>
            </w:r>
          </w:p>
        </w:tc>
        <w:tc>
          <w:tcPr>
            <w:tcW w:w="900" w:type="dxa"/>
            <w:vAlign w:val="bottom"/>
            <w:tcBorders>
              <w:bottom w:val="single" w:sz="8" w:color="B6B6B6"/>
              <w:right w:val="single" w:sz="8" w:color="B6B6B6"/>
            </w:tcBorders>
            <w:shd w:val="clear" w:color="auto" w:fill="DBDBDB"/>
          </w:tcPr>
          <w:p>
            <w:pPr>
              <w:jc w:val="right"/>
              <w:ind w:right="19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46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Corporate Social Responsibility</w:t>
            </w:r>
          </w:p>
        </w:tc>
        <w:tc>
          <w:tcPr>
            <w:tcW w:w="900" w:type="dxa"/>
            <w:vAlign w:val="bottom"/>
            <w:tcBorders>
              <w:bottom w:val="single" w:sz="8" w:color="B6B6B6"/>
              <w:right w:val="single" w:sz="8" w:color="B6B6B6"/>
            </w:tcBorders>
          </w:tcPr>
          <w:p>
            <w:pPr>
              <w:jc w:val="right"/>
              <w:ind w:right="190"/>
              <w:spacing w:after="0"/>
              <w:rPr>
                <w:sz w:val="20"/>
                <w:szCs w:val="20"/>
                <w:color w:val="auto"/>
              </w:rPr>
            </w:pPr>
            <w:r>
              <w:rPr>
                <w:rFonts w:ascii="Arial" w:cs="Arial" w:eastAsia="Arial" w:hAnsi="Arial"/>
                <w:sz w:val="18"/>
                <w:szCs w:val="18"/>
                <w:color w:val="auto"/>
              </w:rPr>
              <w:t>10%</w:t>
            </w:r>
          </w:p>
        </w:tc>
        <w:tc>
          <w:tcPr>
            <w:tcW w:w="4800" w:type="dxa"/>
            <w:vAlign w:val="bottom"/>
            <w:tcBorders>
              <w:bottom w:val="single" w:sz="8" w:color="B6B6B6"/>
              <w:right w:val="single" w:sz="8" w:color="B6B6B6"/>
            </w:tcBorders>
          </w:tcPr>
          <w:p>
            <w:pPr>
              <w:ind w:left="20"/>
              <w:spacing w:after="0"/>
              <w:rPr>
                <w:sz w:val="20"/>
                <w:szCs w:val="20"/>
                <w:color w:val="auto"/>
              </w:rPr>
            </w:pPr>
            <w:r>
              <w:rPr>
                <w:rFonts w:ascii="Arial" w:cs="Arial" w:eastAsia="Arial" w:hAnsi="Arial"/>
                <w:sz w:val="18"/>
                <w:szCs w:val="18"/>
                <w:color w:val="auto"/>
              </w:rPr>
              <w:t>ESG</w:t>
            </w:r>
          </w:p>
        </w:tc>
        <w:tc>
          <w:tcPr>
            <w:tcW w:w="900" w:type="dxa"/>
            <w:vAlign w:val="bottom"/>
            <w:tcBorders>
              <w:bottom w:val="single" w:sz="8" w:color="B6B6B6"/>
              <w:right w:val="single" w:sz="8" w:color="B6B6B6"/>
            </w:tcBorders>
          </w:tcPr>
          <w:p>
            <w:pPr>
              <w:jc w:val="right"/>
              <w:ind w:right="1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9"/>
        </w:trPr>
        <w:tc>
          <w:tcPr>
            <w:tcW w:w="4660" w:type="dxa"/>
            <w:vAlign w:val="bottom"/>
            <w:tcBorders>
              <w:left w:val="single" w:sz="8" w:color="B6B6B6"/>
              <w:right w:val="single" w:sz="8" w:color="B6B6B6"/>
            </w:tcBorders>
            <w:shd w:val="clear" w:color="auto" w:fill="DBDBDB"/>
          </w:tcPr>
          <w:p>
            <w:pPr>
              <w:ind w:left="180"/>
              <w:spacing w:after="0" w:line="169" w:lineRule="exact"/>
              <w:rPr>
                <w:sz w:val="20"/>
                <w:szCs w:val="20"/>
                <w:color w:val="auto"/>
              </w:rPr>
            </w:pPr>
            <w:r>
              <w:rPr>
                <w:rFonts w:ascii="Arial" w:cs="Arial" w:eastAsia="Arial" w:hAnsi="Arial"/>
                <w:sz w:val="18"/>
                <w:szCs w:val="18"/>
                <w:color w:val="auto"/>
              </w:rPr>
              <w:t>- Enterprise Sustainability:</w:t>
            </w:r>
          </w:p>
        </w:tc>
        <w:tc>
          <w:tcPr>
            <w:tcW w:w="900" w:type="dxa"/>
            <w:vAlign w:val="bottom"/>
            <w:tcBorders>
              <w:right w:val="single" w:sz="8" w:color="B6B6B6"/>
            </w:tcBorders>
            <w:shd w:val="clear" w:color="auto" w:fill="DBDBDB"/>
          </w:tcPr>
          <w:p>
            <w:pPr>
              <w:spacing w:after="0"/>
              <w:rPr>
                <w:sz w:val="14"/>
                <w:szCs w:val="14"/>
                <w:color w:val="auto"/>
              </w:rPr>
            </w:pPr>
          </w:p>
        </w:tc>
        <w:tc>
          <w:tcPr>
            <w:tcW w:w="4800" w:type="dxa"/>
            <w:vAlign w:val="bottom"/>
            <w:tcBorders>
              <w:right w:val="single" w:sz="8" w:color="B6B6B6"/>
            </w:tcBorders>
            <w:vMerge w:val="restart"/>
            <w:shd w:val="clear" w:color="auto" w:fill="DBDBDB"/>
          </w:tcPr>
          <w:p>
            <w:pPr>
              <w:ind w:left="60"/>
              <w:spacing w:after="0"/>
              <w:rPr>
                <w:sz w:val="20"/>
                <w:szCs w:val="20"/>
                <w:color w:val="auto"/>
              </w:rPr>
            </w:pPr>
            <w:r>
              <w:rPr>
                <w:rFonts w:ascii="Arial" w:cs="Arial" w:eastAsia="Arial" w:hAnsi="Arial"/>
                <w:sz w:val="18"/>
                <w:szCs w:val="18"/>
                <w:color w:val="auto"/>
              </w:rPr>
              <w:t>- Environmental: GHG Reduction</w:t>
            </w:r>
          </w:p>
        </w:tc>
        <w:tc>
          <w:tcPr>
            <w:tcW w:w="900" w:type="dxa"/>
            <w:vAlign w:val="bottom"/>
            <w:tcBorders>
              <w:right w:val="single" w:sz="8" w:color="B6B6B6"/>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660" w:type="dxa"/>
            <w:vAlign w:val="bottom"/>
            <w:tcBorders>
              <w:left w:val="single" w:sz="8" w:color="B6B6B6"/>
              <w:right w:val="single" w:sz="8" w:color="B6B6B6"/>
            </w:tcBorders>
            <w:vMerge w:val="restart"/>
            <w:shd w:val="clear" w:color="auto" w:fill="DBDBDB"/>
          </w:tcPr>
          <w:p>
            <w:pPr>
              <w:ind w:left="340"/>
              <w:spacing w:after="0"/>
              <w:rPr>
                <w:sz w:val="20"/>
                <w:szCs w:val="20"/>
                <w:color w:val="auto"/>
              </w:rPr>
            </w:pPr>
            <w:r>
              <w:rPr>
                <w:rFonts w:ascii="Arial" w:cs="Arial" w:eastAsia="Arial" w:hAnsi="Arial"/>
                <w:sz w:val="18"/>
                <w:szCs w:val="18"/>
                <w:color w:val="auto"/>
              </w:rPr>
              <w:t>(% of Operational Areas Complete)</w:t>
            </w:r>
          </w:p>
        </w:tc>
        <w:tc>
          <w:tcPr>
            <w:tcW w:w="900" w:type="dxa"/>
            <w:vAlign w:val="bottom"/>
            <w:tcBorders>
              <w:right w:val="single" w:sz="8" w:color="B6B6B6"/>
            </w:tcBorders>
            <w:shd w:val="clear" w:color="auto" w:fill="DBDBDB"/>
          </w:tcPr>
          <w:p>
            <w:pPr>
              <w:spacing w:after="0"/>
              <w:rPr>
                <w:sz w:val="13"/>
                <w:szCs w:val="13"/>
                <w:color w:val="auto"/>
              </w:rPr>
            </w:pPr>
          </w:p>
        </w:tc>
        <w:tc>
          <w:tcPr>
            <w:tcW w:w="4800" w:type="dxa"/>
            <w:vAlign w:val="bottom"/>
            <w:tcBorders>
              <w:right w:val="single" w:sz="8" w:color="B6B6B6"/>
            </w:tcBorders>
            <w:vMerge w:val="continue"/>
            <w:shd w:val="clear" w:color="auto" w:fill="DBDBDB"/>
          </w:tcPr>
          <w:p>
            <w:pPr>
              <w:spacing w:after="0"/>
              <w:rPr>
                <w:sz w:val="13"/>
                <w:szCs w:val="13"/>
                <w:color w:val="auto"/>
              </w:rPr>
            </w:pPr>
          </w:p>
        </w:tc>
        <w:tc>
          <w:tcPr>
            <w:tcW w:w="900" w:type="dxa"/>
            <w:vAlign w:val="bottom"/>
            <w:tcBorders>
              <w:right w:val="single" w:sz="8" w:color="B6B6B6"/>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660" w:type="dxa"/>
            <w:vAlign w:val="bottom"/>
            <w:tcBorders>
              <w:left w:val="single" w:sz="8" w:color="B6B6B6"/>
              <w:bottom w:val="single" w:sz="8" w:color="B6B6B6"/>
              <w:right w:val="single" w:sz="8" w:color="B6B6B6"/>
            </w:tcBorders>
            <w:vMerge w:val="continue"/>
            <w:shd w:val="clear" w:color="auto" w:fill="DBDBDB"/>
          </w:tcPr>
          <w:p>
            <w:pPr>
              <w:spacing w:after="0"/>
              <w:rPr>
                <w:sz w:val="7"/>
                <w:szCs w:val="7"/>
                <w:color w:val="auto"/>
              </w:rPr>
            </w:pPr>
          </w:p>
        </w:tc>
        <w:tc>
          <w:tcPr>
            <w:tcW w:w="900" w:type="dxa"/>
            <w:vAlign w:val="bottom"/>
            <w:tcBorders>
              <w:bottom w:val="single" w:sz="8" w:color="B6B6B6"/>
              <w:right w:val="single" w:sz="8" w:color="B6B6B6"/>
            </w:tcBorders>
            <w:shd w:val="clear" w:color="auto" w:fill="DBDBDB"/>
          </w:tcPr>
          <w:p>
            <w:pPr>
              <w:spacing w:after="0"/>
              <w:rPr>
                <w:sz w:val="7"/>
                <w:szCs w:val="7"/>
                <w:color w:val="auto"/>
              </w:rPr>
            </w:pPr>
          </w:p>
        </w:tc>
        <w:tc>
          <w:tcPr>
            <w:tcW w:w="4800" w:type="dxa"/>
            <w:vAlign w:val="bottom"/>
            <w:tcBorders>
              <w:bottom w:val="single" w:sz="8" w:color="B6B6B6"/>
              <w:right w:val="single" w:sz="8" w:color="B6B6B6"/>
            </w:tcBorders>
            <w:shd w:val="clear" w:color="auto" w:fill="DBDBDB"/>
          </w:tcPr>
          <w:p>
            <w:pPr>
              <w:spacing w:after="0"/>
              <w:rPr>
                <w:sz w:val="7"/>
                <w:szCs w:val="7"/>
                <w:color w:val="auto"/>
              </w:rPr>
            </w:pPr>
          </w:p>
        </w:tc>
        <w:tc>
          <w:tcPr>
            <w:tcW w:w="900" w:type="dxa"/>
            <w:vAlign w:val="bottom"/>
            <w:tcBorders>
              <w:bottom w:val="single" w:sz="8" w:color="B6B6B6"/>
              <w:right w:val="single" w:sz="8" w:color="B6B6B6"/>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4660" w:type="dxa"/>
            <w:vAlign w:val="bottom"/>
            <w:tcBorders>
              <w:left w:val="single" w:sz="8" w:color="B6B6B6"/>
              <w:bottom w:val="single" w:sz="8" w:color="B6B6B6"/>
              <w:right w:val="single" w:sz="8" w:color="B6B6B6"/>
            </w:tcBorders>
          </w:tcPr>
          <w:p>
            <w:pPr>
              <w:ind w:left="180"/>
              <w:spacing w:after="0"/>
              <w:rPr>
                <w:sz w:val="20"/>
                <w:szCs w:val="20"/>
                <w:color w:val="auto"/>
              </w:rPr>
            </w:pPr>
            <w:r>
              <w:rPr>
                <w:rFonts w:ascii="Arial" w:cs="Arial" w:eastAsia="Arial" w:hAnsi="Arial"/>
                <w:sz w:val="18"/>
                <w:szCs w:val="18"/>
                <w:color w:val="auto"/>
              </w:rPr>
              <w:t>- Employee Learning and Development</w:t>
            </w:r>
          </w:p>
        </w:tc>
        <w:tc>
          <w:tcPr>
            <w:tcW w:w="900" w:type="dxa"/>
            <w:vAlign w:val="bottom"/>
            <w:tcBorders>
              <w:bottom w:val="single" w:sz="8" w:color="B6B6B6"/>
              <w:right w:val="single" w:sz="8" w:color="B6B6B6"/>
            </w:tcBorders>
          </w:tcPr>
          <w:p>
            <w:pPr>
              <w:spacing w:after="0"/>
              <w:rPr>
                <w:sz w:val="19"/>
                <w:szCs w:val="19"/>
                <w:color w:val="auto"/>
              </w:rPr>
            </w:pPr>
          </w:p>
        </w:tc>
        <w:tc>
          <w:tcPr>
            <w:tcW w:w="4800" w:type="dxa"/>
            <w:vAlign w:val="bottom"/>
            <w:tcBorders>
              <w:bottom w:val="single" w:sz="8" w:color="B6B6B6"/>
              <w:right w:val="single" w:sz="8" w:color="B6B6B6"/>
            </w:tcBorders>
          </w:tcPr>
          <w:p>
            <w:pPr>
              <w:ind w:left="60"/>
              <w:spacing w:after="0"/>
              <w:rPr>
                <w:sz w:val="20"/>
                <w:szCs w:val="20"/>
                <w:color w:val="auto"/>
              </w:rPr>
            </w:pPr>
            <w:r>
              <w:rPr>
                <w:rFonts w:ascii="Arial" w:cs="Arial" w:eastAsia="Arial" w:hAnsi="Arial"/>
                <w:sz w:val="18"/>
                <w:szCs w:val="18"/>
                <w:color w:val="auto"/>
              </w:rPr>
              <w:t>- Employee Engagement Training</w:t>
            </w:r>
          </w:p>
        </w:tc>
        <w:tc>
          <w:tcPr>
            <w:tcW w:w="90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reflected in the chart below, actual performance under the 2025 MIP resulted in no payout. After reviewing management's recommendation and the Company's overall performance for fiscal year 2025, the Committee determined that no payouts would be made to our Named Executive Officers under the 2025 MIP. This decision reflects the Committee's continued commitment to maintaining a strong pay-for-performance philosophy and alignment with shareholder outcomes.</w:t>
      </w: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47" w:name="page48"/>
    <w:bookmarkEnd w:id="47"/>
    <w:p>
      <w:pPr>
        <w:ind w:right="120"/>
        <w:spacing w:after="0" w:line="257" w:lineRule="auto"/>
        <w:rPr>
          <w:sz w:val="20"/>
          <w:szCs w:val="20"/>
          <w:color w:val="auto"/>
        </w:rPr>
      </w:pPr>
      <w:r>
        <w:rPr>
          <w:rFonts w:ascii="Arial" w:cs="Arial" w:eastAsia="Arial" w:hAnsi="Arial"/>
          <w:sz w:val="18"/>
          <w:szCs w:val="18"/>
          <w:color w:val="auto"/>
        </w:rPr>
        <w:t>Mr. Butler became eligible to participate in the Company's 2025 MIP effective July 1, 2025 in connection with the closing of the Lexmark acquisition and did not receive any payout under the Company's 2025 MIP. As reflected in the Summary Compensation Table, he received a first-half 2025 bonus earned under Lexmark's annual bonus plan prior to the acquisition, based solely on Lexmark's financial performance.</w:t>
      </w:r>
    </w:p>
    <w:p>
      <w:pPr>
        <w:spacing w:after="0" w:line="223" w:lineRule="auto"/>
        <w:rPr>
          <w:sz w:val="20"/>
          <w:szCs w:val="20"/>
          <w:color w:val="auto"/>
        </w:rPr>
      </w:pPr>
      <w:r>
        <w:rPr>
          <w:rFonts w:ascii="Arial" w:cs="Arial" w:eastAsia="Arial" w:hAnsi="Arial"/>
          <w:sz w:val="18"/>
          <w:szCs w:val="18"/>
          <w:color w:val="auto"/>
        </w:rPr>
        <w:t>________</w:t>
      </w:r>
    </w:p>
    <w:p>
      <w:pPr>
        <w:ind w:left="200" w:hanging="192"/>
        <w:spacing w:after="0" w:line="210" w:lineRule="auto"/>
        <w:tabs>
          <w:tab w:leader="none" w:pos="200" w:val="left"/>
        </w:tabs>
        <w:numPr>
          <w:ilvl w:val="0"/>
          <w:numId w:val="47"/>
        </w:numPr>
        <w:rPr>
          <w:rFonts w:ascii="Arial" w:cs="Arial" w:eastAsia="Arial" w:hAnsi="Arial"/>
          <w:sz w:val="23"/>
          <w:szCs w:val="23"/>
          <w:color w:val="auto"/>
          <w:vertAlign w:val="superscript"/>
        </w:rPr>
      </w:pPr>
      <w:r>
        <w:rPr>
          <w:rFonts w:ascii="Arial" w:cs="Arial" w:eastAsia="Arial" w:hAnsi="Arial"/>
          <w:sz w:val="18"/>
          <w:szCs w:val="18"/>
          <w:color w:val="auto"/>
        </w:rPr>
        <w:t>Refer to the “Non-GAAP Financial Measures” section for a reconciliation of this non-GAAP financial measure.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MIP Results (in millions, except % data)</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520" w:type="dxa"/>
            <w:vAlign w:val="bottom"/>
            <w:tcBorders>
              <w:left w:val="single" w:sz="8" w:color="DA2031"/>
              <w:right w:val="single" w:sz="8" w:color="DA2031"/>
            </w:tcBorders>
            <w:shd w:val="clear" w:color="auto" w:fill="DA2031"/>
          </w:tcPr>
          <w:p>
            <w:pPr>
              <w:spacing w:after="0"/>
              <w:rPr>
                <w:sz w:val="19"/>
                <w:szCs w:val="19"/>
                <w:color w:val="auto"/>
              </w:rPr>
            </w:pPr>
          </w:p>
        </w:tc>
        <w:tc>
          <w:tcPr>
            <w:tcW w:w="920" w:type="dxa"/>
            <w:vAlign w:val="bottom"/>
            <w:tcBorders>
              <w:right w:val="single" w:sz="8" w:color="DA2031"/>
            </w:tcBorders>
            <w:shd w:val="clear" w:color="auto" w:fill="DA2031"/>
          </w:tcPr>
          <w:p>
            <w:pPr>
              <w:spacing w:after="0"/>
              <w:rPr>
                <w:sz w:val="19"/>
                <w:szCs w:val="19"/>
                <w:color w:val="auto"/>
              </w:rPr>
            </w:pPr>
          </w:p>
        </w:tc>
        <w:tc>
          <w:tcPr>
            <w:tcW w:w="1380" w:type="dxa"/>
            <w:vAlign w:val="bottom"/>
            <w:tcBorders>
              <w:right w:val="single" w:sz="8" w:color="DA2031"/>
            </w:tcBorders>
            <w:shd w:val="clear" w:color="auto" w:fill="DA2031"/>
          </w:tcPr>
          <w:p>
            <w:pPr>
              <w:spacing w:after="0"/>
              <w:rPr>
                <w:sz w:val="19"/>
                <w:szCs w:val="19"/>
                <w:color w:val="auto"/>
              </w:rPr>
            </w:pPr>
          </w:p>
        </w:tc>
        <w:tc>
          <w:tcPr>
            <w:tcW w:w="114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18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rPr>
              <w:t>Maximum</w:t>
            </w:r>
          </w:p>
        </w:tc>
        <w:tc>
          <w:tcPr>
            <w:tcW w:w="152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Actual 2025</w:t>
            </w:r>
          </w:p>
        </w:tc>
        <w:tc>
          <w:tcPr>
            <w:tcW w:w="1920" w:type="dxa"/>
            <w:vAlign w:val="bottom"/>
            <w:tcBorders>
              <w:right w:val="single" w:sz="8" w:color="DA2031"/>
            </w:tcBorders>
            <w:shd w:val="clear" w:color="auto" w:fill="DA2031"/>
          </w:tcPr>
          <w:p>
            <w:pPr>
              <w:spacing w:after="0"/>
              <w:rPr>
                <w:sz w:val="19"/>
                <w:szCs w:val="19"/>
                <w:color w:val="auto"/>
              </w:rPr>
            </w:pPr>
          </w:p>
        </w:tc>
        <w:tc>
          <w:tcPr>
            <w:tcW w:w="168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Weighted</w:t>
            </w:r>
          </w:p>
        </w:tc>
        <w:tc>
          <w:tcPr>
            <w:tcW w:w="0" w:type="dxa"/>
            <w:vAlign w:val="bottom"/>
          </w:tcPr>
          <w:p>
            <w:pPr>
              <w:spacing w:after="0"/>
              <w:rPr>
                <w:sz w:val="1"/>
                <w:szCs w:val="1"/>
                <w:color w:val="auto"/>
              </w:rPr>
            </w:pPr>
          </w:p>
        </w:tc>
      </w:tr>
      <w:tr>
        <w:trPr>
          <w:trHeight w:val="59"/>
        </w:trPr>
        <w:tc>
          <w:tcPr>
            <w:tcW w:w="1520" w:type="dxa"/>
            <w:vAlign w:val="bottom"/>
            <w:tcBorders>
              <w:left w:val="single" w:sz="8" w:color="DA2031"/>
              <w:right w:val="single" w:sz="8" w:color="DA2031"/>
            </w:tcBorders>
            <w:vMerge w:val="restart"/>
            <w:shd w:val="clear" w:color="auto" w:fill="DA2031"/>
          </w:tcPr>
          <w:p>
            <w:pPr>
              <w:ind w:left="20"/>
              <w:spacing w:after="0"/>
              <w:rPr>
                <w:sz w:val="20"/>
                <w:szCs w:val="20"/>
                <w:color w:val="auto"/>
              </w:rPr>
            </w:pPr>
            <w:r>
              <w:rPr>
                <w:rFonts w:ascii="Arial" w:cs="Arial" w:eastAsia="Arial" w:hAnsi="Arial"/>
                <w:sz w:val="18"/>
                <w:szCs w:val="18"/>
                <w:b w:val="1"/>
                <w:bCs w:val="1"/>
                <w:color w:val="FFFFFF"/>
              </w:rPr>
              <w:t>Performance</w:t>
            </w:r>
          </w:p>
        </w:tc>
        <w:tc>
          <w:tcPr>
            <w:tcW w:w="920" w:type="dxa"/>
            <w:vAlign w:val="bottom"/>
            <w:tcBorders>
              <w:right w:val="single" w:sz="8" w:color="DA2031"/>
            </w:tcBorders>
            <w:shd w:val="clear" w:color="auto" w:fill="DA2031"/>
          </w:tcPr>
          <w:p>
            <w:pPr>
              <w:spacing w:after="0"/>
              <w:rPr>
                <w:sz w:val="5"/>
                <w:szCs w:val="5"/>
                <w:color w:val="auto"/>
              </w:rPr>
            </w:pPr>
          </w:p>
        </w:tc>
        <w:tc>
          <w:tcPr>
            <w:tcW w:w="138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rPr>
              <w:t>Threshold</w:t>
            </w:r>
          </w:p>
        </w:tc>
        <w:tc>
          <w:tcPr>
            <w:tcW w:w="1140" w:type="dxa"/>
            <w:vAlign w:val="bottom"/>
            <w:tcBorders>
              <w:right w:val="single" w:sz="8" w:color="DA2031"/>
            </w:tcBorders>
            <w:vMerge w:val="continue"/>
            <w:shd w:val="clear" w:color="auto" w:fill="DA2031"/>
          </w:tcPr>
          <w:p>
            <w:pPr>
              <w:spacing w:after="0"/>
              <w:rPr>
                <w:sz w:val="5"/>
                <w:szCs w:val="5"/>
                <w:color w:val="auto"/>
              </w:rPr>
            </w:pPr>
          </w:p>
        </w:tc>
        <w:tc>
          <w:tcPr>
            <w:tcW w:w="1180" w:type="dxa"/>
            <w:vAlign w:val="bottom"/>
            <w:tcBorders>
              <w:right w:val="single" w:sz="8" w:color="DA2031"/>
            </w:tcBorders>
            <w:vMerge w:val="continue"/>
            <w:shd w:val="clear" w:color="auto" w:fill="DA2031"/>
          </w:tcPr>
          <w:p>
            <w:pPr>
              <w:spacing w:after="0"/>
              <w:rPr>
                <w:sz w:val="5"/>
                <w:szCs w:val="5"/>
                <w:color w:val="auto"/>
              </w:rPr>
            </w:pPr>
          </w:p>
        </w:tc>
        <w:tc>
          <w:tcPr>
            <w:tcW w:w="1520" w:type="dxa"/>
            <w:vAlign w:val="bottom"/>
            <w:tcBorders>
              <w:right w:val="single" w:sz="8" w:color="DA2031"/>
            </w:tcBorders>
            <w:vMerge w:val="continue"/>
            <w:shd w:val="clear" w:color="auto" w:fill="DA2031"/>
          </w:tcPr>
          <w:p>
            <w:pPr>
              <w:spacing w:after="0"/>
              <w:rPr>
                <w:sz w:val="5"/>
                <w:szCs w:val="5"/>
                <w:color w:val="auto"/>
              </w:rPr>
            </w:pPr>
          </w:p>
        </w:tc>
        <w:tc>
          <w:tcPr>
            <w:tcW w:w="192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Payout Range</w:t>
            </w:r>
          </w:p>
        </w:tc>
        <w:tc>
          <w:tcPr>
            <w:tcW w:w="168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175"/>
        </w:trPr>
        <w:tc>
          <w:tcPr>
            <w:tcW w:w="1520" w:type="dxa"/>
            <w:vAlign w:val="bottom"/>
            <w:tcBorders>
              <w:left w:val="single" w:sz="8" w:color="DA2031"/>
              <w:right w:val="single" w:sz="8" w:color="DA2031"/>
            </w:tcBorders>
            <w:vMerge w:val="continue"/>
            <w:shd w:val="clear" w:color="auto" w:fill="DA2031"/>
          </w:tcPr>
          <w:p>
            <w:pPr>
              <w:spacing w:after="0"/>
              <w:rPr>
                <w:sz w:val="15"/>
                <w:szCs w:val="15"/>
                <w:color w:val="auto"/>
              </w:rPr>
            </w:pPr>
          </w:p>
        </w:tc>
        <w:tc>
          <w:tcPr>
            <w:tcW w:w="92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Weight</w:t>
            </w:r>
          </w:p>
        </w:tc>
        <w:tc>
          <w:tcPr>
            <w:tcW w:w="1380" w:type="dxa"/>
            <w:vAlign w:val="bottom"/>
            <w:tcBorders>
              <w:right w:val="single" w:sz="8" w:color="DA2031"/>
            </w:tcBorders>
            <w:vMerge w:val="continue"/>
            <w:shd w:val="clear" w:color="auto" w:fill="DA2031"/>
          </w:tcPr>
          <w:p>
            <w:pPr>
              <w:spacing w:after="0"/>
              <w:rPr>
                <w:sz w:val="15"/>
                <w:szCs w:val="15"/>
                <w:color w:val="auto"/>
              </w:rPr>
            </w:pPr>
          </w:p>
        </w:tc>
        <w:tc>
          <w:tcPr>
            <w:tcW w:w="1140" w:type="dxa"/>
            <w:vAlign w:val="bottom"/>
            <w:tcBorders>
              <w:right w:val="single" w:sz="8" w:color="DA2031"/>
            </w:tcBorders>
            <w:shd w:val="clear" w:color="auto" w:fill="DA2031"/>
          </w:tcPr>
          <w:p>
            <w:pPr>
              <w:jc w:val="right"/>
              <w:ind w:right="230"/>
              <w:spacing w:after="0" w:line="176" w:lineRule="exact"/>
              <w:rPr>
                <w:sz w:val="20"/>
                <w:szCs w:val="20"/>
                <w:color w:val="auto"/>
              </w:rPr>
            </w:pPr>
            <w:r>
              <w:rPr>
                <w:rFonts w:ascii="Arial" w:cs="Arial" w:eastAsia="Arial" w:hAnsi="Arial"/>
                <w:sz w:val="18"/>
                <w:szCs w:val="18"/>
                <w:b w:val="1"/>
                <w:bCs w:val="1"/>
                <w:color w:val="FFFFFF"/>
              </w:rPr>
              <w:t>(100%</w:t>
            </w:r>
          </w:p>
        </w:tc>
        <w:tc>
          <w:tcPr>
            <w:tcW w:w="1180" w:type="dxa"/>
            <w:vAlign w:val="bottom"/>
            <w:tcBorders>
              <w:right w:val="single" w:sz="8" w:color="DA2031"/>
            </w:tcBorders>
            <w:shd w:val="clear" w:color="auto" w:fill="DA2031"/>
          </w:tcPr>
          <w:p>
            <w:pPr>
              <w:jc w:val="right"/>
              <w:ind w:right="250"/>
              <w:spacing w:after="0" w:line="176" w:lineRule="exact"/>
              <w:rPr>
                <w:sz w:val="20"/>
                <w:szCs w:val="20"/>
                <w:color w:val="auto"/>
              </w:rPr>
            </w:pPr>
            <w:r>
              <w:rPr>
                <w:rFonts w:ascii="Arial" w:cs="Arial" w:eastAsia="Arial" w:hAnsi="Arial"/>
                <w:sz w:val="18"/>
                <w:szCs w:val="18"/>
                <w:b w:val="1"/>
                <w:bCs w:val="1"/>
                <w:color w:val="FFFFFF"/>
              </w:rPr>
              <w:t>(250%</w:t>
            </w:r>
          </w:p>
        </w:tc>
        <w:tc>
          <w:tcPr>
            <w:tcW w:w="152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w w:val="99"/>
              </w:rPr>
              <w:t>Performance</w:t>
            </w:r>
          </w:p>
        </w:tc>
        <w:tc>
          <w:tcPr>
            <w:tcW w:w="1920" w:type="dxa"/>
            <w:vAlign w:val="bottom"/>
            <w:tcBorders>
              <w:right w:val="single" w:sz="8" w:color="DA2031"/>
            </w:tcBorders>
            <w:vMerge w:val="continue"/>
            <w:shd w:val="clear" w:color="auto" w:fill="DA2031"/>
          </w:tcPr>
          <w:p>
            <w:pPr>
              <w:spacing w:after="0"/>
              <w:rPr>
                <w:sz w:val="15"/>
                <w:szCs w:val="15"/>
                <w:color w:val="auto"/>
              </w:rPr>
            </w:pPr>
          </w:p>
        </w:tc>
        <w:tc>
          <w:tcPr>
            <w:tcW w:w="1680" w:type="dxa"/>
            <w:vAlign w:val="bottom"/>
            <w:tcBorders>
              <w:right w:val="single" w:sz="8" w:color="DA2031"/>
            </w:tcBorders>
            <w:vMerge w:val="continue"/>
            <w:shd w:val="clear" w:color="auto" w:fill="DA2031"/>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20" w:type="dxa"/>
            <w:vAlign w:val="bottom"/>
            <w:tcBorders>
              <w:left w:val="single" w:sz="8" w:color="DA2031"/>
              <w:bottom w:val="single" w:sz="8" w:color="B6B6B6"/>
              <w:right w:val="single" w:sz="8" w:color="DA2031"/>
            </w:tcBorders>
            <w:shd w:val="clear" w:color="auto" w:fill="DA2031"/>
          </w:tcPr>
          <w:p>
            <w:pPr>
              <w:ind w:left="20"/>
              <w:spacing w:after="0"/>
              <w:rPr>
                <w:sz w:val="20"/>
                <w:szCs w:val="20"/>
                <w:color w:val="auto"/>
              </w:rPr>
            </w:pPr>
            <w:r>
              <w:rPr>
                <w:rFonts w:ascii="Arial" w:cs="Arial" w:eastAsia="Arial" w:hAnsi="Arial"/>
                <w:sz w:val="18"/>
                <w:szCs w:val="18"/>
                <w:b w:val="1"/>
                <w:bCs w:val="1"/>
                <w:color w:val="FFFFFF"/>
              </w:rPr>
              <w:t>Measure</w:t>
            </w:r>
          </w:p>
        </w:tc>
        <w:tc>
          <w:tcPr>
            <w:tcW w:w="920" w:type="dxa"/>
            <w:vAlign w:val="bottom"/>
            <w:tcBorders>
              <w:bottom w:val="single" w:sz="8" w:color="B6B6B6"/>
              <w:right w:val="single" w:sz="8" w:color="DA2031"/>
            </w:tcBorders>
            <w:vMerge w:val="continue"/>
            <w:shd w:val="clear" w:color="auto" w:fill="DA2031"/>
          </w:tcPr>
          <w:p>
            <w:pPr>
              <w:spacing w:after="0"/>
              <w:rPr>
                <w:sz w:val="21"/>
                <w:szCs w:val="21"/>
                <w:color w:val="auto"/>
              </w:rPr>
            </w:pPr>
          </w:p>
        </w:tc>
        <w:tc>
          <w:tcPr>
            <w:tcW w:w="138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(50% payout)</w:t>
            </w:r>
          </w:p>
        </w:tc>
        <w:tc>
          <w:tcPr>
            <w:tcW w:w="114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payout)</w:t>
            </w:r>
          </w:p>
        </w:tc>
        <w:tc>
          <w:tcPr>
            <w:tcW w:w="118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payout)</w:t>
            </w:r>
          </w:p>
        </w:tc>
        <w:tc>
          <w:tcPr>
            <w:tcW w:w="152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Results</w:t>
            </w:r>
          </w:p>
        </w:tc>
        <w:tc>
          <w:tcPr>
            <w:tcW w:w="192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(Payout Factor)</w:t>
            </w:r>
          </w:p>
        </w:tc>
        <w:tc>
          <w:tcPr>
            <w:tcW w:w="168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Factor</w:t>
            </w:r>
          </w:p>
        </w:tc>
        <w:tc>
          <w:tcPr>
            <w:tcW w:w="0" w:type="dxa"/>
            <w:vAlign w:val="bottom"/>
          </w:tcPr>
          <w:p>
            <w:pPr>
              <w:spacing w:after="0"/>
              <w:rPr>
                <w:sz w:val="1"/>
                <w:szCs w:val="1"/>
                <w:color w:val="auto"/>
              </w:rPr>
            </w:pPr>
          </w:p>
        </w:tc>
      </w:tr>
      <w:tr>
        <w:trPr>
          <w:trHeight w:val="169"/>
        </w:trPr>
        <w:tc>
          <w:tcPr>
            <w:tcW w:w="1520" w:type="dxa"/>
            <w:vAlign w:val="bottom"/>
            <w:tcBorders>
              <w:left w:val="single" w:sz="8" w:color="B6B6B6"/>
              <w:right w:val="single" w:sz="8" w:color="B6B6B6"/>
            </w:tcBorders>
            <w:shd w:val="clear" w:color="auto" w:fill="DBDBDB"/>
          </w:tcPr>
          <w:p>
            <w:pPr>
              <w:ind w:left="40"/>
              <w:spacing w:after="0" w:line="169" w:lineRule="exact"/>
              <w:rPr>
                <w:sz w:val="20"/>
                <w:szCs w:val="20"/>
                <w:color w:val="auto"/>
              </w:rPr>
            </w:pPr>
            <w:r>
              <w:rPr>
                <w:rFonts w:ascii="Arial" w:cs="Arial" w:eastAsia="Arial" w:hAnsi="Arial"/>
                <w:sz w:val="15"/>
                <w:szCs w:val="15"/>
                <w:color w:val="auto"/>
              </w:rPr>
              <w:t>Adjusted</w:t>
            </w:r>
            <w:r>
              <w:rPr>
                <w:rFonts w:ascii="Arial" w:cs="Arial" w:eastAsia="Arial" w:hAnsi="Arial"/>
                <w:sz w:val="19"/>
                <w:szCs w:val="19"/>
                <w:color w:val="auto"/>
                <w:vertAlign w:val="superscript"/>
              </w:rPr>
              <w:t>(1)</w:t>
            </w:r>
          </w:p>
        </w:tc>
        <w:tc>
          <w:tcPr>
            <w:tcW w:w="92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90%</w:t>
            </w:r>
          </w:p>
        </w:tc>
        <w:tc>
          <w:tcPr>
            <w:tcW w:w="1380" w:type="dxa"/>
            <w:vAlign w:val="bottom"/>
            <w:tcBorders>
              <w:right w:val="single" w:sz="8" w:color="B6B6B6"/>
            </w:tcBorders>
            <w:vMerge w:val="restart"/>
            <w:shd w:val="clear" w:color="auto" w:fill="DBDBDB"/>
          </w:tcPr>
          <w:p>
            <w:pPr>
              <w:jc w:val="right"/>
              <w:ind w:right="430"/>
              <w:spacing w:after="0"/>
              <w:rPr>
                <w:sz w:val="20"/>
                <w:szCs w:val="20"/>
                <w:color w:val="auto"/>
              </w:rPr>
            </w:pPr>
            <w:r>
              <w:rPr>
                <w:rFonts w:ascii="Arial" w:cs="Arial" w:eastAsia="Arial" w:hAnsi="Arial"/>
                <w:sz w:val="18"/>
                <w:szCs w:val="18"/>
                <w:color w:val="auto"/>
              </w:rPr>
              <w:t>$580</w:t>
            </w:r>
          </w:p>
        </w:tc>
        <w:tc>
          <w:tcPr>
            <w:tcW w:w="114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$635</w:t>
            </w:r>
          </w:p>
        </w:tc>
        <w:tc>
          <w:tcPr>
            <w:tcW w:w="118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$730</w:t>
            </w:r>
          </w:p>
        </w:tc>
        <w:tc>
          <w:tcPr>
            <w:tcW w:w="1520" w:type="dxa"/>
            <w:vAlign w:val="bottom"/>
            <w:tcBorders>
              <w:right w:val="single" w:sz="8" w:color="B6B6B6"/>
            </w:tcBorders>
            <w:vMerge w:val="restart"/>
            <w:shd w:val="clear" w:color="auto" w:fill="DBDBDB"/>
          </w:tcPr>
          <w:p>
            <w:pPr>
              <w:jc w:val="right"/>
              <w:ind w:right="470"/>
              <w:spacing w:after="0"/>
              <w:rPr>
                <w:sz w:val="20"/>
                <w:szCs w:val="20"/>
                <w:color w:val="auto"/>
              </w:rPr>
            </w:pPr>
            <w:r>
              <w:rPr>
                <w:rFonts w:ascii="Arial" w:cs="Arial" w:eastAsia="Arial" w:hAnsi="Arial"/>
                <w:sz w:val="18"/>
                <w:szCs w:val="18"/>
                <w:color w:val="auto"/>
              </w:rPr>
              <w:t>$467</w:t>
            </w:r>
          </w:p>
        </w:tc>
        <w:tc>
          <w:tcPr>
            <w:tcW w:w="1920" w:type="dxa"/>
            <w:vAlign w:val="bottom"/>
            <w:tcBorders>
              <w:right w:val="single" w:sz="8" w:color="B6B6B6"/>
            </w:tcBorders>
            <w:shd w:val="clear" w:color="auto" w:fill="DBDBDB"/>
          </w:tcPr>
          <w:p>
            <w:pPr>
              <w:jc w:val="center"/>
              <w:spacing w:after="0" w:line="169" w:lineRule="exact"/>
              <w:rPr>
                <w:sz w:val="20"/>
                <w:szCs w:val="20"/>
                <w:color w:val="auto"/>
              </w:rPr>
            </w:pPr>
            <w:r>
              <w:rPr>
                <w:rFonts w:ascii="Arial" w:cs="Arial" w:eastAsia="Arial" w:hAnsi="Arial"/>
                <w:sz w:val="18"/>
                <w:szCs w:val="18"/>
                <w:color w:val="auto"/>
                <w:w w:val="99"/>
              </w:rPr>
              <w:t>Below Threshold</w:t>
            </w:r>
          </w:p>
        </w:tc>
        <w:tc>
          <w:tcPr>
            <w:tcW w:w="168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3"/>
        </w:trPr>
        <w:tc>
          <w:tcPr>
            <w:tcW w:w="152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EBITDA</w:t>
            </w:r>
          </w:p>
        </w:tc>
        <w:tc>
          <w:tcPr>
            <w:tcW w:w="920" w:type="dxa"/>
            <w:vAlign w:val="bottom"/>
            <w:tcBorders>
              <w:bottom w:val="single" w:sz="8" w:color="B6B6B6"/>
              <w:right w:val="single" w:sz="8" w:color="B6B6B6"/>
            </w:tcBorders>
            <w:vMerge w:val="continue"/>
            <w:shd w:val="clear" w:color="auto" w:fill="DBDBDB"/>
          </w:tcPr>
          <w:p>
            <w:pPr>
              <w:spacing w:after="0"/>
              <w:rPr>
                <w:sz w:val="21"/>
                <w:szCs w:val="21"/>
                <w:color w:val="auto"/>
              </w:rPr>
            </w:pPr>
          </w:p>
        </w:tc>
        <w:tc>
          <w:tcPr>
            <w:tcW w:w="1380" w:type="dxa"/>
            <w:vAlign w:val="bottom"/>
            <w:tcBorders>
              <w:bottom w:val="single" w:sz="8" w:color="B6B6B6"/>
              <w:right w:val="single" w:sz="8" w:color="B6B6B6"/>
            </w:tcBorders>
            <w:vMerge w:val="continue"/>
            <w:shd w:val="clear" w:color="auto" w:fill="DBDBDB"/>
          </w:tcPr>
          <w:p>
            <w:pPr>
              <w:spacing w:after="0"/>
              <w:rPr>
                <w:sz w:val="21"/>
                <w:szCs w:val="21"/>
                <w:color w:val="auto"/>
              </w:rPr>
            </w:pPr>
          </w:p>
        </w:tc>
        <w:tc>
          <w:tcPr>
            <w:tcW w:w="1140" w:type="dxa"/>
            <w:vAlign w:val="bottom"/>
            <w:tcBorders>
              <w:bottom w:val="single" w:sz="8" w:color="B6B6B6"/>
              <w:right w:val="single" w:sz="8" w:color="B6B6B6"/>
            </w:tcBorders>
            <w:vMerge w:val="continue"/>
            <w:shd w:val="clear" w:color="auto" w:fill="DBDBDB"/>
          </w:tcPr>
          <w:p>
            <w:pPr>
              <w:spacing w:after="0"/>
              <w:rPr>
                <w:sz w:val="21"/>
                <w:szCs w:val="21"/>
                <w:color w:val="auto"/>
              </w:rPr>
            </w:pPr>
          </w:p>
        </w:tc>
        <w:tc>
          <w:tcPr>
            <w:tcW w:w="1180" w:type="dxa"/>
            <w:vAlign w:val="bottom"/>
            <w:tcBorders>
              <w:bottom w:val="single" w:sz="8" w:color="B6B6B6"/>
              <w:right w:val="single" w:sz="8" w:color="B6B6B6"/>
            </w:tcBorders>
            <w:vMerge w:val="continue"/>
            <w:shd w:val="clear" w:color="auto" w:fill="DBDBDB"/>
          </w:tcPr>
          <w:p>
            <w:pPr>
              <w:spacing w:after="0"/>
              <w:rPr>
                <w:sz w:val="21"/>
                <w:szCs w:val="21"/>
                <w:color w:val="auto"/>
              </w:rPr>
            </w:pPr>
          </w:p>
        </w:tc>
        <w:tc>
          <w:tcPr>
            <w:tcW w:w="1520" w:type="dxa"/>
            <w:vAlign w:val="bottom"/>
            <w:tcBorders>
              <w:bottom w:val="single" w:sz="8" w:color="B6B6B6"/>
              <w:right w:val="single" w:sz="8" w:color="B6B6B6"/>
            </w:tcBorders>
            <w:vMerge w:val="continue"/>
            <w:shd w:val="clear" w:color="auto" w:fill="DBDBDB"/>
          </w:tcPr>
          <w:p>
            <w:pPr>
              <w:spacing w:after="0"/>
              <w:rPr>
                <w:sz w:val="21"/>
                <w:szCs w:val="21"/>
                <w:color w:val="auto"/>
              </w:rPr>
            </w:pPr>
          </w:p>
        </w:tc>
        <w:tc>
          <w:tcPr>
            <w:tcW w:w="19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(0.0%)</w:t>
            </w:r>
          </w:p>
        </w:tc>
        <w:tc>
          <w:tcPr>
            <w:tcW w:w="1680" w:type="dxa"/>
            <w:vAlign w:val="bottom"/>
            <w:tcBorders>
              <w:bottom w:val="single" w:sz="8" w:color="B6B6B6"/>
              <w:right w:val="single" w:sz="8" w:color="B6B6B6"/>
            </w:tcBorders>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B6B6B6"/>
              <w:right w:val="single" w:sz="8" w:color="B6B6B6"/>
            </w:tcBorders>
            <w:vMerge w:val="restart"/>
          </w:tcPr>
          <w:p>
            <w:pPr>
              <w:ind w:left="40"/>
              <w:spacing w:after="0"/>
              <w:rPr>
                <w:sz w:val="20"/>
                <w:szCs w:val="20"/>
                <w:color w:val="auto"/>
              </w:rPr>
            </w:pPr>
            <w:r>
              <w:rPr>
                <w:rFonts w:ascii="Arial" w:cs="Arial" w:eastAsia="Arial" w:hAnsi="Arial"/>
                <w:sz w:val="18"/>
                <w:szCs w:val="18"/>
                <w:color w:val="auto"/>
              </w:rPr>
              <w:t>CSR</w:t>
            </w:r>
          </w:p>
        </w:tc>
        <w:tc>
          <w:tcPr>
            <w:tcW w:w="92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10%</w:t>
            </w:r>
          </w:p>
        </w:tc>
        <w:tc>
          <w:tcPr>
            <w:tcW w:w="13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B6B6B6"/>
            </w:tcBorders>
            <w:vMerge w:val="restart"/>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B6B6B6"/>
            </w:tcBorders>
            <w:vMerge w:val="restart"/>
          </w:tcPr>
          <w:p>
            <w:pPr>
              <w:jc w:val="right"/>
              <w:ind w:right="41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B6B6B6"/>
            </w:tcBorders>
            <w:vMerge w:val="restart"/>
          </w:tcPr>
          <w:p>
            <w:pPr>
              <w:jc w:val="right"/>
              <w:ind w:right="430"/>
              <w:spacing w:after="0"/>
              <w:rPr>
                <w:sz w:val="20"/>
                <w:szCs w:val="20"/>
                <w:color w:val="auto"/>
              </w:rPr>
            </w:pPr>
            <w:r>
              <w:rPr>
                <w:rFonts w:ascii="Arial" w:cs="Arial" w:eastAsia="Arial" w:hAnsi="Arial"/>
                <w:sz w:val="18"/>
                <w:szCs w:val="18"/>
                <w:color w:val="auto"/>
              </w:rPr>
              <w:t>78.5%</w:t>
            </w:r>
          </w:p>
        </w:tc>
        <w:tc>
          <w:tcPr>
            <w:tcW w:w="1920" w:type="dxa"/>
            <w:vAlign w:val="bottom"/>
            <w:tcBorders>
              <w:right w:val="single" w:sz="8" w:color="B6B6B6"/>
            </w:tcBorders>
          </w:tcPr>
          <w:p>
            <w:pPr>
              <w:jc w:val="center"/>
              <w:spacing w:after="0" w:line="169" w:lineRule="exact"/>
              <w:rPr>
                <w:sz w:val="20"/>
                <w:szCs w:val="20"/>
                <w:color w:val="auto"/>
              </w:rPr>
            </w:pPr>
            <w:r>
              <w:rPr>
                <w:rFonts w:ascii="Arial" w:cs="Arial" w:eastAsia="Arial" w:hAnsi="Arial"/>
                <w:sz w:val="18"/>
                <w:szCs w:val="18"/>
                <w:color w:val="auto"/>
                <w:w w:val="99"/>
              </w:rPr>
              <w:t>Between Threshold &amp;</w:t>
            </w:r>
          </w:p>
        </w:tc>
        <w:tc>
          <w:tcPr>
            <w:tcW w:w="16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1520" w:type="dxa"/>
            <w:vAlign w:val="bottom"/>
            <w:tcBorders>
              <w:left w:val="single" w:sz="8" w:color="B6B6B6"/>
              <w:bottom w:val="single" w:sz="8" w:color="B6B6B6"/>
              <w:right w:val="single" w:sz="8" w:color="B6B6B6"/>
            </w:tcBorders>
            <w:vMerge w:val="continue"/>
          </w:tcPr>
          <w:p>
            <w:pPr>
              <w:spacing w:after="0"/>
              <w:rPr>
                <w:sz w:val="21"/>
                <w:szCs w:val="21"/>
                <w:color w:val="auto"/>
              </w:rPr>
            </w:pPr>
          </w:p>
        </w:tc>
        <w:tc>
          <w:tcPr>
            <w:tcW w:w="920" w:type="dxa"/>
            <w:vAlign w:val="bottom"/>
            <w:tcBorders>
              <w:bottom w:val="single" w:sz="8" w:color="auto"/>
              <w:right w:val="single" w:sz="8" w:color="B6B6B6"/>
            </w:tcBorders>
            <w:vMerge w:val="continue"/>
          </w:tcPr>
          <w:p>
            <w:pPr>
              <w:spacing w:after="0"/>
              <w:rPr>
                <w:sz w:val="21"/>
                <w:szCs w:val="21"/>
                <w:color w:val="auto"/>
              </w:rPr>
            </w:pPr>
          </w:p>
        </w:tc>
        <w:tc>
          <w:tcPr>
            <w:tcW w:w="1380" w:type="dxa"/>
            <w:vAlign w:val="bottom"/>
            <w:tcBorders>
              <w:bottom w:val="single" w:sz="8" w:color="B6B6B6"/>
              <w:right w:val="single" w:sz="8" w:color="B6B6B6"/>
            </w:tcBorders>
            <w:vMerge w:val="continue"/>
          </w:tcPr>
          <w:p>
            <w:pPr>
              <w:spacing w:after="0"/>
              <w:rPr>
                <w:sz w:val="21"/>
                <w:szCs w:val="21"/>
                <w:color w:val="auto"/>
              </w:rPr>
            </w:pPr>
          </w:p>
        </w:tc>
        <w:tc>
          <w:tcPr>
            <w:tcW w:w="1140" w:type="dxa"/>
            <w:vAlign w:val="bottom"/>
            <w:tcBorders>
              <w:bottom w:val="single" w:sz="8" w:color="B6B6B6"/>
              <w:right w:val="single" w:sz="8" w:color="B6B6B6"/>
            </w:tcBorders>
            <w:vMerge w:val="continue"/>
          </w:tcPr>
          <w:p>
            <w:pPr>
              <w:spacing w:after="0"/>
              <w:rPr>
                <w:sz w:val="21"/>
                <w:szCs w:val="21"/>
                <w:color w:val="auto"/>
              </w:rPr>
            </w:pPr>
          </w:p>
        </w:tc>
        <w:tc>
          <w:tcPr>
            <w:tcW w:w="1180" w:type="dxa"/>
            <w:vAlign w:val="bottom"/>
            <w:tcBorders>
              <w:bottom w:val="single" w:sz="8" w:color="B6B6B6"/>
              <w:right w:val="single" w:sz="8" w:color="B6B6B6"/>
            </w:tcBorders>
            <w:vMerge w:val="continue"/>
          </w:tcPr>
          <w:p>
            <w:pPr>
              <w:spacing w:after="0"/>
              <w:rPr>
                <w:sz w:val="21"/>
                <w:szCs w:val="21"/>
                <w:color w:val="auto"/>
              </w:rPr>
            </w:pPr>
          </w:p>
        </w:tc>
        <w:tc>
          <w:tcPr>
            <w:tcW w:w="1520" w:type="dxa"/>
            <w:vAlign w:val="bottom"/>
            <w:tcBorders>
              <w:bottom w:val="single" w:sz="8" w:color="B6B6B6"/>
              <w:right w:val="single" w:sz="8" w:color="B6B6B6"/>
            </w:tcBorders>
            <w:vMerge w:val="continue"/>
          </w:tcPr>
          <w:p>
            <w:pPr>
              <w:spacing w:after="0"/>
              <w:rPr>
                <w:sz w:val="21"/>
                <w:szCs w:val="21"/>
                <w:color w:val="auto"/>
              </w:rPr>
            </w:pPr>
          </w:p>
        </w:tc>
        <w:tc>
          <w:tcPr>
            <w:tcW w:w="19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8"/>
              </w:rPr>
              <w:t>Target (78.5%)</w:t>
            </w:r>
          </w:p>
        </w:tc>
        <w:tc>
          <w:tcPr>
            <w:tcW w:w="1680" w:type="dxa"/>
            <w:vAlign w:val="bottom"/>
            <w:tcBorders>
              <w:bottom w:val="single" w:sz="8" w:color="auto"/>
              <w:right w:val="single" w:sz="8" w:color="B6B6B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520" w:type="dxa"/>
            <w:vAlign w:val="bottom"/>
            <w:tcBorders>
              <w:left w:val="single" w:sz="8" w:color="DBDBDB"/>
              <w:bottom w:val="single" w:sz="8" w:color="DBDBDB"/>
              <w:right w:val="single" w:sz="8" w:color="DBDBDB"/>
            </w:tcBorders>
            <w:shd w:val="clear" w:color="auto" w:fill="DBDBDB"/>
          </w:tcPr>
          <w:p>
            <w:pPr>
              <w:ind w:left="1080"/>
              <w:spacing w:after="0"/>
              <w:rPr>
                <w:sz w:val="20"/>
                <w:szCs w:val="20"/>
                <w:color w:val="auto"/>
              </w:rPr>
            </w:pPr>
            <w:r>
              <w:rPr>
                <w:rFonts w:ascii="Arial" w:cs="Arial" w:eastAsia="Arial" w:hAnsi="Arial"/>
                <w:sz w:val="18"/>
                <w:szCs w:val="18"/>
                <w:b w:val="1"/>
                <w:bCs w:val="1"/>
                <w:color w:val="auto"/>
                <w:w w:val="92"/>
              </w:rPr>
              <w:t>Total</w:t>
            </w:r>
          </w:p>
        </w:tc>
        <w:tc>
          <w:tcPr>
            <w:tcW w:w="92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100%</w:t>
            </w:r>
          </w:p>
        </w:tc>
        <w:tc>
          <w:tcPr>
            <w:tcW w:w="1380" w:type="dxa"/>
            <w:vAlign w:val="bottom"/>
            <w:tcBorders>
              <w:bottom w:val="single" w:sz="8" w:color="DBDBDB"/>
              <w:right w:val="single" w:sz="8" w:color="DBDBDB"/>
            </w:tcBorders>
            <w:shd w:val="clear" w:color="auto" w:fill="DBDBDB"/>
          </w:tcPr>
          <w:p>
            <w:pPr>
              <w:spacing w:after="0"/>
              <w:rPr>
                <w:sz w:val="21"/>
                <w:szCs w:val="21"/>
                <w:color w:val="auto"/>
              </w:rPr>
            </w:pPr>
          </w:p>
        </w:tc>
        <w:tc>
          <w:tcPr>
            <w:tcW w:w="1140" w:type="dxa"/>
            <w:vAlign w:val="bottom"/>
            <w:tcBorders>
              <w:bottom w:val="single" w:sz="8" w:color="DBDBDB"/>
              <w:right w:val="single" w:sz="8" w:color="DBDBDB"/>
            </w:tcBorders>
            <w:shd w:val="clear" w:color="auto" w:fill="DBDBDB"/>
          </w:tcPr>
          <w:p>
            <w:pPr>
              <w:spacing w:after="0"/>
              <w:rPr>
                <w:sz w:val="21"/>
                <w:szCs w:val="21"/>
                <w:color w:val="auto"/>
              </w:rPr>
            </w:pPr>
          </w:p>
        </w:tc>
        <w:tc>
          <w:tcPr>
            <w:tcW w:w="1180" w:type="dxa"/>
            <w:vAlign w:val="bottom"/>
            <w:tcBorders>
              <w:bottom w:val="single" w:sz="8" w:color="DBDBDB"/>
              <w:right w:val="single" w:sz="8" w:color="DBDBDB"/>
            </w:tcBorders>
            <w:shd w:val="clear" w:color="auto" w:fill="DBDBDB"/>
          </w:tcPr>
          <w:p>
            <w:pPr>
              <w:spacing w:after="0"/>
              <w:rPr>
                <w:sz w:val="21"/>
                <w:szCs w:val="21"/>
                <w:color w:val="auto"/>
              </w:rPr>
            </w:pPr>
          </w:p>
        </w:tc>
        <w:tc>
          <w:tcPr>
            <w:tcW w:w="1520" w:type="dxa"/>
            <w:vAlign w:val="bottom"/>
            <w:tcBorders>
              <w:bottom w:val="single" w:sz="8" w:color="DBDBDB"/>
              <w:right w:val="single" w:sz="8" w:color="DBDBDB"/>
            </w:tcBorders>
            <w:shd w:val="clear" w:color="auto" w:fill="DBDBDB"/>
          </w:tcPr>
          <w:p>
            <w:pPr>
              <w:spacing w:after="0"/>
              <w:rPr>
                <w:sz w:val="21"/>
                <w:szCs w:val="21"/>
                <w:color w:val="auto"/>
              </w:rPr>
            </w:pPr>
          </w:p>
        </w:tc>
        <w:tc>
          <w:tcPr>
            <w:tcW w:w="1920" w:type="dxa"/>
            <w:vAlign w:val="bottom"/>
            <w:tcBorders>
              <w:bottom w:val="single" w:sz="8" w:color="DBDBDB"/>
              <w:right w:val="single" w:sz="8" w:color="DBDBDB"/>
            </w:tcBorders>
            <w:shd w:val="clear" w:color="auto" w:fill="DBDBDB"/>
          </w:tcPr>
          <w:p>
            <w:pPr>
              <w:spacing w:after="0"/>
              <w:rPr>
                <w:sz w:val="21"/>
                <w:szCs w:val="21"/>
                <w:color w:val="auto"/>
              </w:rPr>
            </w:pPr>
          </w:p>
        </w:tc>
        <w:tc>
          <w:tcPr>
            <w:tcW w:w="1680" w:type="dxa"/>
            <w:vAlign w:val="bottom"/>
            <w:tcBorders>
              <w:bottom w:val="single" w:sz="8" w:color="auto"/>
              <w:right w:val="single" w:sz="8" w:color="DBDBDB"/>
            </w:tcBorders>
            <w:shd w:val="clear" w:color="auto" w:fill="DBDBDB"/>
          </w:tcPr>
          <w:p>
            <w:pPr>
              <w:jc w:val="center"/>
              <w:spacing w:after="0"/>
              <w:rPr>
                <w:sz w:val="20"/>
                <w:szCs w:val="20"/>
                <w:color w:val="auto"/>
              </w:rPr>
            </w:pPr>
            <w:r>
              <w:rPr>
                <w:rFonts w:ascii="Arial" w:cs="Arial" w:eastAsia="Arial" w:hAnsi="Arial"/>
                <w:sz w:val="18"/>
                <w:szCs w:val="18"/>
                <w:b w:val="1"/>
                <w:bCs w:val="1"/>
                <w:color w:val="auto"/>
              </w:rPr>
              <w:t>0% Payout</w:t>
            </w:r>
          </w:p>
        </w:tc>
        <w:tc>
          <w:tcPr>
            <w:tcW w:w="0" w:type="dxa"/>
            <w:vAlign w:val="bottom"/>
          </w:tcPr>
          <w:p>
            <w:pPr>
              <w:spacing w:after="0"/>
              <w:rPr>
                <w:sz w:val="1"/>
                <w:szCs w:val="1"/>
                <w:color w:val="auto"/>
              </w:rPr>
            </w:pPr>
          </w:p>
        </w:tc>
      </w:tr>
      <w:tr>
        <w:trPr>
          <w:trHeight w:val="20"/>
        </w:trPr>
        <w:tc>
          <w:tcPr>
            <w:tcW w:w="152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92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ind w:left="200" w:hanging="192"/>
        <w:spacing w:after="0" w:line="224" w:lineRule="auto"/>
        <w:tabs>
          <w:tab w:leader="none" w:pos="200"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Refer to the “Non-GAAP Financial Measures” section for a reconciliation of this non-GAAP financial measure.</w:t>
      </w:r>
    </w:p>
    <w:p>
      <w:pPr>
        <w:spacing w:after="0" w:line="86"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2025 Long-Term Incentive Program (LTIP)</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LTIP awards are granted annually under the Xerox Holdings Corporation 2024 Equity and Performance Incentive Plan as amended as of May 21, 2025. The 2025 LTIP awards consist of 50% performance share units (PSUs) and 50% time-based restricted stock units (RSUs). In connection with the closing of the Lexmark acquisition on July 1, 2025, the Committee approved a modification to the 2025 LTIP to reflect the anticipated contribution of Lexmark for the second half of fiscal year 2025, the expected performance of the combined company, as well as the continued execution of the Company’s Reinvention Plan.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Performance Share Units (PSUs)</w:t>
      </w:r>
    </w:p>
    <w:p>
      <w:pPr>
        <w:spacing w:after="0" w:line="115"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For 2025, PSUs were earned based on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Income performance for fiscal year 2025, with performance measured over a one-year period, as well as a three-year relative Total Shareholder Return (rTSR) modifier.</w:t>
      </w:r>
    </w:p>
    <w:p>
      <w:pPr>
        <w:spacing w:after="0" w:line="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connection with the Lexmark acquisition, the Committee modified performance goals to reflect the combined Company's second-half results, ensuring that executives' performance would be measured against the business owned by shareholders following the acquisition.</w:t>
      </w:r>
    </w:p>
    <w:p>
      <w:pPr>
        <w:spacing w:after="0" w:line="4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Given the complexity of establishing credible three-year financial targets during the Reinvention and integration period, the Committee determined that a single-year financial metric provided greater rigor and transparency. A one-year goal reinforced accountability for disciplined execution, cost management and synergy realization during the first full year of integration, while avoiding long-range assumptions that could become misaligned with integration timing.</w:t>
      </w:r>
    </w:p>
    <w:p>
      <w:pPr>
        <w:spacing w:after="0" w:line="6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Nevertheless, to preserve long-term shareholder alignment, PSUs earned in 2025 relative to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Income metric, remain subject to a three-year relative Total Shareholder Return (rTSR) modifier against the S&amp;P 600 Information Technology Index. The modifier may adjust earned shares by up to ±15%. The Committee reduced the modifier range from ±25% under the 2024 PSU awards to better balance near-term operational focus with sustained shareholder alignment.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Restricted Stock Units (RSUs)</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RSUs continue to vest over three years. However, RSUs granted in 2025 vest one-third on the first anniversary of the grant date, with the remaining two-thirds vesting in equal quarterly installments over the following two years, rather than in equal annual installments over three years, as in prior years.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This revised structure enhances retention continuity during the integration period, moderates annual share usage under the equity plan, and supports steady alignment with shareholder value creation amid recent share price volatility.</w:t>
      </w: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4" w:right="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Dividend Equivalents</w:t>
      </w:r>
    </w:p>
    <w:p>
      <w:pPr>
        <w:spacing w:after="0" w:line="117"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Dividend equivalents accrue on unvested PSUs and RSUs. Dividend equivalents are only paid in cash on PSUs and RSUs that are ultimately earned or vested, equal to the dividends that would have been paid had the executive held the underlying shares during the vesting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2025 performance measures and weightings for our LTIP were: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LTIP</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640" w:type="dxa"/>
            <w:vAlign w:val="bottom"/>
            <w:tcBorders>
              <w:left w:val="single" w:sz="8" w:color="DA2031"/>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Vehicle</w:t>
            </w:r>
          </w:p>
        </w:tc>
        <w:tc>
          <w:tcPr>
            <w:tcW w:w="900" w:type="dxa"/>
            <w:vAlign w:val="bottom"/>
            <w:tcBorders>
              <w:right w:val="single" w:sz="8" w:color="DA2031"/>
            </w:tcBorders>
            <w:vMerge w:val="restart"/>
            <w:shd w:val="clear" w:color="auto" w:fill="DA2031"/>
          </w:tcPr>
          <w:p>
            <w:pPr>
              <w:ind w:left="280"/>
              <w:spacing w:after="0"/>
              <w:rPr>
                <w:sz w:val="20"/>
                <w:szCs w:val="20"/>
                <w:color w:val="auto"/>
              </w:rPr>
            </w:pPr>
            <w:r>
              <w:rPr>
                <w:rFonts w:ascii="Arial" w:cs="Arial" w:eastAsia="Arial" w:hAnsi="Arial"/>
                <w:sz w:val="18"/>
                <w:szCs w:val="18"/>
                <w:b w:val="1"/>
                <w:bCs w:val="1"/>
                <w:color w:val="FFFFFF"/>
              </w:rPr>
              <w:t>Mix</w:t>
            </w: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124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Weighting</w:t>
            </w:r>
          </w:p>
        </w:tc>
        <w:tc>
          <w:tcPr>
            <w:tcW w:w="19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Performance</w:t>
            </w:r>
          </w:p>
        </w:tc>
        <w:tc>
          <w:tcPr>
            <w:tcW w:w="200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Vesting</w:t>
            </w:r>
          </w:p>
        </w:tc>
        <w:tc>
          <w:tcPr>
            <w:tcW w:w="196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Rationale</w:t>
            </w:r>
          </w:p>
        </w:tc>
        <w:tc>
          <w:tcPr>
            <w:tcW w:w="0" w:type="dxa"/>
            <w:vAlign w:val="bottom"/>
          </w:tcPr>
          <w:p>
            <w:pPr>
              <w:spacing w:after="0"/>
              <w:rPr>
                <w:sz w:val="1"/>
                <w:szCs w:val="1"/>
                <w:color w:val="auto"/>
              </w:rPr>
            </w:pPr>
          </w:p>
        </w:tc>
      </w:tr>
      <w:tr>
        <w:trPr>
          <w:trHeight w:val="243"/>
        </w:trPr>
        <w:tc>
          <w:tcPr>
            <w:tcW w:w="1640" w:type="dxa"/>
            <w:vAlign w:val="bottom"/>
            <w:tcBorders>
              <w:left w:val="single" w:sz="8" w:color="DA2031"/>
              <w:bottom w:val="single" w:sz="8" w:color="B6B6B6"/>
              <w:right w:val="single" w:sz="8" w:color="DA2031"/>
            </w:tcBorders>
            <w:vMerge w:val="continue"/>
            <w:shd w:val="clear" w:color="auto" w:fill="DA2031"/>
          </w:tcPr>
          <w:p>
            <w:pPr>
              <w:spacing w:after="0"/>
              <w:rPr>
                <w:sz w:val="21"/>
                <w:szCs w:val="21"/>
                <w:color w:val="auto"/>
              </w:rPr>
            </w:pPr>
          </w:p>
        </w:tc>
        <w:tc>
          <w:tcPr>
            <w:tcW w:w="900" w:type="dxa"/>
            <w:vAlign w:val="bottom"/>
            <w:tcBorders>
              <w:bottom w:val="single" w:sz="8" w:color="B6B6B6"/>
              <w:right w:val="single" w:sz="8" w:color="DA2031"/>
            </w:tcBorders>
            <w:vMerge w:val="continue"/>
            <w:shd w:val="clear" w:color="auto" w:fill="DA2031"/>
          </w:tcPr>
          <w:p>
            <w:pPr>
              <w:spacing w:after="0"/>
              <w:rPr>
                <w:sz w:val="21"/>
                <w:szCs w:val="21"/>
                <w:color w:val="auto"/>
              </w:rPr>
            </w:pPr>
          </w:p>
        </w:tc>
        <w:tc>
          <w:tcPr>
            <w:tcW w:w="160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Measure</w:t>
            </w:r>
          </w:p>
        </w:tc>
        <w:tc>
          <w:tcPr>
            <w:tcW w:w="1240" w:type="dxa"/>
            <w:vAlign w:val="bottom"/>
            <w:tcBorders>
              <w:bottom w:val="single" w:sz="8" w:color="B6B6B6"/>
              <w:right w:val="single" w:sz="8" w:color="DA2031"/>
            </w:tcBorders>
            <w:vMerge w:val="continue"/>
            <w:shd w:val="clear" w:color="auto" w:fill="DA2031"/>
          </w:tcPr>
          <w:p>
            <w:pPr>
              <w:spacing w:after="0"/>
              <w:rPr>
                <w:sz w:val="21"/>
                <w:szCs w:val="21"/>
                <w:color w:val="auto"/>
              </w:rPr>
            </w:pPr>
          </w:p>
        </w:tc>
        <w:tc>
          <w:tcPr>
            <w:tcW w:w="19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Period</w:t>
            </w:r>
          </w:p>
        </w:tc>
        <w:tc>
          <w:tcPr>
            <w:tcW w:w="2000" w:type="dxa"/>
            <w:vAlign w:val="bottom"/>
            <w:tcBorders>
              <w:bottom w:val="single" w:sz="8" w:color="B6B6B6"/>
              <w:right w:val="single" w:sz="8" w:color="DA2031"/>
            </w:tcBorders>
            <w:vMerge w:val="continue"/>
            <w:shd w:val="clear" w:color="auto" w:fill="DA2031"/>
          </w:tcPr>
          <w:p>
            <w:pPr>
              <w:spacing w:after="0"/>
              <w:rPr>
                <w:sz w:val="21"/>
                <w:szCs w:val="21"/>
                <w:color w:val="auto"/>
              </w:rPr>
            </w:pPr>
          </w:p>
        </w:tc>
        <w:tc>
          <w:tcPr>
            <w:tcW w:w="1960" w:type="dxa"/>
            <w:vAlign w:val="bottom"/>
            <w:tcBorders>
              <w:bottom w:val="single" w:sz="8" w:color="B6B6B6"/>
              <w:right w:val="single" w:sz="8" w:color="DA2031"/>
            </w:tcBorders>
            <w:vMerge w:val="continue"/>
            <w:shd w:val="clear" w:color="auto" w:fill="DA2031"/>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1640" w:type="dxa"/>
            <w:vAlign w:val="bottom"/>
            <w:tcBorders>
              <w:left w:val="single" w:sz="8" w:color="B6B6B6"/>
              <w:right w:val="single" w:sz="8" w:color="B6B6B6"/>
            </w:tcBorders>
          </w:tcPr>
          <w:p>
            <w:pPr>
              <w:spacing w:after="0"/>
              <w:rPr>
                <w:sz w:val="24"/>
                <w:szCs w:val="24"/>
                <w:color w:val="auto"/>
              </w:rPr>
            </w:pPr>
          </w:p>
        </w:tc>
        <w:tc>
          <w:tcPr>
            <w:tcW w:w="900" w:type="dxa"/>
            <w:vAlign w:val="bottom"/>
            <w:tcBorders>
              <w:right w:val="single" w:sz="8" w:color="B6B6B6"/>
            </w:tcBorders>
          </w:tcPr>
          <w:p>
            <w:pPr>
              <w:spacing w:after="0"/>
              <w:rPr>
                <w:sz w:val="24"/>
                <w:szCs w:val="24"/>
                <w:color w:val="auto"/>
              </w:rPr>
            </w:pPr>
          </w:p>
        </w:tc>
        <w:tc>
          <w:tcPr>
            <w:tcW w:w="1600" w:type="dxa"/>
            <w:vAlign w:val="bottom"/>
            <w:tcBorders>
              <w:right w:val="single" w:sz="8" w:color="B6B6B6"/>
            </w:tcBorders>
          </w:tcPr>
          <w:p>
            <w:pPr>
              <w:spacing w:after="0"/>
              <w:rPr>
                <w:sz w:val="24"/>
                <w:szCs w:val="24"/>
                <w:color w:val="auto"/>
              </w:rPr>
            </w:pPr>
          </w:p>
        </w:tc>
        <w:tc>
          <w:tcPr>
            <w:tcW w:w="1240" w:type="dxa"/>
            <w:vAlign w:val="bottom"/>
            <w:tcBorders>
              <w:right w:val="single" w:sz="8" w:color="B6B6B6"/>
            </w:tcBorders>
          </w:tcPr>
          <w:p>
            <w:pPr>
              <w:spacing w:after="0"/>
              <w:rPr>
                <w:sz w:val="24"/>
                <w:szCs w:val="24"/>
                <w:color w:val="auto"/>
              </w:rPr>
            </w:pPr>
          </w:p>
        </w:tc>
        <w:tc>
          <w:tcPr>
            <w:tcW w:w="1920" w:type="dxa"/>
            <w:vAlign w:val="bottom"/>
            <w:tcBorders>
              <w:right w:val="single" w:sz="8" w:color="B6B6B6"/>
            </w:tcBorders>
          </w:tcPr>
          <w:p>
            <w:pPr>
              <w:spacing w:after="0"/>
              <w:rPr>
                <w:sz w:val="24"/>
                <w:szCs w:val="24"/>
                <w:color w:val="auto"/>
              </w:rPr>
            </w:pPr>
          </w:p>
        </w:tc>
        <w:tc>
          <w:tcPr>
            <w:tcW w:w="2000" w:type="dxa"/>
            <w:vAlign w:val="bottom"/>
            <w:tcBorders>
              <w:right w:val="single" w:sz="8" w:color="B6B6B6"/>
            </w:tcBorders>
          </w:tcPr>
          <w:p>
            <w:pPr>
              <w:spacing w:after="0"/>
              <w:rPr>
                <w:sz w:val="24"/>
                <w:szCs w:val="24"/>
                <w:color w:val="auto"/>
              </w:rPr>
            </w:pPr>
          </w:p>
        </w:tc>
        <w:tc>
          <w:tcPr>
            <w:tcW w:w="196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9"/>
              </w:rPr>
              <w:t>Focuses on stock price</w:t>
            </w:r>
          </w:p>
        </w:tc>
        <w:tc>
          <w:tcPr>
            <w:tcW w:w="0" w:type="dxa"/>
            <w:vAlign w:val="bottom"/>
          </w:tcPr>
          <w:p>
            <w:pPr>
              <w:spacing w:after="0"/>
              <w:rPr>
                <w:sz w:val="1"/>
                <w:szCs w:val="1"/>
                <w:color w:val="auto"/>
              </w:rPr>
            </w:pPr>
          </w:p>
        </w:tc>
      </w:tr>
      <w:tr>
        <w:trPr>
          <w:trHeight w:val="216"/>
        </w:trPr>
        <w:tc>
          <w:tcPr>
            <w:tcW w:w="1640" w:type="dxa"/>
            <w:vAlign w:val="bottom"/>
            <w:tcBorders>
              <w:left w:val="single" w:sz="8" w:color="B6B6B6"/>
              <w:right w:val="single" w:sz="8" w:color="B6B6B6"/>
            </w:tcBorders>
          </w:tcPr>
          <w:p>
            <w:pPr>
              <w:spacing w:after="0"/>
              <w:rPr>
                <w:sz w:val="18"/>
                <w:szCs w:val="18"/>
                <w:color w:val="auto"/>
              </w:rPr>
            </w:pPr>
          </w:p>
        </w:tc>
        <w:tc>
          <w:tcPr>
            <w:tcW w:w="900" w:type="dxa"/>
            <w:vAlign w:val="bottom"/>
            <w:tcBorders>
              <w:right w:val="single" w:sz="8" w:color="B6B6B6"/>
            </w:tcBorders>
          </w:tcPr>
          <w:p>
            <w:pPr>
              <w:spacing w:after="0"/>
              <w:rPr>
                <w:sz w:val="18"/>
                <w:szCs w:val="18"/>
                <w:color w:val="auto"/>
              </w:rPr>
            </w:pPr>
          </w:p>
        </w:tc>
        <w:tc>
          <w:tcPr>
            <w:tcW w:w="160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Adjusted Operating</w:t>
            </w:r>
          </w:p>
        </w:tc>
        <w:tc>
          <w:tcPr>
            <w:tcW w:w="1240" w:type="dxa"/>
            <w:vAlign w:val="bottom"/>
            <w:tcBorders>
              <w:right w:val="single" w:sz="8" w:color="B6B6B6"/>
            </w:tcBorders>
            <w:vMerge w:val="restart"/>
          </w:tcPr>
          <w:p>
            <w:pPr>
              <w:jc w:val="right"/>
              <w:ind w:right="330"/>
              <w:spacing w:after="0"/>
              <w:rPr>
                <w:sz w:val="20"/>
                <w:szCs w:val="20"/>
                <w:color w:val="auto"/>
              </w:rPr>
            </w:pPr>
            <w:r>
              <w:rPr>
                <w:rFonts w:ascii="Arial" w:cs="Arial" w:eastAsia="Arial" w:hAnsi="Arial"/>
                <w:sz w:val="18"/>
                <w:szCs w:val="18"/>
                <w:color w:val="auto"/>
              </w:rPr>
              <w:t>100%</w:t>
            </w:r>
          </w:p>
        </w:tc>
        <w:tc>
          <w:tcPr>
            <w:tcW w:w="1920" w:type="dxa"/>
            <w:vAlign w:val="bottom"/>
            <w:tcBorders>
              <w:right w:val="single" w:sz="8" w:color="B6B6B6"/>
            </w:tcBorders>
          </w:tcPr>
          <w:p>
            <w:pPr>
              <w:spacing w:after="0"/>
              <w:rPr>
                <w:sz w:val="18"/>
                <w:szCs w:val="18"/>
                <w:color w:val="auto"/>
              </w:rPr>
            </w:pPr>
          </w:p>
        </w:tc>
        <w:tc>
          <w:tcPr>
            <w:tcW w:w="200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8"/>
              </w:rPr>
              <w:t>Cliff vesting on the third</w:t>
            </w:r>
          </w:p>
        </w:tc>
        <w:tc>
          <w:tcPr>
            <w:tcW w:w="196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rPr>
              <w:t>appreciation and</w:t>
            </w:r>
          </w:p>
        </w:tc>
        <w:tc>
          <w:tcPr>
            <w:tcW w:w="0" w:type="dxa"/>
            <w:vAlign w:val="bottom"/>
          </w:tcPr>
          <w:p>
            <w:pPr>
              <w:spacing w:after="0"/>
              <w:rPr>
                <w:sz w:val="1"/>
                <w:szCs w:val="1"/>
                <w:color w:val="auto"/>
              </w:rPr>
            </w:pPr>
          </w:p>
        </w:tc>
      </w:tr>
      <w:tr>
        <w:trPr>
          <w:trHeight w:val="92"/>
        </w:trPr>
        <w:tc>
          <w:tcPr>
            <w:tcW w:w="1640" w:type="dxa"/>
            <w:vAlign w:val="bottom"/>
            <w:tcBorders>
              <w:left w:val="single" w:sz="8" w:color="B6B6B6"/>
              <w:right w:val="single" w:sz="8" w:color="B6B6B6"/>
            </w:tcBorders>
          </w:tcPr>
          <w:p>
            <w:pPr>
              <w:spacing w:after="0"/>
              <w:rPr>
                <w:sz w:val="8"/>
                <w:szCs w:val="8"/>
                <w:color w:val="auto"/>
              </w:rPr>
            </w:pPr>
          </w:p>
        </w:tc>
        <w:tc>
          <w:tcPr>
            <w:tcW w:w="900" w:type="dxa"/>
            <w:vAlign w:val="bottom"/>
            <w:tcBorders>
              <w:right w:val="single" w:sz="8" w:color="B6B6B6"/>
            </w:tcBorders>
          </w:tcPr>
          <w:p>
            <w:pPr>
              <w:spacing w:after="0"/>
              <w:rPr>
                <w:sz w:val="8"/>
                <w:szCs w:val="8"/>
                <w:color w:val="auto"/>
              </w:rPr>
            </w:pPr>
          </w:p>
        </w:tc>
        <w:tc>
          <w:tcPr>
            <w:tcW w:w="160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920" w:type="dxa"/>
            <w:vAlign w:val="bottom"/>
            <w:tcBorders>
              <w:right w:val="single" w:sz="8" w:color="B6B6B6"/>
            </w:tcBorders>
          </w:tcPr>
          <w:p>
            <w:pPr>
              <w:spacing w:after="0"/>
              <w:rPr>
                <w:sz w:val="8"/>
                <w:szCs w:val="8"/>
                <w:color w:val="auto"/>
              </w:rPr>
            </w:pPr>
          </w:p>
        </w:tc>
        <w:tc>
          <w:tcPr>
            <w:tcW w:w="200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rPr>
              <w:t>anniversary of the grant</w:t>
            </w:r>
          </w:p>
        </w:tc>
        <w:tc>
          <w:tcPr>
            <w:tcW w:w="196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achieving goals to</w:t>
            </w:r>
          </w:p>
        </w:tc>
        <w:tc>
          <w:tcPr>
            <w:tcW w:w="0" w:type="dxa"/>
            <w:vAlign w:val="bottom"/>
          </w:tcPr>
          <w:p>
            <w:pPr>
              <w:spacing w:after="0"/>
              <w:rPr>
                <w:sz w:val="1"/>
                <w:szCs w:val="1"/>
                <w:color w:val="auto"/>
              </w:rPr>
            </w:pPr>
          </w:p>
        </w:tc>
      </w:tr>
      <w:tr>
        <w:trPr>
          <w:trHeight w:val="183"/>
        </w:trPr>
        <w:tc>
          <w:tcPr>
            <w:tcW w:w="1640" w:type="dxa"/>
            <w:vAlign w:val="bottom"/>
            <w:tcBorders>
              <w:left w:val="single" w:sz="8" w:color="B6B6B6"/>
              <w:right w:val="single" w:sz="8" w:color="B6B6B6"/>
            </w:tcBorders>
            <w:vMerge w:val="restart"/>
          </w:tcPr>
          <w:p>
            <w:pPr>
              <w:jc w:val="center"/>
              <w:spacing w:after="0"/>
              <w:rPr>
                <w:sz w:val="20"/>
                <w:szCs w:val="20"/>
                <w:color w:val="auto"/>
              </w:rPr>
            </w:pPr>
            <w:r>
              <w:rPr>
                <w:rFonts w:ascii="Arial" w:cs="Arial" w:eastAsia="Arial" w:hAnsi="Arial"/>
                <w:sz w:val="18"/>
                <w:szCs w:val="18"/>
                <w:color w:val="auto"/>
              </w:rPr>
              <w:t>Performance</w:t>
            </w:r>
          </w:p>
        </w:tc>
        <w:tc>
          <w:tcPr>
            <w:tcW w:w="900" w:type="dxa"/>
            <w:vAlign w:val="bottom"/>
            <w:tcBorders>
              <w:right w:val="single" w:sz="8" w:color="B6B6B6"/>
            </w:tcBorders>
          </w:tcPr>
          <w:p>
            <w:pPr>
              <w:spacing w:after="0"/>
              <w:rPr>
                <w:sz w:val="15"/>
                <w:szCs w:val="15"/>
                <w:color w:val="auto"/>
              </w:rPr>
            </w:pPr>
          </w:p>
        </w:tc>
        <w:tc>
          <w:tcPr>
            <w:tcW w:w="1600" w:type="dxa"/>
            <w:vAlign w:val="bottom"/>
            <w:tcBorders>
              <w:right w:val="single" w:sz="8" w:color="B6B6B6"/>
            </w:tcBorders>
          </w:tcPr>
          <w:p>
            <w:pPr>
              <w:jc w:val="center"/>
              <w:spacing w:after="0" w:line="184" w:lineRule="exact"/>
              <w:rPr>
                <w:sz w:val="20"/>
                <w:szCs w:val="20"/>
                <w:color w:val="auto"/>
              </w:rPr>
            </w:pPr>
            <w:r>
              <w:rPr>
                <w:rFonts w:ascii="Arial" w:cs="Arial" w:eastAsia="Arial" w:hAnsi="Arial"/>
                <w:sz w:val="17"/>
                <w:szCs w:val="17"/>
                <w:color w:val="auto"/>
              </w:rPr>
              <w:t xml:space="preserve">Income </w:t>
            </w:r>
            <w:r>
              <w:rPr>
                <w:rFonts w:ascii="Arial" w:cs="Arial" w:eastAsia="Arial" w:hAnsi="Arial"/>
                <w:sz w:val="21"/>
                <w:szCs w:val="21"/>
                <w:color w:val="auto"/>
                <w:vertAlign w:val="superscript"/>
              </w:rPr>
              <w:t>(1)</w:t>
            </w:r>
          </w:p>
        </w:tc>
        <w:tc>
          <w:tcPr>
            <w:tcW w:w="1240" w:type="dxa"/>
            <w:vAlign w:val="bottom"/>
            <w:tcBorders>
              <w:right w:val="single" w:sz="8" w:color="B6B6B6"/>
            </w:tcBorders>
            <w:vMerge w:val="continue"/>
          </w:tcPr>
          <w:p>
            <w:pPr>
              <w:spacing w:after="0"/>
              <w:rPr>
                <w:sz w:val="15"/>
                <w:szCs w:val="15"/>
                <w:color w:val="auto"/>
              </w:rPr>
            </w:pPr>
          </w:p>
        </w:tc>
        <w:tc>
          <w:tcPr>
            <w:tcW w:w="192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7"/>
              </w:rPr>
              <w:t>One-year adjusted</w:t>
            </w:r>
            <w:r>
              <w:rPr>
                <w:rFonts w:ascii="Arial" w:cs="Arial" w:eastAsia="Arial" w:hAnsi="Arial"/>
                <w:sz w:val="23"/>
                <w:szCs w:val="23"/>
                <w:color w:val="auto"/>
                <w:w w:val="97"/>
                <w:vertAlign w:val="superscript"/>
              </w:rPr>
              <w:t>(1)</w:t>
            </w:r>
          </w:p>
        </w:tc>
        <w:tc>
          <w:tcPr>
            <w:tcW w:w="2000" w:type="dxa"/>
            <w:vAlign w:val="bottom"/>
            <w:tcBorders>
              <w:right w:val="single" w:sz="8" w:color="B6B6B6"/>
            </w:tcBorders>
            <w:vMerge w:val="continue"/>
          </w:tcPr>
          <w:p>
            <w:pPr>
              <w:spacing w:after="0"/>
              <w:rPr>
                <w:sz w:val="15"/>
                <w:szCs w:val="15"/>
                <w:color w:val="auto"/>
              </w:rPr>
            </w:pPr>
          </w:p>
        </w:tc>
        <w:tc>
          <w:tcPr>
            <w:tcW w:w="1960" w:type="dxa"/>
            <w:vAlign w:val="bottom"/>
            <w:tcBorders>
              <w:right w:val="single" w:sz="8" w:color="B6B6B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B6B6B6"/>
              <w:right w:val="single" w:sz="8" w:color="B6B6B6"/>
            </w:tcBorders>
            <w:vMerge w:val="continue"/>
          </w:tcPr>
          <w:p>
            <w:pPr>
              <w:spacing w:after="0"/>
              <w:rPr>
                <w:sz w:val="15"/>
                <w:szCs w:val="15"/>
                <w:color w:val="auto"/>
              </w:rPr>
            </w:pPr>
          </w:p>
        </w:tc>
        <w:tc>
          <w:tcPr>
            <w:tcW w:w="900" w:type="dxa"/>
            <w:vAlign w:val="bottom"/>
            <w:tcBorders>
              <w:right w:val="single" w:sz="8" w:color="B6B6B6"/>
            </w:tcBorders>
          </w:tcPr>
          <w:p>
            <w:pPr>
              <w:spacing w:after="0"/>
              <w:rPr>
                <w:sz w:val="15"/>
                <w:szCs w:val="15"/>
                <w:color w:val="auto"/>
              </w:rPr>
            </w:pPr>
          </w:p>
        </w:tc>
        <w:tc>
          <w:tcPr>
            <w:tcW w:w="1600" w:type="dxa"/>
            <w:vAlign w:val="bottom"/>
            <w:tcBorders>
              <w:right w:val="single" w:sz="8" w:color="B6B6B6"/>
            </w:tcBorders>
          </w:tcPr>
          <w:p>
            <w:pPr>
              <w:spacing w:after="0"/>
              <w:rPr>
                <w:sz w:val="15"/>
                <w:szCs w:val="15"/>
                <w:color w:val="auto"/>
              </w:rPr>
            </w:pPr>
          </w:p>
        </w:tc>
        <w:tc>
          <w:tcPr>
            <w:tcW w:w="1240" w:type="dxa"/>
            <w:vAlign w:val="bottom"/>
            <w:tcBorders>
              <w:right w:val="single" w:sz="8" w:color="B6B6B6"/>
            </w:tcBorders>
          </w:tcPr>
          <w:p>
            <w:pPr>
              <w:spacing w:after="0"/>
              <w:rPr>
                <w:sz w:val="15"/>
                <w:szCs w:val="15"/>
                <w:color w:val="auto"/>
              </w:rPr>
            </w:pPr>
          </w:p>
        </w:tc>
        <w:tc>
          <w:tcPr>
            <w:tcW w:w="1920" w:type="dxa"/>
            <w:vAlign w:val="bottom"/>
            <w:tcBorders>
              <w:right w:val="single" w:sz="8" w:color="B6B6B6"/>
            </w:tcBorders>
            <w:vMerge w:val="continue"/>
          </w:tcPr>
          <w:p>
            <w:pPr>
              <w:spacing w:after="0"/>
              <w:rPr>
                <w:sz w:val="15"/>
                <w:szCs w:val="15"/>
                <w:color w:val="auto"/>
              </w:rPr>
            </w:pPr>
          </w:p>
        </w:tc>
        <w:tc>
          <w:tcPr>
            <w:tcW w:w="2000" w:type="dxa"/>
            <w:vAlign w:val="bottom"/>
            <w:tcBorders>
              <w:right w:val="single" w:sz="8" w:color="B6B6B6"/>
            </w:tcBorders>
          </w:tcPr>
          <w:p>
            <w:pPr>
              <w:jc w:val="center"/>
              <w:spacing w:after="0" w:line="176" w:lineRule="exact"/>
              <w:rPr>
                <w:sz w:val="20"/>
                <w:szCs w:val="20"/>
                <w:color w:val="auto"/>
              </w:rPr>
            </w:pPr>
            <w:r>
              <w:rPr>
                <w:rFonts w:ascii="Arial" w:cs="Arial" w:eastAsia="Arial" w:hAnsi="Arial"/>
                <w:sz w:val="18"/>
                <w:szCs w:val="18"/>
                <w:color w:val="auto"/>
                <w:w w:val="99"/>
              </w:rPr>
              <w:t>date (subject to</w:t>
            </w:r>
          </w:p>
        </w:tc>
        <w:tc>
          <w:tcPr>
            <w:tcW w:w="1960" w:type="dxa"/>
            <w:vAlign w:val="bottom"/>
            <w:tcBorders>
              <w:right w:val="single" w:sz="8" w:color="B6B6B6"/>
            </w:tcBorders>
          </w:tcPr>
          <w:p>
            <w:pPr>
              <w:jc w:val="center"/>
              <w:spacing w:after="0" w:line="176" w:lineRule="exact"/>
              <w:rPr>
                <w:sz w:val="20"/>
                <w:szCs w:val="20"/>
                <w:color w:val="auto"/>
              </w:rPr>
            </w:pPr>
            <w:r>
              <w:rPr>
                <w:rFonts w:ascii="Arial" w:cs="Arial" w:eastAsia="Arial" w:hAnsi="Arial"/>
                <w:sz w:val="18"/>
                <w:szCs w:val="18"/>
                <w:color w:val="auto"/>
                <w:w w:val="99"/>
              </w:rPr>
              <w:t>maximize shareholder</w:t>
            </w:r>
          </w:p>
        </w:tc>
        <w:tc>
          <w:tcPr>
            <w:tcW w:w="0" w:type="dxa"/>
            <w:vAlign w:val="bottom"/>
          </w:tcPr>
          <w:p>
            <w:pPr>
              <w:spacing w:after="0"/>
              <w:rPr>
                <w:sz w:val="1"/>
                <w:szCs w:val="1"/>
                <w:color w:val="auto"/>
              </w:rPr>
            </w:pPr>
          </w:p>
        </w:tc>
      </w:tr>
      <w:tr>
        <w:trPr>
          <w:trHeight w:val="184"/>
        </w:trPr>
        <w:tc>
          <w:tcPr>
            <w:tcW w:w="1640" w:type="dxa"/>
            <w:vAlign w:val="bottom"/>
            <w:tcBorders>
              <w:left w:val="single" w:sz="8" w:color="B6B6B6"/>
              <w:right w:val="single" w:sz="8" w:color="B6B6B6"/>
            </w:tcBorders>
          </w:tcPr>
          <w:p>
            <w:pPr>
              <w:jc w:val="center"/>
              <w:spacing w:after="0" w:line="183" w:lineRule="exact"/>
              <w:rPr>
                <w:sz w:val="20"/>
                <w:szCs w:val="20"/>
                <w:color w:val="auto"/>
              </w:rPr>
            </w:pPr>
            <w:r>
              <w:rPr>
                <w:rFonts w:ascii="Arial" w:cs="Arial" w:eastAsia="Arial" w:hAnsi="Arial"/>
                <w:sz w:val="18"/>
                <w:szCs w:val="18"/>
                <w:color w:val="auto"/>
                <w:w w:val="99"/>
              </w:rPr>
              <w:t>Share</w:t>
            </w:r>
          </w:p>
        </w:tc>
        <w:tc>
          <w:tcPr>
            <w:tcW w:w="900" w:type="dxa"/>
            <w:vAlign w:val="bottom"/>
            <w:tcBorders>
              <w:right w:val="single" w:sz="8" w:color="B6B6B6"/>
            </w:tcBorders>
            <w:vMerge w:val="restart"/>
          </w:tcPr>
          <w:p>
            <w:pPr>
              <w:ind w:left="260"/>
              <w:spacing w:after="0"/>
              <w:rPr>
                <w:sz w:val="20"/>
                <w:szCs w:val="20"/>
                <w:color w:val="auto"/>
              </w:rPr>
            </w:pPr>
            <w:r>
              <w:rPr>
                <w:rFonts w:ascii="Arial" w:cs="Arial" w:eastAsia="Arial" w:hAnsi="Arial"/>
                <w:sz w:val="18"/>
                <w:szCs w:val="18"/>
                <w:color w:val="auto"/>
              </w:rPr>
              <w:t>50%</w:t>
            </w:r>
          </w:p>
        </w:tc>
        <w:tc>
          <w:tcPr>
            <w:tcW w:w="1600" w:type="dxa"/>
            <w:vAlign w:val="bottom"/>
            <w:tcBorders>
              <w:right w:val="single" w:sz="8" w:color="B6B6B6"/>
            </w:tcBorders>
          </w:tcPr>
          <w:p>
            <w:pPr>
              <w:spacing w:after="0"/>
              <w:rPr>
                <w:sz w:val="15"/>
                <w:szCs w:val="15"/>
                <w:color w:val="auto"/>
              </w:rPr>
            </w:pPr>
          </w:p>
        </w:tc>
        <w:tc>
          <w:tcPr>
            <w:tcW w:w="1240" w:type="dxa"/>
            <w:vAlign w:val="bottom"/>
            <w:tcBorders>
              <w:right w:val="single" w:sz="8" w:color="B6B6B6"/>
            </w:tcBorders>
          </w:tcPr>
          <w:p>
            <w:pPr>
              <w:spacing w:after="0"/>
              <w:rPr>
                <w:sz w:val="15"/>
                <w:szCs w:val="15"/>
                <w:color w:val="auto"/>
              </w:rPr>
            </w:pPr>
          </w:p>
        </w:tc>
        <w:tc>
          <w:tcPr>
            <w:tcW w:w="1920" w:type="dxa"/>
            <w:vAlign w:val="bottom"/>
            <w:tcBorders>
              <w:right w:val="single" w:sz="8" w:color="B6B6B6"/>
            </w:tcBorders>
          </w:tcPr>
          <w:p>
            <w:pPr>
              <w:jc w:val="center"/>
              <w:spacing w:after="0" w:line="183" w:lineRule="exact"/>
              <w:rPr>
                <w:sz w:val="20"/>
                <w:szCs w:val="20"/>
                <w:color w:val="auto"/>
              </w:rPr>
            </w:pPr>
            <w:r>
              <w:rPr>
                <w:rFonts w:ascii="Arial" w:cs="Arial" w:eastAsia="Arial" w:hAnsi="Arial"/>
                <w:sz w:val="18"/>
                <w:szCs w:val="18"/>
                <w:color w:val="auto"/>
                <w:w w:val="99"/>
              </w:rPr>
              <w:t>operating income</w:t>
            </w:r>
          </w:p>
        </w:tc>
        <w:tc>
          <w:tcPr>
            <w:tcW w:w="2000" w:type="dxa"/>
            <w:vAlign w:val="bottom"/>
            <w:tcBorders>
              <w:right w:val="single" w:sz="8" w:color="B6B6B6"/>
            </w:tcBorders>
          </w:tcPr>
          <w:p>
            <w:pPr>
              <w:jc w:val="center"/>
              <w:spacing w:after="0" w:line="183" w:lineRule="exact"/>
              <w:rPr>
                <w:sz w:val="20"/>
                <w:szCs w:val="20"/>
                <w:color w:val="auto"/>
              </w:rPr>
            </w:pPr>
            <w:r>
              <w:rPr>
                <w:rFonts w:ascii="Arial" w:cs="Arial" w:eastAsia="Arial" w:hAnsi="Arial"/>
                <w:sz w:val="18"/>
                <w:szCs w:val="18"/>
                <w:color w:val="auto"/>
                <w:w w:val="99"/>
              </w:rPr>
              <w:t>performance results</w:t>
            </w:r>
          </w:p>
        </w:tc>
        <w:tc>
          <w:tcPr>
            <w:tcW w:w="1960" w:type="dxa"/>
            <w:vAlign w:val="bottom"/>
            <w:tcBorders>
              <w:right w:val="single" w:sz="8" w:color="B6B6B6"/>
            </w:tcBorders>
          </w:tcPr>
          <w:p>
            <w:pPr>
              <w:jc w:val="center"/>
              <w:spacing w:after="0" w:line="183" w:lineRule="exact"/>
              <w:rPr>
                <w:sz w:val="20"/>
                <w:szCs w:val="20"/>
                <w:color w:val="auto"/>
              </w:rPr>
            </w:pPr>
            <w:r>
              <w:rPr>
                <w:rFonts w:ascii="Arial" w:cs="Arial" w:eastAsia="Arial" w:hAnsi="Arial"/>
                <w:sz w:val="18"/>
                <w:szCs w:val="18"/>
                <w:color w:val="auto"/>
                <w:w w:val="99"/>
              </w:rPr>
              <w:t>returns (inclusive of</w:t>
            </w:r>
          </w:p>
        </w:tc>
        <w:tc>
          <w:tcPr>
            <w:tcW w:w="0" w:type="dxa"/>
            <w:vAlign w:val="bottom"/>
          </w:tcPr>
          <w:p>
            <w:pPr>
              <w:spacing w:after="0"/>
              <w:rPr>
                <w:sz w:val="1"/>
                <w:szCs w:val="1"/>
                <w:color w:val="auto"/>
              </w:rPr>
            </w:pPr>
          </w:p>
        </w:tc>
      </w:tr>
      <w:tr>
        <w:trPr>
          <w:trHeight w:val="158"/>
        </w:trPr>
        <w:tc>
          <w:tcPr>
            <w:tcW w:w="1640" w:type="dxa"/>
            <w:vAlign w:val="bottom"/>
            <w:tcBorders>
              <w:left w:val="single" w:sz="8" w:color="B6B6B6"/>
              <w:right w:val="single" w:sz="8" w:color="B6B6B6"/>
            </w:tcBorders>
            <w:vMerge w:val="restart"/>
          </w:tcPr>
          <w:p>
            <w:pPr>
              <w:jc w:val="center"/>
              <w:spacing w:after="0" w:line="195" w:lineRule="exact"/>
              <w:rPr>
                <w:sz w:val="20"/>
                <w:szCs w:val="20"/>
                <w:color w:val="auto"/>
              </w:rPr>
            </w:pPr>
            <w:r>
              <w:rPr>
                <w:rFonts w:ascii="Arial" w:cs="Arial" w:eastAsia="Arial" w:hAnsi="Arial"/>
                <w:sz w:val="18"/>
                <w:szCs w:val="18"/>
                <w:color w:val="auto"/>
                <w:w w:val="97"/>
              </w:rPr>
              <w:t>Units</w:t>
            </w:r>
          </w:p>
        </w:tc>
        <w:tc>
          <w:tcPr>
            <w:tcW w:w="900" w:type="dxa"/>
            <w:vAlign w:val="bottom"/>
            <w:tcBorders>
              <w:right w:val="single" w:sz="8" w:color="B6B6B6"/>
            </w:tcBorders>
            <w:vMerge w:val="continue"/>
          </w:tcPr>
          <w:p>
            <w:pPr>
              <w:spacing w:after="0"/>
              <w:rPr>
                <w:sz w:val="13"/>
                <w:szCs w:val="13"/>
                <w:color w:val="auto"/>
              </w:rPr>
            </w:pPr>
          </w:p>
        </w:tc>
        <w:tc>
          <w:tcPr>
            <w:tcW w:w="1600" w:type="dxa"/>
            <w:vAlign w:val="bottom"/>
            <w:tcBorders>
              <w:right w:val="single" w:sz="8" w:color="B6B6B6"/>
            </w:tcBorders>
          </w:tcPr>
          <w:p>
            <w:pPr>
              <w:spacing w:after="0"/>
              <w:rPr>
                <w:sz w:val="13"/>
                <w:szCs w:val="13"/>
                <w:color w:val="auto"/>
              </w:rPr>
            </w:pPr>
          </w:p>
        </w:tc>
        <w:tc>
          <w:tcPr>
            <w:tcW w:w="1240" w:type="dxa"/>
            <w:vAlign w:val="bottom"/>
            <w:tcBorders>
              <w:right w:val="single" w:sz="8" w:color="B6B6B6"/>
            </w:tcBorders>
          </w:tcPr>
          <w:p>
            <w:pPr>
              <w:spacing w:after="0"/>
              <w:rPr>
                <w:sz w:val="13"/>
                <w:szCs w:val="13"/>
                <w:color w:val="auto"/>
              </w:rPr>
            </w:pPr>
          </w:p>
        </w:tc>
        <w:tc>
          <w:tcPr>
            <w:tcW w:w="1920" w:type="dxa"/>
            <w:vAlign w:val="bottom"/>
            <w:tcBorders>
              <w:right w:val="single" w:sz="8" w:color="B6B6B6"/>
            </w:tcBorders>
            <w:vMerge w:val="restart"/>
          </w:tcPr>
          <w:p>
            <w:pPr>
              <w:jc w:val="center"/>
              <w:spacing w:after="0" w:line="195" w:lineRule="exact"/>
              <w:rPr>
                <w:sz w:val="20"/>
                <w:szCs w:val="20"/>
                <w:color w:val="auto"/>
              </w:rPr>
            </w:pPr>
            <w:r>
              <w:rPr>
                <w:rFonts w:ascii="Arial" w:cs="Arial" w:eastAsia="Arial" w:hAnsi="Arial"/>
                <w:sz w:val="18"/>
                <w:szCs w:val="18"/>
                <w:color w:val="auto"/>
                <w:w w:val="99"/>
              </w:rPr>
              <w:t>performance period</w:t>
            </w:r>
          </w:p>
        </w:tc>
        <w:tc>
          <w:tcPr>
            <w:tcW w:w="2000" w:type="dxa"/>
            <w:vAlign w:val="bottom"/>
            <w:tcBorders>
              <w:right w:val="single" w:sz="8" w:color="B6B6B6"/>
            </w:tcBorders>
            <w:vMerge w:val="restart"/>
          </w:tcPr>
          <w:p>
            <w:pPr>
              <w:jc w:val="center"/>
              <w:spacing w:after="0" w:line="195" w:lineRule="exact"/>
              <w:rPr>
                <w:sz w:val="20"/>
                <w:szCs w:val="20"/>
                <w:color w:val="auto"/>
              </w:rPr>
            </w:pPr>
            <w:r>
              <w:rPr>
                <w:rFonts w:ascii="Arial" w:cs="Arial" w:eastAsia="Arial" w:hAnsi="Arial"/>
                <w:sz w:val="18"/>
                <w:szCs w:val="18"/>
                <w:color w:val="auto"/>
              </w:rPr>
              <w:t>approved by the</w:t>
            </w:r>
          </w:p>
        </w:tc>
        <w:tc>
          <w:tcPr>
            <w:tcW w:w="1960" w:type="dxa"/>
            <w:vAlign w:val="bottom"/>
            <w:tcBorders>
              <w:right w:val="single" w:sz="8" w:color="B6B6B6"/>
            </w:tcBorders>
            <w:vMerge w:val="restart"/>
          </w:tcPr>
          <w:p>
            <w:pPr>
              <w:jc w:val="center"/>
              <w:spacing w:after="0" w:line="195" w:lineRule="exact"/>
              <w:rPr>
                <w:sz w:val="20"/>
                <w:szCs w:val="20"/>
                <w:color w:val="auto"/>
              </w:rPr>
            </w:pPr>
            <w:r>
              <w:rPr>
                <w:rFonts w:ascii="Arial" w:cs="Arial" w:eastAsia="Arial" w:hAnsi="Arial"/>
                <w:sz w:val="18"/>
                <w:szCs w:val="18"/>
                <w:color w:val="auto"/>
                <w:w w:val="99"/>
              </w:rPr>
              <w:t>accumulated</w:t>
            </w:r>
          </w:p>
        </w:tc>
        <w:tc>
          <w:tcPr>
            <w:tcW w:w="0" w:type="dxa"/>
            <w:vAlign w:val="bottom"/>
          </w:tcPr>
          <w:p>
            <w:pPr>
              <w:spacing w:after="0"/>
              <w:rPr>
                <w:sz w:val="1"/>
                <w:szCs w:val="1"/>
                <w:color w:val="auto"/>
              </w:rPr>
            </w:pPr>
          </w:p>
        </w:tc>
      </w:tr>
      <w:tr>
        <w:trPr>
          <w:trHeight w:val="36"/>
        </w:trPr>
        <w:tc>
          <w:tcPr>
            <w:tcW w:w="1640" w:type="dxa"/>
            <w:vAlign w:val="bottom"/>
            <w:tcBorders>
              <w:left w:val="single" w:sz="8" w:color="B6B6B6"/>
              <w:right w:val="single" w:sz="8" w:color="B6B6B6"/>
            </w:tcBorders>
            <w:vMerge w:val="continue"/>
          </w:tcPr>
          <w:p>
            <w:pPr>
              <w:spacing w:after="0"/>
              <w:rPr>
                <w:sz w:val="3"/>
                <w:szCs w:val="3"/>
                <w:color w:val="auto"/>
              </w:rPr>
            </w:pPr>
          </w:p>
        </w:tc>
        <w:tc>
          <w:tcPr>
            <w:tcW w:w="900" w:type="dxa"/>
            <w:vAlign w:val="bottom"/>
            <w:tcBorders>
              <w:right w:val="single" w:sz="8" w:color="B6B6B6"/>
            </w:tcBorders>
          </w:tcPr>
          <w:p>
            <w:pPr>
              <w:spacing w:after="0"/>
              <w:rPr>
                <w:sz w:val="3"/>
                <w:szCs w:val="3"/>
                <w:color w:val="auto"/>
              </w:rPr>
            </w:pPr>
          </w:p>
        </w:tc>
        <w:tc>
          <w:tcPr>
            <w:tcW w:w="1600" w:type="dxa"/>
            <w:vAlign w:val="bottom"/>
            <w:tcBorders>
              <w:right w:val="single" w:sz="8" w:color="B6B6B6"/>
            </w:tcBorders>
          </w:tcPr>
          <w:p>
            <w:pPr>
              <w:spacing w:after="0"/>
              <w:rPr>
                <w:sz w:val="3"/>
                <w:szCs w:val="3"/>
                <w:color w:val="auto"/>
              </w:rPr>
            </w:pPr>
          </w:p>
        </w:tc>
        <w:tc>
          <w:tcPr>
            <w:tcW w:w="1240" w:type="dxa"/>
            <w:vAlign w:val="bottom"/>
            <w:tcBorders>
              <w:right w:val="single" w:sz="8" w:color="B6B6B6"/>
            </w:tcBorders>
          </w:tcPr>
          <w:p>
            <w:pPr>
              <w:spacing w:after="0"/>
              <w:rPr>
                <w:sz w:val="3"/>
                <w:szCs w:val="3"/>
                <w:color w:val="auto"/>
              </w:rPr>
            </w:pPr>
          </w:p>
        </w:tc>
        <w:tc>
          <w:tcPr>
            <w:tcW w:w="1920" w:type="dxa"/>
            <w:vAlign w:val="bottom"/>
            <w:tcBorders>
              <w:right w:val="single" w:sz="8" w:color="B6B6B6"/>
            </w:tcBorders>
            <w:vMerge w:val="continue"/>
          </w:tcPr>
          <w:p>
            <w:pPr>
              <w:spacing w:after="0"/>
              <w:rPr>
                <w:sz w:val="3"/>
                <w:szCs w:val="3"/>
                <w:color w:val="auto"/>
              </w:rPr>
            </w:pPr>
          </w:p>
        </w:tc>
        <w:tc>
          <w:tcPr>
            <w:tcW w:w="2000" w:type="dxa"/>
            <w:vAlign w:val="bottom"/>
            <w:tcBorders>
              <w:right w:val="single" w:sz="8" w:color="B6B6B6"/>
            </w:tcBorders>
            <w:vMerge w:val="continue"/>
          </w:tcPr>
          <w:p>
            <w:pPr>
              <w:spacing w:after="0"/>
              <w:rPr>
                <w:sz w:val="3"/>
                <w:szCs w:val="3"/>
                <w:color w:val="auto"/>
              </w:rPr>
            </w:pPr>
          </w:p>
        </w:tc>
        <w:tc>
          <w:tcPr>
            <w:tcW w:w="1960" w:type="dxa"/>
            <w:vAlign w:val="bottom"/>
            <w:tcBorders>
              <w:right w:val="single" w:sz="8" w:color="B6B6B6"/>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1640" w:type="dxa"/>
            <w:vAlign w:val="bottom"/>
            <w:tcBorders>
              <w:left w:val="single" w:sz="8" w:color="B6B6B6"/>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(PSUs)</w:t>
            </w:r>
          </w:p>
        </w:tc>
        <w:tc>
          <w:tcPr>
            <w:tcW w:w="900" w:type="dxa"/>
            <w:vAlign w:val="bottom"/>
            <w:tcBorders>
              <w:right w:val="single" w:sz="8" w:color="B6B6B6"/>
            </w:tcBorders>
          </w:tcPr>
          <w:p>
            <w:pPr>
              <w:spacing w:after="0"/>
              <w:rPr>
                <w:sz w:val="2"/>
                <w:szCs w:val="2"/>
                <w:color w:val="auto"/>
              </w:rPr>
            </w:pPr>
          </w:p>
        </w:tc>
        <w:tc>
          <w:tcPr>
            <w:tcW w:w="1600" w:type="dxa"/>
            <w:vAlign w:val="bottom"/>
            <w:tcBorders>
              <w:bottom w:val="single" w:sz="8" w:color="B6B6B6"/>
              <w:right w:val="single" w:sz="8" w:color="B6B6B6"/>
            </w:tcBorders>
          </w:tcPr>
          <w:p>
            <w:pPr>
              <w:spacing w:after="0"/>
              <w:rPr>
                <w:sz w:val="2"/>
                <w:szCs w:val="2"/>
                <w:color w:val="auto"/>
              </w:rPr>
            </w:pPr>
          </w:p>
        </w:tc>
        <w:tc>
          <w:tcPr>
            <w:tcW w:w="1240" w:type="dxa"/>
            <w:vAlign w:val="bottom"/>
            <w:tcBorders>
              <w:bottom w:val="single" w:sz="8" w:color="B6B6B6"/>
              <w:right w:val="single" w:sz="8" w:color="B6B6B6"/>
            </w:tcBorders>
          </w:tcPr>
          <w:p>
            <w:pPr>
              <w:spacing w:after="0"/>
              <w:rPr>
                <w:sz w:val="2"/>
                <w:szCs w:val="2"/>
                <w:color w:val="auto"/>
              </w:rPr>
            </w:pPr>
          </w:p>
        </w:tc>
        <w:tc>
          <w:tcPr>
            <w:tcW w:w="192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(2025)</w:t>
            </w:r>
          </w:p>
        </w:tc>
        <w:tc>
          <w:tcPr>
            <w:tcW w:w="200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Compensation and</w:t>
            </w:r>
          </w:p>
        </w:tc>
        <w:tc>
          <w:tcPr>
            <w:tcW w:w="196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dividends), which is</w:t>
            </w:r>
          </w:p>
        </w:tc>
        <w:tc>
          <w:tcPr>
            <w:tcW w:w="0" w:type="dxa"/>
            <w:vAlign w:val="bottom"/>
          </w:tcPr>
          <w:p>
            <w:pPr>
              <w:spacing w:after="0"/>
              <w:rPr>
                <w:sz w:val="1"/>
                <w:szCs w:val="1"/>
                <w:color w:val="auto"/>
              </w:rPr>
            </w:pPr>
          </w:p>
        </w:tc>
      </w:tr>
      <w:tr>
        <w:trPr>
          <w:trHeight w:val="204"/>
        </w:trPr>
        <w:tc>
          <w:tcPr>
            <w:tcW w:w="1640" w:type="dxa"/>
            <w:vAlign w:val="bottom"/>
            <w:tcBorders>
              <w:left w:val="single" w:sz="8" w:color="B6B6B6"/>
              <w:right w:val="single" w:sz="8" w:color="B6B6B6"/>
            </w:tcBorders>
            <w:vMerge w:val="continue"/>
          </w:tcPr>
          <w:p>
            <w:pPr>
              <w:spacing w:after="0"/>
              <w:rPr>
                <w:sz w:val="17"/>
                <w:szCs w:val="17"/>
                <w:color w:val="auto"/>
              </w:rPr>
            </w:pPr>
          </w:p>
        </w:tc>
        <w:tc>
          <w:tcPr>
            <w:tcW w:w="900" w:type="dxa"/>
            <w:vAlign w:val="bottom"/>
            <w:tcBorders>
              <w:right w:val="single" w:sz="8" w:color="B6B6B6"/>
            </w:tcBorders>
          </w:tcPr>
          <w:p>
            <w:pPr>
              <w:spacing w:after="0"/>
              <w:rPr>
                <w:sz w:val="17"/>
                <w:szCs w:val="17"/>
                <w:color w:val="auto"/>
              </w:rPr>
            </w:pPr>
          </w:p>
        </w:tc>
        <w:tc>
          <w:tcPr>
            <w:tcW w:w="1600" w:type="dxa"/>
            <w:vAlign w:val="bottom"/>
            <w:tcBorders>
              <w:right w:val="single" w:sz="8" w:color="B6B6B6"/>
            </w:tcBorders>
          </w:tcPr>
          <w:p>
            <w:pPr>
              <w:spacing w:after="0"/>
              <w:rPr>
                <w:sz w:val="17"/>
                <w:szCs w:val="17"/>
                <w:color w:val="auto"/>
              </w:rPr>
            </w:pPr>
          </w:p>
        </w:tc>
        <w:tc>
          <w:tcPr>
            <w:tcW w:w="1240" w:type="dxa"/>
            <w:vAlign w:val="bottom"/>
            <w:tcBorders>
              <w:right w:val="single" w:sz="8" w:color="B6B6B6"/>
            </w:tcBorders>
          </w:tcPr>
          <w:p>
            <w:pPr>
              <w:spacing w:after="0"/>
              <w:rPr>
                <w:sz w:val="17"/>
                <w:szCs w:val="17"/>
                <w:color w:val="auto"/>
              </w:rPr>
            </w:pPr>
          </w:p>
        </w:tc>
        <w:tc>
          <w:tcPr>
            <w:tcW w:w="1920" w:type="dxa"/>
            <w:vAlign w:val="bottom"/>
            <w:tcBorders>
              <w:right w:val="single" w:sz="8" w:color="B6B6B6"/>
            </w:tcBorders>
            <w:vMerge w:val="continue"/>
          </w:tcPr>
          <w:p>
            <w:pPr>
              <w:spacing w:after="0"/>
              <w:rPr>
                <w:sz w:val="17"/>
                <w:szCs w:val="17"/>
                <w:color w:val="auto"/>
              </w:rPr>
            </w:pPr>
          </w:p>
        </w:tc>
        <w:tc>
          <w:tcPr>
            <w:tcW w:w="2000" w:type="dxa"/>
            <w:vAlign w:val="bottom"/>
            <w:tcBorders>
              <w:right w:val="single" w:sz="8" w:color="B6B6B6"/>
            </w:tcBorders>
            <w:vMerge w:val="continue"/>
          </w:tcPr>
          <w:p>
            <w:pPr>
              <w:spacing w:after="0"/>
              <w:rPr>
                <w:sz w:val="17"/>
                <w:szCs w:val="17"/>
                <w:color w:val="auto"/>
              </w:rPr>
            </w:pPr>
          </w:p>
        </w:tc>
        <w:tc>
          <w:tcPr>
            <w:tcW w:w="1960" w:type="dxa"/>
            <w:vAlign w:val="bottom"/>
            <w:tcBorders>
              <w:right w:val="single" w:sz="8" w:color="B6B6B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Borders>
              <w:left w:val="single" w:sz="8" w:color="B6B6B6"/>
              <w:right w:val="single" w:sz="8" w:color="B6B6B6"/>
            </w:tcBorders>
          </w:tcPr>
          <w:p>
            <w:pPr>
              <w:spacing w:after="0"/>
              <w:rPr>
                <w:sz w:val="18"/>
                <w:szCs w:val="18"/>
                <w:color w:val="auto"/>
              </w:rPr>
            </w:pPr>
          </w:p>
        </w:tc>
        <w:tc>
          <w:tcPr>
            <w:tcW w:w="900" w:type="dxa"/>
            <w:vAlign w:val="bottom"/>
            <w:tcBorders>
              <w:right w:val="single" w:sz="8" w:color="B6B6B6"/>
            </w:tcBorders>
          </w:tcPr>
          <w:p>
            <w:pPr>
              <w:spacing w:after="0"/>
              <w:rPr>
                <w:sz w:val="18"/>
                <w:szCs w:val="18"/>
                <w:color w:val="auto"/>
              </w:rPr>
            </w:pPr>
          </w:p>
        </w:tc>
        <w:tc>
          <w:tcPr>
            <w:tcW w:w="160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9"/>
              </w:rPr>
              <w:t>rTSR S&amp;P 600</w:t>
            </w:r>
          </w:p>
        </w:tc>
        <w:tc>
          <w:tcPr>
            <w:tcW w:w="1240" w:type="dxa"/>
            <w:vAlign w:val="bottom"/>
            <w:tcBorders>
              <w:right w:val="single" w:sz="8" w:color="B6B6B6"/>
            </w:tcBorders>
          </w:tcPr>
          <w:p>
            <w:pPr>
              <w:spacing w:after="0"/>
              <w:rPr>
                <w:sz w:val="18"/>
                <w:szCs w:val="18"/>
                <w:color w:val="auto"/>
              </w:rPr>
            </w:pPr>
          </w:p>
        </w:tc>
        <w:tc>
          <w:tcPr>
            <w:tcW w:w="1920" w:type="dxa"/>
            <w:vAlign w:val="bottom"/>
            <w:tcBorders>
              <w:right w:val="single" w:sz="8" w:color="B6B6B6"/>
            </w:tcBorders>
          </w:tcPr>
          <w:p>
            <w:pPr>
              <w:spacing w:after="0"/>
              <w:rPr>
                <w:sz w:val="18"/>
                <w:szCs w:val="18"/>
                <w:color w:val="auto"/>
              </w:rPr>
            </w:pPr>
          </w:p>
        </w:tc>
        <w:tc>
          <w:tcPr>
            <w:tcW w:w="200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9"/>
              </w:rPr>
              <w:t>Human Capital</w:t>
            </w:r>
          </w:p>
        </w:tc>
        <w:tc>
          <w:tcPr>
            <w:tcW w:w="196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9"/>
              </w:rPr>
              <w:t>appropriate during the</w:t>
            </w:r>
          </w:p>
        </w:tc>
        <w:tc>
          <w:tcPr>
            <w:tcW w:w="0" w:type="dxa"/>
            <w:vAlign w:val="bottom"/>
          </w:tcPr>
          <w:p>
            <w:pPr>
              <w:spacing w:after="0"/>
              <w:rPr>
                <w:sz w:val="1"/>
                <w:szCs w:val="1"/>
                <w:color w:val="auto"/>
              </w:rPr>
            </w:pPr>
          </w:p>
        </w:tc>
      </w:tr>
      <w:tr>
        <w:trPr>
          <w:trHeight w:val="216"/>
        </w:trPr>
        <w:tc>
          <w:tcPr>
            <w:tcW w:w="1640" w:type="dxa"/>
            <w:vAlign w:val="bottom"/>
            <w:tcBorders>
              <w:left w:val="single" w:sz="8" w:color="B6B6B6"/>
              <w:right w:val="single" w:sz="8" w:color="B6B6B6"/>
            </w:tcBorders>
          </w:tcPr>
          <w:p>
            <w:pPr>
              <w:spacing w:after="0"/>
              <w:rPr>
                <w:sz w:val="18"/>
                <w:szCs w:val="18"/>
                <w:color w:val="auto"/>
              </w:rPr>
            </w:pPr>
          </w:p>
        </w:tc>
        <w:tc>
          <w:tcPr>
            <w:tcW w:w="900" w:type="dxa"/>
            <w:vAlign w:val="bottom"/>
            <w:tcBorders>
              <w:right w:val="single" w:sz="8" w:color="B6B6B6"/>
            </w:tcBorders>
          </w:tcPr>
          <w:p>
            <w:pPr>
              <w:spacing w:after="0"/>
              <w:rPr>
                <w:sz w:val="18"/>
                <w:szCs w:val="18"/>
                <w:color w:val="auto"/>
              </w:rPr>
            </w:pPr>
          </w:p>
        </w:tc>
        <w:tc>
          <w:tcPr>
            <w:tcW w:w="160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9"/>
              </w:rPr>
              <w:t>Information</w:t>
            </w:r>
          </w:p>
        </w:tc>
        <w:tc>
          <w:tcPr>
            <w:tcW w:w="1240" w:type="dxa"/>
            <w:vAlign w:val="bottom"/>
            <w:tcBorders>
              <w:right w:val="single" w:sz="8" w:color="B6B6B6"/>
            </w:tcBorders>
          </w:tcPr>
          <w:p>
            <w:pPr>
              <w:jc w:val="right"/>
              <w:ind w:right="230"/>
              <w:spacing w:after="0"/>
              <w:rPr>
                <w:sz w:val="20"/>
                <w:szCs w:val="20"/>
                <w:color w:val="auto"/>
              </w:rPr>
            </w:pPr>
            <w:r>
              <w:rPr>
                <w:rFonts w:ascii="Arial" w:cs="Arial" w:eastAsia="Arial" w:hAnsi="Arial"/>
                <w:sz w:val="18"/>
                <w:szCs w:val="18"/>
                <w:color w:val="auto"/>
              </w:rPr>
              <w:t>+/- 15%</w:t>
            </w:r>
          </w:p>
        </w:tc>
        <w:tc>
          <w:tcPr>
            <w:tcW w:w="1920" w:type="dxa"/>
            <w:vAlign w:val="bottom"/>
            <w:tcBorders>
              <w:right w:val="single" w:sz="8" w:color="B6B6B6"/>
            </w:tcBorders>
          </w:tcPr>
          <w:p>
            <w:pPr>
              <w:spacing w:after="0"/>
              <w:rPr>
                <w:sz w:val="18"/>
                <w:szCs w:val="18"/>
                <w:color w:val="auto"/>
              </w:rPr>
            </w:pPr>
          </w:p>
        </w:tc>
        <w:tc>
          <w:tcPr>
            <w:tcW w:w="200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rPr>
              <w:t>Committee)</w:t>
            </w:r>
          </w:p>
        </w:tc>
        <w:tc>
          <w:tcPr>
            <w:tcW w:w="196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9"/>
              </w:rPr>
              <w:t>organization’s</w:t>
            </w:r>
          </w:p>
        </w:tc>
        <w:tc>
          <w:tcPr>
            <w:tcW w:w="0" w:type="dxa"/>
            <w:vAlign w:val="bottom"/>
          </w:tcPr>
          <w:p>
            <w:pPr>
              <w:spacing w:after="0"/>
              <w:rPr>
                <w:sz w:val="1"/>
                <w:szCs w:val="1"/>
                <w:color w:val="auto"/>
              </w:rPr>
            </w:pPr>
          </w:p>
        </w:tc>
      </w:tr>
      <w:tr>
        <w:trPr>
          <w:trHeight w:val="239"/>
        </w:trPr>
        <w:tc>
          <w:tcPr>
            <w:tcW w:w="1640" w:type="dxa"/>
            <w:vAlign w:val="bottom"/>
            <w:tcBorders>
              <w:left w:val="single" w:sz="8" w:color="B6B6B6"/>
              <w:right w:val="single" w:sz="8" w:color="B6B6B6"/>
            </w:tcBorders>
          </w:tcPr>
          <w:p>
            <w:pPr>
              <w:spacing w:after="0"/>
              <w:rPr>
                <w:sz w:val="20"/>
                <w:szCs w:val="20"/>
                <w:color w:val="auto"/>
              </w:rPr>
            </w:pPr>
          </w:p>
        </w:tc>
        <w:tc>
          <w:tcPr>
            <w:tcW w:w="900" w:type="dxa"/>
            <w:vAlign w:val="bottom"/>
            <w:tcBorders>
              <w:right w:val="single" w:sz="8" w:color="B6B6B6"/>
            </w:tcBorders>
          </w:tcPr>
          <w:p>
            <w:pPr>
              <w:spacing w:after="0"/>
              <w:rPr>
                <w:sz w:val="20"/>
                <w:szCs w:val="20"/>
                <w:color w:val="auto"/>
              </w:rPr>
            </w:pPr>
          </w:p>
        </w:tc>
        <w:tc>
          <w:tcPr>
            <w:tcW w:w="160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8"/>
              </w:rPr>
              <w:t>Technology Index</w:t>
            </w:r>
          </w:p>
        </w:tc>
        <w:tc>
          <w:tcPr>
            <w:tcW w:w="1240" w:type="dxa"/>
            <w:vAlign w:val="bottom"/>
            <w:tcBorders>
              <w:right w:val="single" w:sz="8" w:color="B6B6B6"/>
            </w:tcBorders>
          </w:tcPr>
          <w:p>
            <w:pPr>
              <w:spacing w:after="0"/>
              <w:rPr>
                <w:sz w:val="20"/>
                <w:szCs w:val="20"/>
                <w:color w:val="auto"/>
              </w:rPr>
            </w:pPr>
          </w:p>
        </w:tc>
        <w:tc>
          <w:tcPr>
            <w:tcW w:w="1920" w:type="dxa"/>
            <w:vAlign w:val="bottom"/>
            <w:tcBorders>
              <w:right w:val="single" w:sz="8" w:color="B6B6B6"/>
            </w:tcBorders>
          </w:tcPr>
          <w:p>
            <w:pPr>
              <w:spacing w:after="0"/>
              <w:rPr>
                <w:sz w:val="20"/>
                <w:szCs w:val="20"/>
                <w:color w:val="auto"/>
              </w:rPr>
            </w:pPr>
          </w:p>
        </w:tc>
        <w:tc>
          <w:tcPr>
            <w:tcW w:w="2000" w:type="dxa"/>
            <w:vAlign w:val="bottom"/>
            <w:tcBorders>
              <w:right w:val="single" w:sz="8" w:color="B6B6B6"/>
            </w:tcBorders>
          </w:tcPr>
          <w:p>
            <w:pPr>
              <w:spacing w:after="0"/>
              <w:rPr>
                <w:sz w:val="20"/>
                <w:szCs w:val="20"/>
                <w:color w:val="auto"/>
              </w:rPr>
            </w:pPr>
          </w:p>
        </w:tc>
        <w:tc>
          <w:tcPr>
            <w:tcW w:w="1960" w:type="dxa"/>
            <w:vAlign w:val="bottom"/>
            <w:tcBorders>
              <w:right w:val="single" w:sz="8" w:color="B6B6B6"/>
            </w:tcBorders>
          </w:tcPr>
          <w:p>
            <w:pPr>
              <w:jc w:val="center"/>
              <w:spacing w:after="0"/>
              <w:rPr>
                <w:sz w:val="20"/>
                <w:szCs w:val="20"/>
                <w:color w:val="auto"/>
              </w:rPr>
            </w:pPr>
            <w:r>
              <w:rPr>
                <w:rFonts w:ascii="Arial" w:cs="Arial" w:eastAsia="Arial" w:hAnsi="Arial"/>
                <w:sz w:val="18"/>
                <w:szCs w:val="18"/>
                <w:color w:val="auto"/>
                <w:w w:val="98"/>
              </w:rPr>
              <w:t>Reinvention</w:t>
            </w:r>
          </w:p>
        </w:tc>
        <w:tc>
          <w:tcPr>
            <w:tcW w:w="0" w:type="dxa"/>
            <w:vAlign w:val="bottom"/>
          </w:tcPr>
          <w:p>
            <w:pPr>
              <w:spacing w:after="0"/>
              <w:rPr>
                <w:sz w:val="1"/>
                <w:szCs w:val="1"/>
                <w:color w:val="auto"/>
              </w:rPr>
            </w:pPr>
          </w:p>
        </w:tc>
      </w:tr>
      <w:tr>
        <w:trPr>
          <w:trHeight w:val="225"/>
        </w:trPr>
        <w:tc>
          <w:tcPr>
            <w:tcW w:w="1640" w:type="dxa"/>
            <w:vAlign w:val="bottom"/>
            <w:tcBorders>
              <w:left w:val="single" w:sz="8" w:color="B6B6B6"/>
              <w:bottom w:val="single" w:sz="8" w:color="B6B6B6"/>
              <w:right w:val="single" w:sz="8" w:color="B6B6B6"/>
            </w:tcBorders>
          </w:tcPr>
          <w:p>
            <w:pPr>
              <w:spacing w:after="0"/>
              <w:rPr>
                <w:sz w:val="19"/>
                <w:szCs w:val="19"/>
                <w:color w:val="auto"/>
              </w:rPr>
            </w:pPr>
          </w:p>
        </w:tc>
        <w:tc>
          <w:tcPr>
            <w:tcW w:w="900" w:type="dxa"/>
            <w:vAlign w:val="bottom"/>
            <w:tcBorders>
              <w:bottom w:val="single" w:sz="8" w:color="B6B6B6"/>
              <w:right w:val="single" w:sz="8" w:color="B6B6B6"/>
            </w:tcBorders>
          </w:tcPr>
          <w:p>
            <w:pPr>
              <w:spacing w:after="0"/>
              <w:rPr>
                <w:sz w:val="19"/>
                <w:szCs w:val="19"/>
                <w:color w:val="auto"/>
              </w:rPr>
            </w:pPr>
          </w:p>
        </w:tc>
        <w:tc>
          <w:tcPr>
            <w:tcW w:w="1600" w:type="dxa"/>
            <w:vAlign w:val="bottom"/>
            <w:tcBorders>
              <w:bottom w:val="single" w:sz="8" w:color="B6B6B6"/>
              <w:right w:val="single" w:sz="8" w:color="B6B6B6"/>
            </w:tcBorders>
          </w:tcPr>
          <w:p>
            <w:pPr>
              <w:spacing w:after="0"/>
              <w:rPr>
                <w:sz w:val="19"/>
                <w:szCs w:val="19"/>
                <w:color w:val="auto"/>
              </w:rPr>
            </w:pPr>
          </w:p>
        </w:tc>
        <w:tc>
          <w:tcPr>
            <w:tcW w:w="1240" w:type="dxa"/>
            <w:vAlign w:val="bottom"/>
            <w:tcBorders>
              <w:bottom w:val="single" w:sz="8" w:color="B6B6B6"/>
              <w:right w:val="single" w:sz="8" w:color="B6B6B6"/>
            </w:tcBorders>
          </w:tcPr>
          <w:p>
            <w:pPr>
              <w:spacing w:after="0"/>
              <w:rPr>
                <w:sz w:val="19"/>
                <w:szCs w:val="19"/>
                <w:color w:val="auto"/>
              </w:rPr>
            </w:pPr>
          </w:p>
        </w:tc>
        <w:tc>
          <w:tcPr>
            <w:tcW w:w="1920" w:type="dxa"/>
            <w:vAlign w:val="bottom"/>
            <w:tcBorders>
              <w:bottom w:val="single" w:sz="8" w:color="B6B6B6"/>
              <w:right w:val="single" w:sz="8" w:color="B6B6B6"/>
            </w:tcBorders>
          </w:tcPr>
          <w:p>
            <w:pPr>
              <w:spacing w:after="0"/>
              <w:rPr>
                <w:sz w:val="19"/>
                <w:szCs w:val="19"/>
                <w:color w:val="auto"/>
              </w:rPr>
            </w:pPr>
          </w:p>
        </w:tc>
        <w:tc>
          <w:tcPr>
            <w:tcW w:w="2000" w:type="dxa"/>
            <w:vAlign w:val="bottom"/>
            <w:tcBorders>
              <w:bottom w:val="single" w:sz="8" w:color="B6B6B6"/>
              <w:right w:val="single" w:sz="8" w:color="B6B6B6"/>
            </w:tcBorders>
          </w:tcPr>
          <w:p>
            <w:pPr>
              <w:spacing w:after="0"/>
              <w:rPr>
                <w:sz w:val="19"/>
                <w:szCs w:val="19"/>
                <w:color w:val="auto"/>
              </w:rPr>
            </w:pPr>
          </w:p>
        </w:tc>
        <w:tc>
          <w:tcPr>
            <w:tcW w:w="1960" w:type="dxa"/>
            <w:vAlign w:val="bottom"/>
            <w:tcBorders>
              <w:bottom w:val="single" w:sz="8" w:color="B6B6B6"/>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40" w:type="dxa"/>
            <w:vAlign w:val="bottom"/>
            <w:tcBorders>
              <w:left w:val="single" w:sz="8" w:color="B6B6B6"/>
              <w:right w:val="single" w:sz="8" w:color="B6B6B6"/>
            </w:tcBorders>
            <w:shd w:val="clear" w:color="auto" w:fill="DBDBDB"/>
          </w:tcPr>
          <w:p>
            <w:pPr>
              <w:spacing w:after="0"/>
              <w:rPr>
                <w:sz w:val="14"/>
                <w:szCs w:val="14"/>
                <w:color w:val="auto"/>
              </w:rPr>
            </w:pPr>
          </w:p>
        </w:tc>
        <w:tc>
          <w:tcPr>
            <w:tcW w:w="900" w:type="dxa"/>
            <w:vAlign w:val="bottom"/>
            <w:tcBorders>
              <w:right w:val="single" w:sz="8" w:color="B6B6B6"/>
            </w:tcBorders>
            <w:shd w:val="clear" w:color="auto" w:fill="DBDBDB"/>
          </w:tcPr>
          <w:p>
            <w:pPr>
              <w:spacing w:after="0"/>
              <w:rPr>
                <w:sz w:val="14"/>
                <w:szCs w:val="14"/>
                <w:color w:val="auto"/>
              </w:rPr>
            </w:pPr>
          </w:p>
        </w:tc>
        <w:tc>
          <w:tcPr>
            <w:tcW w:w="1600" w:type="dxa"/>
            <w:vAlign w:val="bottom"/>
            <w:tcBorders>
              <w:right w:val="single" w:sz="8" w:color="B6B6B6"/>
            </w:tcBorders>
            <w:shd w:val="clear" w:color="auto" w:fill="DBDBDB"/>
          </w:tcPr>
          <w:p>
            <w:pPr>
              <w:spacing w:after="0"/>
              <w:rPr>
                <w:sz w:val="14"/>
                <w:szCs w:val="14"/>
                <w:color w:val="auto"/>
              </w:rPr>
            </w:pPr>
          </w:p>
        </w:tc>
        <w:tc>
          <w:tcPr>
            <w:tcW w:w="1240" w:type="dxa"/>
            <w:vAlign w:val="bottom"/>
            <w:tcBorders>
              <w:right w:val="single" w:sz="8" w:color="B6B6B6"/>
            </w:tcBorders>
            <w:shd w:val="clear" w:color="auto" w:fill="DBDBDB"/>
          </w:tcPr>
          <w:p>
            <w:pPr>
              <w:spacing w:after="0"/>
              <w:rPr>
                <w:sz w:val="14"/>
                <w:szCs w:val="14"/>
                <w:color w:val="auto"/>
              </w:rPr>
            </w:pPr>
          </w:p>
        </w:tc>
        <w:tc>
          <w:tcPr>
            <w:tcW w:w="1920" w:type="dxa"/>
            <w:vAlign w:val="bottom"/>
            <w:tcBorders>
              <w:right w:val="single" w:sz="8" w:color="B6B6B6"/>
            </w:tcBorders>
            <w:shd w:val="clear" w:color="auto" w:fill="DBDBDB"/>
          </w:tcPr>
          <w:p>
            <w:pPr>
              <w:spacing w:after="0"/>
              <w:rPr>
                <w:sz w:val="14"/>
                <w:szCs w:val="14"/>
                <w:color w:val="auto"/>
              </w:rPr>
            </w:pPr>
          </w:p>
        </w:tc>
        <w:tc>
          <w:tcPr>
            <w:tcW w:w="2000" w:type="dxa"/>
            <w:vAlign w:val="bottom"/>
            <w:tcBorders>
              <w:right w:val="single" w:sz="8" w:color="B6B6B6"/>
            </w:tcBorders>
            <w:shd w:val="clear" w:color="auto" w:fill="DBDBDB"/>
          </w:tcPr>
          <w:p>
            <w:pPr>
              <w:spacing w:after="0"/>
              <w:rPr>
                <w:sz w:val="14"/>
                <w:szCs w:val="14"/>
                <w:color w:val="auto"/>
              </w:rPr>
            </w:pPr>
          </w:p>
        </w:tc>
        <w:tc>
          <w:tcPr>
            <w:tcW w:w="1960" w:type="dxa"/>
            <w:vAlign w:val="bottom"/>
            <w:tcBorders>
              <w:right w:val="single" w:sz="8" w:color="B6B6B6"/>
            </w:tcBorders>
            <w:shd w:val="clear" w:color="auto" w:fill="DBDBDB"/>
          </w:tcPr>
          <w:p>
            <w:pPr>
              <w:jc w:val="center"/>
              <w:spacing w:after="0" w:line="169" w:lineRule="exact"/>
              <w:rPr>
                <w:sz w:val="20"/>
                <w:szCs w:val="20"/>
                <w:color w:val="auto"/>
              </w:rPr>
            </w:pPr>
            <w:r>
              <w:rPr>
                <w:rFonts w:ascii="Arial" w:cs="Arial" w:eastAsia="Arial" w:hAnsi="Arial"/>
                <w:sz w:val="18"/>
                <w:szCs w:val="18"/>
                <w:color w:val="auto"/>
                <w:w w:val="99"/>
              </w:rPr>
              <w:t>Due to the significant</w:t>
            </w:r>
          </w:p>
        </w:tc>
        <w:tc>
          <w:tcPr>
            <w:tcW w:w="0" w:type="dxa"/>
            <w:vAlign w:val="bottom"/>
          </w:tcPr>
          <w:p>
            <w:pPr>
              <w:spacing w:after="0"/>
              <w:rPr>
                <w:sz w:val="1"/>
                <w:szCs w:val="1"/>
                <w:color w:val="auto"/>
              </w:rPr>
            </w:pPr>
          </w:p>
        </w:tc>
      </w:tr>
      <w:tr>
        <w:trPr>
          <w:trHeight w:val="184"/>
        </w:trPr>
        <w:tc>
          <w:tcPr>
            <w:tcW w:w="1640" w:type="dxa"/>
            <w:vAlign w:val="bottom"/>
            <w:tcBorders>
              <w:left w:val="single" w:sz="8" w:color="B6B6B6"/>
              <w:right w:val="single" w:sz="8" w:color="B6B6B6"/>
            </w:tcBorders>
            <w:shd w:val="clear" w:color="auto" w:fill="DBDBDB"/>
          </w:tcPr>
          <w:p>
            <w:pPr>
              <w:spacing w:after="0"/>
              <w:rPr>
                <w:sz w:val="15"/>
                <w:szCs w:val="15"/>
                <w:color w:val="auto"/>
              </w:rPr>
            </w:pPr>
          </w:p>
        </w:tc>
        <w:tc>
          <w:tcPr>
            <w:tcW w:w="900" w:type="dxa"/>
            <w:vAlign w:val="bottom"/>
            <w:tcBorders>
              <w:right w:val="single" w:sz="8" w:color="B6B6B6"/>
            </w:tcBorders>
            <w:shd w:val="clear" w:color="auto" w:fill="DBDBDB"/>
          </w:tcPr>
          <w:p>
            <w:pPr>
              <w:spacing w:after="0"/>
              <w:rPr>
                <w:sz w:val="15"/>
                <w:szCs w:val="15"/>
                <w:color w:val="auto"/>
              </w:rPr>
            </w:pPr>
          </w:p>
        </w:tc>
        <w:tc>
          <w:tcPr>
            <w:tcW w:w="1600" w:type="dxa"/>
            <w:vAlign w:val="bottom"/>
            <w:tcBorders>
              <w:right w:val="single" w:sz="8" w:color="B6B6B6"/>
            </w:tcBorders>
            <w:shd w:val="clear" w:color="auto" w:fill="DBDBDB"/>
          </w:tcPr>
          <w:p>
            <w:pPr>
              <w:spacing w:after="0"/>
              <w:rPr>
                <w:sz w:val="15"/>
                <w:szCs w:val="15"/>
                <w:color w:val="auto"/>
              </w:rPr>
            </w:pPr>
          </w:p>
        </w:tc>
        <w:tc>
          <w:tcPr>
            <w:tcW w:w="1240" w:type="dxa"/>
            <w:vAlign w:val="bottom"/>
            <w:tcBorders>
              <w:right w:val="single" w:sz="8" w:color="B6B6B6"/>
            </w:tcBorders>
            <w:shd w:val="clear" w:color="auto" w:fill="DBDBDB"/>
          </w:tcPr>
          <w:p>
            <w:pPr>
              <w:spacing w:after="0"/>
              <w:rPr>
                <w:sz w:val="15"/>
                <w:szCs w:val="15"/>
                <w:color w:val="auto"/>
              </w:rPr>
            </w:pPr>
          </w:p>
        </w:tc>
        <w:tc>
          <w:tcPr>
            <w:tcW w:w="1920" w:type="dxa"/>
            <w:vAlign w:val="bottom"/>
            <w:tcBorders>
              <w:right w:val="single" w:sz="8" w:color="B6B6B6"/>
            </w:tcBorders>
            <w:shd w:val="clear" w:color="auto" w:fill="DBDBDB"/>
          </w:tcPr>
          <w:p>
            <w:pPr>
              <w:spacing w:after="0"/>
              <w:rPr>
                <w:sz w:val="15"/>
                <w:szCs w:val="15"/>
                <w:color w:val="auto"/>
              </w:rPr>
            </w:pPr>
          </w:p>
        </w:tc>
        <w:tc>
          <w:tcPr>
            <w:tcW w:w="200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Vesting schedule of</w:t>
            </w:r>
          </w:p>
        </w:tc>
        <w:tc>
          <w:tcPr>
            <w:tcW w:w="1960" w:type="dxa"/>
            <w:vAlign w:val="bottom"/>
            <w:tcBorders>
              <w:right w:val="single" w:sz="8" w:color="B6B6B6"/>
            </w:tcBorders>
            <w:shd w:val="clear" w:color="auto" w:fill="DBDBDB"/>
          </w:tcPr>
          <w:p>
            <w:pPr>
              <w:jc w:val="center"/>
              <w:spacing w:after="0" w:line="183" w:lineRule="exact"/>
              <w:rPr>
                <w:sz w:val="20"/>
                <w:szCs w:val="20"/>
                <w:color w:val="auto"/>
              </w:rPr>
            </w:pPr>
            <w:r>
              <w:rPr>
                <w:rFonts w:ascii="Arial" w:cs="Arial" w:eastAsia="Arial" w:hAnsi="Arial"/>
                <w:sz w:val="18"/>
                <w:szCs w:val="18"/>
                <w:color w:val="auto"/>
              </w:rPr>
              <w:t>recent downward</w:t>
            </w:r>
          </w:p>
        </w:tc>
        <w:tc>
          <w:tcPr>
            <w:tcW w:w="0" w:type="dxa"/>
            <w:vAlign w:val="bottom"/>
          </w:tcPr>
          <w:p>
            <w:pPr>
              <w:spacing w:after="0"/>
              <w:rPr>
                <w:sz w:val="1"/>
                <w:szCs w:val="1"/>
                <w:color w:val="auto"/>
              </w:rPr>
            </w:pPr>
          </w:p>
        </w:tc>
      </w:tr>
      <w:tr>
        <w:trPr>
          <w:trHeight w:val="86"/>
        </w:trPr>
        <w:tc>
          <w:tcPr>
            <w:tcW w:w="1640" w:type="dxa"/>
            <w:vAlign w:val="bottom"/>
            <w:tcBorders>
              <w:left w:val="single" w:sz="8" w:color="B6B6B6"/>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rPr>
              <w:t>Restricted Stock</w:t>
            </w:r>
          </w:p>
        </w:tc>
        <w:tc>
          <w:tcPr>
            <w:tcW w:w="900" w:type="dxa"/>
            <w:vAlign w:val="bottom"/>
            <w:tcBorders>
              <w:right w:val="single" w:sz="8" w:color="B6B6B6"/>
            </w:tcBorders>
            <w:shd w:val="clear" w:color="auto" w:fill="DBDBDB"/>
          </w:tcPr>
          <w:p>
            <w:pPr>
              <w:spacing w:after="0"/>
              <w:rPr>
                <w:sz w:val="7"/>
                <w:szCs w:val="7"/>
                <w:color w:val="auto"/>
              </w:rPr>
            </w:pPr>
          </w:p>
        </w:tc>
        <w:tc>
          <w:tcPr>
            <w:tcW w:w="1600" w:type="dxa"/>
            <w:vAlign w:val="bottom"/>
            <w:tcBorders>
              <w:right w:val="single" w:sz="8" w:color="B6B6B6"/>
            </w:tcBorders>
            <w:shd w:val="clear" w:color="auto" w:fill="DBDBDB"/>
          </w:tcPr>
          <w:p>
            <w:pPr>
              <w:spacing w:after="0"/>
              <w:rPr>
                <w:sz w:val="7"/>
                <w:szCs w:val="7"/>
                <w:color w:val="auto"/>
              </w:rPr>
            </w:pPr>
          </w:p>
        </w:tc>
        <w:tc>
          <w:tcPr>
            <w:tcW w:w="1240" w:type="dxa"/>
            <w:vAlign w:val="bottom"/>
            <w:tcBorders>
              <w:right w:val="single" w:sz="8" w:color="B6B6B6"/>
            </w:tcBorders>
            <w:shd w:val="clear" w:color="auto" w:fill="DBDBDB"/>
          </w:tcPr>
          <w:p>
            <w:pPr>
              <w:spacing w:after="0"/>
              <w:rPr>
                <w:sz w:val="7"/>
                <w:szCs w:val="7"/>
                <w:color w:val="auto"/>
              </w:rPr>
            </w:pPr>
          </w:p>
        </w:tc>
        <w:tc>
          <w:tcPr>
            <w:tcW w:w="1920" w:type="dxa"/>
            <w:vAlign w:val="bottom"/>
            <w:tcBorders>
              <w:right w:val="single" w:sz="8" w:color="B6B6B6"/>
            </w:tcBorders>
            <w:shd w:val="clear" w:color="auto" w:fill="DBDBDB"/>
          </w:tcPr>
          <w:p>
            <w:pPr>
              <w:spacing w:after="0"/>
              <w:rPr>
                <w:sz w:val="7"/>
                <w:szCs w:val="7"/>
                <w:color w:val="auto"/>
              </w:rPr>
            </w:pPr>
          </w:p>
        </w:tc>
        <w:tc>
          <w:tcPr>
            <w:tcW w:w="2000" w:type="dxa"/>
            <w:vAlign w:val="bottom"/>
            <w:tcBorders>
              <w:right w:val="single" w:sz="8" w:color="B6B6B6"/>
            </w:tcBorders>
            <w:vMerge w:val="continue"/>
            <w:shd w:val="clear" w:color="auto" w:fill="DBDBDB"/>
          </w:tcPr>
          <w:p>
            <w:pPr>
              <w:spacing w:after="0"/>
              <w:rPr>
                <w:sz w:val="7"/>
                <w:szCs w:val="7"/>
                <w:color w:val="auto"/>
              </w:rPr>
            </w:pPr>
          </w:p>
        </w:tc>
        <w:tc>
          <w:tcPr>
            <w:tcW w:w="196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pressure on our share</w:t>
            </w:r>
          </w:p>
        </w:tc>
        <w:tc>
          <w:tcPr>
            <w:tcW w:w="0" w:type="dxa"/>
            <w:vAlign w:val="bottom"/>
          </w:tcPr>
          <w:p>
            <w:pPr>
              <w:spacing w:after="0"/>
              <w:rPr>
                <w:sz w:val="1"/>
                <w:szCs w:val="1"/>
                <w:color w:val="auto"/>
              </w:rPr>
            </w:pPr>
          </w:p>
        </w:tc>
      </w:tr>
      <w:tr>
        <w:trPr>
          <w:trHeight w:val="176"/>
        </w:trPr>
        <w:tc>
          <w:tcPr>
            <w:tcW w:w="1640" w:type="dxa"/>
            <w:vAlign w:val="bottom"/>
            <w:tcBorders>
              <w:left w:val="single" w:sz="8" w:color="B6B6B6"/>
              <w:right w:val="single" w:sz="8" w:color="B6B6B6"/>
            </w:tcBorders>
            <w:vMerge w:val="continue"/>
            <w:shd w:val="clear" w:color="auto" w:fill="DBDBDB"/>
          </w:tcPr>
          <w:p>
            <w:pPr>
              <w:spacing w:after="0"/>
              <w:rPr>
                <w:sz w:val="15"/>
                <w:szCs w:val="15"/>
                <w:color w:val="auto"/>
              </w:rPr>
            </w:pPr>
          </w:p>
        </w:tc>
        <w:tc>
          <w:tcPr>
            <w:tcW w:w="900" w:type="dxa"/>
            <w:vAlign w:val="bottom"/>
            <w:tcBorders>
              <w:right w:val="single" w:sz="8" w:color="B6B6B6"/>
            </w:tcBorders>
            <w:shd w:val="clear" w:color="auto" w:fill="DBDBDB"/>
          </w:tcPr>
          <w:p>
            <w:pPr>
              <w:spacing w:after="0"/>
              <w:rPr>
                <w:sz w:val="15"/>
                <w:szCs w:val="15"/>
                <w:color w:val="auto"/>
              </w:rPr>
            </w:pPr>
          </w:p>
        </w:tc>
        <w:tc>
          <w:tcPr>
            <w:tcW w:w="1600" w:type="dxa"/>
            <w:vAlign w:val="bottom"/>
            <w:tcBorders>
              <w:right w:val="single" w:sz="8" w:color="B6B6B6"/>
            </w:tcBorders>
            <w:shd w:val="clear" w:color="auto" w:fill="DBDBDB"/>
          </w:tcPr>
          <w:p>
            <w:pPr>
              <w:spacing w:after="0"/>
              <w:rPr>
                <w:sz w:val="15"/>
                <w:szCs w:val="15"/>
                <w:color w:val="auto"/>
              </w:rPr>
            </w:pPr>
          </w:p>
        </w:tc>
        <w:tc>
          <w:tcPr>
            <w:tcW w:w="1240" w:type="dxa"/>
            <w:vAlign w:val="bottom"/>
            <w:tcBorders>
              <w:right w:val="single" w:sz="8" w:color="B6B6B6"/>
            </w:tcBorders>
            <w:shd w:val="clear" w:color="auto" w:fill="DBDBDB"/>
          </w:tcPr>
          <w:p>
            <w:pPr>
              <w:spacing w:after="0"/>
              <w:rPr>
                <w:sz w:val="15"/>
                <w:szCs w:val="15"/>
                <w:color w:val="auto"/>
              </w:rPr>
            </w:pPr>
          </w:p>
        </w:tc>
        <w:tc>
          <w:tcPr>
            <w:tcW w:w="1920" w:type="dxa"/>
            <w:vAlign w:val="bottom"/>
            <w:tcBorders>
              <w:right w:val="single" w:sz="8" w:color="B6B6B6"/>
            </w:tcBorders>
            <w:shd w:val="clear" w:color="auto" w:fill="DBDBDB"/>
          </w:tcPr>
          <w:p>
            <w:pPr>
              <w:spacing w:after="0"/>
              <w:rPr>
                <w:sz w:val="15"/>
                <w:szCs w:val="15"/>
                <w:color w:val="auto"/>
              </w:rPr>
            </w:pPr>
          </w:p>
        </w:tc>
        <w:tc>
          <w:tcPr>
            <w:tcW w:w="2000" w:type="dxa"/>
            <w:vAlign w:val="bottom"/>
            <w:tcBorders>
              <w:right w:val="single" w:sz="8" w:color="B6B6B6"/>
            </w:tcBorders>
            <w:shd w:val="clear" w:color="auto" w:fill="DBDBDB"/>
          </w:tcPr>
          <w:p>
            <w:pPr>
              <w:jc w:val="center"/>
              <w:spacing w:after="0" w:line="176" w:lineRule="exact"/>
              <w:rPr>
                <w:sz w:val="20"/>
                <w:szCs w:val="20"/>
                <w:color w:val="auto"/>
              </w:rPr>
            </w:pPr>
            <w:r>
              <w:rPr>
                <w:rFonts w:ascii="Arial" w:cs="Arial" w:eastAsia="Arial" w:hAnsi="Arial"/>
                <w:sz w:val="18"/>
                <w:szCs w:val="18"/>
                <w:color w:val="auto"/>
                <w:w w:val="99"/>
              </w:rPr>
              <w:t>one-third will vest</w:t>
            </w:r>
          </w:p>
        </w:tc>
        <w:tc>
          <w:tcPr>
            <w:tcW w:w="1960" w:type="dxa"/>
            <w:vAlign w:val="bottom"/>
            <w:tcBorders>
              <w:right w:val="single" w:sz="8" w:color="B6B6B6"/>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640" w:type="dxa"/>
            <w:vAlign w:val="bottom"/>
            <w:tcBorders>
              <w:left w:val="single" w:sz="8" w:color="B6B6B6"/>
              <w:right w:val="single" w:sz="8" w:color="B6B6B6"/>
            </w:tcBorders>
            <w:vMerge w:val="restart"/>
            <w:shd w:val="clear" w:color="auto" w:fill="DBDBDB"/>
          </w:tcPr>
          <w:p>
            <w:pPr>
              <w:jc w:val="center"/>
              <w:spacing w:after="0" w:line="189" w:lineRule="exact"/>
              <w:rPr>
                <w:sz w:val="20"/>
                <w:szCs w:val="20"/>
                <w:color w:val="auto"/>
              </w:rPr>
            </w:pPr>
            <w:r>
              <w:rPr>
                <w:rFonts w:ascii="Arial" w:cs="Arial" w:eastAsia="Arial" w:hAnsi="Arial"/>
                <w:sz w:val="18"/>
                <w:szCs w:val="18"/>
                <w:color w:val="auto"/>
                <w:w w:val="97"/>
              </w:rPr>
              <w:t>Units</w:t>
            </w:r>
          </w:p>
        </w:tc>
        <w:tc>
          <w:tcPr>
            <w:tcW w:w="900" w:type="dxa"/>
            <w:vAlign w:val="bottom"/>
            <w:tcBorders>
              <w:right w:val="single" w:sz="8" w:color="B6B6B6"/>
            </w:tcBorders>
            <w:vMerge w:val="restart"/>
            <w:shd w:val="clear" w:color="auto" w:fill="DBDBDB"/>
          </w:tcPr>
          <w:p>
            <w:pPr>
              <w:ind w:left="260"/>
              <w:spacing w:after="0" w:line="189" w:lineRule="exact"/>
              <w:rPr>
                <w:sz w:val="20"/>
                <w:szCs w:val="20"/>
                <w:color w:val="auto"/>
              </w:rPr>
            </w:pPr>
            <w:r>
              <w:rPr>
                <w:rFonts w:ascii="Arial" w:cs="Arial" w:eastAsia="Arial" w:hAnsi="Arial"/>
                <w:sz w:val="18"/>
                <w:szCs w:val="18"/>
                <w:color w:val="auto"/>
              </w:rPr>
              <w:t>50%</w:t>
            </w:r>
          </w:p>
        </w:tc>
        <w:tc>
          <w:tcPr>
            <w:tcW w:w="1600" w:type="dxa"/>
            <w:vAlign w:val="bottom"/>
            <w:tcBorders>
              <w:right w:val="single" w:sz="8" w:color="B6B6B6"/>
            </w:tcBorders>
            <w:vMerge w:val="restart"/>
            <w:shd w:val="clear" w:color="auto" w:fill="DBDBDB"/>
          </w:tcPr>
          <w:p>
            <w:pPr>
              <w:jc w:val="center"/>
              <w:spacing w:after="0" w:line="189" w:lineRule="exact"/>
              <w:rPr>
                <w:sz w:val="20"/>
                <w:szCs w:val="20"/>
                <w:color w:val="auto"/>
              </w:rPr>
            </w:pPr>
            <w:r>
              <w:rPr>
                <w:rFonts w:ascii="Arial" w:cs="Arial" w:eastAsia="Arial" w:hAnsi="Arial"/>
                <w:sz w:val="18"/>
                <w:szCs w:val="18"/>
                <w:color w:val="auto"/>
              </w:rPr>
              <w:t>Service-based</w:t>
            </w:r>
          </w:p>
        </w:tc>
        <w:tc>
          <w:tcPr>
            <w:tcW w:w="1240" w:type="dxa"/>
            <w:vAlign w:val="bottom"/>
            <w:tcBorders>
              <w:right w:val="single" w:sz="8" w:color="B6B6B6"/>
            </w:tcBorders>
            <w:vMerge w:val="restart"/>
            <w:shd w:val="clear" w:color="auto" w:fill="DBDBDB"/>
          </w:tcPr>
          <w:p>
            <w:pPr>
              <w:jc w:val="center"/>
              <w:spacing w:after="0" w:line="189" w:lineRule="exact"/>
              <w:rPr>
                <w:sz w:val="20"/>
                <w:szCs w:val="20"/>
                <w:color w:val="auto"/>
              </w:rPr>
            </w:pPr>
            <w:r>
              <w:rPr>
                <w:rFonts w:ascii="Arial" w:cs="Arial" w:eastAsia="Arial" w:hAnsi="Arial"/>
                <w:sz w:val="18"/>
                <w:szCs w:val="18"/>
                <w:color w:val="auto"/>
                <w:w w:val="95"/>
              </w:rPr>
              <w:t>NA</w:t>
            </w:r>
          </w:p>
        </w:tc>
        <w:tc>
          <w:tcPr>
            <w:tcW w:w="1920" w:type="dxa"/>
            <w:vAlign w:val="bottom"/>
            <w:tcBorders>
              <w:right w:val="single" w:sz="8" w:color="B6B6B6"/>
            </w:tcBorders>
            <w:vMerge w:val="restart"/>
            <w:shd w:val="clear" w:color="auto" w:fill="DBDBDB"/>
          </w:tcPr>
          <w:p>
            <w:pPr>
              <w:jc w:val="center"/>
              <w:spacing w:after="0" w:line="189" w:lineRule="exact"/>
              <w:rPr>
                <w:sz w:val="20"/>
                <w:szCs w:val="20"/>
                <w:color w:val="auto"/>
              </w:rPr>
            </w:pPr>
            <w:r>
              <w:rPr>
                <w:rFonts w:ascii="Arial" w:cs="Arial" w:eastAsia="Arial" w:hAnsi="Arial"/>
                <w:sz w:val="18"/>
                <w:szCs w:val="18"/>
                <w:color w:val="auto"/>
                <w:w w:val="99"/>
              </w:rPr>
              <w:t>Three-year vest</w:t>
            </w:r>
          </w:p>
        </w:tc>
        <w:tc>
          <w:tcPr>
            <w:tcW w:w="2000" w:type="dxa"/>
            <w:vAlign w:val="bottom"/>
            <w:tcBorders>
              <w:right w:val="single" w:sz="8" w:color="B6B6B6"/>
            </w:tcBorders>
            <w:vMerge w:val="restart"/>
            <w:shd w:val="clear" w:color="auto" w:fill="DBDBDB"/>
          </w:tcPr>
          <w:p>
            <w:pPr>
              <w:jc w:val="center"/>
              <w:spacing w:after="0" w:line="189" w:lineRule="exact"/>
              <w:rPr>
                <w:sz w:val="20"/>
                <w:szCs w:val="20"/>
                <w:color w:val="auto"/>
              </w:rPr>
            </w:pPr>
            <w:r>
              <w:rPr>
                <w:rFonts w:ascii="Arial" w:cs="Arial" w:eastAsia="Arial" w:hAnsi="Arial"/>
                <w:sz w:val="18"/>
                <w:szCs w:val="18"/>
                <w:color w:val="auto"/>
                <w:w w:val="99"/>
              </w:rPr>
              <w:t>twelve months after</w:t>
            </w:r>
          </w:p>
        </w:tc>
        <w:tc>
          <w:tcPr>
            <w:tcW w:w="1960" w:type="dxa"/>
            <w:vAlign w:val="bottom"/>
            <w:tcBorders>
              <w:right w:val="single" w:sz="8" w:color="B6B6B6"/>
            </w:tcBorders>
            <w:shd w:val="clear" w:color="auto" w:fill="DBDBDB"/>
          </w:tcPr>
          <w:p>
            <w:pPr>
              <w:jc w:val="center"/>
              <w:spacing w:after="0" w:line="95" w:lineRule="exact"/>
              <w:rPr>
                <w:sz w:val="20"/>
                <w:szCs w:val="20"/>
                <w:color w:val="auto"/>
              </w:rPr>
            </w:pPr>
            <w:r>
              <w:rPr>
                <w:rFonts w:ascii="Arial" w:cs="Arial" w:eastAsia="Arial" w:hAnsi="Arial"/>
                <w:sz w:val="10"/>
                <w:szCs w:val="10"/>
                <w:color w:val="auto"/>
              </w:rPr>
              <w:t>price, and to better</w:t>
            </w:r>
          </w:p>
        </w:tc>
        <w:tc>
          <w:tcPr>
            <w:tcW w:w="0" w:type="dxa"/>
            <w:vAlign w:val="bottom"/>
          </w:tcPr>
          <w:p>
            <w:pPr>
              <w:spacing w:after="0"/>
              <w:rPr>
                <w:sz w:val="1"/>
                <w:szCs w:val="1"/>
                <w:color w:val="auto"/>
              </w:rPr>
            </w:pPr>
          </w:p>
        </w:tc>
      </w:tr>
      <w:tr>
        <w:trPr>
          <w:trHeight w:val="94"/>
        </w:trPr>
        <w:tc>
          <w:tcPr>
            <w:tcW w:w="1640" w:type="dxa"/>
            <w:vAlign w:val="bottom"/>
            <w:tcBorders>
              <w:left w:val="single" w:sz="8" w:color="B6B6B6"/>
              <w:right w:val="single" w:sz="8" w:color="B6B6B6"/>
            </w:tcBorders>
            <w:vMerge w:val="continue"/>
            <w:shd w:val="clear" w:color="auto" w:fill="DBDBDB"/>
          </w:tcPr>
          <w:p>
            <w:pPr>
              <w:spacing w:after="0"/>
              <w:rPr>
                <w:sz w:val="8"/>
                <w:szCs w:val="8"/>
                <w:color w:val="auto"/>
              </w:rPr>
            </w:pPr>
          </w:p>
        </w:tc>
        <w:tc>
          <w:tcPr>
            <w:tcW w:w="900" w:type="dxa"/>
            <w:vAlign w:val="bottom"/>
            <w:tcBorders>
              <w:right w:val="single" w:sz="8" w:color="B6B6B6"/>
            </w:tcBorders>
            <w:vMerge w:val="continue"/>
            <w:shd w:val="clear" w:color="auto" w:fill="DBDBDB"/>
          </w:tcPr>
          <w:p>
            <w:pPr>
              <w:spacing w:after="0"/>
              <w:rPr>
                <w:sz w:val="8"/>
                <w:szCs w:val="8"/>
                <w:color w:val="auto"/>
              </w:rPr>
            </w:pPr>
          </w:p>
        </w:tc>
        <w:tc>
          <w:tcPr>
            <w:tcW w:w="1600" w:type="dxa"/>
            <w:vAlign w:val="bottom"/>
            <w:tcBorders>
              <w:right w:val="single" w:sz="8" w:color="B6B6B6"/>
            </w:tcBorders>
            <w:vMerge w:val="continue"/>
            <w:shd w:val="clear" w:color="auto" w:fill="DBDBDB"/>
          </w:tcPr>
          <w:p>
            <w:pPr>
              <w:spacing w:after="0"/>
              <w:rPr>
                <w:sz w:val="8"/>
                <w:szCs w:val="8"/>
                <w:color w:val="auto"/>
              </w:rPr>
            </w:pPr>
          </w:p>
        </w:tc>
        <w:tc>
          <w:tcPr>
            <w:tcW w:w="1240" w:type="dxa"/>
            <w:vAlign w:val="bottom"/>
            <w:tcBorders>
              <w:right w:val="single" w:sz="8" w:color="B6B6B6"/>
            </w:tcBorders>
            <w:vMerge w:val="continue"/>
            <w:shd w:val="clear" w:color="auto" w:fill="DBDBDB"/>
          </w:tcPr>
          <w:p>
            <w:pPr>
              <w:spacing w:after="0"/>
              <w:rPr>
                <w:sz w:val="8"/>
                <w:szCs w:val="8"/>
                <w:color w:val="auto"/>
              </w:rPr>
            </w:pPr>
          </w:p>
        </w:tc>
        <w:tc>
          <w:tcPr>
            <w:tcW w:w="1920" w:type="dxa"/>
            <w:vAlign w:val="bottom"/>
            <w:tcBorders>
              <w:right w:val="single" w:sz="8" w:color="B6B6B6"/>
            </w:tcBorders>
            <w:vMerge w:val="continue"/>
            <w:shd w:val="clear" w:color="auto" w:fill="DBDBDB"/>
          </w:tcPr>
          <w:p>
            <w:pPr>
              <w:spacing w:after="0"/>
              <w:rPr>
                <w:sz w:val="8"/>
                <w:szCs w:val="8"/>
                <w:color w:val="auto"/>
              </w:rPr>
            </w:pPr>
          </w:p>
        </w:tc>
        <w:tc>
          <w:tcPr>
            <w:tcW w:w="2000" w:type="dxa"/>
            <w:vAlign w:val="bottom"/>
            <w:tcBorders>
              <w:right w:val="single" w:sz="8" w:color="B6B6B6"/>
            </w:tcBorders>
            <w:vMerge w:val="continue"/>
            <w:shd w:val="clear" w:color="auto" w:fill="DBDBDB"/>
          </w:tcPr>
          <w:p>
            <w:pPr>
              <w:spacing w:after="0"/>
              <w:rPr>
                <w:sz w:val="8"/>
                <w:szCs w:val="8"/>
                <w:color w:val="auto"/>
              </w:rPr>
            </w:pPr>
          </w:p>
        </w:tc>
        <w:tc>
          <w:tcPr>
            <w:tcW w:w="1960" w:type="dxa"/>
            <w:vAlign w:val="bottom"/>
            <w:tcBorders>
              <w:right w:val="single" w:sz="8" w:color="B6B6B6"/>
            </w:tcBorders>
            <w:vMerge w:val="restart"/>
            <w:shd w:val="clear" w:color="auto" w:fill="DBDBDB"/>
          </w:tcPr>
          <w:p>
            <w:pPr>
              <w:jc w:val="center"/>
              <w:spacing w:after="0" w:line="183" w:lineRule="exact"/>
              <w:rPr>
                <w:sz w:val="20"/>
                <w:szCs w:val="20"/>
                <w:color w:val="auto"/>
              </w:rPr>
            </w:pPr>
            <w:r>
              <w:rPr>
                <w:rFonts w:ascii="Arial" w:cs="Arial" w:eastAsia="Arial" w:hAnsi="Arial"/>
                <w:sz w:val="18"/>
                <w:szCs w:val="18"/>
                <w:color w:val="auto"/>
                <w:w w:val="99"/>
              </w:rPr>
              <w:t>manage the reserve of</w:t>
            </w:r>
          </w:p>
        </w:tc>
        <w:tc>
          <w:tcPr>
            <w:tcW w:w="0" w:type="dxa"/>
            <w:vAlign w:val="bottom"/>
          </w:tcPr>
          <w:p>
            <w:pPr>
              <w:spacing w:after="0"/>
              <w:rPr>
                <w:sz w:val="1"/>
                <w:szCs w:val="1"/>
                <w:color w:val="auto"/>
              </w:rPr>
            </w:pPr>
          </w:p>
        </w:tc>
      </w:tr>
      <w:tr>
        <w:trPr>
          <w:trHeight w:val="89"/>
        </w:trPr>
        <w:tc>
          <w:tcPr>
            <w:tcW w:w="1640" w:type="dxa"/>
            <w:vAlign w:val="bottom"/>
            <w:tcBorders>
              <w:left w:val="single" w:sz="8" w:color="B6B6B6"/>
              <w:right w:val="single" w:sz="8" w:color="B6B6B6"/>
            </w:tcBorders>
            <w:vMerge w:val="restart"/>
            <w:shd w:val="clear" w:color="auto" w:fill="DBDBDB"/>
          </w:tcPr>
          <w:p>
            <w:pPr>
              <w:jc w:val="center"/>
              <w:spacing w:after="0" w:line="202" w:lineRule="exact"/>
              <w:rPr>
                <w:sz w:val="20"/>
                <w:szCs w:val="20"/>
                <w:color w:val="auto"/>
              </w:rPr>
            </w:pPr>
            <w:r>
              <w:rPr>
                <w:rFonts w:ascii="Arial" w:cs="Arial" w:eastAsia="Arial" w:hAnsi="Arial"/>
                <w:sz w:val="18"/>
                <w:szCs w:val="18"/>
                <w:color w:val="auto"/>
              </w:rPr>
              <w:t>(RSUs)</w:t>
            </w:r>
          </w:p>
        </w:tc>
        <w:tc>
          <w:tcPr>
            <w:tcW w:w="900" w:type="dxa"/>
            <w:vAlign w:val="bottom"/>
            <w:tcBorders>
              <w:right w:val="single" w:sz="8" w:color="B6B6B6"/>
            </w:tcBorders>
            <w:shd w:val="clear" w:color="auto" w:fill="DBDBDB"/>
          </w:tcPr>
          <w:p>
            <w:pPr>
              <w:spacing w:after="0"/>
              <w:rPr>
                <w:sz w:val="7"/>
                <w:szCs w:val="7"/>
                <w:color w:val="auto"/>
              </w:rPr>
            </w:pPr>
          </w:p>
        </w:tc>
        <w:tc>
          <w:tcPr>
            <w:tcW w:w="1600" w:type="dxa"/>
            <w:vAlign w:val="bottom"/>
            <w:tcBorders>
              <w:right w:val="single" w:sz="8" w:color="B6B6B6"/>
            </w:tcBorders>
            <w:shd w:val="clear" w:color="auto" w:fill="DBDBDB"/>
          </w:tcPr>
          <w:p>
            <w:pPr>
              <w:spacing w:after="0"/>
              <w:rPr>
                <w:sz w:val="7"/>
                <w:szCs w:val="7"/>
                <w:color w:val="auto"/>
              </w:rPr>
            </w:pPr>
          </w:p>
        </w:tc>
        <w:tc>
          <w:tcPr>
            <w:tcW w:w="1240" w:type="dxa"/>
            <w:vAlign w:val="bottom"/>
            <w:tcBorders>
              <w:right w:val="single" w:sz="8" w:color="B6B6B6"/>
            </w:tcBorders>
            <w:shd w:val="clear" w:color="auto" w:fill="DBDBDB"/>
          </w:tcPr>
          <w:p>
            <w:pPr>
              <w:spacing w:after="0"/>
              <w:rPr>
                <w:sz w:val="7"/>
                <w:szCs w:val="7"/>
                <w:color w:val="auto"/>
              </w:rPr>
            </w:pPr>
          </w:p>
        </w:tc>
        <w:tc>
          <w:tcPr>
            <w:tcW w:w="1920" w:type="dxa"/>
            <w:vAlign w:val="bottom"/>
            <w:tcBorders>
              <w:right w:val="single" w:sz="8" w:color="B6B6B6"/>
            </w:tcBorders>
            <w:shd w:val="clear" w:color="auto" w:fill="DBDBDB"/>
          </w:tcPr>
          <w:p>
            <w:pPr>
              <w:spacing w:after="0"/>
              <w:rPr>
                <w:sz w:val="7"/>
                <w:szCs w:val="7"/>
                <w:color w:val="auto"/>
              </w:rPr>
            </w:pPr>
          </w:p>
        </w:tc>
        <w:tc>
          <w:tcPr>
            <w:tcW w:w="2000" w:type="dxa"/>
            <w:vAlign w:val="bottom"/>
            <w:tcBorders>
              <w:right w:val="single" w:sz="8" w:color="B6B6B6"/>
            </w:tcBorders>
            <w:vMerge w:val="restart"/>
            <w:shd w:val="clear" w:color="auto" w:fill="DBDBDB"/>
          </w:tcPr>
          <w:p>
            <w:pPr>
              <w:jc w:val="center"/>
              <w:spacing w:after="0" w:line="202" w:lineRule="exact"/>
              <w:rPr>
                <w:sz w:val="20"/>
                <w:szCs w:val="20"/>
                <w:color w:val="auto"/>
              </w:rPr>
            </w:pPr>
            <w:r>
              <w:rPr>
                <w:rFonts w:ascii="Arial" w:cs="Arial" w:eastAsia="Arial" w:hAnsi="Arial"/>
                <w:sz w:val="18"/>
                <w:szCs w:val="18"/>
                <w:color w:val="auto"/>
              </w:rPr>
              <w:t>grant date then</w:t>
            </w:r>
          </w:p>
        </w:tc>
        <w:tc>
          <w:tcPr>
            <w:tcW w:w="1960" w:type="dxa"/>
            <w:vAlign w:val="bottom"/>
            <w:tcBorders>
              <w:right w:val="single" w:sz="8" w:color="B6B6B6"/>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B6B6B6"/>
              <w:right w:val="single" w:sz="8" w:color="B6B6B6"/>
            </w:tcBorders>
            <w:vMerge w:val="continue"/>
            <w:shd w:val="clear" w:color="auto" w:fill="DBDBDB"/>
          </w:tcPr>
          <w:p>
            <w:pPr>
              <w:spacing w:after="0"/>
              <w:rPr>
                <w:sz w:val="9"/>
                <w:szCs w:val="9"/>
                <w:color w:val="auto"/>
              </w:rPr>
            </w:pPr>
          </w:p>
        </w:tc>
        <w:tc>
          <w:tcPr>
            <w:tcW w:w="900" w:type="dxa"/>
            <w:vAlign w:val="bottom"/>
            <w:tcBorders>
              <w:right w:val="single" w:sz="8" w:color="B6B6B6"/>
            </w:tcBorders>
            <w:shd w:val="clear" w:color="auto" w:fill="DBDBDB"/>
          </w:tcPr>
          <w:p>
            <w:pPr>
              <w:spacing w:after="0"/>
              <w:rPr>
                <w:sz w:val="9"/>
                <w:szCs w:val="9"/>
                <w:color w:val="auto"/>
              </w:rPr>
            </w:pPr>
          </w:p>
        </w:tc>
        <w:tc>
          <w:tcPr>
            <w:tcW w:w="1600" w:type="dxa"/>
            <w:vAlign w:val="bottom"/>
            <w:tcBorders>
              <w:right w:val="single" w:sz="8" w:color="B6B6B6"/>
            </w:tcBorders>
            <w:shd w:val="clear" w:color="auto" w:fill="DBDBDB"/>
          </w:tcPr>
          <w:p>
            <w:pPr>
              <w:spacing w:after="0"/>
              <w:rPr>
                <w:sz w:val="9"/>
                <w:szCs w:val="9"/>
                <w:color w:val="auto"/>
              </w:rPr>
            </w:pPr>
          </w:p>
        </w:tc>
        <w:tc>
          <w:tcPr>
            <w:tcW w:w="1240" w:type="dxa"/>
            <w:vAlign w:val="bottom"/>
            <w:tcBorders>
              <w:right w:val="single" w:sz="8" w:color="B6B6B6"/>
            </w:tcBorders>
            <w:shd w:val="clear" w:color="auto" w:fill="DBDBDB"/>
          </w:tcPr>
          <w:p>
            <w:pPr>
              <w:spacing w:after="0"/>
              <w:rPr>
                <w:sz w:val="9"/>
                <w:szCs w:val="9"/>
                <w:color w:val="auto"/>
              </w:rPr>
            </w:pPr>
          </w:p>
        </w:tc>
        <w:tc>
          <w:tcPr>
            <w:tcW w:w="1920" w:type="dxa"/>
            <w:vAlign w:val="bottom"/>
            <w:tcBorders>
              <w:right w:val="single" w:sz="8" w:color="B6B6B6"/>
            </w:tcBorders>
            <w:shd w:val="clear" w:color="auto" w:fill="DBDBDB"/>
          </w:tcPr>
          <w:p>
            <w:pPr>
              <w:spacing w:after="0"/>
              <w:rPr>
                <w:sz w:val="9"/>
                <w:szCs w:val="9"/>
                <w:color w:val="auto"/>
              </w:rPr>
            </w:pPr>
          </w:p>
        </w:tc>
        <w:tc>
          <w:tcPr>
            <w:tcW w:w="2000" w:type="dxa"/>
            <w:vAlign w:val="bottom"/>
            <w:tcBorders>
              <w:right w:val="single" w:sz="8" w:color="B6B6B6"/>
            </w:tcBorders>
            <w:vMerge w:val="continue"/>
            <w:shd w:val="clear" w:color="auto" w:fill="DBDBDB"/>
          </w:tcPr>
          <w:p>
            <w:pPr>
              <w:spacing w:after="0"/>
              <w:rPr>
                <w:sz w:val="9"/>
                <w:szCs w:val="9"/>
                <w:color w:val="auto"/>
              </w:rPr>
            </w:pPr>
          </w:p>
        </w:tc>
        <w:tc>
          <w:tcPr>
            <w:tcW w:w="1960" w:type="dxa"/>
            <w:vAlign w:val="bottom"/>
            <w:tcBorders>
              <w:right w:val="single" w:sz="8" w:color="B6B6B6"/>
            </w:tcBorders>
            <w:vMerge w:val="restart"/>
            <w:shd w:val="clear" w:color="auto" w:fill="DBDBDB"/>
          </w:tcPr>
          <w:p>
            <w:pPr>
              <w:jc w:val="center"/>
              <w:spacing w:after="0" w:line="181" w:lineRule="exact"/>
              <w:rPr>
                <w:sz w:val="20"/>
                <w:szCs w:val="20"/>
                <w:color w:val="auto"/>
              </w:rPr>
            </w:pPr>
            <w:r>
              <w:rPr>
                <w:rFonts w:ascii="Arial" w:cs="Arial" w:eastAsia="Arial" w:hAnsi="Arial"/>
                <w:sz w:val="18"/>
                <w:szCs w:val="18"/>
                <w:color w:val="auto"/>
              </w:rPr>
              <w:t>shares available under</w:t>
            </w:r>
          </w:p>
        </w:tc>
        <w:tc>
          <w:tcPr>
            <w:tcW w:w="0" w:type="dxa"/>
            <w:vAlign w:val="bottom"/>
          </w:tcPr>
          <w:p>
            <w:pPr>
              <w:spacing w:after="0"/>
              <w:rPr>
                <w:sz w:val="1"/>
                <w:szCs w:val="1"/>
                <w:color w:val="auto"/>
              </w:rPr>
            </w:pPr>
          </w:p>
        </w:tc>
      </w:tr>
      <w:tr>
        <w:trPr>
          <w:trHeight w:val="68"/>
        </w:trPr>
        <w:tc>
          <w:tcPr>
            <w:tcW w:w="1640" w:type="dxa"/>
            <w:vAlign w:val="bottom"/>
            <w:tcBorders>
              <w:left w:val="single" w:sz="8" w:color="B6B6B6"/>
              <w:right w:val="single" w:sz="8" w:color="B6B6B6"/>
            </w:tcBorders>
            <w:shd w:val="clear" w:color="auto" w:fill="DBDBDB"/>
          </w:tcPr>
          <w:p>
            <w:pPr>
              <w:spacing w:after="0"/>
              <w:rPr>
                <w:sz w:val="5"/>
                <w:szCs w:val="5"/>
                <w:color w:val="auto"/>
              </w:rPr>
            </w:pPr>
          </w:p>
        </w:tc>
        <w:tc>
          <w:tcPr>
            <w:tcW w:w="900" w:type="dxa"/>
            <w:vAlign w:val="bottom"/>
            <w:tcBorders>
              <w:right w:val="single" w:sz="8" w:color="B6B6B6"/>
            </w:tcBorders>
            <w:shd w:val="clear" w:color="auto" w:fill="DBDBDB"/>
          </w:tcPr>
          <w:p>
            <w:pPr>
              <w:spacing w:after="0"/>
              <w:rPr>
                <w:sz w:val="5"/>
                <w:szCs w:val="5"/>
                <w:color w:val="auto"/>
              </w:rPr>
            </w:pPr>
          </w:p>
        </w:tc>
        <w:tc>
          <w:tcPr>
            <w:tcW w:w="1600" w:type="dxa"/>
            <w:vAlign w:val="bottom"/>
            <w:tcBorders>
              <w:right w:val="single" w:sz="8" w:color="B6B6B6"/>
            </w:tcBorders>
            <w:shd w:val="clear" w:color="auto" w:fill="DBDBDB"/>
          </w:tcPr>
          <w:p>
            <w:pPr>
              <w:spacing w:after="0"/>
              <w:rPr>
                <w:sz w:val="5"/>
                <w:szCs w:val="5"/>
                <w:color w:val="auto"/>
              </w:rPr>
            </w:pPr>
          </w:p>
        </w:tc>
        <w:tc>
          <w:tcPr>
            <w:tcW w:w="1240" w:type="dxa"/>
            <w:vAlign w:val="bottom"/>
            <w:tcBorders>
              <w:right w:val="single" w:sz="8" w:color="B6B6B6"/>
            </w:tcBorders>
            <w:shd w:val="clear" w:color="auto" w:fill="DBDBDB"/>
          </w:tcPr>
          <w:p>
            <w:pPr>
              <w:spacing w:after="0"/>
              <w:rPr>
                <w:sz w:val="5"/>
                <w:szCs w:val="5"/>
                <w:color w:val="auto"/>
              </w:rPr>
            </w:pPr>
          </w:p>
        </w:tc>
        <w:tc>
          <w:tcPr>
            <w:tcW w:w="1920" w:type="dxa"/>
            <w:vAlign w:val="bottom"/>
            <w:tcBorders>
              <w:right w:val="single" w:sz="8" w:color="B6B6B6"/>
            </w:tcBorders>
            <w:shd w:val="clear" w:color="auto" w:fill="DBDBDB"/>
          </w:tcPr>
          <w:p>
            <w:pPr>
              <w:spacing w:after="0"/>
              <w:rPr>
                <w:sz w:val="5"/>
                <w:szCs w:val="5"/>
                <w:color w:val="auto"/>
              </w:rPr>
            </w:pPr>
          </w:p>
        </w:tc>
        <w:tc>
          <w:tcPr>
            <w:tcW w:w="2000" w:type="dxa"/>
            <w:vAlign w:val="bottom"/>
            <w:tcBorders>
              <w:right w:val="single" w:sz="8" w:color="B6B6B6"/>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quarterly thereafter</w:t>
            </w:r>
          </w:p>
        </w:tc>
        <w:tc>
          <w:tcPr>
            <w:tcW w:w="1960" w:type="dxa"/>
            <w:vAlign w:val="bottom"/>
            <w:tcBorders>
              <w:right w:val="single" w:sz="8" w:color="B6B6B6"/>
            </w:tcBorders>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40" w:type="dxa"/>
            <w:vAlign w:val="bottom"/>
            <w:tcBorders>
              <w:left w:val="single" w:sz="8" w:color="B6B6B6"/>
              <w:right w:val="single" w:sz="8" w:color="B6B6B6"/>
            </w:tcBorders>
            <w:shd w:val="clear" w:color="auto" w:fill="DBDBDB"/>
          </w:tcPr>
          <w:p>
            <w:pPr>
              <w:spacing w:after="0"/>
              <w:rPr>
                <w:sz w:val="15"/>
                <w:szCs w:val="15"/>
                <w:color w:val="auto"/>
              </w:rPr>
            </w:pPr>
          </w:p>
        </w:tc>
        <w:tc>
          <w:tcPr>
            <w:tcW w:w="900" w:type="dxa"/>
            <w:vAlign w:val="bottom"/>
            <w:tcBorders>
              <w:right w:val="single" w:sz="8" w:color="B6B6B6"/>
            </w:tcBorders>
            <w:shd w:val="clear" w:color="auto" w:fill="DBDBDB"/>
          </w:tcPr>
          <w:p>
            <w:pPr>
              <w:spacing w:after="0"/>
              <w:rPr>
                <w:sz w:val="15"/>
                <w:szCs w:val="15"/>
                <w:color w:val="auto"/>
              </w:rPr>
            </w:pPr>
          </w:p>
        </w:tc>
        <w:tc>
          <w:tcPr>
            <w:tcW w:w="1600" w:type="dxa"/>
            <w:vAlign w:val="bottom"/>
            <w:tcBorders>
              <w:right w:val="single" w:sz="8" w:color="B6B6B6"/>
            </w:tcBorders>
            <w:shd w:val="clear" w:color="auto" w:fill="DBDBDB"/>
          </w:tcPr>
          <w:p>
            <w:pPr>
              <w:spacing w:after="0"/>
              <w:rPr>
                <w:sz w:val="15"/>
                <w:szCs w:val="15"/>
                <w:color w:val="auto"/>
              </w:rPr>
            </w:pPr>
          </w:p>
        </w:tc>
        <w:tc>
          <w:tcPr>
            <w:tcW w:w="1240" w:type="dxa"/>
            <w:vAlign w:val="bottom"/>
            <w:tcBorders>
              <w:right w:val="single" w:sz="8" w:color="B6B6B6"/>
            </w:tcBorders>
            <w:shd w:val="clear" w:color="auto" w:fill="DBDBDB"/>
          </w:tcPr>
          <w:p>
            <w:pPr>
              <w:spacing w:after="0"/>
              <w:rPr>
                <w:sz w:val="15"/>
                <w:szCs w:val="15"/>
                <w:color w:val="auto"/>
              </w:rPr>
            </w:pPr>
          </w:p>
        </w:tc>
        <w:tc>
          <w:tcPr>
            <w:tcW w:w="1920" w:type="dxa"/>
            <w:vAlign w:val="bottom"/>
            <w:tcBorders>
              <w:right w:val="single" w:sz="8" w:color="B6B6B6"/>
            </w:tcBorders>
            <w:shd w:val="clear" w:color="auto" w:fill="DBDBDB"/>
          </w:tcPr>
          <w:p>
            <w:pPr>
              <w:spacing w:after="0"/>
              <w:rPr>
                <w:sz w:val="15"/>
                <w:szCs w:val="15"/>
                <w:color w:val="auto"/>
              </w:rPr>
            </w:pPr>
          </w:p>
        </w:tc>
        <w:tc>
          <w:tcPr>
            <w:tcW w:w="2000" w:type="dxa"/>
            <w:vAlign w:val="bottom"/>
            <w:tcBorders>
              <w:right w:val="single" w:sz="8" w:color="B6B6B6"/>
            </w:tcBorders>
            <w:vMerge w:val="continue"/>
            <w:shd w:val="clear" w:color="auto" w:fill="DBDBDB"/>
          </w:tcPr>
          <w:p>
            <w:pPr>
              <w:spacing w:after="0"/>
              <w:rPr>
                <w:sz w:val="15"/>
                <w:szCs w:val="15"/>
                <w:color w:val="auto"/>
              </w:rPr>
            </w:pPr>
          </w:p>
        </w:tc>
        <w:tc>
          <w:tcPr>
            <w:tcW w:w="1960" w:type="dxa"/>
            <w:vAlign w:val="bottom"/>
            <w:tcBorders>
              <w:right w:val="single" w:sz="8" w:color="B6B6B6"/>
            </w:tcBorders>
            <w:shd w:val="clear" w:color="auto" w:fill="DBDBDB"/>
          </w:tcPr>
          <w:p>
            <w:pPr>
              <w:jc w:val="center"/>
              <w:spacing w:after="0" w:line="176" w:lineRule="exact"/>
              <w:rPr>
                <w:sz w:val="20"/>
                <w:szCs w:val="20"/>
                <w:color w:val="auto"/>
              </w:rPr>
            </w:pPr>
            <w:r>
              <w:rPr>
                <w:rFonts w:ascii="Arial" w:cs="Arial" w:eastAsia="Arial" w:hAnsi="Arial"/>
                <w:sz w:val="18"/>
                <w:szCs w:val="18"/>
                <w:color w:val="auto"/>
                <w:w w:val="99"/>
              </w:rPr>
              <w:t>the shareholder-</w:t>
            </w:r>
          </w:p>
        </w:tc>
        <w:tc>
          <w:tcPr>
            <w:tcW w:w="0" w:type="dxa"/>
            <w:vAlign w:val="bottom"/>
          </w:tcPr>
          <w:p>
            <w:pPr>
              <w:spacing w:after="0"/>
              <w:rPr>
                <w:sz w:val="1"/>
                <w:szCs w:val="1"/>
                <w:color w:val="auto"/>
              </w:rPr>
            </w:pPr>
          </w:p>
        </w:tc>
      </w:tr>
      <w:tr>
        <w:trPr>
          <w:trHeight w:val="241"/>
        </w:trPr>
        <w:tc>
          <w:tcPr>
            <w:tcW w:w="1640" w:type="dxa"/>
            <w:vAlign w:val="bottom"/>
            <w:tcBorders>
              <w:left w:val="single" w:sz="8" w:color="B6B6B6"/>
              <w:bottom w:val="single" w:sz="8" w:color="B6B6B6"/>
              <w:right w:val="single" w:sz="8" w:color="B6B6B6"/>
            </w:tcBorders>
            <w:shd w:val="clear" w:color="auto" w:fill="DBDBDB"/>
          </w:tcPr>
          <w:p>
            <w:pPr>
              <w:spacing w:after="0"/>
              <w:rPr>
                <w:sz w:val="20"/>
                <w:szCs w:val="20"/>
                <w:color w:val="auto"/>
              </w:rPr>
            </w:pPr>
          </w:p>
        </w:tc>
        <w:tc>
          <w:tcPr>
            <w:tcW w:w="900" w:type="dxa"/>
            <w:vAlign w:val="bottom"/>
            <w:tcBorders>
              <w:bottom w:val="single" w:sz="8" w:color="B6B6B6"/>
              <w:right w:val="single" w:sz="8" w:color="B6B6B6"/>
            </w:tcBorders>
            <w:shd w:val="clear" w:color="auto" w:fill="DBDBDB"/>
          </w:tcPr>
          <w:p>
            <w:pPr>
              <w:spacing w:after="0"/>
              <w:rPr>
                <w:sz w:val="20"/>
                <w:szCs w:val="20"/>
                <w:color w:val="auto"/>
              </w:rPr>
            </w:pPr>
          </w:p>
        </w:tc>
        <w:tc>
          <w:tcPr>
            <w:tcW w:w="1600" w:type="dxa"/>
            <w:vAlign w:val="bottom"/>
            <w:tcBorders>
              <w:bottom w:val="single" w:sz="8" w:color="B6B6B6"/>
              <w:right w:val="single" w:sz="8" w:color="B6B6B6"/>
            </w:tcBorders>
            <w:shd w:val="clear" w:color="auto" w:fill="DBDBDB"/>
          </w:tcPr>
          <w:p>
            <w:pPr>
              <w:spacing w:after="0"/>
              <w:rPr>
                <w:sz w:val="20"/>
                <w:szCs w:val="20"/>
                <w:color w:val="auto"/>
              </w:rPr>
            </w:pPr>
          </w:p>
        </w:tc>
        <w:tc>
          <w:tcPr>
            <w:tcW w:w="1240" w:type="dxa"/>
            <w:vAlign w:val="bottom"/>
            <w:tcBorders>
              <w:bottom w:val="single" w:sz="8" w:color="B6B6B6"/>
              <w:right w:val="single" w:sz="8" w:color="B6B6B6"/>
            </w:tcBorders>
            <w:shd w:val="clear" w:color="auto" w:fill="DBDBDB"/>
          </w:tcPr>
          <w:p>
            <w:pPr>
              <w:spacing w:after="0"/>
              <w:rPr>
                <w:sz w:val="20"/>
                <w:szCs w:val="20"/>
                <w:color w:val="auto"/>
              </w:rPr>
            </w:pPr>
          </w:p>
        </w:tc>
        <w:tc>
          <w:tcPr>
            <w:tcW w:w="1920" w:type="dxa"/>
            <w:vAlign w:val="bottom"/>
            <w:tcBorders>
              <w:bottom w:val="single" w:sz="8" w:color="B6B6B6"/>
              <w:right w:val="single" w:sz="8" w:color="B6B6B6"/>
            </w:tcBorders>
            <w:shd w:val="clear" w:color="auto" w:fill="DBDBDB"/>
          </w:tcPr>
          <w:p>
            <w:pPr>
              <w:spacing w:after="0"/>
              <w:rPr>
                <w:sz w:val="20"/>
                <w:szCs w:val="20"/>
                <w:color w:val="auto"/>
              </w:rPr>
            </w:pPr>
          </w:p>
        </w:tc>
        <w:tc>
          <w:tcPr>
            <w:tcW w:w="2000" w:type="dxa"/>
            <w:vAlign w:val="bottom"/>
            <w:tcBorders>
              <w:bottom w:val="single" w:sz="8" w:color="B6B6B6"/>
              <w:right w:val="single" w:sz="8" w:color="B6B6B6"/>
            </w:tcBorders>
            <w:shd w:val="clear" w:color="auto" w:fill="DBDBDB"/>
          </w:tcPr>
          <w:p>
            <w:pPr>
              <w:spacing w:after="0"/>
              <w:rPr>
                <w:sz w:val="20"/>
                <w:szCs w:val="20"/>
                <w:color w:val="auto"/>
              </w:rPr>
            </w:pPr>
          </w:p>
        </w:tc>
        <w:tc>
          <w:tcPr>
            <w:tcW w:w="196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approved equity plan</w:t>
            </w:r>
          </w:p>
        </w:tc>
        <w:tc>
          <w:tcPr>
            <w:tcW w:w="0" w:type="dxa"/>
            <w:vAlign w:val="bottom"/>
          </w:tcPr>
          <w:p>
            <w:pPr>
              <w:spacing w:after="0"/>
              <w:rPr>
                <w:sz w:val="1"/>
                <w:szCs w:val="1"/>
                <w:color w:val="auto"/>
              </w:rPr>
            </w:pPr>
          </w:p>
        </w:tc>
      </w:tr>
      <w:tr>
        <w:trPr>
          <w:trHeight w:val="268"/>
        </w:trPr>
        <w:tc>
          <w:tcPr>
            <w:tcW w:w="1640" w:type="dxa"/>
            <w:vAlign w:val="bottom"/>
          </w:tcPr>
          <w:p>
            <w:pPr>
              <w:jc w:val="right"/>
              <w:ind w:right="750"/>
              <w:spacing w:after="0"/>
              <w:rPr>
                <w:sz w:val="20"/>
                <w:szCs w:val="20"/>
                <w:color w:val="auto"/>
              </w:rPr>
            </w:pPr>
            <w:r>
              <w:rPr>
                <w:rFonts w:ascii="Arial" w:cs="Arial" w:eastAsia="Arial" w:hAnsi="Arial"/>
                <w:sz w:val="18"/>
                <w:szCs w:val="18"/>
                <w:color w:val="auto"/>
                <w:w w:val="97"/>
              </w:rPr>
              <w:t>________</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00" w:hanging="192"/>
        <w:spacing w:after="0" w:line="209" w:lineRule="auto"/>
        <w:tabs>
          <w:tab w:leader="none" w:pos="200" w:val="left"/>
        </w:tabs>
        <w:numPr>
          <w:ilvl w:val="0"/>
          <w:numId w:val="49"/>
        </w:numPr>
        <w:rPr>
          <w:rFonts w:ascii="Arial" w:cs="Arial" w:eastAsia="Arial" w:hAnsi="Arial"/>
          <w:sz w:val="23"/>
          <w:szCs w:val="23"/>
          <w:color w:val="auto"/>
          <w:vertAlign w:val="superscript"/>
        </w:rPr>
      </w:pPr>
      <w:r>
        <w:rPr>
          <w:rFonts w:ascii="Arial" w:cs="Arial" w:eastAsia="Arial" w:hAnsi="Arial"/>
          <w:sz w:val="18"/>
          <w:szCs w:val="18"/>
          <w:color w:val="auto"/>
        </w:rPr>
        <w:t>Refer to the “Non-GAAP Financial Measures” section for a reconciliation of the non-GAAP financial measure.</w:t>
      </w:r>
    </w:p>
    <w:p>
      <w:pPr>
        <w:spacing w:after="0" w:line="86"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2025 LTIP Target Values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800" w:type="dxa"/>
            <w:vAlign w:val="bottom"/>
            <w:tcBorders>
              <w:left w:val="single" w:sz="8" w:color="B6B6B6"/>
              <w:right w:val="single" w:sz="8" w:color="B6B6B6"/>
            </w:tcBorders>
            <w:shd w:val="clear" w:color="auto" w:fill="F7323F"/>
          </w:tcPr>
          <w:p>
            <w:pPr>
              <w:ind w:left="40"/>
              <w:spacing w:after="0"/>
              <w:rPr>
                <w:sz w:val="20"/>
                <w:szCs w:val="20"/>
                <w:color w:val="auto"/>
              </w:rPr>
            </w:pPr>
            <w:r>
              <w:rPr>
                <w:rFonts w:ascii="Arial" w:cs="Arial" w:eastAsia="Arial" w:hAnsi="Arial"/>
                <w:sz w:val="18"/>
                <w:szCs w:val="18"/>
                <w:b w:val="1"/>
                <w:bCs w:val="1"/>
                <w:color w:val="FFFFFF"/>
              </w:rPr>
              <w:t>Executive</w:t>
            </w:r>
          </w:p>
        </w:tc>
        <w:tc>
          <w:tcPr>
            <w:tcW w:w="1820" w:type="dxa"/>
            <w:vAlign w:val="bottom"/>
            <w:tcBorders>
              <w:right w:val="single" w:sz="8" w:color="B6B6B6"/>
            </w:tcBorders>
            <w:shd w:val="clear" w:color="auto" w:fill="F7323F"/>
          </w:tcPr>
          <w:p>
            <w:pPr>
              <w:ind w:left="340"/>
              <w:spacing w:after="0"/>
              <w:rPr>
                <w:sz w:val="20"/>
                <w:szCs w:val="20"/>
                <w:color w:val="auto"/>
              </w:rPr>
            </w:pPr>
            <w:r>
              <w:rPr>
                <w:rFonts w:ascii="Arial" w:cs="Arial" w:eastAsia="Arial" w:hAnsi="Arial"/>
                <w:sz w:val="18"/>
                <w:szCs w:val="18"/>
                <w:b w:val="1"/>
                <w:bCs w:val="1"/>
                <w:color w:val="FFFFFF"/>
              </w:rPr>
              <w:t>2025 LTIP ($)</w:t>
            </w:r>
          </w:p>
        </w:tc>
        <w:tc>
          <w:tcPr>
            <w:tcW w:w="1820" w:type="dxa"/>
            <w:vAlign w:val="bottom"/>
            <w:tcBorders>
              <w:right w:val="single" w:sz="8" w:color="B6B6B6"/>
            </w:tcBorders>
            <w:shd w:val="clear" w:color="auto" w:fill="F7323F"/>
          </w:tcPr>
          <w:p>
            <w:pPr>
              <w:ind w:left="500"/>
              <w:spacing w:after="0"/>
              <w:rPr>
                <w:sz w:val="20"/>
                <w:szCs w:val="20"/>
                <w:color w:val="auto"/>
              </w:rPr>
            </w:pPr>
            <w:r>
              <w:rPr>
                <w:rFonts w:ascii="Arial" w:cs="Arial" w:eastAsia="Arial" w:hAnsi="Arial"/>
                <w:sz w:val="18"/>
                <w:szCs w:val="18"/>
                <w:b w:val="1"/>
                <w:bCs w:val="1"/>
                <w:color w:val="FFFFFF"/>
              </w:rPr>
              <w:t>PSUs ($)</w:t>
            </w:r>
          </w:p>
        </w:tc>
        <w:tc>
          <w:tcPr>
            <w:tcW w:w="1820" w:type="dxa"/>
            <w:vAlign w:val="bottom"/>
            <w:tcBorders>
              <w:right w:val="single" w:sz="8" w:color="B6B6B6"/>
            </w:tcBorders>
            <w:shd w:val="clear" w:color="auto" w:fill="F7323F"/>
          </w:tcPr>
          <w:p>
            <w:pPr>
              <w:ind w:left="520"/>
              <w:spacing w:after="0"/>
              <w:rPr>
                <w:sz w:val="20"/>
                <w:szCs w:val="20"/>
                <w:color w:val="auto"/>
              </w:rPr>
            </w:pPr>
            <w:r>
              <w:rPr>
                <w:rFonts w:ascii="Arial" w:cs="Arial" w:eastAsia="Arial" w:hAnsi="Arial"/>
                <w:sz w:val="18"/>
                <w:szCs w:val="18"/>
                <w:b w:val="1"/>
                <w:bCs w:val="1"/>
                <w:color w:val="FFFFFF"/>
              </w:rPr>
              <w:t>RSUs ($)</w:t>
            </w:r>
          </w:p>
        </w:tc>
      </w:tr>
      <w:tr>
        <w:trPr>
          <w:trHeight w:val="230"/>
        </w:trPr>
        <w:tc>
          <w:tcPr>
            <w:tcW w:w="580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Steven J. Bandrowczak</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11,400,000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5,700,000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5,700,000</w:t>
            </w:r>
          </w:p>
        </w:tc>
      </w:tr>
      <w:tr>
        <w:trPr>
          <w:trHeight w:val="223"/>
        </w:trPr>
        <w:tc>
          <w:tcPr>
            <w:tcW w:w="580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John Bruno</w:t>
            </w:r>
            <w:r>
              <w:rPr>
                <w:rFonts w:ascii="Arial" w:cs="Arial" w:eastAsia="Arial" w:hAnsi="Arial"/>
                <w:sz w:val="23"/>
                <w:szCs w:val="23"/>
                <w:color w:val="auto"/>
                <w:vertAlign w:val="superscript"/>
              </w:rPr>
              <w:t>(1)</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7,500,000</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3,750,000</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3,750,000</w:t>
            </w:r>
          </w:p>
        </w:tc>
      </w:tr>
      <w:tr>
        <w:trPr>
          <w:trHeight w:val="223"/>
        </w:trPr>
        <w:tc>
          <w:tcPr>
            <w:tcW w:w="580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Louis J. Pastor</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3,250,000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1,625,000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1,625,000</w:t>
            </w:r>
          </w:p>
        </w:tc>
      </w:tr>
      <w:tr>
        <w:trPr>
          <w:trHeight w:val="223"/>
        </w:trPr>
        <w:tc>
          <w:tcPr>
            <w:tcW w:w="580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 xml:space="preserve">Charles Butler </w:t>
            </w:r>
            <w:r>
              <w:rPr>
                <w:rFonts w:ascii="Arial" w:cs="Arial" w:eastAsia="Arial" w:hAnsi="Arial"/>
                <w:sz w:val="23"/>
                <w:szCs w:val="23"/>
                <w:color w:val="auto"/>
                <w:vertAlign w:val="superscript"/>
              </w:rPr>
              <w:t>(2)</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580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Jacques-Edouard Gueden</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2,200,000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1,100,000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1,100,000</w:t>
            </w:r>
          </w:p>
        </w:tc>
      </w:tr>
      <w:tr>
        <w:trPr>
          <w:trHeight w:val="223"/>
        </w:trPr>
        <w:tc>
          <w:tcPr>
            <w:tcW w:w="580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Flor M. Colón</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1,000,000</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1,000,000</w:t>
            </w:r>
          </w:p>
        </w:tc>
      </w:tr>
      <w:tr>
        <w:trPr>
          <w:trHeight w:val="223"/>
        </w:trPr>
        <w:tc>
          <w:tcPr>
            <w:tcW w:w="5800" w:type="dxa"/>
            <w:vAlign w:val="bottom"/>
            <w:tcBorders>
              <w:left w:val="single" w:sz="8" w:color="B6B6B6"/>
              <w:bottom w:val="single" w:sz="8" w:color="B6B6B6"/>
              <w:right w:val="single" w:sz="8" w:color="B6B6B6"/>
            </w:tcBorders>
          </w:tcPr>
          <w:p>
            <w:pPr>
              <w:ind w:left="40"/>
              <w:spacing w:after="0" w:line="223" w:lineRule="exact"/>
              <w:rPr>
                <w:sz w:val="20"/>
                <w:szCs w:val="20"/>
                <w:color w:val="auto"/>
              </w:rPr>
            </w:pPr>
            <w:r>
              <w:rPr>
                <w:rFonts w:ascii="Arial" w:cs="Arial" w:eastAsia="Arial" w:hAnsi="Arial"/>
                <w:sz w:val="18"/>
                <w:szCs w:val="18"/>
                <w:color w:val="auto"/>
              </w:rPr>
              <w:t xml:space="preserve">Mirlanda Gecaj </w:t>
            </w:r>
            <w:r>
              <w:rPr>
                <w:rFonts w:ascii="Arial" w:cs="Arial" w:eastAsia="Arial" w:hAnsi="Arial"/>
                <w:sz w:val="23"/>
                <w:szCs w:val="23"/>
                <w:color w:val="auto"/>
                <w:vertAlign w:val="superscript"/>
              </w:rPr>
              <w:t>(3)</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2,000,000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1,000,000</w:t>
            </w:r>
          </w:p>
        </w:tc>
        <w:tc>
          <w:tcPr>
            <w:tcW w:w="18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1,000,000</w:t>
            </w:r>
          </w:p>
        </w:tc>
      </w:tr>
      <w:tr>
        <w:trPr>
          <w:trHeight w:val="223"/>
        </w:trPr>
        <w:tc>
          <w:tcPr>
            <w:tcW w:w="5800" w:type="dxa"/>
            <w:vAlign w:val="bottom"/>
            <w:tcBorders>
              <w:left w:val="single" w:sz="8" w:color="B6B6B6"/>
              <w:bottom w:val="single" w:sz="8" w:color="B6B6B6"/>
              <w:right w:val="single" w:sz="8" w:color="B6B6B6"/>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 xml:space="preserve">Xavier Heiss </w:t>
            </w:r>
            <w:r>
              <w:rPr>
                <w:rFonts w:ascii="Arial" w:cs="Arial" w:eastAsia="Arial" w:hAnsi="Arial"/>
                <w:sz w:val="23"/>
                <w:szCs w:val="23"/>
                <w:color w:val="auto"/>
                <w:vertAlign w:val="superscript"/>
              </w:rPr>
              <w:t>(4)</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3" w:lineRule="exact"/>
        <w:rPr>
          <w:sz w:val="20"/>
          <w:szCs w:val="20"/>
          <w:color w:val="auto"/>
        </w:rPr>
      </w:pPr>
    </w:p>
    <w:p>
      <w:pPr>
        <w:ind w:right="2680" w:firstLine="8"/>
        <w:spacing w:after="0"/>
        <w:tabs>
          <w:tab w:leader="none" w:pos="175" w:val="left"/>
        </w:tabs>
        <w:numPr>
          <w:ilvl w:val="0"/>
          <w:numId w:val="50"/>
        </w:numPr>
        <w:rPr>
          <w:rFonts w:ascii="Arial" w:cs="Arial" w:eastAsia="Arial" w:hAnsi="Arial"/>
          <w:sz w:val="20"/>
          <w:szCs w:val="20"/>
          <w:color w:val="auto"/>
          <w:vertAlign w:val="superscript"/>
        </w:rPr>
      </w:pPr>
      <w:r>
        <w:rPr>
          <w:rFonts w:ascii="Arial" w:cs="Arial" w:eastAsia="Arial" w:hAnsi="Arial"/>
          <w:sz w:val="16"/>
          <w:szCs w:val="16"/>
          <w:color w:val="auto"/>
        </w:rPr>
        <w:t>Mr. Bruno resigned from his position with the Company on August 31, 2025, but continues to serve on the Board.</w:t>
      </w:r>
    </w:p>
    <w:p>
      <w:pPr>
        <w:spacing w:after="0" w:line="171" w:lineRule="exact"/>
        <w:rPr>
          <w:rFonts w:ascii="Arial" w:cs="Arial" w:eastAsia="Arial" w:hAnsi="Arial"/>
          <w:sz w:val="20"/>
          <w:szCs w:val="20"/>
          <w:color w:val="auto"/>
          <w:vertAlign w:val="superscript"/>
        </w:rPr>
      </w:pPr>
    </w:p>
    <w:p>
      <w:pPr>
        <w:ind w:right="2540" w:firstLine="8"/>
        <w:spacing w:after="0" w:line="226" w:lineRule="auto"/>
        <w:tabs>
          <w:tab w:leader="none" w:pos="193" w:val="left"/>
        </w:tabs>
        <w:numPr>
          <w:ilvl w:val="0"/>
          <w:numId w:val="50"/>
        </w:numPr>
        <w:rPr>
          <w:rFonts w:ascii="Arial" w:cs="Arial" w:eastAsia="Arial" w:hAnsi="Arial"/>
          <w:sz w:val="22"/>
          <w:szCs w:val="22"/>
          <w:color w:val="auto"/>
          <w:vertAlign w:val="superscript"/>
        </w:rPr>
      </w:pPr>
      <w:r>
        <w:rPr>
          <w:rFonts w:ascii="Arial" w:cs="Arial" w:eastAsia="Arial" w:hAnsi="Arial"/>
          <w:sz w:val="17"/>
          <w:szCs w:val="17"/>
          <w:color w:val="auto"/>
        </w:rPr>
        <w:t>In connection with the Lexmark acquisition, Mr. Butler became an employee of Xerox effective July 1, 2025. He was appointed to EVP, Chief Financial Officer effective December 3, 2025. For full-year 2025, Mr. Butler did not receive any Xerox LTIP awards.</w:t>
      </w:r>
    </w:p>
    <w:p>
      <w:pPr>
        <w:spacing w:after="0" w:line="1" w:lineRule="exact"/>
        <w:rPr>
          <w:rFonts w:ascii="Arial" w:cs="Arial" w:eastAsia="Arial" w:hAnsi="Arial"/>
          <w:sz w:val="22"/>
          <w:szCs w:val="22"/>
          <w:color w:val="auto"/>
          <w:vertAlign w:val="superscript"/>
        </w:rPr>
      </w:pPr>
    </w:p>
    <w:p>
      <w:pPr>
        <w:ind w:left="200" w:hanging="192"/>
        <w:spacing w:after="0" w:line="200" w:lineRule="auto"/>
        <w:tabs>
          <w:tab w:leader="none" w:pos="200" w:val="left"/>
        </w:tabs>
        <w:numPr>
          <w:ilvl w:val="0"/>
          <w:numId w:val="50"/>
        </w:numPr>
        <w:rPr>
          <w:rFonts w:ascii="Arial" w:cs="Arial" w:eastAsia="Arial" w:hAnsi="Arial"/>
          <w:sz w:val="23"/>
          <w:szCs w:val="23"/>
          <w:color w:val="auto"/>
          <w:vertAlign w:val="superscript"/>
        </w:rPr>
      </w:pPr>
      <w:r>
        <w:rPr>
          <w:rFonts w:ascii="Arial" w:cs="Arial" w:eastAsia="Arial" w:hAnsi="Arial"/>
          <w:sz w:val="18"/>
          <w:szCs w:val="18"/>
          <w:color w:val="auto"/>
        </w:rPr>
        <w:t>Ms. Gecaj's employment with the Company ended on December 2, 2025, and unvested equity awards were</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treated in accordance with the provisions outlined in the 8-K filing dated November 19, 2025.</w:t>
      </w:r>
    </w:p>
    <w:p>
      <w:pPr>
        <w:ind w:left="180" w:hanging="172"/>
        <w:spacing w:after="0" w:line="232" w:lineRule="auto"/>
        <w:tabs>
          <w:tab w:leader="none" w:pos="180"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Mr. Heiss retired from the Company on January 31, 2025 and did not receive a 2025 LTIP award.</w:t>
      </w:r>
    </w:p>
    <w:p>
      <w:pPr>
        <w:spacing w:after="0" w:line="86"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8"/>
          <w:szCs w:val="18"/>
          <w:b w:val="1"/>
          <w:bCs w:val="1"/>
          <w:color w:val="auto"/>
        </w:rPr>
        <w:t>Performance Results and Payout: 2023 LTIP</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2023 LTIP metric, Relative Total Shareholder Return (Relative TSR), was measured against two indices: (i) S&amp;P Technology Hardware Select (weighted 90%) and (ii) S&amp;P 400 Information Technology Sector (weighted 10%). Relative TSR was calculated as (ending stock price</w:t>
      </w:r>
    </w:p>
    <w:p>
      <w:pPr>
        <w:ind w:right="100" w:firstLine="8"/>
        <w:spacing w:after="0" w:line="258" w:lineRule="auto"/>
        <w:tabs>
          <w:tab w:leader="none" w:pos="1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dividends paid – beginning stock price) divided by the beginning stock price, with the stock prices determined by using the average closing price for the 20 consecutive trading days prior to and including December 31, 2022 (beginning stock price) and December 31, 2023, 2024 and 2025, respectively (ending stock prices).</w:t>
      </w:r>
    </w:p>
    <w:p>
      <w:pPr>
        <w:spacing w:after="0" w:line="70"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The 2023 LTIP metric was based on the cumulative results of three discrete, equally weighted performance periods: fiscal year 2023, fiscal years 2023–2024, and fiscal years 2023–2025. For each performance period, Xerox’s TSR performance was ranked relative to companies within the applicable indices, and a payout percentage was determined based on the Company’s percentile ranking. The final payout factor reflected the average of the payout percentages for the three performance periods.</w:t>
      </w:r>
    </w:p>
    <w:p>
      <w:pPr>
        <w:spacing w:after="0" w:line="6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Based on certified results, the Company’s performance resulted in a payout factor of 34.3% of target under the 2023 LTIP. The Compensation and Human Capital Committee certified the performance results on February 4, 2026. As a result, participating executives earned 34.3% of their target 2023 LTIP award opportunity.</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For additional information on the 2023 LTIP performance measures and definitions, refer to Exhibit 10(f)(34) of the Annual Report on Form 10-K for the year ended December 31, 2022, filed with the SEC on February 23,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results of the 2023 LTIP performance is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PSU Results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680" w:type="dxa"/>
            <w:vAlign w:val="bottom"/>
            <w:tcBorders>
              <w:left w:val="single" w:sz="8" w:color="DA2031"/>
              <w:right w:val="single" w:sz="8" w:color="DA2031"/>
            </w:tcBorders>
            <w:shd w:val="clear" w:color="auto" w:fill="DA2031"/>
          </w:tcPr>
          <w:p>
            <w:pPr>
              <w:spacing w:after="0"/>
              <w:rPr>
                <w:sz w:val="19"/>
                <w:szCs w:val="19"/>
                <w:color w:val="auto"/>
              </w:rPr>
            </w:pPr>
          </w:p>
        </w:tc>
        <w:tc>
          <w:tcPr>
            <w:tcW w:w="1060" w:type="dxa"/>
            <w:vAlign w:val="bottom"/>
            <w:tcBorders>
              <w:right w:val="single" w:sz="8" w:color="DA2031"/>
            </w:tcBorders>
            <w:shd w:val="clear" w:color="auto" w:fill="DA2031"/>
          </w:tcPr>
          <w:p>
            <w:pPr>
              <w:spacing w:after="0"/>
              <w:rPr>
                <w:sz w:val="19"/>
                <w:szCs w:val="19"/>
                <w:color w:val="auto"/>
              </w:rPr>
            </w:pPr>
          </w:p>
        </w:tc>
        <w:tc>
          <w:tcPr>
            <w:tcW w:w="1200" w:type="dxa"/>
            <w:vAlign w:val="bottom"/>
            <w:tcBorders>
              <w:right w:val="single" w:sz="8" w:color="DA2031"/>
            </w:tcBorders>
            <w:shd w:val="clear" w:color="auto" w:fill="DA2031"/>
          </w:tcPr>
          <w:p>
            <w:pPr>
              <w:spacing w:after="0"/>
              <w:rPr>
                <w:sz w:val="19"/>
                <w:szCs w:val="19"/>
                <w:color w:val="auto"/>
              </w:rPr>
            </w:pPr>
          </w:p>
        </w:tc>
        <w:tc>
          <w:tcPr>
            <w:tcW w:w="1200" w:type="dxa"/>
            <w:vAlign w:val="bottom"/>
            <w:tcBorders>
              <w:right w:val="single" w:sz="8" w:color="DA2031"/>
            </w:tcBorders>
            <w:shd w:val="clear" w:color="auto" w:fill="DA2031"/>
          </w:tcPr>
          <w:p>
            <w:pPr>
              <w:spacing w:after="0"/>
              <w:rPr>
                <w:sz w:val="19"/>
                <w:szCs w:val="19"/>
                <w:color w:val="auto"/>
              </w:rPr>
            </w:pPr>
          </w:p>
        </w:tc>
        <w:tc>
          <w:tcPr>
            <w:tcW w:w="1240" w:type="dxa"/>
            <w:vAlign w:val="bottom"/>
            <w:tcBorders>
              <w:right w:val="single" w:sz="8" w:color="DA2031"/>
            </w:tcBorders>
            <w:shd w:val="clear" w:color="auto" w:fill="DA2031"/>
          </w:tcPr>
          <w:p>
            <w:pPr>
              <w:spacing w:after="0"/>
              <w:rPr>
                <w:sz w:val="19"/>
                <w:szCs w:val="19"/>
                <w:color w:val="auto"/>
              </w:rPr>
            </w:pPr>
          </w:p>
        </w:tc>
        <w:tc>
          <w:tcPr>
            <w:tcW w:w="1120" w:type="dxa"/>
            <w:vAlign w:val="bottom"/>
            <w:tcBorders>
              <w:right w:val="single" w:sz="8" w:color="DA2031"/>
            </w:tcBorders>
            <w:shd w:val="clear" w:color="auto" w:fill="DA2031"/>
          </w:tcPr>
          <w:p>
            <w:pPr>
              <w:spacing w:after="0"/>
              <w:rPr>
                <w:sz w:val="19"/>
                <w:szCs w:val="19"/>
                <w:color w:val="auto"/>
              </w:rPr>
            </w:pPr>
          </w:p>
        </w:tc>
        <w:tc>
          <w:tcPr>
            <w:tcW w:w="980" w:type="dxa"/>
            <w:vAlign w:val="bottom"/>
            <w:tcBorders>
              <w:right w:val="single" w:sz="8" w:color="DA2031"/>
            </w:tcBorders>
            <w:shd w:val="clear" w:color="auto" w:fill="DA2031"/>
          </w:tcPr>
          <w:p>
            <w:pPr>
              <w:spacing w:after="0"/>
              <w:rPr>
                <w:sz w:val="19"/>
                <w:szCs w:val="19"/>
                <w:color w:val="auto"/>
              </w:rPr>
            </w:pPr>
          </w:p>
        </w:tc>
        <w:tc>
          <w:tcPr>
            <w:tcW w:w="1040" w:type="dxa"/>
            <w:vAlign w:val="bottom"/>
            <w:tcBorders>
              <w:right w:val="single" w:sz="8" w:color="DA2031"/>
            </w:tcBorders>
            <w:shd w:val="clear" w:color="auto" w:fill="DA2031"/>
          </w:tcPr>
          <w:p>
            <w:pPr>
              <w:spacing w:after="0"/>
              <w:rPr>
                <w:sz w:val="19"/>
                <w:szCs w:val="19"/>
                <w:color w:val="auto"/>
              </w:rPr>
            </w:pPr>
          </w:p>
        </w:tc>
        <w:tc>
          <w:tcPr>
            <w:tcW w:w="174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Actual 2023</w:t>
            </w:r>
          </w:p>
        </w:tc>
        <w:tc>
          <w:tcPr>
            <w:tcW w:w="0" w:type="dxa"/>
            <w:vAlign w:val="bottom"/>
          </w:tcPr>
          <w:p>
            <w:pPr>
              <w:spacing w:after="0"/>
              <w:rPr>
                <w:sz w:val="1"/>
                <w:szCs w:val="1"/>
                <w:color w:val="auto"/>
              </w:rPr>
            </w:pPr>
          </w:p>
        </w:tc>
      </w:tr>
      <w:tr>
        <w:trPr>
          <w:trHeight w:val="216"/>
        </w:trPr>
        <w:tc>
          <w:tcPr>
            <w:tcW w:w="1680" w:type="dxa"/>
            <w:vAlign w:val="bottom"/>
            <w:tcBorders>
              <w:left w:val="single" w:sz="8" w:color="DA2031"/>
              <w:right w:val="single" w:sz="8" w:color="DA2031"/>
            </w:tcBorders>
            <w:shd w:val="clear" w:color="auto" w:fill="DA2031"/>
          </w:tcPr>
          <w:p>
            <w:pPr>
              <w:spacing w:after="0"/>
              <w:rPr>
                <w:sz w:val="18"/>
                <w:szCs w:val="18"/>
                <w:color w:val="auto"/>
              </w:rPr>
            </w:pPr>
          </w:p>
        </w:tc>
        <w:tc>
          <w:tcPr>
            <w:tcW w:w="1060" w:type="dxa"/>
            <w:vAlign w:val="bottom"/>
            <w:tcBorders>
              <w:right w:val="single" w:sz="8" w:color="DA2031"/>
            </w:tcBorders>
            <w:shd w:val="clear" w:color="auto" w:fill="DA2031"/>
          </w:tcPr>
          <w:p>
            <w:pPr>
              <w:spacing w:after="0"/>
              <w:rPr>
                <w:sz w:val="18"/>
                <w:szCs w:val="18"/>
                <w:color w:val="auto"/>
              </w:rPr>
            </w:pPr>
          </w:p>
        </w:tc>
        <w:tc>
          <w:tcPr>
            <w:tcW w:w="1200" w:type="dxa"/>
            <w:vAlign w:val="bottom"/>
            <w:tcBorders>
              <w:right w:val="single" w:sz="8" w:color="DA2031"/>
            </w:tcBorders>
            <w:shd w:val="clear" w:color="auto" w:fill="DA2031"/>
          </w:tcPr>
          <w:p>
            <w:pPr>
              <w:spacing w:after="0"/>
              <w:rPr>
                <w:sz w:val="18"/>
                <w:szCs w:val="18"/>
                <w:color w:val="auto"/>
              </w:rPr>
            </w:pPr>
          </w:p>
        </w:tc>
        <w:tc>
          <w:tcPr>
            <w:tcW w:w="1200" w:type="dxa"/>
            <w:vAlign w:val="bottom"/>
            <w:tcBorders>
              <w:right w:val="single" w:sz="8" w:color="DA2031"/>
            </w:tcBorders>
            <w:shd w:val="clear" w:color="auto" w:fill="DA2031"/>
          </w:tcPr>
          <w:p>
            <w:pPr>
              <w:spacing w:after="0"/>
              <w:rPr>
                <w:sz w:val="18"/>
                <w:szCs w:val="18"/>
                <w:color w:val="auto"/>
              </w:rPr>
            </w:pPr>
          </w:p>
        </w:tc>
        <w:tc>
          <w:tcPr>
            <w:tcW w:w="1240" w:type="dxa"/>
            <w:vAlign w:val="bottom"/>
            <w:tcBorders>
              <w:right w:val="single" w:sz="8" w:color="DA2031"/>
            </w:tcBorders>
            <w:shd w:val="clear" w:color="auto" w:fill="DA2031"/>
          </w:tcPr>
          <w:p>
            <w:pPr>
              <w:spacing w:after="0"/>
              <w:rPr>
                <w:sz w:val="18"/>
                <w:szCs w:val="18"/>
                <w:color w:val="auto"/>
              </w:rPr>
            </w:pPr>
          </w:p>
        </w:tc>
        <w:tc>
          <w:tcPr>
            <w:tcW w:w="1120" w:type="dxa"/>
            <w:vAlign w:val="bottom"/>
            <w:tcBorders>
              <w:right w:val="single" w:sz="8" w:color="DA2031"/>
            </w:tcBorders>
            <w:shd w:val="clear" w:color="auto" w:fill="DA2031"/>
          </w:tcPr>
          <w:p>
            <w:pPr>
              <w:spacing w:after="0"/>
              <w:rPr>
                <w:sz w:val="18"/>
                <w:szCs w:val="18"/>
                <w:color w:val="auto"/>
              </w:rPr>
            </w:pPr>
          </w:p>
        </w:tc>
        <w:tc>
          <w:tcPr>
            <w:tcW w:w="980" w:type="dxa"/>
            <w:vAlign w:val="bottom"/>
            <w:tcBorders>
              <w:right w:val="single" w:sz="8" w:color="DA2031"/>
            </w:tcBorders>
            <w:shd w:val="clear" w:color="auto" w:fill="DA2031"/>
          </w:tcPr>
          <w:p>
            <w:pPr>
              <w:spacing w:after="0"/>
              <w:rPr>
                <w:sz w:val="18"/>
                <w:szCs w:val="18"/>
                <w:color w:val="auto"/>
              </w:rPr>
            </w:pPr>
          </w:p>
        </w:tc>
        <w:tc>
          <w:tcPr>
            <w:tcW w:w="1040" w:type="dxa"/>
            <w:vAlign w:val="bottom"/>
            <w:tcBorders>
              <w:right w:val="single" w:sz="8" w:color="DA2031"/>
            </w:tcBorders>
            <w:shd w:val="clear" w:color="auto" w:fill="DA2031"/>
          </w:tcPr>
          <w:p>
            <w:pPr>
              <w:spacing w:after="0"/>
              <w:rPr>
                <w:sz w:val="18"/>
                <w:szCs w:val="18"/>
                <w:color w:val="auto"/>
              </w:rPr>
            </w:pPr>
          </w:p>
        </w:tc>
        <w:tc>
          <w:tcPr>
            <w:tcW w:w="174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PSU Award</w:t>
            </w:r>
          </w:p>
        </w:tc>
        <w:tc>
          <w:tcPr>
            <w:tcW w:w="0" w:type="dxa"/>
            <w:vAlign w:val="bottom"/>
          </w:tcPr>
          <w:p>
            <w:pPr>
              <w:spacing w:after="0"/>
              <w:rPr>
                <w:sz w:val="1"/>
                <w:szCs w:val="1"/>
                <w:color w:val="auto"/>
              </w:rPr>
            </w:pPr>
          </w:p>
        </w:tc>
      </w:tr>
      <w:tr>
        <w:trPr>
          <w:trHeight w:val="216"/>
        </w:trPr>
        <w:tc>
          <w:tcPr>
            <w:tcW w:w="1680" w:type="dxa"/>
            <w:vAlign w:val="bottom"/>
            <w:tcBorders>
              <w:left w:val="single" w:sz="8" w:color="DA2031"/>
              <w:right w:val="single" w:sz="8" w:color="DA2031"/>
            </w:tcBorders>
            <w:shd w:val="clear" w:color="auto" w:fill="DA2031"/>
          </w:tcPr>
          <w:p>
            <w:pPr>
              <w:spacing w:after="0"/>
              <w:rPr>
                <w:sz w:val="18"/>
                <w:szCs w:val="18"/>
                <w:color w:val="auto"/>
              </w:rPr>
            </w:pPr>
          </w:p>
        </w:tc>
        <w:tc>
          <w:tcPr>
            <w:tcW w:w="1060" w:type="dxa"/>
            <w:vAlign w:val="bottom"/>
            <w:tcBorders>
              <w:right w:val="single" w:sz="8" w:color="DA2031"/>
            </w:tcBorders>
            <w:shd w:val="clear" w:color="auto" w:fill="DA2031"/>
          </w:tcPr>
          <w:p>
            <w:pPr>
              <w:spacing w:after="0"/>
              <w:rPr>
                <w:sz w:val="18"/>
                <w:szCs w:val="18"/>
                <w:color w:val="auto"/>
              </w:rPr>
            </w:pPr>
          </w:p>
        </w:tc>
        <w:tc>
          <w:tcPr>
            <w:tcW w:w="1200" w:type="dxa"/>
            <w:vAlign w:val="bottom"/>
            <w:tcBorders>
              <w:right w:val="single" w:sz="8" w:color="DA2031"/>
            </w:tcBorders>
            <w:shd w:val="clear" w:color="auto" w:fill="DA2031"/>
          </w:tcPr>
          <w:p>
            <w:pPr>
              <w:spacing w:after="0"/>
              <w:rPr>
                <w:sz w:val="18"/>
                <w:szCs w:val="18"/>
                <w:color w:val="auto"/>
              </w:rPr>
            </w:pPr>
          </w:p>
        </w:tc>
        <w:tc>
          <w:tcPr>
            <w:tcW w:w="120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24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Maximum</w:t>
            </w:r>
          </w:p>
        </w:tc>
        <w:tc>
          <w:tcPr>
            <w:tcW w:w="1120" w:type="dxa"/>
            <w:vAlign w:val="bottom"/>
            <w:tcBorders>
              <w:right w:val="single" w:sz="8" w:color="DA2031"/>
            </w:tcBorders>
            <w:shd w:val="clear" w:color="auto" w:fill="DA2031"/>
          </w:tcPr>
          <w:p>
            <w:pPr>
              <w:spacing w:after="0"/>
              <w:rPr>
                <w:sz w:val="18"/>
                <w:szCs w:val="18"/>
                <w:color w:val="auto"/>
              </w:rPr>
            </w:pPr>
          </w:p>
        </w:tc>
        <w:tc>
          <w:tcPr>
            <w:tcW w:w="980" w:type="dxa"/>
            <w:vAlign w:val="bottom"/>
            <w:tcBorders>
              <w:right w:val="single" w:sz="8" w:color="DA2031"/>
            </w:tcBorders>
            <w:shd w:val="clear" w:color="auto" w:fill="DA2031"/>
          </w:tcPr>
          <w:p>
            <w:pPr>
              <w:spacing w:after="0"/>
              <w:rPr>
                <w:sz w:val="18"/>
                <w:szCs w:val="18"/>
                <w:color w:val="auto"/>
              </w:rPr>
            </w:pPr>
          </w:p>
        </w:tc>
        <w:tc>
          <w:tcPr>
            <w:tcW w:w="1040" w:type="dxa"/>
            <w:vAlign w:val="bottom"/>
            <w:tcBorders>
              <w:right w:val="single" w:sz="8" w:color="DA2031"/>
            </w:tcBorders>
            <w:shd w:val="clear" w:color="auto" w:fill="DA2031"/>
          </w:tcPr>
          <w:p>
            <w:pPr>
              <w:spacing w:after="0"/>
              <w:rPr>
                <w:sz w:val="18"/>
                <w:szCs w:val="18"/>
                <w:color w:val="auto"/>
              </w:rPr>
            </w:pPr>
          </w:p>
        </w:tc>
        <w:tc>
          <w:tcPr>
            <w:tcW w:w="174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Average Weighted</w:t>
            </w:r>
          </w:p>
        </w:tc>
        <w:tc>
          <w:tcPr>
            <w:tcW w:w="0" w:type="dxa"/>
            <w:vAlign w:val="bottom"/>
          </w:tcPr>
          <w:p>
            <w:pPr>
              <w:spacing w:after="0"/>
              <w:rPr>
                <w:sz w:val="1"/>
                <w:szCs w:val="1"/>
                <w:color w:val="auto"/>
              </w:rPr>
            </w:pPr>
          </w:p>
        </w:tc>
      </w:tr>
      <w:tr>
        <w:trPr>
          <w:trHeight w:val="59"/>
        </w:trPr>
        <w:tc>
          <w:tcPr>
            <w:tcW w:w="1680" w:type="dxa"/>
            <w:vAlign w:val="bottom"/>
            <w:tcBorders>
              <w:left w:val="single" w:sz="8" w:color="DA2031"/>
              <w:right w:val="single" w:sz="8" w:color="DA2031"/>
            </w:tcBorders>
            <w:vMerge w:val="restart"/>
            <w:shd w:val="clear" w:color="auto" w:fill="DA2031"/>
          </w:tcPr>
          <w:p>
            <w:pPr>
              <w:ind w:left="20"/>
              <w:spacing w:after="0"/>
              <w:rPr>
                <w:sz w:val="20"/>
                <w:szCs w:val="20"/>
                <w:color w:val="auto"/>
              </w:rPr>
            </w:pPr>
            <w:r>
              <w:rPr>
                <w:rFonts w:ascii="Arial" w:cs="Arial" w:eastAsia="Arial" w:hAnsi="Arial"/>
                <w:sz w:val="18"/>
                <w:szCs w:val="18"/>
                <w:b w:val="1"/>
                <w:bCs w:val="1"/>
                <w:color w:val="FFFFFF"/>
              </w:rPr>
              <w:t>Performance</w:t>
            </w:r>
          </w:p>
        </w:tc>
        <w:tc>
          <w:tcPr>
            <w:tcW w:w="1060" w:type="dxa"/>
            <w:vAlign w:val="bottom"/>
            <w:tcBorders>
              <w:right w:val="single" w:sz="8" w:color="DA2031"/>
            </w:tcBorders>
            <w:shd w:val="clear" w:color="auto" w:fill="DA2031"/>
          </w:tcPr>
          <w:p>
            <w:pPr>
              <w:spacing w:after="0"/>
              <w:rPr>
                <w:sz w:val="5"/>
                <w:szCs w:val="5"/>
                <w:color w:val="auto"/>
              </w:rPr>
            </w:pPr>
          </w:p>
        </w:tc>
        <w:tc>
          <w:tcPr>
            <w:tcW w:w="1200" w:type="dxa"/>
            <w:vAlign w:val="bottom"/>
            <w:tcBorders>
              <w:right w:val="single" w:sz="8" w:color="DA2031"/>
            </w:tcBorders>
            <w:vMerge w:val="restart"/>
            <w:shd w:val="clear" w:color="auto" w:fill="DA2031"/>
          </w:tcPr>
          <w:p>
            <w:pPr>
              <w:jc w:val="right"/>
              <w:ind w:right="90"/>
              <w:spacing w:after="0"/>
              <w:rPr>
                <w:sz w:val="20"/>
                <w:szCs w:val="20"/>
                <w:color w:val="auto"/>
              </w:rPr>
            </w:pPr>
            <w:r>
              <w:rPr>
                <w:rFonts w:ascii="Arial" w:cs="Arial" w:eastAsia="Arial" w:hAnsi="Arial"/>
                <w:sz w:val="18"/>
                <w:szCs w:val="18"/>
                <w:b w:val="1"/>
                <w:bCs w:val="1"/>
                <w:color w:val="FFFFFF"/>
              </w:rPr>
              <w:t>Threshold</w:t>
            </w:r>
          </w:p>
        </w:tc>
        <w:tc>
          <w:tcPr>
            <w:tcW w:w="1200" w:type="dxa"/>
            <w:vAlign w:val="bottom"/>
            <w:tcBorders>
              <w:right w:val="single" w:sz="8" w:color="DA2031"/>
            </w:tcBorders>
            <w:vMerge w:val="continue"/>
            <w:shd w:val="clear" w:color="auto" w:fill="DA2031"/>
          </w:tcPr>
          <w:p>
            <w:pPr>
              <w:spacing w:after="0"/>
              <w:rPr>
                <w:sz w:val="5"/>
                <w:szCs w:val="5"/>
                <w:color w:val="auto"/>
              </w:rPr>
            </w:pPr>
          </w:p>
        </w:tc>
        <w:tc>
          <w:tcPr>
            <w:tcW w:w="1240" w:type="dxa"/>
            <w:vAlign w:val="bottom"/>
            <w:tcBorders>
              <w:right w:val="single" w:sz="8" w:color="DA2031"/>
            </w:tcBorders>
            <w:vMerge w:val="continue"/>
            <w:shd w:val="clear" w:color="auto" w:fill="DA2031"/>
          </w:tcPr>
          <w:p>
            <w:pPr>
              <w:spacing w:after="0"/>
              <w:rPr>
                <w:sz w:val="5"/>
                <w:szCs w:val="5"/>
                <w:color w:val="auto"/>
              </w:rPr>
            </w:pPr>
          </w:p>
        </w:tc>
        <w:tc>
          <w:tcPr>
            <w:tcW w:w="1120" w:type="dxa"/>
            <w:vAlign w:val="bottom"/>
            <w:tcBorders>
              <w:right w:val="single" w:sz="8" w:color="DA2031"/>
            </w:tcBorders>
            <w:shd w:val="clear" w:color="auto" w:fill="DA2031"/>
          </w:tcPr>
          <w:p>
            <w:pPr>
              <w:spacing w:after="0"/>
              <w:rPr>
                <w:sz w:val="5"/>
                <w:szCs w:val="5"/>
                <w:color w:val="auto"/>
              </w:rPr>
            </w:pPr>
          </w:p>
        </w:tc>
        <w:tc>
          <w:tcPr>
            <w:tcW w:w="980" w:type="dxa"/>
            <w:vAlign w:val="bottom"/>
            <w:tcBorders>
              <w:right w:val="single" w:sz="8" w:color="DA2031"/>
            </w:tcBorders>
            <w:vMerge w:val="restart"/>
            <w:shd w:val="clear" w:color="auto" w:fill="DA2031"/>
          </w:tcPr>
          <w:p>
            <w:pPr>
              <w:jc w:val="right"/>
              <w:ind w:right="210"/>
              <w:spacing w:after="0"/>
              <w:rPr>
                <w:sz w:val="20"/>
                <w:szCs w:val="20"/>
                <w:color w:val="auto"/>
              </w:rPr>
            </w:pPr>
            <w:r>
              <w:rPr>
                <w:rFonts w:ascii="Arial" w:cs="Arial" w:eastAsia="Arial" w:hAnsi="Arial"/>
                <w:sz w:val="18"/>
                <w:szCs w:val="18"/>
                <w:b w:val="1"/>
                <w:bCs w:val="1"/>
                <w:color w:val="FFFFFF"/>
              </w:rPr>
              <w:t>2024</w:t>
            </w:r>
          </w:p>
        </w:tc>
        <w:tc>
          <w:tcPr>
            <w:tcW w:w="1040" w:type="dxa"/>
            <w:vAlign w:val="bottom"/>
            <w:tcBorders>
              <w:right w:val="single" w:sz="8" w:color="DA2031"/>
            </w:tcBorders>
            <w:shd w:val="clear" w:color="auto" w:fill="DA2031"/>
          </w:tcPr>
          <w:p>
            <w:pPr>
              <w:spacing w:after="0"/>
              <w:rPr>
                <w:sz w:val="5"/>
                <w:szCs w:val="5"/>
                <w:color w:val="auto"/>
              </w:rPr>
            </w:pPr>
          </w:p>
        </w:tc>
        <w:tc>
          <w:tcPr>
            <w:tcW w:w="174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Payout</w:t>
            </w:r>
          </w:p>
        </w:tc>
        <w:tc>
          <w:tcPr>
            <w:tcW w:w="0" w:type="dxa"/>
            <w:vAlign w:val="bottom"/>
          </w:tcPr>
          <w:p>
            <w:pPr>
              <w:spacing w:after="0"/>
              <w:rPr>
                <w:sz w:val="1"/>
                <w:szCs w:val="1"/>
                <w:color w:val="auto"/>
              </w:rPr>
            </w:pPr>
          </w:p>
        </w:tc>
      </w:tr>
      <w:tr>
        <w:trPr>
          <w:trHeight w:val="175"/>
        </w:trPr>
        <w:tc>
          <w:tcPr>
            <w:tcW w:w="1680" w:type="dxa"/>
            <w:vAlign w:val="bottom"/>
            <w:tcBorders>
              <w:left w:val="single" w:sz="8" w:color="DA2031"/>
              <w:right w:val="single" w:sz="8" w:color="DA2031"/>
            </w:tcBorders>
            <w:vMerge w:val="continue"/>
            <w:shd w:val="clear" w:color="auto" w:fill="DA2031"/>
          </w:tcPr>
          <w:p>
            <w:pPr>
              <w:spacing w:after="0"/>
              <w:rPr>
                <w:sz w:val="15"/>
                <w:szCs w:val="15"/>
                <w:color w:val="auto"/>
              </w:rPr>
            </w:pPr>
          </w:p>
        </w:tc>
        <w:tc>
          <w:tcPr>
            <w:tcW w:w="1060" w:type="dxa"/>
            <w:vAlign w:val="bottom"/>
            <w:tcBorders>
              <w:right w:val="single" w:sz="8" w:color="DA2031"/>
            </w:tcBorders>
            <w:vMerge w:val="restart"/>
            <w:shd w:val="clear" w:color="auto" w:fill="DA2031"/>
          </w:tcPr>
          <w:p>
            <w:pPr>
              <w:jc w:val="right"/>
              <w:ind w:right="170"/>
              <w:spacing w:after="0"/>
              <w:rPr>
                <w:sz w:val="20"/>
                <w:szCs w:val="20"/>
                <w:color w:val="auto"/>
              </w:rPr>
            </w:pPr>
            <w:r>
              <w:rPr>
                <w:rFonts w:ascii="Arial" w:cs="Arial" w:eastAsia="Arial" w:hAnsi="Arial"/>
                <w:sz w:val="18"/>
                <w:szCs w:val="18"/>
                <w:b w:val="1"/>
                <w:bCs w:val="1"/>
                <w:color w:val="FFFFFF"/>
              </w:rPr>
              <w:t>Weight</w:t>
            </w:r>
          </w:p>
        </w:tc>
        <w:tc>
          <w:tcPr>
            <w:tcW w:w="1200" w:type="dxa"/>
            <w:vAlign w:val="bottom"/>
            <w:tcBorders>
              <w:right w:val="single" w:sz="8" w:color="DA2031"/>
            </w:tcBorders>
            <w:vMerge w:val="continue"/>
            <w:shd w:val="clear" w:color="auto" w:fill="DA2031"/>
          </w:tcPr>
          <w:p>
            <w:pPr>
              <w:spacing w:after="0"/>
              <w:rPr>
                <w:sz w:val="15"/>
                <w:szCs w:val="15"/>
                <w:color w:val="auto"/>
              </w:rPr>
            </w:pPr>
          </w:p>
        </w:tc>
        <w:tc>
          <w:tcPr>
            <w:tcW w:w="120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w w:val="99"/>
              </w:rPr>
              <w:t>(100%</w:t>
            </w:r>
          </w:p>
        </w:tc>
        <w:tc>
          <w:tcPr>
            <w:tcW w:w="124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w w:val="99"/>
              </w:rPr>
              <w:t>(200%</w:t>
            </w:r>
          </w:p>
        </w:tc>
        <w:tc>
          <w:tcPr>
            <w:tcW w:w="1120" w:type="dxa"/>
            <w:vAlign w:val="bottom"/>
            <w:tcBorders>
              <w:right w:val="single" w:sz="8" w:color="DA2031"/>
            </w:tcBorders>
            <w:vMerge w:val="restart"/>
            <w:shd w:val="clear" w:color="auto" w:fill="DA2031"/>
          </w:tcPr>
          <w:p>
            <w:pPr>
              <w:jc w:val="right"/>
              <w:spacing w:after="0"/>
              <w:rPr>
                <w:sz w:val="20"/>
                <w:szCs w:val="20"/>
                <w:color w:val="auto"/>
              </w:rPr>
            </w:pPr>
            <w:r>
              <w:rPr>
                <w:rFonts w:ascii="Arial" w:cs="Arial" w:eastAsia="Arial" w:hAnsi="Arial"/>
                <w:sz w:val="18"/>
                <w:szCs w:val="18"/>
                <w:b w:val="1"/>
                <w:bCs w:val="1"/>
                <w:color w:val="FFFFFF"/>
              </w:rPr>
              <w:t>2023 Actual</w:t>
            </w:r>
          </w:p>
        </w:tc>
        <w:tc>
          <w:tcPr>
            <w:tcW w:w="980" w:type="dxa"/>
            <w:vAlign w:val="bottom"/>
            <w:tcBorders>
              <w:right w:val="single" w:sz="8" w:color="DA2031"/>
            </w:tcBorders>
            <w:vMerge w:val="continue"/>
            <w:shd w:val="clear" w:color="auto" w:fill="DA2031"/>
          </w:tcPr>
          <w:p>
            <w:pPr>
              <w:spacing w:after="0"/>
              <w:rPr>
                <w:sz w:val="15"/>
                <w:szCs w:val="15"/>
                <w:color w:val="auto"/>
              </w:rPr>
            </w:pPr>
          </w:p>
        </w:tc>
        <w:tc>
          <w:tcPr>
            <w:tcW w:w="1040" w:type="dxa"/>
            <w:vAlign w:val="bottom"/>
            <w:tcBorders>
              <w:right w:val="single" w:sz="8" w:color="DA2031"/>
            </w:tcBorders>
            <w:vMerge w:val="restart"/>
            <w:shd w:val="clear" w:color="auto" w:fill="DA2031"/>
          </w:tcPr>
          <w:p>
            <w:pPr>
              <w:jc w:val="right"/>
              <w:spacing w:after="0"/>
              <w:rPr>
                <w:sz w:val="20"/>
                <w:szCs w:val="20"/>
                <w:color w:val="auto"/>
              </w:rPr>
            </w:pPr>
            <w:r>
              <w:rPr>
                <w:rFonts w:ascii="Arial" w:cs="Arial" w:eastAsia="Arial" w:hAnsi="Arial"/>
                <w:sz w:val="18"/>
                <w:szCs w:val="18"/>
                <w:b w:val="1"/>
                <w:bCs w:val="1"/>
                <w:color w:val="FFFFFF"/>
                <w:w w:val="97"/>
              </w:rPr>
              <w:t>2025 Actual</w:t>
            </w:r>
          </w:p>
        </w:tc>
        <w:tc>
          <w:tcPr>
            <w:tcW w:w="1740" w:type="dxa"/>
            <w:vAlign w:val="bottom"/>
            <w:tcBorders>
              <w:right w:val="single" w:sz="8" w:color="DA2031"/>
            </w:tcBorders>
            <w:vMerge w:val="continue"/>
            <w:shd w:val="clear" w:color="auto" w:fill="DA2031"/>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DA2031"/>
              <w:bottom w:val="single" w:sz="8" w:color="B6B6B6"/>
              <w:right w:val="single" w:sz="8" w:color="DA2031"/>
            </w:tcBorders>
            <w:shd w:val="clear" w:color="auto" w:fill="DA2031"/>
          </w:tcPr>
          <w:p>
            <w:pPr>
              <w:ind w:left="20"/>
              <w:spacing w:after="0"/>
              <w:rPr>
                <w:sz w:val="20"/>
                <w:szCs w:val="20"/>
                <w:color w:val="auto"/>
              </w:rPr>
            </w:pPr>
            <w:r>
              <w:rPr>
                <w:rFonts w:ascii="Arial" w:cs="Arial" w:eastAsia="Arial" w:hAnsi="Arial"/>
                <w:sz w:val="18"/>
                <w:szCs w:val="18"/>
                <w:b w:val="1"/>
                <w:bCs w:val="1"/>
                <w:color w:val="FFFFFF"/>
              </w:rPr>
              <w:t>Measure</w:t>
            </w:r>
          </w:p>
        </w:tc>
        <w:tc>
          <w:tcPr>
            <w:tcW w:w="1060" w:type="dxa"/>
            <w:vAlign w:val="bottom"/>
            <w:tcBorders>
              <w:bottom w:val="single" w:sz="8" w:color="B6B6B6"/>
              <w:right w:val="single" w:sz="8" w:color="DA2031"/>
            </w:tcBorders>
            <w:vMerge w:val="continue"/>
            <w:shd w:val="clear" w:color="auto" w:fill="DA2031"/>
          </w:tcPr>
          <w:p>
            <w:pPr>
              <w:spacing w:after="0"/>
              <w:rPr>
                <w:sz w:val="21"/>
                <w:szCs w:val="21"/>
                <w:color w:val="auto"/>
              </w:rPr>
            </w:pPr>
          </w:p>
        </w:tc>
        <w:tc>
          <w:tcPr>
            <w:tcW w:w="1200" w:type="dxa"/>
            <w:vAlign w:val="bottom"/>
            <w:tcBorders>
              <w:bottom w:val="single" w:sz="8" w:color="B6B6B6"/>
              <w:right w:val="single" w:sz="8" w:color="DA2031"/>
            </w:tcBorders>
            <w:shd w:val="clear" w:color="auto" w:fill="DA2031"/>
          </w:tcPr>
          <w:p>
            <w:pPr>
              <w:jc w:val="right"/>
              <w:spacing w:after="0"/>
              <w:rPr>
                <w:sz w:val="20"/>
                <w:szCs w:val="20"/>
                <w:color w:val="auto"/>
              </w:rPr>
            </w:pPr>
            <w:r>
              <w:rPr>
                <w:rFonts w:ascii="Arial" w:cs="Arial" w:eastAsia="Arial" w:hAnsi="Arial"/>
                <w:sz w:val="18"/>
                <w:szCs w:val="18"/>
                <w:b w:val="1"/>
                <w:bCs w:val="1"/>
                <w:color w:val="FFFFFF"/>
                <w:w w:val="99"/>
              </w:rPr>
              <w:t>(50% payout)</w:t>
            </w:r>
          </w:p>
        </w:tc>
        <w:tc>
          <w:tcPr>
            <w:tcW w:w="120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payout)</w:t>
            </w:r>
          </w:p>
        </w:tc>
        <w:tc>
          <w:tcPr>
            <w:tcW w:w="124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payout)</w:t>
            </w:r>
          </w:p>
        </w:tc>
        <w:tc>
          <w:tcPr>
            <w:tcW w:w="1120" w:type="dxa"/>
            <w:vAlign w:val="bottom"/>
            <w:tcBorders>
              <w:bottom w:val="single" w:sz="8" w:color="B6B6B6"/>
              <w:right w:val="single" w:sz="8" w:color="DA2031"/>
            </w:tcBorders>
            <w:vMerge w:val="continue"/>
            <w:shd w:val="clear" w:color="auto" w:fill="DA2031"/>
          </w:tcPr>
          <w:p>
            <w:pPr>
              <w:spacing w:after="0"/>
              <w:rPr>
                <w:sz w:val="21"/>
                <w:szCs w:val="21"/>
                <w:color w:val="auto"/>
              </w:rPr>
            </w:pPr>
          </w:p>
        </w:tc>
        <w:tc>
          <w:tcPr>
            <w:tcW w:w="980" w:type="dxa"/>
            <w:vAlign w:val="bottom"/>
            <w:tcBorders>
              <w:bottom w:val="single" w:sz="8" w:color="B6B6B6"/>
              <w:right w:val="single" w:sz="8" w:color="DA2031"/>
            </w:tcBorders>
            <w:shd w:val="clear" w:color="auto" w:fill="DA2031"/>
          </w:tcPr>
          <w:p>
            <w:pPr>
              <w:jc w:val="right"/>
              <w:ind w:right="150"/>
              <w:spacing w:after="0"/>
              <w:rPr>
                <w:sz w:val="20"/>
                <w:szCs w:val="20"/>
                <w:color w:val="auto"/>
              </w:rPr>
            </w:pPr>
            <w:r>
              <w:rPr>
                <w:rFonts w:ascii="Arial" w:cs="Arial" w:eastAsia="Arial" w:hAnsi="Arial"/>
                <w:sz w:val="18"/>
                <w:szCs w:val="18"/>
                <w:b w:val="1"/>
                <w:bCs w:val="1"/>
                <w:color w:val="FFFFFF"/>
              </w:rPr>
              <w:t>Actual</w:t>
            </w:r>
          </w:p>
        </w:tc>
        <w:tc>
          <w:tcPr>
            <w:tcW w:w="1040" w:type="dxa"/>
            <w:vAlign w:val="bottom"/>
            <w:tcBorders>
              <w:bottom w:val="single" w:sz="8" w:color="B6B6B6"/>
              <w:right w:val="single" w:sz="8" w:color="DA2031"/>
            </w:tcBorders>
            <w:vMerge w:val="continue"/>
            <w:shd w:val="clear" w:color="auto" w:fill="DA2031"/>
          </w:tcPr>
          <w:p>
            <w:pPr>
              <w:spacing w:after="0"/>
              <w:rPr>
                <w:sz w:val="21"/>
                <w:szCs w:val="21"/>
                <w:color w:val="auto"/>
              </w:rPr>
            </w:pPr>
          </w:p>
        </w:tc>
        <w:tc>
          <w:tcPr>
            <w:tcW w:w="174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Factor</w:t>
            </w:r>
          </w:p>
        </w:tc>
        <w:tc>
          <w:tcPr>
            <w:tcW w:w="0" w:type="dxa"/>
            <w:vAlign w:val="bottom"/>
          </w:tcPr>
          <w:p>
            <w:pPr>
              <w:spacing w:after="0"/>
              <w:rPr>
                <w:sz w:val="1"/>
                <w:szCs w:val="1"/>
                <w:color w:val="auto"/>
              </w:rPr>
            </w:pPr>
          </w:p>
        </w:tc>
      </w:tr>
      <w:tr>
        <w:trPr>
          <w:trHeight w:val="169"/>
        </w:trPr>
        <w:tc>
          <w:tcPr>
            <w:tcW w:w="1680" w:type="dxa"/>
            <w:vAlign w:val="bottom"/>
            <w:tcBorders>
              <w:left w:val="single" w:sz="8" w:color="B6B6B6"/>
              <w:right w:val="single" w:sz="8" w:color="B6B6B6"/>
            </w:tcBorders>
            <w:shd w:val="clear" w:color="auto" w:fill="E5E5E5"/>
          </w:tcPr>
          <w:p>
            <w:pPr>
              <w:ind w:left="40"/>
              <w:spacing w:after="0" w:line="169" w:lineRule="exact"/>
              <w:rPr>
                <w:sz w:val="20"/>
                <w:szCs w:val="20"/>
                <w:color w:val="auto"/>
              </w:rPr>
            </w:pPr>
            <w:r>
              <w:rPr>
                <w:rFonts w:ascii="Arial" w:cs="Arial" w:eastAsia="Arial" w:hAnsi="Arial"/>
                <w:sz w:val="18"/>
                <w:szCs w:val="18"/>
                <w:color w:val="auto"/>
              </w:rPr>
              <w:t>rTSR: S&amp;P</w:t>
            </w:r>
          </w:p>
        </w:tc>
        <w:tc>
          <w:tcPr>
            <w:tcW w:w="1060" w:type="dxa"/>
            <w:vAlign w:val="bottom"/>
            <w:tcBorders>
              <w:right w:val="single" w:sz="8" w:color="B6B6B6"/>
            </w:tcBorders>
            <w:shd w:val="clear" w:color="auto" w:fill="E5E5E5"/>
          </w:tcPr>
          <w:p>
            <w:pPr>
              <w:spacing w:after="0"/>
              <w:rPr>
                <w:sz w:val="14"/>
                <w:szCs w:val="14"/>
                <w:color w:val="auto"/>
              </w:rPr>
            </w:pPr>
          </w:p>
        </w:tc>
        <w:tc>
          <w:tcPr>
            <w:tcW w:w="1200" w:type="dxa"/>
            <w:vAlign w:val="bottom"/>
            <w:tcBorders>
              <w:right w:val="single" w:sz="8" w:color="B6B6B6"/>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25th</w:t>
            </w:r>
          </w:p>
        </w:tc>
        <w:tc>
          <w:tcPr>
            <w:tcW w:w="1200" w:type="dxa"/>
            <w:vAlign w:val="bottom"/>
            <w:tcBorders>
              <w:right w:val="single" w:sz="8" w:color="B6B6B6"/>
            </w:tcBorders>
            <w:vMerge w:val="restart"/>
            <w:shd w:val="clear" w:color="auto" w:fill="E5E5E5"/>
          </w:tcPr>
          <w:p>
            <w:pPr>
              <w:jc w:val="right"/>
              <w:ind w:right="10"/>
              <w:spacing w:after="0"/>
              <w:rPr>
                <w:sz w:val="20"/>
                <w:szCs w:val="20"/>
                <w:color w:val="auto"/>
              </w:rPr>
            </w:pPr>
            <w:r>
              <w:rPr>
                <w:rFonts w:ascii="Arial" w:cs="Arial" w:eastAsia="Arial" w:hAnsi="Arial"/>
                <w:sz w:val="18"/>
                <w:szCs w:val="18"/>
                <w:color w:val="auto"/>
              </w:rPr>
              <w:t>50th</w:t>
            </w:r>
          </w:p>
        </w:tc>
        <w:tc>
          <w:tcPr>
            <w:tcW w:w="1240" w:type="dxa"/>
            <w:vAlign w:val="bottom"/>
            <w:tcBorders>
              <w:right w:val="single" w:sz="8" w:color="B6B6B6"/>
            </w:tcBorders>
            <w:shd w:val="clear" w:color="auto" w:fill="E5E5E5"/>
          </w:tcPr>
          <w:p>
            <w:pPr>
              <w:jc w:val="right"/>
              <w:ind w:right="10"/>
              <w:spacing w:after="0" w:line="169" w:lineRule="exact"/>
              <w:rPr>
                <w:sz w:val="20"/>
                <w:szCs w:val="20"/>
                <w:color w:val="auto"/>
              </w:rPr>
            </w:pPr>
            <w:r>
              <w:rPr>
                <w:rFonts w:ascii="Arial" w:cs="Arial" w:eastAsia="Arial" w:hAnsi="Arial"/>
                <w:sz w:val="18"/>
                <w:szCs w:val="18"/>
                <w:color w:val="auto"/>
              </w:rPr>
              <w:t>75th</w:t>
            </w:r>
          </w:p>
        </w:tc>
        <w:tc>
          <w:tcPr>
            <w:tcW w:w="1120" w:type="dxa"/>
            <w:vAlign w:val="bottom"/>
            <w:tcBorders>
              <w:right w:val="single" w:sz="8" w:color="B6B6B6"/>
            </w:tcBorders>
            <w:shd w:val="clear" w:color="auto" w:fill="E5E5E5"/>
          </w:tcPr>
          <w:p>
            <w:pPr>
              <w:spacing w:after="0"/>
              <w:rPr>
                <w:sz w:val="14"/>
                <w:szCs w:val="14"/>
                <w:color w:val="auto"/>
              </w:rPr>
            </w:pPr>
          </w:p>
        </w:tc>
        <w:tc>
          <w:tcPr>
            <w:tcW w:w="980" w:type="dxa"/>
            <w:vAlign w:val="bottom"/>
            <w:tcBorders>
              <w:right w:val="single" w:sz="8" w:color="B6B6B6"/>
            </w:tcBorders>
            <w:shd w:val="clear" w:color="auto" w:fill="E5E5E5"/>
          </w:tcPr>
          <w:p>
            <w:pPr>
              <w:spacing w:after="0"/>
              <w:rPr>
                <w:sz w:val="14"/>
                <w:szCs w:val="14"/>
                <w:color w:val="auto"/>
              </w:rPr>
            </w:pPr>
          </w:p>
        </w:tc>
        <w:tc>
          <w:tcPr>
            <w:tcW w:w="1040" w:type="dxa"/>
            <w:vAlign w:val="bottom"/>
            <w:tcBorders>
              <w:right w:val="single" w:sz="8" w:color="B6B6B6"/>
            </w:tcBorders>
            <w:shd w:val="clear" w:color="auto" w:fill="E5E5E5"/>
          </w:tcPr>
          <w:p>
            <w:pPr>
              <w:spacing w:after="0"/>
              <w:rPr>
                <w:sz w:val="14"/>
                <w:szCs w:val="14"/>
                <w:color w:val="auto"/>
              </w:rPr>
            </w:pPr>
          </w:p>
        </w:tc>
        <w:tc>
          <w:tcPr>
            <w:tcW w:w="1740" w:type="dxa"/>
            <w:vAlign w:val="bottom"/>
            <w:tcBorders>
              <w:right w:val="single" w:sz="8" w:color="B6B6B6"/>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80" w:type="dxa"/>
            <w:vAlign w:val="bottom"/>
            <w:tcBorders>
              <w:left w:val="single" w:sz="8" w:color="B6B6B6"/>
              <w:right w:val="single" w:sz="8" w:color="B6B6B6"/>
            </w:tcBorders>
            <w:vMerge w:val="restart"/>
            <w:shd w:val="clear" w:color="auto" w:fill="E5E5E5"/>
          </w:tcPr>
          <w:p>
            <w:pPr>
              <w:ind w:left="40"/>
              <w:spacing w:after="0" w:line="183" w:lineRule="exact"/>
              <w:rPr>
                <w:sz w:val="20"/>
                <w:szCs w:val="20"/>
                <w:color w:val="auto"/>
              </w:rPr>
            </w:pPr>
            <w:r>
              <w:rPr>
                <w:rFonts w:ascii="Arial" w:cs="Arial" w:eastAsia="Arial" w:hAnsi="Arial"/>
                <w:sz w:val="18"/>
                <w:szCs w:val="18"/>
                <w:color w:val="auto"/>
              </w:rPr>
              <w:t>Technology</w:t>
            </w:r>
          </w:p>
        </w:tc>
        <w:tc>
          <w:tcPr>
            <w:tcW w:w="1060" w:type="dxa"/>
            <w:vAlign w:val="bottom"/>
            <w:tcBorders>
              <w:right w:val="single" w:sz="8" w:color="B6B6B6"/>
            </w:tcBorders>
            <w:shd w:val="clear" w:color="auto" w:fill="E5E5E5"/>
          </w:tcPr>
          <w:p>
            <w:pPr>
              <w:spacing w:after="0"/>
              <w:rPr>
                <w:sz w:val="7"/>
                <w:szCs w:val="7"/>
                <w:color w:val="auto"/>
              </w:rPr>
            </w:pPr>
          </w:p>
        </w:tc>
        <w:tc>
          <w:tcPr>
            <w:tcW w:w="1200" w:type="dxa"/>
            <w:vAlign w:val="bottom"/>
            <w:tcBorders>
              <w:right w:val="single" w:sz="8" w:color="B6B6B6"/>
            </w:tcBorders>
            <w:vMerge w:val="continue"/>
            <w:shd w:val="clear" w:color="auto" w:fill="E5E5E5"/>
          </w:tcPr>
          <w:p>
            <w:pPr>
              <w:spacing w:after="0"/>
              <w:rPr>
                <w:sz w:val="7"/>
                <w:szCs w:val="7"/>
                <w:color w:val="auto"/>
              </w:rPr>
            </w:pPr>
          </w:p>
        </w:tc>
        <w:tc>
          <w:tcPr>
            <w:tcW w:w="1200" w:type="dxa"/>
            <w:vAlign w:val="bottom"/>
            <w:tcBorders>
              <w:right w:val="single" w:sz="8" w:color="B6B6B6"/>
            </w:tcBorders>
            <w:vMerge w:val="continue"/>
            <w:shd w:val="clear" w:color="auto" w:fill="E5E5E5"/>
          </w:tcPr>
          <w:p>
            <w:pPr>
              <w:spacing w:after="0"/>
              <w:rPr>
                <w:sz w:val="7"/>
                <w:szCs w:val="7"/>
                <w:color w:val="auto"/>
              </w:rPr>
            </w:pPr>
          </w:p>
        </w:tc>
        <w:tc>
          <w:tcPr>
            <w:tcW w:w="1240" w:type="dxa"/>
            <w:vAlign w:val="bottom"/>
            <w:tcBorders>
              <w:right w:val="single" w:sz="8" w:color="B6B6B6"/>
            </w:tcBorders>
            <w:vMerge w:val="restart"/>
            <w:shd w:val="clear" w:color="auto" w:fill="E5E5E5"/>
          </w:tcPr>
          <w:p>
            <w:pPr>
              <w:jc w:val="right"/>
              <w:ind w:right="10"/>
              <w:spacing w:after="0" w:line="183" w:lineRule="exact"/>
              <w:rPr>
                <w:sz w:val="20"/>
                <w:szCs w:val="20"/>
                <w:color w:val="auto"/>
              </w:rPr>
            </w:pPr>
            <w:r>
              <w:rPr>
                <w:rFonts w:ascii="Arial" w:cs="Arial" w:eastAsia="Arial" w:hAnsi="Arial"/>
                <w:sz w:val="18"/>
                <w:szCs w:val="18"/>
                <w:color w:val="auto"/>
              </w:rPr>
              <w:t>percentile</w:t>
            </w:r>
          </w:p>
        </w:tc>
        <w:tc>
          <w:tcPr>
            <w:tcW w:w="1120" w:type="dxa"/>
            <w:vAlign w:val="bottom"/>
            <w:tcBorders>
              <w:right w:val="single" w:sz="8" w:color="B6B6B6"/>
            </w:tcBorders>
            <w:shd w:val="clear" w:color="auto" w:fill="E5E5E5"/>
          </w:tcPr>
          <w:p>
            <w:pPr>
              <w:spacing w:after="0"/>
              <w:rPr>
                <w:sz w:val="7"/>
                <w:szCs w:val="7"/>
                <w:color w:val="auto"/>
              </w:rPr>
            </w:pPr>
          </w:p>
        </w:tc>
        <w:tc>
          <w:tcPr>
            <w:tcW w:w="980" w:type="dxa"/>
            <w:vAlign w:val="bottom"/>
            <w:tcBorders>
              <w:right w:val="single" w:sz="8" w:color="B6B6B6"/>
            </w:tcBorders>
            <w:shd w:val="clear" w:color="auto" w:fill="E5E5E5"/>
          </w:tcPr>
          <w:p>
            <w:pPr>
              <w:spacing w:after="0"/>
              <w:rPr>
                <w:sz w:val="7"/>
                <w:szCs w:val="7"/>
                <w:color w:val="auto"/>
              </w:rPr>
            </w:pPr>
          </w:p>
        </w:tc>
        <w:tc>
          <w:tcPr>
            <w:tcW w:w="1040" w:type="dxa"/>
            <w:vAlign w:val="bottom"/>
            <w:tcBorders>
              <w:right w:val="single" w:sz="8" w:color="B6B6B6"/>
            </w:tcBorders>
            <w:shd w:val="clear" w:color="auto" w:fill="E5E5E5"/>
          </w:tcPr>
          <w:p>
            <w:pPr>
              <w:spacing w:after="0"/>
              <w:rPr>
                <w:sz w:val="7"/>
                <w:szCs w:val="7"/>
                <w:color w:val="auto"/>
              </w:rPr>
            </w:pPr>
          </w:p>
        </w:tc>
        <w:tc>
          <w:tcPr>
            <w:tcW w:w="1740" w:type="dxa"/>
            <w:vAlign w:val="bottom"/>
            <w:tcBorders>
              <w:right w:val="single" w:sz="8" w:color="B6B6B6"/>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680" w:type="dxa"/>
            <w:vAlign w:val="bottom"/>
            <w:tcBorders>
              <w:left w:val="single" w:sz="8" w:color="B6B6B6"/>
              <w:right w:val="single" w:sz="8" w:color="B6B6B6"/>
            </w:tcBorders>
            <w:vMerge w:val="continue"/>
            <w:shd w:val="clear" w:color="auto" w:fill="E5E5E5"/>
          </w:tcPr>
          <w:p>
            <w:pPr>
              <w:spacing w:after="0"/>
              <w:rPr>
                <w:sz w:val="8"/>
                <w:szCs w:val="8"/>
                <w:color w:val="auto"/>
              </w:rPr>
            </w:pPr>
          </w:p>
        </w:tc>
        <w:tc>
          <w:tcPr>
            <w:tcW w:w="1060" w:type="dxa"/>
            <w:vAlign w:val="bottom"/>
            <w:tcBorders>
              <w:right w:val="single" w:sz="8" w:color="B6B6B6"/>
            </w:tcBorders>
            <w:vMerge w:val="restart"/>
            <w:shd w:val="clear" w:color="auto" w:fill="E5E5E5"/>
          </w:tcPr>
          <w:p>
            <w:pPr>
              <w:jc w:val="right"/>
              <w:spacing w:after="0" w:line="189" w:lineRule="exact"/>
              <w:rPr>
                <w:sz w:val="20"/>
                <w:szCs w:val="20"/>
                <w:color w:val="auto"/>
              </w:rPr>
            </w:pPr>
            <w:r>
              <w:rPr>
                <w:rFonts w:ascii="Arial" w:cs="Arial" w:eastAsia="Arial" w:hAnsi="Arial"/>
                <w:sz w:val="18"/>
                <w:szCs w:val="18"/>
                <w:color w:val="auto"/>
              </w:rPr>
              <w:t>90 %</w:t>
            </w:r>
          </w:p>
        </w:tc>
        <w:tc>
          <w:tcPr>
            <w:tcW w:w="1200" w:type="dxa"/>
            <w:vAlign w:val="bottom"/>
            <w:tcBorders>
              <w:right w:val="single" w:sz="8" w:color="B6B6B6"/>
            </w:tcBorders>
            <w:vMerge w:val="restart"/>
            <w:shd w:val="clear" w:color="auto" w:fill="E5E5E5"/>
          </w:tcPr>
          <w:p>
            <w:pPr>
              <w:jc w:val="right"/>
              <w:spacing w:after="0" w:line="189" w:lineRule="exact"/>
              <w:rPr>
                <w:sz w:val="20"/>
                <w:szCs w:val="20"/>
                <w:color w:val="auto"/>
              </w:rPr>
            </w:pPr>
            <w:r>
              <w:rPr>
                <w:rFonts w:ascii="Arial" w:cs="Arial" w:eastAsia="Arial" w:hAnsi="Arial"/>
                <w:sz w:val="18"/>
                <w:szCs w:val="18"/>
                <w:color w:val="auto"/>
              </w:rPr>
              <w:t>percentile</w:t>
            </w:r>
          </w:p>
        </w:tc>
        <w:tc>
          <w:tcPr>
            <w:tcW w:w="1200" w:type="dxa"/>
            <w:vAlign w:val="bottom"/>
            <w:tcBorders>
              <w:right w:val="single" w:sz="8" w:color="B6B6B6"/>
            </w:tcBorders>
            <w:vMerge w:val="restart"/>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rPr>
              <w:t>percentile</w:t>
            </w:r>
          </w:p>
        </w:tc>
        <w:tc>
          <w:tcPr>
            <w:tcW w:w="1240" w:type="dxa"/>
            <w:vAlign w:val="bottom"/>
            <w:tcBorders>
              <w:right w:val="single" w:sz="8" w:color="B6B6B6"/>
            </w:tcBorders>
            <w:vMerge w:val="continue"/>
            <w:shd w:val="clear" w:color="auto" w:fill="E5E5E5"/>
          </w:tcPr>
          <w:p>
            <w:pPr>
              <w:spacing w:after="0"/>
              <w:rPr>
                <w:sz w:val="8"/>
                <w:szCs w:val="8"/>
                <w:color w:val="auto"/>
              </w:rPr>
            </w:pPr>
          </w:p>
        </w:tc>
        <w:tc>
          <w:tcPr>
            <w:tcW w:w="1120" w:type="dxa"/>
            <w:vAlign w:val="bottom"/>
            <w:tcBorders>
              <w:right w:val="single" w:sz="8" w:color="B6B6B6"/>
            </w:tcBorders>
            <w:vMerge w:val="restart"/>
            <w:shd w:val="clear" w:color="auto" w:fill="E5E5E5"/>
          </w:tcPr>
          <w:p>
            <w:pPr>
              <w:jc w:val="right"/>
              <w:spacing w:after="0" w:line="189" w:lineRule="exact"/>
              <w:rPr>
                <w:sz w:val="20"/>
                <w:szCs w:val="20"/>
                <w:color w:val="auto"/>
              </w:rPr>
            </w:pPr>
            <w:r>
              <w:rPr>
                <w:rFonts w:ascii="Arial" w:cs="Arial" w:eastAsia="Arial" w:hAnsi="Arial"/>
                <w:sz w:val="18"/>
                <w:szCs w:val="18"/>
                <w:color w:val="auto"/>
              </w:rPr>
              <w:t>97.4 %</w:t>
            </w:r>
          </w:p>
        </w:tc>
        <w:tc>
          <w:tcPr>
            <w:tcW w:w="980" w:type="dxa"/>
            <w:vAlign w:val="bottom"/>
            <w:tcBorders>
              <w:right w:val="single" w:sz="8" w:color="B6B6B6"/>
            </w:tcBorders>
            <w:vMerge w:val="restart"/>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040" w:type="dxa"/>
            <w:vAlign w:val="bottom"/>
            <w:tcBorders>
              <w:right w:val="single" w:sz="8" w:color="B6B6B6"/>
            </w:tcBorders>
            <w:vMerge w:val="restart"/>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1740" w:type="dxa"/>
            <w:vAlign w:val="bottom"/>
            <w:tcBorders>
              <w:right w:val="single" w:sz="8" w:color="B6B6B6"/>
            </w:tcBorders>
            <w:vMerge w:val="restart"/>
            <w:shd w:val="clear" w:color="auto" w:fill="E5E5E5"/>
          </w:tcPr>
          <w:p>
            <w:pPr>
              <w:jc w:val="right"/>
              <w:spacing w:after="0" w:line="189" w:lineRule="exact"/>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86"/>
        </w:trPr>
        <w:tc>
          <w:tcPr>
            <w:tcW w:w="1680" w:type="dxa"/>
            <w:vAlign w:val="bottom"/>
            <w:tcBorders>
              <w:left w:val="single" w:sz="8" w:color="B6B6B6"/>
              <w:right w:val="single" w:sz="8" w:color="B6B6B6"/>
            </w:tcBorders>
            <w:vMerge w:val="restart"/>
            <w:shd w:val="clear" w:color="auto" w:fill="E5E5E5"/>
          </w:tcPr>
          <w:p>
            <w:pPr>
              <w:ind w:left="40"/>
              <w:spacing w:after="0" w:line="181" w:lineRule="exact"/>
              <w:rPr>
                <w:sz w:val="20"/>
                <w:szCs w:val="20"/>
                <w:color w:val="auto"/>
              </w:rPr>
            </w:pPr>
            <w:r>
              <w:rPr>
                <w:rFonts w:ascii="Arial" w:cs="Arial" w:eastAsia="Arial" w:hAnsi="Arial"/>
                <w:sz w:val="18"/>
                <w:szCs w:val="18"/>
                <w:color w:val="auto"/>
              </w:rPr>
              <w:t>Hardware Select</w:t>
            </w:r>
          </w:p>
        </w:tc>
        <w:tc>
          <w:tcPr>
            <w:tcW w:w="1060" w:type="dxa"/>
            <w:vAlign w:val="bottom"/>
            <w:tcBorders>
              <w:right w:val="single" w:sz="8" w:color="B6B6B6"/>
            </w:tcBorders>
            <w:vMerge w:val="continue"/>
            <w:shd w:val="clear" w:color="auto" w:fill="E5E5E5"/>
          </w:tcPr>
          <w:p>
            <w:pPr>
              <w:spacing w:after="0"/>
              <w:rPr>
                <w:sz w:val="7"/>
                <w:szCs w:val="7"/>
                <w:color w:val="auto"/>
              </w:rPr>
            </w:pPr>
          </w:p>
        </w:tc>
        <w:tc>
          <w:tcPr>
            <w:tcW w:w="1200" w:type="dxa"/>
            <w:vAlign w:val="bottom"/>
            <w:tcBorders>
              <w:right w:val="single" w:sz="8" w:color="B6B6B6"/>
            </w:tcBorders>
            <w:vMerge w:val="continue"/>
            <w:shd w:val="clear" w:color="auto" w:fill="E5E5E5"/>
          </w:tcPr>
          <w:p>
            <w:pPr>
              <w:spacing w:after="0"/>
              <w:rPr>
                <w:sz w:val="7"/>
                <w:szCs w:val="7"/>
                <w:color w:val="auto"/>
              </w:rPr>
            </w:pPr>
          </w:p>
        </w:tc>
        <w:tc>
          <w:tcPr>
            <w:tcW w:w="1200" w:type="dxa"/>
            <w:vAlign w:val="bottom"/>
            <w:tcBorders>
              <w:right w:val="single" w:sz="8" w:color="B6B6B6"/>
            </w:tcBorders>
            <w:vMerge w:val="continue"/>
            <w:shd w:val="clear" w:color="auto" w:fill="E5E5E5"/>
          </w:tcPr>
          <w:p>
            <w:pPr>
              <w:spacing w:after="0"/>
              <w:rPr>
                <w:sz w:val="7"/>
                <w:szCs w:val="7"/>
                <w:color w:val="auto"/>
              </w:rPr>
            </w:pPr>
          </w:p>
        </w:tc>
        <w:tc>
          <w:tcPr>
            <w:tcW w:w="1240" w:type="dxa"/>
            <w:vAlign w:val="bottom"/>
            <w:tcBorders>
              <w:right w:val="single" w:sz="8" w:color="B6B6B6"/>
            </w:tcBorders>
            <w:vMerge w:val="restart"/>
            <w:shd w:val="clear" w:color="auto" w:fill="E5E5E5"/>
          </w:tcPr>
          <w:p>
            <w:pPr>
              <w:jc w:val="right"/>
              <w:ind w:right="10"/>
              <w:spacing w:after="0" w:line="181" w:lineRule="exact"/>
              <w:rPr>
                <w:sz w:val="20"/>
                <w:szCs w:val="20"/>
                <w:color w:val="auto"/>
              </w:rPr>
            </w:pPr>
            <w:r>
              <w:rPr>
                <w:rFonts w:ascii="Arial" w:cs="Arial" w:eastAsia="Arial" w:hAnsi="Arial"/>
                <w:sz w:val="18"/>
                <w:szCs w:val="18"/>
                <w:color w:val="auto"/>
              </w:rPr>
              <w:t>&amp; above</w:t>
            </w:r>
          </w:p>
        </w:tc>
        <w:tc>
          <w:tcPr>
            <w:tcW w:w="1120" w:type="dxa"/>
            <w:vAlign w:val="bottom"/>
            <w:tcBorders>
              <w:right w:val="single" w:sz="8" w:color="B6B6B6"/>
            </w:tcBorders>
            <w:vMerge w:val="continue"/>
            <w:shd w:val="clear" w:color="auto" w:fill="E5E5E5"/>
          </w:tcPr>
          <w:p>
            <w:pPr>
              <w:spacing w:after="0"/>
              <w:rPr>
                <w:sz w:val="7"/>
                <w:szCs w:val="7"/>
                <w:color w:val="auto"/>
              </w:rPr>
            </w:pPr>
          </w:p>
        </w:tc>
        <w:tc>
          <w:tcPr>
            <w:tcW w:w="980" w:type="dxa"/>
            <w:vAlign w:val="bottom"/>
            <w:tcBorders>
              <w:right w:val="single" w:sz="8" w:color="B6B6B6"/>
            </w:tcBorders>
            <w:vMerge w:val="continue"/>
            <w:shd w:val="clear" w:color="auto" w:fill="E5E5E5"/>
          </w:tcPr>
          <w:p>
            <w:pPr>
              <w:spacing w:after="0"/>
              <w:rPr>
                <w:sz w:val="7"/>
                <w:szCs w:val="7"/>
                <w:color w:val="auto"/>
              </w:rPr>
            </w:pPr>
          </w:p>
        </w:tc>
        <w:tc>
          <w:tcPr>
            <w:tcW w:w="1040" w:type="dxa"/>
            <w:vAlign w:val="bottom"/>
            <w:tcBorders>
              <w:right w:val="single" w:sz="8" w:color="B6B6B6"/>
            </w:tcBorders>
            <w:vMerge w:val="continue"/>
            <w:shd w:val="clear" w:color="auto" w:fill="E5E5E5"/>
          </w:tcPr>
          <w:p>
            <w:pPr>
              <w:spacing w:after="0"/>
              <w:rPr>
                <w:sz w:val="7"/>
                <w:szCs w:val="7"/>
                <w:color w:val="auto"/>
              </w:rPr>
            </w:pPr>
          </w:p>
        </w:tc>
        <w:tc>
          <w:tcPr>
            <w:tcW w:w="1740" w:type="dxa"/>
            <w:vAlign w:val="bottom"/>
            <w:tcBorders>
              <w:right w:val="single" w:sz="8" w:color="B6B6B6"/>
            </w:tcBorders>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80" w:type="dxa"/>
            <w:vAlign w:val="bottom"/>
            <w:tcBorders>
              <w:left w:val="single" w:sz="8" w:color="B6B6B6"/>
              <w:right w:val="single" w:sz="8" w:color="B6B6B6"/>
            </w:tcBorders>
            <w:vMerge w:val="continue"/>
            <w:shd w:val="clear" w:color="auto" w:fill="E5E5E5"/>
          </w:tcPr>
          <w:p>
            <w:pPr>
              <w:spacing w:after="0"/>
              <w:rPr>
                <w:sz w:val="8"/>
                <w:szCs w:val="8"/>
                <w:color w:val="auto"/>
              </w:rPr>
            </w:pPr>
          </w:p>
        </w:tc>
        <w:tc>
          <w:tcPr>
            <w:tcW w:w="1060" w:type="dxa"/>
            <w:vAlign w:val="bottom"/>
            <w:tcBorders>
              <w:right w:val="single" w:sz="8" w:color="B6B6B6"/>
            </w:tcBorders>
            <w:shd w:val="clear" w:color="auto" w:fill="E5E5E5"/>
          </w:tcPr>
          <w:p>
            <w:pPr>
              <w:spacing w:after="0"/>
              <w:rPr>
                <w:sz w:val="8"/>
                <w:szCs w:val="8"/>
                <w:color w:val="auto"/>
              </w:rPr>
            </w:pPr>
          </w:p>
        </w:tc>
        <w:tc>
          <w:tcPr>
            <w:tcW w:w="1200" w:type="dxa"/>
            <w:vAlign w:val="bottom"/>
            <w:tcBorders>
              <w:right w:val="single" w:sz="8" w:color="B6B6B6"/>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ranking</w:t>
            </w:r>
          </w:p>
        </w:tc>
        <w:tc>
          <w:tcPr>
            <w:tcW w:w="1200" w:type="dxa"/>
            <w:vAlign w:val="bottom"/>
            <w:tcBorders>
              <w:right w:val="single" w:sz="8" w:color="B6B6B6"/>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ranking</w:t>
            </w:r>
          </w:p>
        </w:tc>
        <w:tc>
          <w:tcPr>
            <w:tcW w:w="1240" w:type="dxa"/>
            <w:vAlign w:val="bottom"/>
            <w:tcBorders>
              <w:right w:val="single" w:sz="8" w:color="B6B6B6"/>
            </w:tcBorders>
            <w:vMerge w:val="continue"/>
            <w:shd w:val="clear" w:color="auto" w:fill="E5E5E5"/>
          </w:tcPr>
          <w:p>
            <w:pPr>
              <w:spacing w:after="0"/>
              <w:rPr>
                <w:sz w:val="8"/>
                <w:szCs w:val="8"/>
                <w:color w:val="auto"/>
              </w:rPr>
            </w:pPr>
          </w:p>
        </w:tc>
        <w:tc>
          <w:tcPr>
            <w:tcW w:w="1120" w:type="dxa"/>
            <w:vAlign w:val="bottom"/>
            <w:tcBorders>
              <w:right w:val="single" w:sz="8" w:color="B6B6B6"/>
            </w:tcBorders>
            <w:shd w:val="clear" w:color="auto" w:fill="E5E5E5"/>
          </w:tcPr>
          <w:p>
            <w:pPr>
              <w:spacing w:after="0"/>
              <w:rPr>
                <w:sz w:val="8"/>
                <w:szCs w:val="8"/>
                <w:color w:val="auto"/>
              </w:rPr>
            </w:pPr>
          </w:p>
        </w:tc>
        <w:tc>
          <w:tcPr>
            <w:tcW w:w="980" w:type="dxa"/>
            <w:vAlign w:val="bottom"/>
            <w:tcBorders>
              <w:right w:val="single" w:sz="8" w:color="B6B6B6"/>
            </w:tcBorders>
            <w:shd w:val="clear" w:color="auto" w:fill="E5E5E5"/>
          </w:tcPr>
          <w:p>
            <w:pPr>
              <w:spacing w:after="0"/>
              <w:rPr>
                <w:sz w:val="8"/>
                <w:szCs w:val="8"/>
                <w:color w:val="auto"/>
              </w:rPr>
            </w:pPr>
          </w:p>
        </w:tc>
        <w:tc>
          <w:tcPr>
            <w:tcW w:w="1040" w:type="dxa"/>
            <w:vAlign w:val="bottom"/>
            <w:tcBorders>
              <w:right w:val="single" w:sz="8" w:color="B6B6B6"/>
            </w:tcBorders>
            <w:shd w:val="clear" w:color="auto" w:fill="E5E5E5"/>
          </w:tcPr>
          <w:p>
            <w:pPr>
              <w:spacing w:after="0"/>
              <w:rPr>
                <w:sz w:val="8"/>
                <w:szCs w:val="8"/>
                <w:color w:val="auto"/>
              </w:rPr>
            </w:pPr>
          </w:p>
        </w:tc>
        <w:tc>
          <w:tcPr>
            <w:tcW w:w="1740" w:type="dxa"/>
            <w:vAlign w:val="bottom"/>
            <w:tcBorders>
              <w:right w:val="single" w:sz="8" w:color="B6B6B6"/>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80" w:type="dxa"/>
            <w:vAlign w:val="bottom"/>
            <w:tcBorders>
              <w:left w:val="single" w:sz="8" w:color="B6B6B6"/>
              <w:right w:val="single" w:sz="8" w:color="B6B6B6"/>
            </w:tcBorders>
            <w:vMerge w:val="restart"/>
            <w:shd w:val="clear" w:color="auto" w:fill="E5E5E5"/>
          </w:tcPr>
          <w:p>
            <w:pPr>
              <w:ind w:left="40"/>
              <w:spacing w:after="0"/>
              <w:rPr>
                <w:sz w:val="20"/>
                <w:szCs w:val="20"/>
                <w:color w:val="auto"/>
              </w:rPr>
            </w:pPr>
            <w:r>
              <w:rPr>
                <w:rFonts w:ascii="Arial" w:cs="Arial" w:eastAsia="Arial" w:hAnsi="Arial"/>
                <w:sz w:val="18"/>
                <w:szCs w:val="18"/>
                <w:color w:val="auto"/>
              </w:rPr>
              <w:t>Index</w:t>
            </w:r>
          </w:p>
        </w:tc>
        <w:tc>
          <w:tcPr>
            <w:tcW w:w="1060" w:type="dxa"/>
            <w:vAlign w:val="bottom"/>
            <w:tcBorders>
              <w:right w:val="single" w:sz="8" w:color="B6B6B6"/>
            </w:tcBorders>
            <w:shd w:val="clear" w:color="auto" w:fill="E5E5E5"/>
          </w:tcPr>
          <w:p>
            <w:pPr>
              <w:spacing w:after="0"/>
              <w:rPr>
                <w:sz w:val="12"/>
                <w:szCs w:val="12"/>
                <w:color w:val="auto"/>
              </w:rPr>
            </w:pPr>
          </w:p>
        </w:tc>
        <w:tc>
          <w:tcPr>
            <w:tcW w:w="1200" w:type="dxa"/>
            <w:vAlign w:val="bottom"/>
            <w:tcBorders>
              <w:right w:val="single" w:sz="8" w:color="B6B6B6"/>
            </w:tcBorders>
            <w:vMerge w:val="continue"/>
            <w:shd w:val="clear" w:color="auto" w:fill="E5E5E5"/>
          </w:tcPr>
          <w:p>
            <w:pPr>
              <w:spacing w:after="0"/>
              <w:rPr>
                <w:sz w:val="12"/>
                <w:szCs w:val="12"/>
                <w:color w:val="auto"/>
              </w:rPr>
            </w:pPr>
          </w:p>
        </w:tc>
        <w:tc>
          <w:tcPr>
            <w:tcW w:w="1200" w:type="dxa"/>
            <w:vAlign w:val="bottom"/>
            <w:tcBorders>
              <w:right w:val="single" w:sz="8" w:color="B6B6B6"/>
            </w:tcBorders>
            <w:vMerge w:val="continue"/>
            <w:shd w:val="clear" w:color="auto" w:fill="E5E5E5"/>
          </w:tcPr>
          <w:p>
            <w:pPr>
              <w:spacing w:after="0"/>
              <w:rPr>
                <w:sz w:val="12"/>
                <w:szCs w:val="12"/>
                <w:color w:val="auto"/>
              </w:rPr>
            </w:pPr>
          </w:p>
        </w:tc>
        <w:tc>
          <w:tcPr>
            <w:tcW w:w="1240" w:type="dxa"/>
            <w:vAlign w:val="bottom"/>
            <w:tcBorders>
              <w:right w:val="single" w:sz="8" w:color="B6B6B6"/>
            </w:tcBorders>
            <w:vMerge w:val="restart"/>
            <w:shd w:val="clear" w:color="auto" w:fill="E5E5E5"/>
          </w:tcPr>
          <w:p>
            <w:pPr>
              <w:jc w:val="right"/>
              <w:spacing w:after="0"/>
              <w:rPr>
                <w:sz w:val="20"/>
                <w:szCs w:val="20"/>
                <w:color w:val="auto"/>
              </w:rPr>
            </w:pPr>
            <w:r>
              <w:rPr>
                <w:rFonts w:ascii="Arial" w:cs="Arial" w:eastAsia="Arial" w:hAnsi="Arial"/>
                <w:sz w:val="18"/>
                <w:szCs w:val="18"/>
                <w:color w:val="auto"/>
              </w:rPr>
              <w:t>ranking</w:t>
            </w:r>
          </w:p>
        </w:tc>
        <w:tc>
          <w:tcPr>
            <w:tcW w:w="1120" w:type="dxa"/>
            <w:vAlign w:val="bottom"/>
            <w:tcBorders>
              <w:right w:val="single" w:sz="8" w:color="B6B6B6"/>
            </w:tcBorders>
            <w:shd w:val="clear" w:color="auto" w:fill="E5E5E5"/>
          </w:tcPr>
          <w:p>
            <w:pPr>
              <w:spacing w:after="0"/>
              <w:rPr>
                <w:sz w:val="12"/>
                <w:szCs w:val="12"/>
                <w:color w:val="auto"/>
              </w:rPr>
            </w:pPr>
          </w:p>
        </w:tc>
        <w:tc>
          <w:tcPr>
            <w:tcW w:w="980" w:type="dxa"/>
            <w:vAlign w:val="bottom"/>
            <w:tcBorders>
              <w:right w:val="single" w:sz="8" w:color="B6B6B6"/>
            </w:tcBorders>
            <w:shd w:val="clear" w:color="auto" w:fill="E5E5E5"/>
          </w:tcPr>
          <w:p>
            <w:pPr>
              <w:spacing w:after="0"/>
              <w:rPr>
                <w:sz w:val="12"/>
                <w:szCs w:val="12"/>
                <w:color w:val="auto"/>
              </w:rPr>
            </w:pPr>
          </w:p>
        </w:tc>
        <w:tc>
          <w:tcPr>
            <w:tcW w:w="1040" w:type="dxa"/>
            <w:vAlign w:val="bottom"/>
            <w:tcBorders>
              <w:right w:val="single" w:sz="8" w:color="B6B6B6"/>
            </w:tcBorders>
            <w:shd w:val="clear" w:color="auto" w:fill="E5E5E5"/>
          </w:tcPr>
          <w:p>
            <w:pPr>
              <w:spacing w:after="0"/>
              <w:rPr>
                <w:sz w:val="12"/>
                <w:szCs w:val="12"/>
                <w:color w:val="auto"/>
              </w:rPr>
            </w:pPr>
          </w:p>
        </w:tc>
        <w:tc>
          <w:tcPr>
            <w:tcW w:w="1740" w:type="dxa"/>
            <w:vAlign w:val="bottom"/>
            <w:tcBorders>
              <w:right w:val="single" w:sz="8" w:color="B6B6B6"/>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680" w:type="dxa"/>
            <w:vAlign w:val="bottom"/>
            <w:tcBorders>
              <w:left w:val="single" w:sz="8" w:color="B6B6B6"/>
              <w:bottom w:val="single" w:sz="8" w:color="B6B6B6"/>
              <w:right w:val="single" w:sz="8" w:color="B6B6B6"/>
            </w:tcBorders>
            <w:vMerge w:val="continue"/>
            <w:shd w:val="clear" w:color="auto" w:fill="E5E5E5"/>
          </w:tcPr>
          <w:p>
            <w:pPr>
              <w:spacing w:after="0"/>
              <w:rPr>
                <w:sz w:val="7"/>
                <w:szCs w:val="7"/>
                <w:color w:val="auto"/>
              </w:rPr>
            </w:pPr>
          </w:p>
        </w:tc>
        <w:tc>
          <w:tcPr>
            <w:tcW w:w="1060" w:type="dxa"/>
            <w:vAlign w:val="bottom"/>
            <w:tcBorders>
              <w:bottom w:val="single" w:sz="8" w:color="B6B6B6"/>
              <w:right w:val="single" w:sz="8" w:color="B6B6B6"/>
            </w:tcBorders>
            <w:shd w:val="clear" w:color="auto" w:fill="E5E5E5"/>
          </w:tcPr>
          <w:p>
            <w:pPr>
              <w:spacing w:after="0"/>
              <w:rPr>
                <w:sz w:val="7"/>
                <w:szCs w:val="7"/>
                <w:color w:val="auto"/>
              </w:rPr>
            </w:pPr>
          </w:p>
        </w:tc>
        <w:tc>
          <w:tcPr>
            <w:tcW w:w="1200" w:type="dxa"/>
            <w:vAlign w:val="bottom"/>
            <w:tcBorders>
              <w:bottom w:val="single" w:sz="8" w:color="B6B6B6"/>
              <w:right w:val="single" w:sz="8" w:color="B6B6B6"/>
            </w:tcBorders>
            <w:shd w:val="clear" w:color="auto" w:fill="E5E5E5"/>
          </w:tcPr>
          <w:p>
            <w:pPr>
              <w:spacing w:after="0"/>
              <w:rPr>
                <w:sz w:val="7"/>
                <w:szCs w:val="7"/>
                <w:color w:val="auto"/>
              </w:rPr>
            </w:pPr>
          </w:p>
        </w:tc>
        <w:tc>
          <w:tcPr>
            <w:tcW w:w="1200" w:type="dxa"/>
            <w:vAlign w:val="bottom"/>
            <w:tcBorders>
              <w:bottom w:val="single" w:sz="8" w:color="B6B6B6"/>
              <w:right w:val="single" w:sz="8" w:color="B6B6B6"/>
            </w:tcBorders>
            <w:shd w:val="clear" w:color="auto" w:fill="E5E5E5"/>
          </w:tcPr>
          <w:p>
            <w:pPr>
              <w:spacing w:after="0"/>
              <w:rPr>
                <w:sz w:val="7"/>
                <w:szCs w:val="7"/>
                <w:color w:val="auto"/>
              </w:rPr>
            </w:pPr>
          </w:p>
        </w:tc>
        <w:tc>
          <w:tcPr>
            <w:tcW w:w="1240" w:type="dxa"/>
            <w:vAlign w:val="bottom"/>
            <w:tcBorders>
              <w:bottom w:val="single" w:sz="8" w:color="B6B6B6"/>
              <w:right w:val="single" w:sz="8" w:color="B6B6B6"/>
            </w:tcBorders>
            <w:vMerge w:val="continue"/>
            <w:shd w:val="clear" w:color="auto" w:fill="E5E5E5"/>
          </w:tcPr>
          <w:p>
            <w:pPr>
              <w:spacing w:after="0"/>
              <w:rPr>
                <w:sz w:val="7"/>
                <w:szCs w:val="7"/>
                <w:color w:val="auto"/>
              </w:rPr>
            </w:pPr>
          </w:p>
        </w:tc>
        <w:tc>
          <w:tcPr>
            <w:tcW w:w="1120" w:type="dxa"/>
            <w:vAlign w:val="bottom"/>
            <w:tcBorders>
              <w:bottom w:val="single" w:sz="8" w:color="B6B6B6"/>
              <w:right w:val="single" w:sz="8" w:color="B6B6B6"/>
            </w:tcBorders>
            <w:shd w:val="clear" w:color="auto" w:fill="E5E5E5"/>
          </w:tcPr>
          <w:p>
            <w:pPr>
              <w:spacing w:after="0"/>
              <w:rPr>
                <w:sz w:val="7"/>
                <w:szCs w:val="7"/>
                <w:color w:val="auto"/>
              </w:rPr>
            </w:pPr>
          </w:p>
        </w:tc>
        <w:tc>
          <w:tcPr>
            <w:tcW w:w="980" w:type="dxa"/>
            <w:vAlign w:val="bottom"/>
            <w:tcBorders>
              <w:bottom w:val="single" w:sz="8" w:color="B6B6B6"/>
              <w:right w:val="single" w:sz="8" w:color="B6B6B6"/>
            </w:tcBorders>
            <w:shd w:val="clear" w:color="auto" w:fill="E5E5E5"/>
          </w:tcPr>
          <w:p>
            <w:pPr>
              <w:spacing w:after="0"/>
              <w:rPr>
                <w:sz w:val="7"/>
                <w:szCs w:val="7"/>
                <w:color w:val="auto"/>
              </w:rPr>
            </w:pPr>
          </w:p>
        </w:tc>
        <w:tc>
          <w:tcPr>
            <w:tcW w:w="1040" w:type="dxa"/>
            <w:vAlign w:val="bottom"/>
            <w:tcBorders>
              <w:bottom w:val="single" w:sz="8" w:color="B6B6B6"/>
              <w:right w:val="single" w:sz="8" w:color="B6B6B6"/>
            </w:tcBorders>
            <w:shd w:val="clear" w:color="auto" w:fill="E5E5E5"/>
          </w:tcPr>
          <w:p>
            <w:pPr>
              <w:spacing w:after="0"/>
              <w:rPr>
                <w:sz w:val="7"/>
                <w:szCs w:val="7"/>
                <w:color w:val="auto"/>
              </w:rPr>
            </w:pPr>
          </w:p>
        </w:tc>
        <w:tc>
          <w:tcPr>
            <w:tcW w:w="1740" w:type="dxa"/>
            <w:vAlign w:val="bottom"/>
            <w:tcBorders>
              <w:bottom w:val="single" w:sz="8" w:color="B6B6B6"/>
              <w:right w:val="single" w:sz="8" w:color="B6B6B6"/>
            </w:tcBorders>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B6B6B6"/>
              <w:right w:val="single" w:sz="8" w:color="B6B6B6"/>
            </w:tcBorders>
          </w:tcPr>
          <w:p>
            <w:pPr>
              <w:ind w:left="40"/>
              <w:spacing w:after="0" w:line="169" w:lineRule="exact"/>
              <w:rPr>
                <w:sz w:val="20"/>
                <w:szCs w:val="20"/>
                <w:color w:val="auto"/>
              </w:rPr>
            </w:pPr>
            <w:r>
              <w:rPr>
                <w:rFonts w:ascii="Arial" w:cs="Arial" w:eastAsia="Arial" w:hAnsi="Arial"/>
                <w:sz w:val="18"/>
                <w:szCs w:val="18"/>
                <w:color w:val="auto"/>
              </w:rPr>
              <w:t>rTSR: S&amp;P 400</w:t>
            </w:r>
          </w:p>
        </w:tc>
        <w:tc>
          <w:tcPr>
            <w:tcW w:w="1060" w:type="dxa"/>
            <w:vAlign w:val="bottom"/>
            <w:tcBorders>
              <w:right w:val="single" w:sz="8" w:color="B6B6B6"/>
            </w:tcBorders>
          </w:tcPr>
          <w:p>
            <w:pPr>
              <w:spacing w:after="0"/>
              <w:rPr>
                <w:sz w:val="14"/>
                <w:szCs w:val="14"/>
                <w:color w:val="auto"/>
              </w:rPr>
            </w:pPr>
          </w:p>
        </w:tc>
        <w:tc>
          <w:tcPr>
            <w:tcW w:w="120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8"/>
                <w:szCs w:val="18"/>
                <w:color w:val="auto"/>
              </w:rPr>
              <w:t>25th</w:t>
            </w:r>
          </w:p>
        </w:tc>
        <w:tc>
          <w:tcPr>
            <w:tcW w:w="1200" w:type="dxa"/>
            <w:vAlign w:val="bottom"/>
            <w:tcBorders>
              <w:right w:val="single" w:sz="8" w:color="B6B6B6"/>
            </w:tcBorders>
            <w:vMerge w:val="restart"/>
          </w:tcPr>
          <w:p>
            <w:pPr>
              <w:jc w:val="right"/>
              <w:ind w:right="10"/>
              <w:spacing w:after="0"/>
              <w:rPr>
                <w:sz w:val="20"/>
                <w:szCs w:val="20"/>
                <w:color w:val="auto"/>
              </w:rPr>
            </w:pPr>
            <w:r>
              <w:rPr>
                <w:rFonts w:ascii="Arial" w:cs="Arial" w:eastAsia="Arial" w:hAnsi="Arial"/>
                <w:sz w:val="18"/>
                <w:szCs w:val="18"/>
                <w:color w:val="auto"/>
              </w:rPr>
              <w:t>50th</w:t>
            </w:r>
          </w:p>
        </w:tc>
        <w:tc>
          <w:tcPr>
            <w:tcW w:w="1240" w:type="dxa"/>
            <w:vAlign w:val="bottom"/>
            <w:tcBorders>
              <w:right w:val="single" w:sz="8" w:color="B6B6B6"/>
            </w:tcBorders>
          </w:tcPr>
          <w:p>
            <w:pPr>
              <w:jc w:val="right"/>
              <w:ind w:right="10"/>
              <w:spacing w:after="0" w:line="169" w:lineRule="exact"/>
              <w:rPr>
                <w:sz w:val="20"/>
                <w:szCs w:val="20"/>
                <w:color w:val="auto"/>
              </w:rPr>
            </w:pPr>
            <w:r>
              <w:rPr>
                <w:rFonts w:ascii="Arial" w:cs="Arial" w:eastAsia="Arial" w:hAnsi="Arial"/>
                <w:sz w:val="18"/>
                <w:szCs w:val="18"/>
                <w:color w:val="auto"/>
              </w:rPr>
              <w:t>75th</w:t>
            </w:r>
          </w:p>
        </w:tc>
        <w:tc>
          <w:tcPr>
            <w:tcW w:w="1120" w:type="dxa"/>
            <w:vAlign w:val="bottom"/>
            <w:tcBorders>
              <w:right w:val="single" w:sz="8" w:color="B6B6B6"/>
            </w:tcBorders>
          </w:tcPr>
          <w:p>
            <w:pPr>
              <w:spacing w:after="0"/>
              <w:rPr>
                <w:sz w:val="14"/>
                <w:szCs w:val="14"/>
                <w:color w:val="auto"/>
              </w:rPr>
            </w:pPr>
          </w:p>
        </w:tc>
        <w:tc>
          <w:tcPr>
            <w:tcW w:w="980" w:type="dxa"/>
            <w:vAlign w:val="bottom"/>
            <w:tcBorders>
              <w:right w:val="single" w:sz="8" w:color="B6B6B6"/>
            </w:tcBorders>
          </w:tcPr>
          <w:p>
            <w:pPr>
              <w:spacing w:after="0"/>
              <w:rPr>
                <w:sz w:val="14"/>
                <w:szCs w:val="14"/>
                <w:color w:val="auto"/>
              </w:rPr>
            </w:pPr>
          </w:p>
        </w:tc>
        <w:tc>
          <w:tcPr>
            <w:tcW w:w="1040" w:type="dxa"/>
            <w:vAlign w:val="bottom"/>
            <w:tcBorders>
              <w:right w:val="single" w:sz="8" w:color="B6B6B6"/>
            </w:tcBorders>
          </w:tcPr>
          <w:p>
            <w:pPr>
              <w:spacing w:after="0"/>
              <w:rPr>
                <w:sz w:val="14"/>
                <w:szCs w:val="14"/>
                <w:color w:val="auto"/>
              </w:rPr>
            </w:pPr>
          </w:p>
        </w:tc>
        <w:tc>
          <w:tcPr>
            <w:tcW w:w="174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80" w:type="dxa"/>
            <w:vAlign w:val="bottom"/>
            <w:tcBorders>
              <w:left w:val="single" w:sz="8" w:color="B6B6B6"/>
              <w:right w:val="single" w:sz="8" w:color="B6B6B6"/>
            </w:tcBorders>
            <w:vMerge w:val="restart"/>
          </w:tcPr>
          <w:p>
            <w:pPr>
              <w:ind w:left="40"/>
              <w:spacing w:after="0" w:line="183" w:lineRule="exact"/>
              <w:rPr>
                <w:sz w:val="20"/>
                <w:szCs w:val="20"/>
                <w:color w:val="auto"/>
              </w:rPr>
            </w:pPr>
            <w:r>
              <w:rPr>
                <w:rFonts w:ascii="Arial" w:cs="Arial" w:eastAsia="Arial" w:hAnsi="Arial"/>
                <w:sz w:val="18"/>
                <w:szCs w:val="18"/>
                <w:color w:val="auto"/>
              </w:rPr>
              <w:t>Information</w:t>
            </w:r>
          </w:p>
        </w:tc>
        <w:tc>
          <w:tcPr>
            <w:tcW w:w="1060" w:type="dxa"/>
            <w:vAlign w:val="bottom"/>
            <w:tcBorders>
              <w:right w:val="single" w:sz="8" w:color="B6B6B6"/>
            </w:tcBorders>
          </w:tcPr>
          <w:p>
            <w:pPr>
              <w:spacing w:after="0"/>
              <w:rPr>
                <w:sz w:val="7"/>
                <w:szCs w:val="7"/>
                <w:color w:val="auto"/>
              </w:rPr>
            </w:pPr>
          </w:p>
        </w:tc>
        <w:tc>
          <w:tcPr>
            <w:tcW w:w="1200" w:type="dxa"/>
            <w:vAlign w:val="bottom"/>
            <w:tcBorders>
              <w:right w:val="single" w:sz="8" w:color="B6B6B6"/>
            </w:tcBorders>
            <w:vMerge w:val="continue"/>
          </w:tcPr>
          <w:p>
            <w:pPr>
              <w:spacing w:after="0"/>
              <w:rPr>
                <w:sz w:val="7"/>
                <w:szCs w:val="7"/>
                <w:color w:val="auto"/>
              </w:rPr>
            </w:pPr>
          </w:p>
        </w:tc>
        <w:tc>
          <w:tcPr>
            <w:tcW w:w="1200" w:type="dxa"/>
            <w:vAlign w:val="bottom"/>
            <w:tcBorders>
              <w:right w:val="single" w:sz="8" w:color="B6B6B6"/>
            </w:tcBorders>
            <w:vMerge w:val="continue"/>
          </w:tcPr>
          <w:p>
            <w:pPr>
              <w:spacing w:after="0"/>
              <w:rPr>
                <w:sz w:val="7"/>
                <w:szCs w:val="7"/>
                <w:color w:val="auto"/>
              </w:rPr>
            </w:pPr>
          </w:p>
        </w:tc>
        <w:tc>
          <w:tcPr>
            <w:tcW w:w="1240" w:type="dxa"/>
            <w:vAlign w:val="bottom"/>
            <w:tcBorders>
              <w:right w:val="single" w:sz="8" w:color="B6B6B6"/>
            </w:tcBorders>
            <w:vMerge w:val="restart"/>
          </w:tcPr>
          <w:p>
            <w:pPr>
              <w:jc w:val="right"/>
              <w:ind w:right="10"/>
              <w:spacing w:after="0" w:line="183" w:lineRule="exact"/>
              <w:rPr>
                <w:sz w:val="20"/>
                <w:szCs w:val="20"/>
                <w:color w:val="auto"/>
              </w:rPr>
            </w:pPr>
            <w:r>
              <w:rPr>
                <w:rFonts w:ascii="Arial" w:cs="Arial" w:eastAsia="Arial" w:hAnsi="Arial"/>
                <w:sz w:val="18"/>
                <w:szCs w:val="18"/>
                <w:color w:val="auto"/>
              </w:rPr>
              <w:t>percentile</w:t>
            </w:r>
          </w:p>
        </w:tc>
        <w:tc>
          <w:tcPr>
            <w:tcW w:w="1120" w:type="dxa"/>
            <w:vAlign w:val="bottom"/>
            <w:tcBorders>
              <w:right w:val="single" w:sz="8" w:color="B6B6B6"/>
            </w:tcBorders>
          </w:tcPr>
          <w:p>
            <w:pPr>
              <w:spacing w:after="0"/>
              <w:rPr>
                <w:sz w:val="7"/>
                <w:szCs w:val="7"/>
                <w:color w:val="auto"/>
              </w:rPr>
            </w:pPr>
          </w:p>
        </w:tc>
        <w:tc>
          <w:tcPr>
            <w:tcW w:w="980" w:type="dxa"/>
            <w:vAlign w:val="bottom"/>
            <w:tcBorders>
              <w:right w:val="single" w:sz="8" w:color="B6B6B6"/>
            </w:tcBorders>
          </w:tcPr>
          <w:p>
            <w:pPr>
              <w:spacing w:after="0"/>
              <w:rPr>
                <w:sz w:val="7"/>
                <w:szCs w:val="7"/>
                <w:color w:val="auto"/>
              </w:rPr>
            </w:pPr>
          </w:p>
        </w:tc>
        <w:tc>
          <w:tcPr>
            <w:tcW w:w="1040" w:type="dxa"/>
            <w:vAlign w:val="bottom"/>
            <w:tcBorders>
              <w:right w:val="single" w:sz="8" w:color="B6B6B6"/>
            </w:tcBorders>
          </w:tcPr>
          <w:p>
            <w:pPr>
              <w:spacing w:after="0"/>
              <w:rPr>
                <w:sz w:val="7"/>
                <w:szCs w:val="7"/>
                <w:color w:val="auto"/>
              </w:rPr>
            </w:pPr>
          </w:p>
        </w:tc>
        <w:tc>
          <w:tcPr>
            <w:tcW w:w="1740" w:type="dxa"/>
            <w:vAlign w:val="bottom"/>
            <w:tcBorders>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680" w:type="dxa"/>
            <w:vAlign w:val="bottom"/>
            <w:tcBorders>
              <w:left w:val="single" w:sz="8" w:color="B6B6B6"/>
              <w:right w:val="single" w:sz="8" w:color="B6B6B6"/>
            </w:tcBorders>
            <w:vMerge w:val="continue"/>
          </w:tcPr>
          <w:p>
            <w:pPr>
              <w:spacing w:after="0"/>
              <w:rPr>
                <w:sz w:val="8"/>
                <w:szCs w:val="8"/>
                <w:color w:val="auto"/>
              </w:rPr>
            </w:pPr>
          </w:p>
        </w:tc>
        <w:tc>
          <w:tcPr>
            <w:tcW w:w="1060" w:type="dxa"/>
            <w:vAlign w:val="bottom"/>
            <w:tcBorders>
              <w:right w:val="single" w:sz="8" w:color="B6B6B6"/>
            </w:tcBorders>
            <w:vMerge w:val="restart"/>
          </w:tcPr>
          <w:p>
            <w:pPr>
              <w:jc w:val="right"/>
              <w:spacing w:after="0" w:line="189" w:lineRule="exact"/>
              <w:rPr>
                <w:sz w:val="20"/>
                <w:szCs w:val="20"/>
                <w:color w:val="auto"/>
              </w:rPr>
            </w:pPr>
            <w:r>
              <w:rPr>
                <w:rFonts w:ascii="Arial" w:cs="Arial" w:eastAsia="Arial" w:hAnsi="Arial"/>
                <w:sz w:val="18"/>
                <w:szCs w:val="18"/>
                <w:color w:val="auto"/>
              </w:rPr>
              <w:t>10 %</w:t>
            </w:r>
          </w:p>
        </w:tc>
        <w:tc>
          <w:tcPr>
            <w:tcW w:w="1200" w:type="dxa"/>
            <w:vAlign w:val="bottom"/>
            <w:tcBorders>
              <w:right w:val="single" w:sz="8" w:color="B6B6B6"/>
            </w:tcBorders>
            <w:vMerge w:val="restart"/>
          </w:tcPr>
          <w:p>
            <w:pPr>
              <w:jc w:val="right"/>
              <w:spacing w:after="0" w:line="189" w:lineRule="exact"/>
              <w:rPr>
                <w:sz w:val="20"/>
                <w:szCs w:val="20"/>
                <w:color w:val="auto"/>
              </w:rPr>
            </w:pPr>
            <w:r>
              <w:rPr>
                <w:rFonts w:ascii="Arial" w:cs="Arial" w:eastAsia="Arial" w:hAnsi="Arial"/>
                <w:sz w:val="18"/>
                <w:szCs w:val="18"/>
                <w:color w:val="auto"/>
              </w:rPr>
              <w:t>percentile</w:t>
            </w:r>
          </w:p>
        </w:tc>
        <w:tc>
          <w:tcPr>
            <w:tcW w:w="1200" w:type="dxa"/>
            <w:vAlign w:val="bottom"/>
            <w:tcBorders>
              <w:right w:val="single" w:sz="8" w:color="B6B6B6"/>
            </w:tcBorders>
            <w:vMerge w:val="restart"/>
          </w:tcPr>
          <w:p>
            <w:pPr>
              <w:jc w:val="right"/>
              <w:ind w:right="10"/>
              <w:spacing w:after="0" w:line="189" w:lineRule="exact"/>
              <w:rPr>
                <w:sz w:val="20"/>
                <w:szCs w:val="20"/>
                <w:color w:val="auto"/>
              </w:rPr>
            </w:pPr>
            <w:r>
              <w:rPr>
                <w:rFonts w:ascii="Arial" w:cs="Arial" w:eastAsia="Arial" w:hAnsi="Arial"/>
                <w:sz w:val="18"/>
                <w:szCs w:val="18"/>
                <w:color w:val="auto"/>
              </w:rPr>
              <w:t>percentile</w:t>
            </w:r>
          </w:p>
        </w:tc>
        <w:tc>
          <w:tcPr>
            <w:tcW w:w="1240" w:type="dxa"/>
            <w:vAlign w:val="bottom"/>
            <w:tcBorders>
              <w:right w:val="single" w:sz="8" w:color="B6B6B6"/>
            </w:tcBorders>
            <w:vMerge w:val="continue"/>
          </w:tcPr>
          <w:p>
            <w:pPr>
              <w:spacing w:after="0"/>
              <w:rPr>
                <w:sz w:val="8"/>
                <w:szCs w:val="8"/>
                <w:color w:val="auto"/>
              </w:rPr>
            </w:pPr>
          </w:p>
        </w:tc>
        <w:tc>
          <w:tcPr>
            <w:tcW w:w="1120" w:type="dxa"/>
            <w:vAlign w:val="bottom"/>
            <w:tcBorders>
              <w:right w:val="single" w:sz="8" w:color="B6B6B6"/>
            </w:tcBorders>
            <w:vMerge w:val="restart"/>
          </w:tcPr>
          <w:p>
            <w:pPr>
              <w:jc w:val="right"/>
              <w:spacing w:after="0" w:line="189" w:lineRule="exact"/>
              <w:rPr>
                <w:sz w:val="20"/>
                <w:szCs w:val="20"/>
                <w:color w:val="auto"/>
              </w:rPr>
            </w:pPr>
            <w:r>
              <w:rPr>
                <w:rFonts w:ascii="Arial" w:cs="Arial" w:eastAsia="Arial" w:hAnsi="Arial"/>
                <w:sz w:val="18"/>
                <w:szCs w:val="18"/>
                <w:color w:val="auto"/>
              </w:rPr>
              <w:t>153.1 %</w:t>
            </w:r>
          </w:p>
        </w:tc>
        <w:tc>
          <w:tcPr>
            <w:tcW w:w="980" w:type="dxa"/>
            <w:vAlign w:val="bottom"/>
            <w:tcBorders>
              <w:right w:val="single" w:sz="8" w:color="B6B6B6"/>
            </w:tcBorders>
            <w:vMerge w:val="restart"/>
          </w:tcPr>
          <w:p>
            <w:pPr>
              <w:jc w:val="right"/>
              <w:spacing w:after="0" w:line="189" w:lineRule="exact"/>
              <w:rPr>
                <w:sz w:val="20"/>
                <w:szCs w:val="20"/>
                <w:color w:val="auto"/>
              </w:rPr>
            </w:pPr>
            <w:r>
              <w:rPr>
                <w:rFonts w:ascii="Arial" w:cs="Arial" w:eastAsia="Arial" w:hAnsi="Arial"/>
                <w:sz w:val="18"/>
                <w:szCs w:val="18"/>
                <w:color w:val="auto"/>
              </w:rPr>
              <w:t>0%</w:t>
            </w:r>
          </w:p>
        </w:tc>
        <w:tc>
          <w:tcPr>
            <w:tcW w:w="1040" w:type="dxa"/>
            <w:vAlign w:val="bottom"/>
            <w:tcBorders>
              <w:right w:val="single" w:sz="8" w:color="B6B6B6"/>
            </w:tcBorders>
            <w:vMerge w:val="restart"/>
          </w:tcPr>
          <w:p>
            <w:pPr>
              <w:jc w:val="right"/>
              <w:spacing w:after="0" w:line="189" w:lineRule="exact"/>
              <w:rPr>
                <w:sz w:val="20"/>
                <w:szCs w:val="20"/>
                <w:color w:val="auto"/>
              </w:rPr>
            </w:pPr>
            <w:r>
              <w:rPr>
                <w:rFonts w:ascii="Arial" w:cs="Arial" w:eastAsia="Arial" w:hAnsi="Arial"/>
                <w:sz w:val="18"/>
                <w:szCs w:val="18"/>
                <w:color w:val="auto"/>
              </w:rPr>
              <w:t>0%</w:t>
            </w:r>
          </w:p>
        </w:tc>
        <w:tc>
          <w:tcPr>
            <w:tcW w:w="1740" w:type="dxa"/>
            <w:vAlign w:val="bottom"/>
            <w:tcBorders>
              <w:right w:val="single" w:sz="8" w:color="B6B6B6"/>
            </w:tcBorders>
            <w:vMerge w:val="restart"/>
          </w:tcPr>
          <w:p>
            <w:pPr>
              <w:jc w:val="right"/>
              <w:spacing w:after="0" w:line="189"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86"/>
        </w:trPr>
        <w:tc>
          <w:tcPr>
            <w:tcW w:w="1680" w:type="dxa"/>
            <w:vAlign w:val="bottom"/>
            <w:tcBorders>
              <w:left w:val="single" w:sz="8" w:color="B6B6B6"/>
              <w:right w:val="single" w:sz="8" w:color="B6B6B6"/>
            </w:tcBorders>
            <w:vMerge w:val="restart"/>
          </w:tcPr>
          <w:p>
            <w:pPr>
              <w:ind w:left="40"/>
              <w:spacing w:after="0" w:line="181" w:lineRule="exact"/>
              <w:rPr>
                <w:sz w:val="20"/>
                <w:szCs w:val="20"/>
                <w:color w:val="auto"/>
              </w:rPr>
            </w:pPr>
            <w:r>
              <w:rPr>
                <w:rFonts w:ascii="Arial" w:cs="Arial" w:eastAsia="Arial" w:hAnsi="Arial"/>
                <w:sz w:val="18"/>
                <w:szCs w:val="18"/>
                <w:color w:val="auto"/>
              </w:rPr>
              <w:t>Technology Sector</w:t>
            </w:r>
          </w:p>
        </w:tc>
        <w:tc>
          <w:tcPr>
            <w:tcW w:w="1060" w:type="dxa"/>
            <w:vAlign w:val="bottom"/>
            <w:tcBorders>
              <w:right w:val="single" w:sz="8" w:color="B6B6B6"/>
            </w:tcBorders>
            <w:vMerge w:val="continue"/>
          </w:tcPr>
          <w:p>
            <w:pPr>
              <w:spacing w:after="0"/>
              <w:rPr>
                <w:sz w:val="7"/>
                <w:szCs w:val="7"/>
                <w:color w:val="auto"/>
              </w:rPr>
            </w:pPr>
          </w:p>
        </w:tc>
        <w:tc>
          <w:tcPr>
            <w:tcW w:w="1200" w:type="dxa"/>
            <w:vAlign w:val="bottom"/>
            <w:tcBorders>
              <w:right w:val="single" w:sz="8" w:color="B6B6B6"/>
            </w:tcBorders>
            <w:vMerge w:val="continue"/>
          </w:tcPr>
          <w:p>
            <w:pPr>
              <w:spacing w:after="0"/>
              <w:rPr>
                <w:sz w:val="7"/>
                <w:szCs w:val="7"/>
                <w:color w:val="auto"/>
              </w:rPr>
            </w:pPr>
          </w:p>
        </w:tc>
        <w:tc>
          <w:tcPr>
            <w:tcW w:w="1200" w:type="dxa"/>
            <w:vAlign w:val="bottom"/>
            <w:tcBorders>
              <w:right w:val="single" w:sz="8" w:color="B6B6B6"/>
            </w:tcBorders>
            <w:vMerge w:val="continue"/>
          </w:tcPr>
          <w:p>
            <w:pPr>
              <w:spacing w:after="0"/>
              <w:rPr>
                <w:sz w:val="7"/>
                <w:szCs w:val="7"/>
                <w:color w:val="auto"/>
              </w:rPr>
            </w:pPr>
          </w:p>
        </w:tc>
        <w:tc>
          <w:tcPr>
            <w:tcW w:w="1240" w:type="dxa"/>
            <w:vAlign w:val="bottom"/>
            <w:tcBorders>
              <w:right w:val="single" w:sz="8" w:color="B6B6B6"/>
            </w:tcBorders>
            <w:vMerge w:val="restart"/>
          </w:tcPr>
          <w:p>
            <w:pPr>
              <w:jc w:val="right"/>
              <w:ind w:right="10"/>
              <w:spacing w:after="0" w:line="181" w:lineRule="exact"/>
              <w:rPr>
                <w:sz w:val="20"/>
                <w:szCs w:val="20"/>
                <w:color w:val="auto"/>
              </w:rPr>
            </w:pPr>
            <w:r>
              <w:rPr>
                <w:rFonts w:ascii="Arial" w:cs="Arial" w:eastAsia="Arial" w:hAnsi="Arial"/>
                <w:sz w:val="18"/>
                <w:szCs w:val="18"/>
                <w:color w:val="auto"/>
              </w:rPr>
              <w:t>&amp; above</w:t>
            </w:r>
          </w:p>
        </w:tc>
        <w:tc>
          <w:tcPr>
            <w:tcW w:w="1120" w:type="dxa"/>
            <w:vAlign w:val="bottom"/>
            <w:tcBorders>
              <w:right w:val="single" w:sz="8" w:color="B6B6B6"/>
            </w:tcBorders>
            <w:vMerge w:val="continue"/>
          </w:tcPr>
          <w:p>
            <w:pPr>
              <w:spacing w:after="0"/>
              <w:rPr>
                <w:sz w:val="7"/>
                <w:szCs w:val="7"/>
                <w:color w:val="auto"/>
              </w:rPr>
            </w:pPr>
          </w:p>
        </w:tc>
        <w:tc>
          <w:tcPr>
            <w:tcW w:w="980" w:type="dxa"/>
            <w:vAlign w:val="bottom"/>
            <w:tcBorders>
              <w:right w:val="single" w:sz="8" w:color="B6B6B6"/>
            </w:tcBorders>
            <w:vMerge w:val="continue"/>
          </w:tcPr>
          <w:p>
            <w:pPr>
              <w:spacing w:after="0"/>
              <w:rPr>
                <w:sz w:val="7"/>
                <w:szCs w:val="7"/>
                <w:color w:val="auto"/>
              </w:rPr>
            </w:pPr>
          </w:p>
        </w:tc>
        <w:tc>
          <w:tcPr>
            <w:tcW w:w="1040" w:type="dxa"/>
            <w:vAlign w:val="bottom"/>
            <w:tcBorders>
              <w:right w:val="single" w:sz="8" w:color="B6B6B6"/>
            </w:tcBorders>
            <w:vMerge w:val="continue"/>
          </w:tcPr>
          <w:p>
            <w:pPr>
              <w:spacing w:after="0"/>
              <w:rPr>
                <w:sz w:val="7"/>
                <w:szCs w:val="7"/>
                <w:color w:val="auto"/>
              </w:rPr>
            </w:pPr>
          </w:p>
        </w:tc>
        <w:tc>
          <w:tcPr>
            <w:tcW w:w="1740" w:type="dxa"/>
            <w:vAlign w:val="bottom"/>
            <w:tcBorders>
              <w:right w:val="single" w:sz="8" w:color="B6B6B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80" w:type="dxa"/>
            <w:vAlign w:val="bottom"/>
            <w:tcBorders>
              <w:left w:val="single" w:sz="8" w:color="B6B6B6"/>
              <w:right w:val="single" w:sz="8" w:color="B6B6B6"/>
            </w:tcBorders>
            <w:vMerge w:val="continue"/>
          </w:tcPr>
          <w:p>
            <w:pPr>
              <w:spacing w:after="0"/>
              <w:rPr>
                <w:sz w:val="8"/>
                <w:szCs w:val="8"/>
                <w:color w:val="auto"/>
              </w:rPr>
            </w:pPr>
          </w:p>
        </w:tc>
        <w:tc>
          <w:tcPr>
            <w:tcW w:w="1060" w:type="dxa"/>
            <w:vAlign w:val="bottom"/>
            <w:tcBorders>
              <w:right w:val="single" w:sz="8" w:color="B6B6B6"/>
            </w:tcBorders>
          </w:tcPr>
          <w:p>
            <w:pPr>
              <w:spacing w:after="0"/>
              <w:rPr>
                <w:sz w:val="8"/>
                <w:szCs w:val="8"/>
                <w:color w:val="auto"/>
              </w:rPr>
            </w:pPr>
          </w:p>
        </w:tc>
        <w:tc>
          <w:tcPr>
            <w:tcW w:w="120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8"/>
                <w:szCs w:val="18"/>
                <w:color w:val="auto"/>
              </w:rPr>
              <w:t>ranking</w:t>
            </w:r>
          </w:p>
        </w:tc>
        <w:tc>
          <w:tcPr>
            <w:tcW w:w="120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8"/>
                <w:szCs w:val="18"/>
                <w:color w:val="auto"/>
              </w:rPr>
              <w:t>ranking</w:t>
            </w:r>
          </w:p>
        </w:tc>
        <w:tc>
          <w:tcPr>
            <w:tcW w:w="1240" w:type="dxa"/>
            <w:vAlign w:val="bottom"/>
            <w:tcBorders>
              <w:right w:val="single" w:sz="8" w:color="B6B6B6"/>
            </w:tcBorders>
            <w:vMerge w:val="continue"/>
          </w:tcPr>
          <w:p>
            <w:pPr>
              <w:spacing w:after="0"/>
              <w:rPr>
                <w:sz w:val="8"/>
                <w:szCs w:val="8"/>
                <w:color w:val="auto"/>
              </w:rPr>
            </w:pPr>
          </w:p>
        </w:tc>
        <w:tc>
          <w:tcPr>
            <w:tcW w:w="1120" w:type="dxa"/>
            <w:vAlign w:val="bottom"/>
            <w:tcBorders>
              <w:right w:val="single" w:sz="8" w:color="B6B6B6"/>
            </w:tcBorders>
          </w:tcPr>
          <w:p>
            <w:pPr>
              <w:spacing w:after="0"/>
              <w:rPr>
                <w:sz w:val="8"/>
                <w:szCs w:val="8"/>
                <w:color w:val="auto"/>
              </w:rPr>
            </w:pPr>
          </w:p>
        </w:tc>
        <w:tc>
          <w:tcPr>
            <w:tcW w:w="980" w:type="dxa"/>
            <w:vAlign w:val="bottom"/>
            <w:tcBorders>
              <w:right w:val="single" w:sz="8" w:color="B6B6B6"/>
            </w:tcBorders>
          </w:tcPr>
          <w:p>
            <w:pPr>
              <w:spacing w:after="0"/>
              <w:rPr>
                <w:sz w:val="8"/>
                <w:szCs w:val="8"/>
                <w:color w:val="auto"/>
              </w:rPr>
            </w:pPr>
          </w:p>
        </w:tc>
        <w:tc>
          <w:tcPr>
            <w:tcW w:w="1040" w:type="dxa"/>
            <w:vAlign w:val="bottom"/>
            <w:tcBorders>
              <w:right w:val="single" w:sz="8" w:color="B6B6B6"/>
            </w:tcBorders>
          </w:tcPr>
          <w:p>
            <w:pPr>
              <w:spacing w:after="0"/>
              <w:rPr>
                <w:sz w:val="8"/>
                <w:szCs w:val="8"/>
                <w:color w:val="auto"/>
              </w:rPr>
            </w:pPr>
          </w:p>
        </w:tc>
        <w:tc>
          <w:tcPr>
            <w:tcW w:w="1740" w:type="dxa"/>
            <w:vAlign w:val="bottom"/>
            <w:tcBorders>
              <w:right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80" w:type="dxa"/>
            <w:vAlign w:val="bottom"/>
            <w:tcBorders>
              <w:left w:val="single" w:sz="8" w:color="B6B6B6"/>
              <w:right w:val="single" w:sz="8" w:color="B6B6B6"/>
            </w:tcBorders>
            <w:vMerge w:val="restart"/>
          </w:tcPr>
          <w:p>
            <w:pPr>
              <w:ind w:left="40"/>
              <w:spacing w:after="0"/>
              <w:rPr>
                <w:sz w:val="20"/>
                <w:szCs w:val="20"/>
                <w:color w:val="auto"/>
              </w:rPr>
            </w:pPr>
            <w:r>
              <w:rPr>
                <w:rFonts w:ascii="Arial" w:cs="Arial" w:eastAsia="Arial" w:hAnsi="Arial"/>
                <w:sz w:val="18"/>
                <w:szCs w:val="18"/>
                <w:color w:val="auto"/>
              </w:rPr>
              <w:t>Index</w:t>
            </w:r>
          </w:p>
        </w:tc>
        <w:tc>
          <w:tcPr>
            <w:tcW w:w="1060" w:type="dxa"/>
            <w:vAlign w:val="bottom"/>
            <w:tcBorders>
              <w:right w:val="single" w:sz="8" w:color="B6B6B6"/>
            </w:tcBorders>
          </w:tcPr>
          <w:p>
            <w:pPr>
              <w:spacing w:after="0"/>
              <w:rPr>
                <w:sz w:val="12"/>
                <w:szCs w:val="12"/>
                <w:color w:val="auto"/>
              </w:rPr>
            </w:pPr>
          </w:p>
        </w:tc>
        <w:tc>
          <w:tcPr>
            <w:tcW w:w="1200" w:type="dxa"/>
            <w:vAlign w:val="bottom"/>
            <w:tcBorders>
              <w:right w:val="single" w:sz="8" w:color="B6B6B6"/>
            </w:tcBorders>
            <w:vMerge w:val="continue"/>
          </w:tcPr>
          <w:p>
            <w:pPr>
              <w:spacing w:after="0"/>
              <w:rPr>
                <w:sz w:val="12"/>
                <w:szCs w:val="12"/>
                <w:color w:val="auto"/>
              </w:rPr>
            </w:pPr>
          </w:p>
        </w:tc>
        <w:tc>
          <w:tcPr>
            <w:tcW w:w="1200" w:type="dxa"/>
            <w:vAlign w:val="bottom"/>
            <w:tcBorders>
              <w:right w:val="single" w:sz="8" w:color="B6B6B6"/>
            </w:tcBorders>
            <w:vMerge w:val="continue"/>
          </w:tcPr>
          <w:p>
            <w:pPr>
              <w:spacing w:after="0"/>
              <w:rPr>
                <w:sz w:val="12"/>
                <w:szCs w:val="12"/>
                <w:color w:val="auto"/>
              </w:rPr>
            </w:pPr>
          </w:p>
        </w:tc>
        <w:tc>
          <w:tcPr>
            <w:tcW w:w="124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8"/>
                <w:szCs w:val="18"/>
                <w:color w:val="auto"/>
              </w:rPr>
              <w:t>ranking</w:t>
            </w:r>
          </w:p>
        </w:tc>
        <w:tc>
          <w:tcPr>
            <w:tcW w:w="1120" w:type="dxa"/>
            <w:vAlign w:val="bottom"/>
            <w:tcBorders>
              <w:right w:val="single" w:sz="8" w:color="B6B6B6"/>
            </w:tcBorders>
          </w:tcPr>
          <w:p>
            <w:pPr>
              <w:spacing w:after="0"/>
              <w:rPr>
                <w:sz w:val="12"/>
                <w:szCs w:val="12"/>
                <w:color w:val="auto"/>
              </w:rPr>
            </w:pPr>
          </w:p>
        </w:tc>
        <w:tc>
          <w:tcPr>
            <w:tcW w:w="980" w:type="dxa"/>
            <w:vAlign w:val="bottom"/>
            <w:tcBorders>
              <w:right w:val="single" w:sz="8" w:color="B6B6B6"/>
            </w:tcBorders>
          </w:tcPr>
          <w:p>
            <w:pPr>
              <w:spacing w:after="0"/>
              <w:rPr>
                <w:sz w:val="12"/>
                <w:szCs w:val="12"/>
                <w:color w:val="auto"/>
              </w:rPr>
            </w:pPr>
          </w:p>
        </w:tc>
        <w:tc>
          <w:tcPr>
            <w:tcW w:w="1040" w:type="dxa"/>
            <w:vAlign w:val="bottom"/>
            <w:tcBorders>
              <w:right w:val="single" w:sz="8" w:color="B6B6B6"/>
            </w:tcBorders>
          </w:tcPr>
          <w:p>
            <w:pPr>
              <w:spacing w:after="0"/>
              <w:rPr>
                <w:sz w:val="12"/>
                <w:szCs w:val="12"/>
                <w:color w:val="auto"/>
              </w:rPr>
            </w:pPr>
          </w:p>
        </w:tc>
        <w:tc>
          <w:tcPr>
            <w:tcW w:w="1740" w:type="dxa"/>
            <w:vAlign w:val="bottom"/>
            <w:tcBorders>
              <w:right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680" w:type="dxa"/>
            <w:vAlign w:val="bottom"/>
            <w:tcBorders>
              <w:left w:val="single" w:sz="8" w:color="B6B6B6"/>
              <w:bottom w:val="single" w:sz="8" w:color="B6B6B6"/>
              <w:right w:val="single" w:sz="8" w:color="B6B6B6"/>
            </w:tcBorders>
            <w:vMerge w:val="continue"/>
          </w:tcPr>
          <w:p>
            <w:pPr>
              <w:spacing w:after="0"/>
              <w:rPr>
                <w:sz w:val="7"/>
                <w:szCs w:val="7"/>
                <w:color w:val="auto"/>
              </w:rPr>
            </w:pPr>
          </w:p>
        </w:tc>
        <w:tc>
          <w:tcPr>
            <w:tcW w:w="1060" w:type="dxa"/>
            <w:vAlign w:val="bottom"/>
            <w:tcBorders>
              <w:bottom w:val="single" w:sz="8" w:color="B6B6B6"/>
              <w:right w:val="single" w:sz="8" w:color="B6B6B6"/>
            </w:tcBorders>
          </w:tcPr>
          <w:p>
            <w:pPr>
              <w:spacing w:after="0"/>
              <w:rPr>
                <w:sz w:val="7"/>
                <w:szCs w:val="7"/>
                <w:color w:val="auto"/>
              </w:rPr>
            </w:pPr>
          </w:p>
        </w:tc>
        <w:tc>
          <w:tcPr>
            <w:tcW w:w="1200" w:type="dxa"/>
            <w:vAlign w:val="bottom"/>
            <w:tcBorders>
              <w:bottom w:val="single" w:sz="8" w:color="B6B6B6"/>
              <w:right w:val="single" w:sz="8" w:color="B6B6B6"/>
            </w:tcBorders>
          </w:tcPr>
          <w:p>
            <w:pPr>
              <w:spacing w:after="0"/>
              <w:rPr>
                <w:sz w:val="7"/>
                <w:szCs w:val="7"/>
                <w:color w:val="auto"/>
              </w:rPr>
            </w:pPr>
          </w:p>
        </w:tc>
        <w:tc>
          <w:tcPr>
            <w:tcW w:w="1200" w:type="dxa"/>
            <w:vAlign w:val="bottom"/>
            <w:tcBorders>
              <w:bottom w:val="single" w:sz="8" w:color="B6B6B6"/>
              <w:right w:val="single" w:sz="8" w:color="B6B6B6"/>
            </w:tcBorders>
          </w:tcPr>
          <w:p>
            <w:pPr>
              <w:spacing w:after="0"/>
              <w:rPr>
                <w:sz w:val="7"/>
                <w:szCs w:val="7"/>
                <w:color w:val="auto"/>
              </w:rPr>
            </w:pPr>
          </w:p>
        </w:tc>
        <w:tc>
          <w:tcPr>
            <w:tcW w:w="1240" w:type="dxa"/>
            <w:vAlign w:val="bottom"/>
            <w:tcBorders>
              <w:bottom w:val="single" w:sz="8" w:color="B6B6B6"/>
              <w:right w:val="single" w:sz="8" w:color="B6B6B6"/>
            </w:tcBorders>
            <w:vMerge w:val="continue"/>
          </w:tcPr>
          <w:p>
            <w:pPr>
              <w:spacing w:after="0"/>
              <w:rPr>
                <w:sz w:val="7"/>
                <w:szCs w:val="7"/>
                <w:color w:val="auto"/>
              </w:rPr>
            </w:pPr>
          </w:p>
        </w:tc>
        <w:tc>
          <w:tcPr>
            <w:tcW w:w="1120" w:type="dxa"/>
            <w:vAlign w:val="bottom"/>
            <w:tcBorders>
              <w:bottom w:val="single" w:sz="8" w:color="B6B6B6"/>
              <w:right w:val="single" w:sz="8" w:color="B6B6B6"/>
            </w:tcBorders>
          </w:tcPr>
          <w:p>
            <w:pPr>
              <w:spacing w:after="0"/>
              <w:rPr>
                <w:sz w:val="7"/>
                <w:szCs w:val="7"/>
                <w:color w:val="auto"/>
              </w:rPr>
            </w:pPr>
          </w:p>
        </w:tc>
        <w:tc>
          <w:tcPr>
            <w:tcW w:w="980" w:type="dxa"/>
            <w:vAlign w:val="bottom"/>
            <w:tcBorders>
              <w:bottom w:val="single" w:sz="8" w:color="B6B6B6"/>
              <w:right w:val="single" w:sz="8" w:color="B6B6B6"/>
            </w:tcBorders>
          </w:tcPr>
          <w:p>
            <w:pPr>
              <w:spacing w:after="0"/>
              <w:rPr>
                <w:sz w:val="7"/>
                <w:szCs w:val="7"/>
                <w:color w:val="auto"/>
              </w:rPr>
            </w:pPr>
          </w:p>
        </w:tc>
        <w:tc>
          <w:tcPr>
            <w:tcW w:w="1040" w:type="dxa"/>
            <w:vAlign w:val="bottom"/>
            <w:tcBorders>
              <w:bottom w:val="single" w:sz="8" w:color="B6B6B6"/>
              <w:right w:val="single" w:sz="8" w:color="B6B6B6"/>
            </w:tcBorders>
          </w:tcPr>
          <w:p>
            <w:pPr>
              <w:spacing w:after="0"/>
              <w:rPr>
                <w:sz w:val="7"/>
                <w:szCs w:val="7"/>
                <w:color w:val="auto"/>
              </w:rPr>
            </w:pPr>
          </w:p>
        </w:tc>
        <w:tc>
          <w:tcPr>
            <w:tcW w:w="1740" w:type="dxa"/>
            <w:vAlign w:val="bottom"/>
            <w:tcBorders>
              <w:bottom w:val="single" w:sz="8" w:color="B6B6B6"/>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1680" w:type="dxa"/>
            <w:vAlign w:val="bottom"/>
            <w:tcBorders>
              <w:left w:val="single" w:sz="8" w:color="E5E5E5"/>
              <w:bottom w:val="single" w:sz="8" w:color="E5E5E5"/>
              <w:right w:val="single" w:sz="8" w:color="E5E5E5"/>
            </w:tcBorders>
            <w:shd w:val="clear" w:color="auto" w:fill="E5E5E5"/>
          </w:tcPr>
          <w:p>
            <w:pPr>
              <w:spacing w:after="0"/>
              <w:rPr>
                <w:sz w:val="21"/>
                <w:szCs w:val="21"/>
                <w:color w:val="auto"/>
              </w:rPr>
            </w:pPr>
          </w:p>
        </w:tc>
        <w:tc>
          <w:tcPr>
            <w:tcW w:w="1060" w:type="dxa"/>
            <w:vAlign w:val="bottom"/>
            <w:tcBorders>
              <w:bottom w:val="single" w:sz="8" w:color="E5E5E5"/>
              <w:right w:val="single" w:sz="8" w:color="E5E5E5"/>
            </w:tcBorders>
            <w:shd w:val="clear" w:color="auto" w:fill="E5E5E5"/>
          </w:tcPr>
          <w:p>
            <w:pPr>
              <w:spacing w:after="0"/>
              <w:rPr>
                <w:sz w:val="21"/>
                <w:szCs w:val="21"/>
                <w:color w:val="auto"/>
              </w:rPr>
            </w:pPr>
          </w:p>
        </w:tc>
        <w:tc>
          <w:tcPr>
            <w:tcW w:w="1200" w:type="dxa"/>
            <w:vAlign w:val="bottom"/>
            <w:tcBorders>
              <w:bottom w:val="single" w:sz="8" w:color="E5E5E5"/>
              <w:right w:val="single" w:sz="8" w:color="E5E5E5"/>
            </w:tcBorders>
            <w:shd w:val="clear" w:color="auto" w:fill="E5E5E5"/>
          </w:tcPr>
          <w:p>
            <w:pPr>
              <w:spacing w:after="0"/>
              <w:rPr>
                <w:sz w:val="21"/>
                <w:szCs w:val="21"/>
                <w:color w:val="auto"/>
              </w:rPr>
            </w:pPr>
          </w:p>
        </w:tc>
        <w:tc>
          <w:tcPr>
            <w:tcW w:w="1200" w:type="dxa"/>
            <w:vAlign w:val="bottom"/>
            <w:tcBorders>
              <w:bottom w:val="single" w:sz="8" w:color="E5E5E5"/>
              <w:right w:val="single" w:sz="8" w:color="E5E5E5"/>
            </w:tcBorders>
            <w:shd w:val="clear" w:color="auto" w:fill="E5E5E5"/>
          </w:tcPr>
          <w:p>
            <w:pPr>
              <w:spacing w:after="0"/>
              <w:rPr>
                <w:sz w:val="21"/>
                <w:szCs w:val="21"/>
                <w:color w:val="auto"/>
              </w:rPr>
            </w:pPr>
          </w:p>
        </w:tc>
        <w:tc>
          <w:tcPr>
            <w:tcW w:w="4380" w:type="dxa"/>
            <w:vAlign w:val="bottom"/>
            <w:tcBorders>
              <w:bottom w:val="single" w:sz="8" w:color="E5E5E5"/>
              <w:right w:val="single" w:sz="8" w:color="E5E5E5"/>
            </w:tcBorders>
            <w:gridSpan w:val="4"/>
            <w:shd w:val="clear" w:color="auto" w:fill="E5E5E5"/>
          </w:tcPr>
          <w:p>
            <w:pPr>
              <w:jc w:val="right"/>
              <w:spacing w:after="0"/>
              <w:rPr>
                <w:sz w:val="20"/>
                <w:szCs w:val="20"/>
                <w:color w:val="auto"/>
              </w:rPr>
            </w:pPr>
            <w:r>
              <w:rPr>
                <w:rFonts w:ascii="Arial" w:cs="Arial" w:eastAsia="Arial" w:hAnsi="Arial"/>
                <w:sz w:val="18"/>
                <w:szCs w:val="18"/>
                <w:b w:val="1"/>
                <w:bCs w:val="1"/>
                <w:color w:val="auto"/>
              </w:rPr>
              <w:t>Actual 2023 LTIP PSU Award Performance Factor</w:t>
            </w:r>
          </w:p>
        </w:tc>
        <w:tc>
          <w:tcPr>
            <w:tcW w:w="174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34.3 %</w:t>
            </w:r>
          </w:p>
        </w:tc>
        <w:tc>
          <w:tcPr>
            <w:tcW w:w="0" w:type="dxa"/>
            <w:vAlign w:val="bottom"/>
          </w:tcPr>
          <w:p>
            <w:pPr>
              <w:spacing w:after="0"/>
              <w:rPr>
                <w:sz w:val="1"/>
                <w:szCs w:val="1"/>
                <w:color w:val="auto"/>
              </w:rPr>
            </w:pPr>
          </w:p>
        </w:tc>
      </w:tr>
      <w:tr>
        <w:trPr>
          <w:trHeight w:val="20"/>
        </w:trPr>
        <w:tc>
          <w:tcPr>
            <w:tcW w:w="168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1200" w:type="dxa"/>
            <w:vAlign w:val="bottom"/>
            <w:tcBorders>
              <w:top w:val="single" w:sz="8" w:color="E5E5E5"/>
            </w:tcBorders>
          </w:tcPr>
          <w:p>
            <w:pPr>
              <w:spacing w:after="0" w:line="20" w:lineRule="exact"/>
              <w:rPr>
                <w:sz w:val="1"/>
                <w:szCs w:val="1"/>
                <w:color w:val="auto"/>
              </w:rPr>
            </w:pPr>
          </w:p>
        </w:tc>
        <w:tc>
          <w:tcPr>
            <w:tcW w:w="1200" w:type="dxa"/>
            <w:vAlign w:val="bottom"/>
            <w:tcBorders>
              <w:top w:val="single" w:sz="8" w:color="E5E5E5"/>
            </w:tcBorders>
          </w:tcPr>
          <w:p>
            <w:pPr>
              <w:spacing w:after="0" w:line="20" w:lineRule="exact"/>
              <w:rPr>
                <w:sz w:val="1"/>
                <w:szCs w:val="1"/>
                <w:color w:val="auto"/>
              </w:rPr>
            </w:pPr>
          </w:p>
        </w:tc>
        <w:tc>
          <w:tcPr>
            <w:tcW w:w="1240" w:type="dxa"/>
            <w:vAlign w:val="bottom"/>
            <w:tcBorders>
              <w:top w:val="single" w:sz="8" w:color="E5E5E5"/>
            </w:tcBorders>
          </w:tcPr>
          <w:p>
            <w:pPr>
              <w:spacing w:after="0" w:line="20" w:lineRule="exact"/>
              <w:rPr>
                <w:sz w:val="1"/>
                <w:szCs w:val="1"/>
                <w:color w:val="auto"/>
              </w:rPr>
            </w:pPr>
          </w:p>
        </w:tc>
        <w:tc>
          <w:tcPr>
            <w:tcW w:w="1120" w:type="dxa"/>
            <w:vAlign w:val="bottom"/>
            <w:tcBorders>
              <w:top w:val="single" w:sz="8" w:color="E5E5E5"/>
            </w:tcBorders>
          </w:tcPr>
          <w:p>
            <w:pPr>
              <w:spacing w:after="0" w:line="20" w:lineRule="exact"/>
              <w:rPr>
                <w:sz w:val="1"/>
                <w:szCs w:val="1"/>
                <w:color w:val="auto"/>
              </w:rPr>
            </w:pPr>
          </w:p>
        </w:tc>
        <w:tc>
          <w:tcPr>
            <w:tcW w:w="980" w:type="dxa"/>
            <w:vAlign w:val="bottom"/>
            <w:tcBorders>
              <w:top w:val="single" w:sz="8" w:color="E5E5E5"/>
            </w:tcBorders>
          </w:tcPr>
          <w:p>
            <w:pPr>
              <w:spacing w:after="0" w:line="20" w:lineRule="exact"/>
              <w:rPr>
                <w:sz w:val="1"/>
                <w:szCs w:val="1"/>
                <w:color w:val="auto"/>
              </w:rPr>
            </w:pPr>
          </w:p>
        </w:tc>
        <w:tc>
          <w:tcPr>
            <w:tcW w:w="1040" w:type="dxa"/>
            <w:vAlign w:val="bottom"/>
            <w:tcBorders>
              <w:top w:val="single" w:sz="8" w:color="E5E5E5"/>
            </w:tcBorders>
          </w:tcPr>
          <w:p>
            <w:pPr>
              <w:spacing w:after="0" w:line="20" w:lineRule="exact"/>
              <w:rPr>
                <w:sz w:val="1"/>
                <w:szCs w:val="1"/>
                <w:color w:val="auto"/>
              </w:rPr>
            </w:pPr>
          </w:p>
        </w:tc>
        <w:tc>
          <w:tcPr>
            <w:tcW w:w="1740" w:type="dxa"/>
            <w:vAlign w:val="bottom"/>
            <w:tcBorders>
              <w:top w:val="single" w:sz="8" w:color="E5E5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Looking Ahead to 2026</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2026, the Compensation and Human Capital Committee refined and formalized a set of Global Compensation Guiding Design Principles to align executive pay more directly with Xerox's strategic priorities: Reinvention execution, Lexmark integration, disciplined capital management and long-term shareholder value creation.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Global Compensation Guiding Design Principles are designed to:</w:t>
      </w:r>
    </w:p>
    <w:p>
      <w:pPr>
        <w:spacing w:after="0" w:line="252" w:lineRule="exact"/>
        <w:rPr>
          <w:sz w:val="20"/>
          <w:szCs w:val="20"/>
          <w:color w:val="auto"/>
        </w:rPr>
      </w:pPr>
    </w:p>
    <w:p>
      <w:pPr>
        <w:ind w:left="660" w:right="180" w:hanging="328"/>
        <w:spacing w:after="0" w:line="260"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Drive Sustainable Shareholder Value </w:t>
      </w:r>
      <w:r>
        <w:rPr>
          <w:rFonts w:ascii="Arial" w:cs="Arial" w:eastAsia="Arial" w:hAnsi="Arial"/>
          <w:sz w:val="18"/>
          <w:szCs w:val="18"/>
          <w:color w:val="auto"/>
        </w:rPr>
        <w:t>by linking compensation to profitable growth, cash generation, disciplined capital allocation,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long-term performance.</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Differentiate Performance and Accountability </w:t>
      </w:r>
      <w:r>
        <w:rPr>
          <w:rFonts w:ascii="Arial" w:cs="Arial" w:eastAsia="Arial" w:hAnsi="Arial"/>
          <w:sz w:val="18"/>
          <w:szCs w:val="18"/>
          <w:color w:val="auto"/>
        </w:rPr>
        <w:t>by rewarding measurable results and strategic execution while reducing payouts</w:t>
      </w:r>
      <w:r>
        <w:rPr>
          <w:rFonts w:ascii="Arial" w:cs="Arial" w:eastAsia="Arial" w:hAnsi="Arial"/>
          <w:sz w:val="18"/>
          <w:szCs w:val="18"/>
          <w:b w:val="1"/>
          <w:bCs w:val="1"/>
          <w:color w:val="auto"/>
        </w:rPr>
        <w:t xml:space="preserve"> </w:t>
      </w:r>
      <w:r>
        <w:rPr>
          <w:rFonts w:ascii="Arial" w:cs="Arial" w:eastAsia="Arial" w:hAnsi="Arial"/>
          <w:sz w:val="18"/>
          <w:szCs w:val="18"/>
          <w:color w:val="auto"/>
        </w:rPr>
        <w:t>when objectives are not achieved.</w:t>
      </w:r>
    </w:p>
    <w:p>
      <w:pPr>
        <w:ind w:left="660" w:right="260" w:hanging="328"/>
        <w:spacing w:after="0" w:line="250"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Support Integration and Transformation Execution </w:t>
      </w:r>
      <w:r>
        <w:rPr>
          <w:rFonts w:ascii="Arial" w:cs="Arial" w:eastAsia="Arial" w:hAnsi="Arial"/>
          <w:sz w:val="18"/>
          <w:szCs w:val="18"/>
          <w:color w:val="auto"/>
        </w:rPr>
        <w:t>by aligning incentives with Reinvention milestones, synergy realization,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model stabilization.</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Reinforce Financial Discipline and Affordabilit</w:t>
      </w:r>
      <w:r>
        <w:rPr>
          <w:rFonts w:ascii="Arial" w:cs="Arial" w:eastAsia="Arial" w:hAnsi="Arial"/>
          <w:sz w:val="18"/>
          <w:szCs w:val="18"/>
          <w:color w:val="auto"/>
        </w:rPr>
        <w:t>y by aligning incentive funding with cash flow and balance sheet priorities.</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17" w:right="319" w:bottom="1440" w:gutter="0" w:footer="0" w:header="0"/>
        </w:sectPr>
      </w:pPr>
    </w:p>
    <w:bookmarkStart w:id="50" w:name="page51"/>
    <w:bookmarkEnd w:id="50"/>
    <w:p>
      <w:pPr>
        <w:ind w:left="660" w:right="580" w:hanging="328"/>
        <w:spacing w:after="0" w:line="260"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Ensure Responsible Equity Stewardship </w:t>
      </w:r>
      <w:r>
        <w:rPr>
          <w:rFonts w:ascii="Arial" w:cs="Arial" w:eastAsia="Arial" w:hAnsi="Arial"/>
          <w:sz w:val="18"/>
          <w:szCs w:val="18"/>
          <w:color w:val="auto"/>
        </w:rPr>
        <w:t>through thoughtful share usage, dilution awareness, and alignment with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interests.</w:t>
      </w:r>
    </w:p>
    <w:p>
      <w:pPr>
        <w:spacing w:after="0" w:line="1" w:lineRule="exact"/>
        <w:rPr>
          <w:rFonts w:ascii="Arial" w:cs="Arial" w:eastAsia="Arial" w:hAnsi="Arial"/>
          <w:sz w:val="18"/>
          <w:szCs w:val="18"/>
          <w:color w:val="auto"/>
        </w:rPr>
      </w:pPr>
    </w:p>
    <w:p>
      <w:pPr>
        <w:ind w:left="660" w:right="80" w:hanging="328"/>
        <w:spacing w:after="0" w:line="278"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Attract, Retain, and Motivate Critical Talent </w:t>
      </w:r>
      <w:r>
        <w:rPr>
          <w:rFonts w:ascii="Arial" w:cs="Arial" w:eastAsia="Arial" w:hAnsi="Arial"/>
          <w:sz w:val="18"/>
          <w:szCs w:val="18"/>
          <w:color w:val="auto"/>
        </w:rPr>
        <w:t>during a multi-year integration period where leadership continuity is essential to value</w:t>
      </w:r>
      <w:r>
        <w:rPr>
          <w:rFonts w:ascii="Arial" w:cs="Arial" w:eastAsia="Arial" w:hAnsi="Arial"/>
          <w:sz w:val="18"/>
          <w:szCs w:val="18"/>
          <w:b w:val="1"/>
          <w:bCs w:val="1"/>
          <w:color w:val="auto"/>
        </w:rPr>
        <w:t xml:space="preserve"> </w:t>
      </w:r>
      <w:r>
        <w:rPr>
          <w:rFonts w:ascii="Arial" w:cs="Arial" w:eastAsia="Arial" w:hAnsi="Arial"/>
          <w:sz w:val="18"/>
          <w:szCs w:val="18"/>
          <w:color w:val="auto"/>
        </w:rPr>
        <w:t>creation</w:t>
      </w:r>
      <w:r>
        <w:rPr>
          <w:rFonts w:ascii="Arial" w:cs="Arial" w:eastAsia="Arial" w:hAnsi="Arial"/>
          <w:sz w:val="21"/>
          <w:szCs w:val="21"/>
          <w:color w:val="auto"/>
        </w:rPr>
        <w:t>.</w:t>
      </w:r>
    </w:p>
    <w:p>
      <w:pPr>
        <w:spacing w:after="0" w:line="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Xerox transitions from transaction execution to integration delivery, the Committee used these principles to guide changes to both the Annual Bonus Plan and the Long-Term Incentive Program for 2026. These changes are designed to sharpen financial accountability, reinforce balance sheet strength, and support leadership continuity during a multi-year integration period.</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proposed share authorization request is directly connected to this framework. The Committee believes sufficient equity capacity is necessary to support a more performance-weighted long-term incentive program, align management with shareholder value creation, and mitigate retention risk during this critical phase.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Annual Bonus Plan (ABP)</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Effective January 1, 2026, the Company rebranded the Management Incentive Plan (MIP) as the Annual Bonus Plan (ABP) to reflect the unified compensation framework of the combined Xerox and Lexmark organization. The ABP establishes a single annual performance program aligned to the financial and strategic priorities of the integrated enterprises.</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2026, the ABP has been recalibrated to more directly emphasize operating performance, execution against transformation objectives, and financial durability. The Committee strengthened the linkage between annual incentive funding and the Company’s cash generation and balance sheet priorities, reinforcing affordability and alignment with capital allocation discipline.</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refinements are intended to ensure that annual incentive compensation supports measurable financial performance and integration progress while maintaining appropriate financial rigor during a leveraged transformation.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LTI Program</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2026, the Committee approved a long-term incentive design that increases the proportion of performance-based compensation for NEOs from 50% to 60% of total LTI value, with the remaining 40% delivered in time-based equity awards to support retention and leadership continuity.</w:t>
      </w:r>
    </w:p>
    <w:p>
      <w:pPr>
        <w:spacing w:after="0" w:line="6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performance-based component is tied to a single enterprise-level financial measure aligned with the Company’s current strategic and financial priorities. The program establishes multi-year performance goals, with performance evaluated annually over the three-year performance period to enhance alignment between financial progress and realized compensation during a defined transition period.</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addition, a portion of the performance-based opportunity will be delivered in cash, with the remainder delivered in equity. The Committee determined that this structure appropriately balances disciplined share utilization, retention considerations, and shareholder alignment. The substantial majority of total LTI value continues to be delivered in equity.</w:t>
      </w:r>
    </w:p>
    <w:p>
      <w:pPr>
        <w:spacing w:after="0" w:line="63"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The Committee believes these changes appropriately align executive compensation with integration execution, sustainable profitability, and long-term shareholder value creation, while reinforcing leadership stability during a multi-year transformation.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Capacity and Stewardship</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Committee views equity as the primary mechanism for aligning executives with long-term shareholder outcomes and maintaining a rigorous pay-for-performance framework. During a multi-year transformation and integration phase sufficient equity capacity is required to support alignment and retention objectives, while avoiding disproportionate reliance on cash compensation and preserving flexibility.</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Accordingly, the Committee’s evaluation of the 2026 incentive design and the proposed share authorization request were conducted together under the framework of the Global Compensation Guiding Design Principles. This evaluation reflects deliberate balance between maintaining shareholder alignment and leadership continuity during a critical execution period, while actively managing dilution, share usage and affordability.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1" w:name="page52"/>
    <w:bookmarkEnd w:id="51"/>
    <w:p>
      <w:pPr>
        <w:ind w:right="160"/>
        <w:spacing w:after="0" w:line="268" w:lineRule="auto"/>
        <w:rPr>
          <w:sz w:val="20"/>
          <w:szCs w:val="20"/>
          <w:color w:val="auto"/>
        </w:rPr>
      </w:pPr>
      <w:r>
        <w:rPr>
          <w:rFonts w:ascii="Arial" w:cs="Arial" w:eastAsia="Arial" w:hAnsi="Arial"/>
          <w:sz w:val="18"/>
          <w:szCs w:val="18"/>
          <w:color w:val="auto"/>
        </w:rPr>
        <w:t>In this context, the Committee considered the trade-offs between equity and cash compensation, including the impact on capital allocation priorities and the Company’s longer-term deleveraging objectives. The Committee believes this balanced approach supports disciplined execution of the transformation and integration while positioning the Company to enhance shareholder value over time.</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Committee will continue to actively monitor equity usage, dilution levels, and compensation outcomes, and will adjust the compensation framework as appropriate as the transformation and integration progresses and the financial profile of the combined organization evolves.</w:t>
      </w: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D92231"/>
        </w:rPr>
        <w:t>GOVERNANCE OF THE EXECUTIVE COMPENSATION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administers the executive compensation program on behalf of the Board and our shareholders.</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All directors who serve on the Committee are independent directors in accordance with applicable Nasdaq standards, including heightened independence requirements for Committee members. Their biographies are included above in this Proxy Statement.</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Committee’s responsibilities are discussed in this Proxy Statement; however, a complete description of the Committee’s responsibilities and functions appears in its charter, which can be found on our website at www.xerox.com/downloads/usa/en/c/Compensation-Human-Capital-Committee-Charter.pdf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Independent Compensation Consultant</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Compensation and Human Capital Committee retains an independent compensation consultant to assist in fulfilling its oversight responsibilities with respect to executive compensation design, governance, and shareholder alignment.</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fourth quarter of 2025, the Committee conducted a formal request for proposal (RFP) process to evaluate its independent compensation advisory services. The objective of the RFP was to obtain a fresh perspective on executive compensation matters, particularly in light of the Company’s Reinvention strategy, the integration of Lexmark, evolving shareholder expectations, and the anticipated recalibration of incentive design for 2026 and beyond.</w:t>
      </w:r>
    </w:p>
    <w:p>
      <w:pPr>
        <w:spacing w:after="0" w:line="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Following this competitive process, the Committee selected Pay Governance LLC as its new independent compensation consultant. The transition from FW Cook to Pay Governance commenced in November 2025.</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FW Cook served as the Committee’s independent compensation consultant during fiscal year 2025 and advised the Committee on executive compensation matters applicable to that year. As provided in its charter, the Committee had sole authority over the scope of FW Cook’s services and the ability to terminate the engagement at any time. FW Cook reported directly to the Committee and did not perform other services for the Company unless directed by the Committee or its Chair. The Committee reviewed FW Cook’s independence under applicable SEC and Nasdaq rules and determined that no conflicts of interest existed.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2025, FW Cook provided the following services:</w:t>
      </w:r>
    </w:p>
    <w:p>
      <w:pPr>
        <w:spacing w:after="0" w:line="117" w:lineRule="exact"/>
        <w:rPr>
          <w:sz w:val="20"/>
          <w:szCs w:val="20"/>
          <w:color w:val="auto"/>
        </w:rPr>
      </w:pPr>
    </w:p>
    <w:p>
      <w:pPr>
        <w:ind w:left="820" w:right="200" w:hanging="326"/>
        <w:spacing w:after="0" w:line="287" w:lineRule="auto"/>
        <w:tabs>
          <w:tab w:leader="none" w:pos="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Updated the Committee on trends in executive compensation and proactively advised on emerging trends and best practices on performance and compensation design;</w:t>
      </w:r>
    </w:p>
    <w:p>
      <w:pPr>
        <w:spacing w:after="0" w:line="44" w:lineRule="exact"/>
        <w:rPr>
          <w:rFonts w:ascii="Arial" w:cs="Arial" w:eastAsia="Arial" w:hAnsi="Arial"/>
          <w:sz w:val="18"/>
          <w:szCs w:val="18"/>
          <w:color w:val="auto"/>
        </w:rPr>
      </w:pPr>
    </w:p>
    <w:p>
      <w:pPr>
        <w:ind w:left="820" w:right="320" w:hanging="326"/>
        <w:spacing w:after="0" w:line="287" w:lineRule="auto"/>
        <w:tabs>
          <w:tab w:leader="none" w:pos="8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Reviewed officer compensation levels and Company performance relative to a peer group of companies selected for executive talent and business comparability;</w:t>
      </w:r>
    </w:p>
    <w:p>
      <w:pPr>
        <w:spacing w:after="0" w:line="44"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Reviewed incentive compensation designs for MIP and LTIP programs;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Advised on peer group composition for pay and performance comparisons;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Reviewed the Compensation Discussion and Analysis and related compensation tables in the 2025 Proxy Statement;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Reviewed Committee meeting materials with management and the Committee Chair before distribution;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Attended Committee meetings including executive sessions without management present;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Provided independent analysis and input on CEO compensation;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Advised on other compensation and governance matters as required.</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Beginning in November 2025, Pay Governance has supported the Committee in evaluating 2026 executive compensation design, including refinements to the Annual Bonus Plan (ABP), adjustments to the Long-Term Incentive Program structure, and assessment of equity usage in connection with the proposed share authorization request.</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Committee annually evaluates the independence of its compensation consultant under SEC and Nasdaq standards and is satisfied that Pay Governance is independent and free from conflicts of interest.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6"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D92231"/>
        </w:rPr>
        <w:t>PENSION AND SAVINGS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Savings Plans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only NEOs who participated in a pension plan in 2025 were Messrs. Heiss and Gueden, and Ms. Colón as described below. The other NEOs were eligible to participate in the Company’s tax-qualified defined contribution savings plan sponsored by either Xerox or Lexmark, as applicable.</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Following the closing of the Lexmark acquisition on July 1, 2025, the Company maintained separate benefit plans for legacy Xerox and legacy Lexmark employees through fiscal year 2025 and into fiscal year 2026, including separate pension and defined contribution savings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Xerox Corporation Savings Plan (401(k) Savings Plan)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Messrs. Bandrowczak and Pastor and Ms. Colón were eligible to participate in the Xerox Corporation Savings Plan (the “Xerox 401(k) Plan”) in the same manner as other U.S. employees covered by that plan. Messrs. Heiss and Gueden were not eligible to participate. Participating NEOs were eligible to contribute a portion of their eligible pay on a tax-deferred or Roth basis, subject to IRS qualified plan compensation limits, the IRS annual limit on 401(k) deferral contributions, and the plan’s limit on the percentage of pay contributed by highly compensated employees.</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Fiscal Year 2025, the Company temporarily suspended employer matching contributions under the 401(k) plan as part of broader cost management and capital discipline initiatives.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Lexmark 401(k) Plan</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Mr. Butler participated in the Lexmark tax-qualified defined contribution plan (the “Lexmark 401(k) Plan”) following his commencement of employment with the Company in connection with the closing of the Lexmark acquisition. The Lexmark 401(k) Plan was maintained separately from the Xerox 401(k) Plan during fiscal year 2025 and continued to provide for employer matching contributions in accordance with its terms during that period.</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Under each applicable plan, participating NEOs were eligible to contribute a portion of their eligible pay on a tax-deferred or Roth basis, subject to IRS qualified plan compensation limits, the IRS annual limit on 401(k) deferral contributions, and applicable plan limits on contributions by highly compensated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French Pension and Retirement Plans</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Messrs. Heiss and Gueden, both citizens of France and employees of Xerox SAS, France, were eligible to participate in the following pension or retirement plans in 2025:</w:t>
      </w:r>
    </w:p>
    <w:p>
      <w:pPr>
        <w:spacing w:after="0" w:line="45" w:lineRule="exact"/>
        <w:rPr>
          <w:sz w:val="20"/>
          <w:szCs w:val="20"/>
          <w:color w:val="auto"/>
        </w:rPr>
      </w:pPr>
    </w:p>
    <w:p>
      <w:pPr>
        <w:ind w:left="820" w:hanging="326"/>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Defined Contribution Pension Plan for Directors of Xerox SAS, France</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Contributions to the plan are based on earnings up to an annual cap of €235,500</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Payments are managed by AXA, the program administrator, and are payable upon eligible retirement age</w:t>
      </w:r>
    </w:p>
    <w:p>
      <w:pPr>
        <w:spacing w:after="0" w:line="63" w:lineRule="exact"/>
        <w:rPr>
          <w:rFonts w:ascii="Arial" w:cs="Arial" w:eastAsia="Arial" w:hAnsi="Arial"/>
          <w:sz w:val="18"/>
          <w:szCs w:val="18"/>
          <w:color w:val="auto"/>
        </w:rPr>
      </w:pPr>
    </w:p>
    <w:p>
      <w:pPr>
        <w:ind w:left="1460" w:hanging="318"/>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Earnings are credited to a participant’s account based on market investments selected by the participant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Retirement Indemnities Plan</w:t>
      </w:r>
    </w:p>
    <w:p>
      <w:pPr>
        <w:spacing w:after="0" w:line="63" w:lineRule="exact"/>
        <w:rPr>
          <w:rFonts w:ascii="Arial" w:cs="Arial" w:eastAsia="Arial" w:hAnsi="Arial"/>
          <w:sz w:val="18"/>
          <w:szCs w:val="18"/>
          <w:color w:val="auto"/>
        </w:rPr>
      </w:pPr>
    </w:p>
    <w:p>
      <w:pPr>
        <w:ind w:left="1460" w:right="40" w:hanging="318"/>
        <w:spacing w:after="0" w:line="281" w:lineRule="auto"/>
        <w:tabs>
          <w:tab w:leader="none" w:pos="14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French pension plan required under the Convention Collective d’Enterprise Xerox S.A.S.(10 December 2015) (XF-CBA), a collective bargaining agreement between the Company’s French subsidiary and certain French trade unions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Benefits are forfeited if an employee terminates before eligible retirement age</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Neither Mr. Heiss nor Mr. Gueden is covered by U.S. tax-qualified or non-qualified plans (nor any retirement plans of other Xerox locations where they were previously on assignment).</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D92231"/>
        </w:rPr>
        <w:t>PERQUISITES AND PERSONAL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Benefits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generally offers medical and dental coverage, life insurance, accidental death insurance, and disability benefit programs or plans to all employees, as well as customary vacation, leave of absence and other similar policies. NEOs are eligible to participate in these programs and plans on the same basis as all other salaried employees, except as otherwise provided.</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Following the closing of the Lexmark acquisition on July 1, 2025, the Company maintained separate benefit programs for legacy Xerox and legacy Lexmark employees through fiscal year 2025 and into fiscal year 2026. Accordingly, Mr. Butler participated in the Lexmark benefit programs during this period, consistent with other legacy Lexmark executives.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Committee periodically reviews the perquisites provided to NEOs. The Committee believes its policies regarding perquisites are conservative compared to those of other companies. The Company does not pay tax gross-ups in connection with perquisites (other than in connection with tax equalization for the international assignment allowances noted below):</w:t>
      </w:r>
    </w:p>
    <w:p>
      <w:pPr>
        <w:spacing w:after="0" w:line="63" w:lineRule="exact"/>
        <w:rPr>
          <w:sz w:val="20"/>
          <w:szCs w:val="20"/>
          <w:color w:val="auto"/>
        </w:rPr>
      </w:pPr>
    </w:p>
    <w:p>
      <w:pPr>
        <w:ind w:left="820" w:right="240" w:hanging="326"/>
        <w:spacing w:after="0" w:line="259" w:lineRule="auto"/>
        <w:tabs>
          <w:tab w:leader="none" w:pos="81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Financial Planning</w:t>
      </w:r>
      <w:r>
        <w:rPr>
          <w:rFonts w:ascii="Arial" w:cs="Arial" w:eastAsia="Arial" w:hAnsi="Arial"/>
          <w:sz w:val="18"/>
          <w:szCs w:val="18"/>
          <w:color w:val="auto"/>
        </w:rPr>
        <w:t>: All NEOs are eligible to receive Company-paid financial planning assistance (up to $15,000 each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year). Effective upon the closing of the Lexmark acquisition and his service as an executive officer of the Company, Mr. Butler became eligible to participate in this program. The Committee believes that professional financial planning assistance allows executives to focus their time and attention on Company business and helps ensure informed management of complex compensation arrangements.</w:t>
      </w:r>
    </w:p>
    <w:p>
      <w:pPr>
        <w:spacing w:after="0" w:line="71" w:lineRule="exact"/>
        <w:rPr>
          <w:rFonts w:ascii="Arial" w:cs="Arial" w:eastAsia="Arial" w:hAnsi="Arial"/>
          <w:sz w:val="18"/>
          <w:szCs w:val="18"/>
          <w:color w:val="auto"/>
        </w:rPr>
      </w:pPr>
    </w:p>
    <w:p>
      <w:pPr>
        <w:ind w:left="820" w:right="180" w:hanging="326"/>
        <w:spacing w:after="0" w:line="268" w:lineRule="auto"/>
        <w:tabs>
          <w:tab w:leader="none" w:pos="81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Chartered Aircraft</w:t>
      </w:r>
      <w:r>
        <w:rPr>
          <w:rFonts w:ascii="Arial" w:cs="Arial" w:eastAsia="Arial" w:hAnsi="Arial"/>
          <w:sz w:val="18"/>
          <w:szCs w:val="18"/>
          <w:color w:val="auto"/>
        </w:rPr>
        <w:t>: For purposes of security, productivity, and efficiency, the Board authorizes the CEO to use chartered aircraft</w:t>
      </w:r>
      <w:r>
        <w:rPr>
          <w:rFonts w:ascii="Arial" w:cs="Arial" w:eastAsia="Arial" w:hAnsi="Arial"/>
          <w:sz w:val="18"/>
          <w:szCs w:val="18"/>
          <w:b w:val="1"/>
          <w:bCs w:val="1"/>
          <w:color w:val="auto"/>
        </w:rPr>
        <w:t xml:space="preserve"> </w:t>
      </w:r>
      <w:r>
        <w:rPr>
          <w:rFonts w:ascii="Arial" w:cs="Arial" w:eastAsia="Arial" w:hAnsi="Arial"/>
          <w:sz w:val="18"/>
          <w:szCs w:val="18"/>
          <w:color w:val="auto"/>
        </w:rPr>
        <w:t>for business travel. Employees are permitted to accompany the CEO on the Company-chartered aircraft solely for business purposes with prior authorization by the CEO.</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CEO is also permitted to use the Company-chartered aircraft for personal travel and may be accompanied by family members and guests. The CEO is responsible for any tax consequences associated with personal use. The Company does not provide gross-ups or other tax protection with personal aircraft usage.</w:t>
      </w:r>
    </w:p>
    <w:p>
      <w:pPr>
        <w:spacing w:after="0" w:line="62" w:lineRule="exact"/>
        <w:rPr>
          <w:rFonts w:ascii="Arial" w:cs="Arial" w:eastAsia="Arial" w:hAnsi="Arial"/>
          <w:sz w:val="18"/>
          <w:szCs w:val="18"/>
          <w:color w:val="auto"/>
        </w:rPr>
      </w:pPr>
    </w:p>
    <w:p>
      <w:pPr>
        <w:ind w:left="820" w:right="220" w:hanging="326"/>
        <w:spacing w:after="0" w:line="287" w:lineRule="auto"/>
        <w:tabs>
          <w:tab w:leader="none" w:pos="81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Home Security</w:t>
      </w:r>
      <w:r>
        <w:rPr>
          <w:rFonts w:ascii="Arial" w:cs="Arial" w:eastAsia="Arial" w:hAnsi="Arial"/>
          <w:sz w:val="18"/>
          <w:szCs w:val="18"/>
          <w:color w:val="auto"/>
        </w:rPr>
        <w:t>: The CEO is eligible to receive home security services to address safety concerns resulting from his position as</w:t>
      </w:r>
      <w:r>
        <w:rPr>
          <w:rFonts w:ascii="Arial" w:cs="Arial" w:eastAsia="Arial" w:hAnsi="Arial"/>
          <w:sz w:val="18"/>
          <w:szCs w:val="18"/>
          <w:b w:val="1"/>
          <w:bCs w:val="1"/>
          <w:color w:val="auto"/>
        </w:rPr>
        <w:t xml:space="preserve"> </w:t>
      </w:r>
      <w:r>
        <w:rPr>
          <w:rFonts w:ascii="Arial" w:cs="Arial" w:eastAsia="Arial" w:hAnsi="Arial"/>
          <w:sz w:val="18"/>
          <w:szCs w:val="18"/>
          <w:color w:val="auto"/>
        </w:rPr>
        <w:t>our CEO. In 2025, Mr. Bandrowczak utilized this perquisite.</w:t>
      </w:r>
    </w:p>
    <w:p>
      <w:pPr>
        <w:spacing w:after="0" w:line="44" w:lineRule="exact"/>
        <w:rPr>
          <w:rFonts w:ascii="Arial" w:cs="Arial" w:eastAsia="Arial" w:hAnsi="Arial"/>
          <w:sz w:val="18"/>
          <w:szCs w:val="18"/>
          <w:color w:val="auto"/>
        </w:rPr>
      </w:pPr>
    </w:p>
    <w:p>
      <w:pPr>
        <w:ind w:left="820" w:hanging="326"/>
        <w:spacing w:after="0" w:line="257" w:lineRule="auto"/>
        <w:tabs>
          <w:tab w:leader="none" w:pos="81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Temporary Housing Allowance</w:t>
      </w:r>
      <w:r>
        <w:rPr>
          <w:rFonts w:ascii="Arial" w:cs="Arial" w:eastAsia="Arial" w:hAnsi="Arial"/>
          <w:sz w:val="18"/>
          <w:szCs w:val="18"/>
          <w:color w:val="auto"/>
        </w:rPr>
        <w:t>: In connection with his appointment as EVP, CFO and the operational requirements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organization, Mr. Butler is required to maintain a regular presence at both the Company’s headquarters in Norwalk, Connecticut and Lexmark’s headquarters in Lexington, Kentucky. To facilitate this dual-location responsibility during the integration period, the Company provides Mr. Butler with a monthly housing allowance for up to twelve months to support temporary housing in Norwalk. Consistent with Company policy applicable to temporary assignments, the Company provided related tax equalization and tax gross-up payments intended to maintain his Kentucky-based tax position during this period.</w:t>
      </w:r>
    </w:p>
    <w:p>
      <w:pPr>
        <w:spacing w:after="0" w:line="74" w:lineRule="exact"/>
        <w:rPr>
          <w:rFonts w:ascii="Arial" w:cs="Arial" w:eastAsia="Arial" w:hAnsi="Arial"/>
          <w:sz w:val="18"/>
          <w:szCs w:val="18"/>
          <w:color w:val="auto"/>
        </w:rPr>
      </w:pPr>
    </w:p>
    <w:p>
      <w:pPr>
        <w:ind w:left="820" w:right="200" w:hanging="326"/>
        <w:spacing w:after="0" w:line="268" w:lineRule="auto"/>
        <w:tabs>
          <w:tab w:leader="none" w:pos="81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International Assignment Allowance</w:t>
      </w:r>
      <w:r>
        <w:rPr>
          <w:rFonts w:ascii="Arial" w:cs="Arial" w:eastAsia="Arial" w:hAnsi="Arial"/>
          <w:sz w:val="18"/>
          <w:szCs w:val="18"/>
          <w:color w:val="auto"/>
        </w:rPr>
        <w:t>: Messrs. Heiss and Gueden, citizens of France, were on international assignment during</w:t>
      </w:r>
      <w:r>
        <w:rPr>
          <w:rFonts w:ascii="Arial" w:cs="Arial" w:eastAsia="Arial" w:hAnsi="Arial"/>
          <w:sz w:val="18"/>
          <w:szCs w:val="18"/>
          <w:b w:val="1"/>
          <w:bCs w:val="1"/>
          <w:color w:val="auto"/>
        </w:rPr>
        <w:t xml:space="preserve"> </w:t>
      </w:r>
      <w:r>
        <w:rPr>
          <w:rFonts w:ascii="Arial" w:cs="Arial" w:eastAsia="Arial" w:hAnsi="Arial"/>
          <w:sz w:val="18"/>
          <w:szCs w:val="18"/>
          <w:color w:val="auto"/>
        </w:rPr>
        <w:t>2025. As is customary for Xerox employees on international assignment, Messrs. Heiss and Gueden each received an international assignment allowance in 2025, consistent with Company policies.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and the total costs to the Company for providing perquisites and personal benefits to the NEOs during fiscal year 2025, see the “All Other Compensation”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D92231"/>
        </w:rPr>
        <w:t>CHANGE IN CONTROL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 our current NEOs have change-in-control severance agreements. The Committee has determined that these agreements are in the best interests of both the Company and our shareholders because they foster the continuous employment and dedication of key management without potential distraction or personal concern if Xerox were the potential subject of an acquisition or other change-in-control event. The Committee periodically reviews our change-in-control severance agreements against benchmark data to ensure that our arrangements are consistent with market practice.</w:t>
      </w:r>
    </w:p>
    <w:p>
      <w:pPr>
        <w:spacing w:after="0" w:line="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Under the change-in-control severance agreements, if employment terminates involuntarily (other than for cause, death, or disability) or voluntarily for Good Reason within two years following a change in control, the NEO would be entitled to:</w:t>
      </w:r>
    </w:p>
    <w:p>
      <w:pPr>
        <w:spacing w:after="0" w:line="45" w:lineRule="exact"/>
        <w:rPr>
          <w:sz w:val="20"/>
          <w:szCs w:val="20"/>
          <w:color w:val="auto"/>
        </w:rPr>
      </w:pPr>
    </w:p>
    <w:p>
      <w:pPr>
        <w:ind w:left="820" w:hanging="326"/>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Two times the sum of their annual base salary and target annual bonus award;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Continuation of specified welfare benefits at active employee rates for a period of up to 18 months; and</w:t>
      </w:r>
    </w:p>
    <w:p>
      <w:pPr>
        <w:spacing w:after="0" w:line="117" w:lineRule="exact"/>
        <w:rPr>
          <w:rFonts w:ascii="Arial" w:cs="Arial" w:eastAsia="Arial" w:hAnsi="Arial"/>
          <w:sz w:val="18"/>
          <w:szCs w:val="18"/>
          <w:color w:val="auto"/>
        </w:rPr>
      </w:pPr>
    </w:p>
    <w:p>
      <w:pPr>
        <w:ind w:left="820" w:right="140" w:hanging="326"/>
        <w:spacing w:after="0" w:line="287" w:lineRule="auto"/>
        <w:tabs>
          <w:tab w:leader="none" w:pos="8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Accelerated vesting of outstanding equity awards under the Xerox Holdings Corporation 2024 Equity and Performance Incentive Plan.</w:t>
      </w:r>
    </w:p>
    <w:p>
      <w:pPr>
        <w:spacing w:after="0" w:line="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These agreements require that the executive agree to remain an employee of the Company for up to nine months following a “potential change in control” (as defined therein). Severance payments to NEOs following a change in control are generally not conditioned on non-competition or non-solicitation obligations. Good Reason is defined in the change-in-control severance agreements.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Xerox does not provide any of the NEOs with excise tax reimbursement on severance payments.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Additional information and the amount of the estimated payments and benefits payable to the NEOs (assuming a change in control of Xerox and a qualifying termination of employment) are presented under the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xml:space="preser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D92231"/>
        </w:rPr>
        <w:t>EMPLOYMENT AND SEPARATION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NEOs serve at the will of the Board. This enables the Board to remove an NEO, consistent with applicable laws, whenever it is in the best interest of the Company, with discretion of the Committee to decide on an appropriate severance package (except for benefits that have vested or in the case of a change in control). When an NEO is removed from his or her position, the Committee exercises its business judgment in determining whether any special severance arrangement is appropriate considering all relevant circumstances, including years of service with the Company, past accomplishments, the reasons for separation, and requirements under applicable local law.</w:t>
      </w:r>
    </w:p>
    <w:p>
      <w:pPr>
        <w:spacing w:after="0" w:line="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Under the Officer Severance Program, an officer who is eligible to participate in the program due to a qualifying termination as defined therein will be entitled to receive:</w:t>
      </w:r>
    </w:p>
    <w:p>
      <w:pPr>
        <w:spacing w:after="0" w:line="45" w:lineRule="exact"/>
        <w:rPr>
          <w:sz w:val="20"/>
          <w:szCs w:val="20"/>
          <w:color w:val="auto"/>
        </w:rPr>
      </w:pPr>
    </w:p>
    <w:p>
      <w:pPr>
        <w:ind w:left="820" w:hanging="326"/>
        <w:spacing w:after="0" w:line="287" w:lineRule="auto"/>
        <w:tabs>
          <w:tab w:leader="none" w:pos="8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year (two years for Mr. Bandrowczak) of severance paid over 12 months (24 months for Mr. Bandrowczak) and continuation of specified health and welfare benefits at active employee rates;</w:t>
      </w:r>
    </w:p>
    <w:p>
      <w:pPr>
        <w:spacing w:after="0" w:line="44" w:lineRule="exact"/>
        <w:rPr>
          <w:rFonts w:ascii="Arial" w:cs="Arial" w:eastAsia="Arial" w:hAnsi="Arial"/>
          <w:sz w:val="18"/>
          <w:szCs w:val="18"/>
          <w:color w:val="auto"/>
        </w:rPr>
      </w:pPr>
    </w:p>
    <w:p>
      <w:pPr>
        <w:ind w:left="820" w:hanging="326"/>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Prorated annual incentive award for the year of termination; and</w:t>
      </w:r>
    </w:p>
    <w:p>
      <w:pPr>
        <w:spacing w:after="0" w:line="117" w:lineRule="exact"/>
        <w:rPr>
          <w:rFonts w:ascii="Arial" w:cs="Arial" w:eastAsia="Arial" w:hAnsi="Arial"/>
          <w:sz w:val="18"/>
          <w:szCs w:val="18"/>
          <w:color w:val="auto"/>
        </w:rPr>
      </w:pPr>
    </w:p>
    <w:p>
      <w:pPr>
        <w:ind w:left="820" w:right="60" w:hanging="326"/>
        <w:spacing w:after="0" w:line="287" w:lineRule="auto"/>
        <w:tabs>
          <w:tab w:leader="none" w:pos="8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the Committee’s discretion, continued vesting of outstanding equity awards during the one-year (two-year for Mr. Bandrowczak) severance period.</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Amended and Restated Officer Severance Program (OSP) amended the prior OSP to (i) extend the termination date of the program from December 31, 2024 to December 31, 2026, (ii) add a “termination for good reason” as a payment trigger for eligible officers serving as the Chief Executive Officer or the President and Chief Operating Officer of the Company, and (iii) provide for continued vesting of any outstanding equity awards under the Company’s 2024 Equity and Performance Incentive Plan for eligible officers serving as the Chief Executive Officer or the President and Chief Operating Officer of the Company, in the event of such officer’s “termination for good reason” or any involuntary termination other than for “cause.”</w:t>
      </w:r>
    </w:p>
    <w:p>
      <w:pPr>
        <w:spacing w:after="0" w:line="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Officer Severance Program includes a covenant not to engage in activity that is detrimental to the Company, and payments and benefits under the program are conditioned upon the NEO’s execution of a release of claims against the Company, and a non-competition/non-solicitation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NEOs are generally eligible for the Officer Severance Program, except that the Officer Severance Program:</w:t>
      </w:r>
    </w:p>
    <w:p>
      <w:pPr>
        <w:spacing w:after="0" w:line="117" w:lineRule="exact"/>
        <w:rPr>
          <w:sz w:val="20"/>
          <w:szCs w:val="20"/>
          <w:color w:val="auto"/>
        </w:rPr>
      </w:pPr>
    </w:p>
    <w:p>
      <w:pPr>
        <w:ind w:left="760" w:hanging="266"/>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excludes from eligibility an officer with a written agreement providing for severance benefits upon separation; and</w:t>
      </w:r>
    </w:p>
    <w:p>
      <w:pPr>
        <w:spacing w:after="0" w:line="117" w:lineRule="exact"/>
        <w:rPr>
          <w:rFonts w:ascii="Arial" w:cs="Arial" w:eastAsia="Arial" w:hAnsi="Arial"/>
          <w:sz w:val="18"/>
          <w:szCs w:val="18"/>
          <w:color w:val="auto"/>
        </w:rPr>
      </w:pPr>
    </w:p>
    <w:p>
      <w:pPr>
        <w:ind w:left="820" w:right="100" w:hanging="326"/>
        <w:spacing w:after="0" w:line="268" w:lineRule="auto"/>
        <w:tabs>
          <w:tab w:leader="none" w:pos="766"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contains a non-duplication provision, pursuant to which payments and benefits under the Officer Severance Program are reduced by amounts required to be paid to the officer as severance under another arrangement or by operation of law. Thus, the treatment of Messrs. Heiss and Gueden under the Officer Severance Program would be as follows:</w:t>
      </w:r>
    </w:p>
    <w:p>
      <w:pPr>
        <w:spacing w:after="0" w:line="62" w:lineRule="exact"/>
        <w:rPr>
          <w:rFonts w:ascii="Arial" w:cs="Arial" w:eastAsia="Arial" w:hAnsi="Arial"/>
          <w:sz w:val="18"/>
          <w:szCs w:val="18"/>
          <w:color w:val="auto"/>
        </w:rPr>
      </w:pPr>
    </w:p>
    <w:p>
      <w:pPr>
        <w:ind w:left="980" w:right="80" w:hanging="162"/>
        <w:spacing w:after="0" w:line="262" w:lineRule="auto"/>
        <w:tabs>
          <w:tab w:leader="none" w:pos="975"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Any amounts payable to Messrs. Heiss or Gueden would be reduced by the severance benefits received under the Convention Collective d’Enterprise Xerox S.A.S. (10 December 2015) (XF-CBA), a collective bargaining agreement between the Company’s French subsidiary and certain French trade unions (XF-CBA). (See the </w:t>
      </w:r>
      <w:r>
        <w:rPr>
          <w:rFonts w:ascii="Arial" w:cs="Arial" w:eastAsia="Arial" w:hAnsi="Arial"/>
          <w:sz w:val="18"/>
          <w:szCs w:val="18"/>
          <w:i w:val="1"/>
          <w:iCs w:val="1"/>
          <w:color w:val="auto"/>
        </w:rPr>
        <w:t>Potential Payments Upon Termination or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w:t>
      </w:r>
      <w:r>
        <w:rPr>
          <w:rFonts w:ascii="Arial" w:cs="Arial" w:eastAsia="Arial" w:hAnsi="Arial"/>
          <w:sz w:val="18"/>
          <w:szCs w:val="18"/>
          <w:color w:val="auto"/>
        </w:rPr>
        <w:t>section for further information.)</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Except as described above, if the Committee does not approve a severance arrangement under the Officer Severance Program for an NEO whose employment is terminated, that officer would be covered under the Company’s standard U.S. severance policy, as applicable at the time of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7"/>
        </w:trPr>
        <w:tc>
          <w:tcPr>
            <w:tcW w:w="7360" w:type="dxa"/>
            <w:vAlign w:val="bottom"/>
            <w:gridSpan w:val="2"/>
          </w:tcPr>
          <w:p>
            <w:pPr>
              <w:spacing w:after="0"/>
              <w:rPr>
                <w:sz w:val="20"/>
                <w:szCs w:val="20"/>
                <w:color w:val="auto"/>
              </w:rPr>
            </w:pPr>
            <w:r>
              <w:rPr>
                <w:rFonts w:ascii="Arial" w:cs="Arial" w:eastAsia="Arial" w:hAnsi="Arial"/>
                <w:sz w:val="18"/>
                <w:szCs w:val="18"/>
                <w:b w:val="1"/>
                <w:bCs w:val="1"/>
                <w:color w:val="D92231"/>
              </w:rPr>
              <w:t>OTHER FEATURES OF OUR EXECUTIVE COMPENSATION PROGRAM</w:t>
            </w:r>
          </w:p>
        </w:tc>
        <w:tc>
          <w:tcPr>
            <w:tcW w:w="2980" w:type="dxa"/>
            <w:vAlign w:val="bottom"/>
          </w:tcPr>
          <w:p>
            <w:pPr>
              <w:spacing w:after="0"/>
              <w:rPr>
                <w:sz w:val="21"/>
                <w:szCs w:val="2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Stock Ownership Requirements</w:t>
            </w:r>
          </w:p>
        </w:tc>
        <w:tc>
          <w:tcPr>
            <w:tcW w:w="2980" w:type="dxa"/>
            <w:vAlign w:val="bottom"/>
          </w:tcPr>
          <w:p>
            <w:pPr>
              <w:spacing w:after="0"/>
              <w:rPr>
                <w:sz w:val="24"/>
                <w:szCs w:val="24"/>
                <w:color w:val="auto"/>
              </w:rPr>
            </w:pPr>
          </w:p>
        </w:tc>
      </w:tr>
      <w:tr>
        <w:trPr>
          <w:trHeight w:val="316"/>
        </w:trPr>
        <w:tc>
          <w:tcPr>
            <w:tcW w:w="7360" w:type="dxa"/>
            <w:vAlign w:val="bottom"/>
            <w:gridSpan w:val="2"/>
          </w:tcPr>
          <w:p>
            <w:pPr>
              <w:spacing w:after="0"/>
              <w:rPr>
                <w:sz w:val="20"/>
                <w:szCs w:val="20"/>
                <w:color w:val="auto"/>
              </w:rPr>
            </w:pPr>
            <w:r>
              <w:rPr>
                <w:rFonts w:ascii="Arial" w:cs="Arial" w:eastAsia="Arial" w:hAnsi="Arial"/>
                <w:sz w:val="18"/>
                <w:szCs w:val="18"/>
                <w:color w:val="auto"/>
              </w:rPr>
              <w:t>We require each NEO to build and maintain a meaningful level of stock ownership.</w:t>
            </w:r>
          </w:p>
        </w:tc>
        <w:tc>
          <w:tcPr>
            <w:tcW w:w="2980" w:type="dxa"/>
            <w:vAlign w:val="bottom"/>
          </w:tcPr>
          <w:p>
            <w:pPr>
              <w:spacing w:after="0"/>
              <w:rPr>
                <w:sz w:val="24"/>
                <w:szCs w:val="24"/>
                <w:color w:val="auto"/>
              </w:rPr>
            </w:pPr>
          </w:p>
        </w:tc>
      </w:tr>
      <w:tr>
        <w:trPr>
          <w:trHeight w:val="131"/>
        </w:trPr>
        <w:tc>
          <w:tcPr>
            <w:tcW w:w="9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229"/>
        </w:trPr>
        <w:tc>
          <w:tcPr>
            <w:tcW w:w="920" w:type="dxa"/>
            <w:vAlign w:val="bottom"/>
          </w:tcPr>
          <w:p>
            <w:pPr>
              <w:spacing w:after="0"/>
              <w:rPr>
                <w:sz w:val="19"/>
                <w:szCs w:val="19"/>
                <w:color w:val="auto"/>
              </w:rPr>
            </w:pPr>
          </w:p>
        </w:tc>
        <w:tc>
          <w:tcPr>
            <w:tcW w:w="6440" w:type="dxa"/>
            <w:vAlign w:val="bottom"/>
            <w:shd w:val="clear" w:color="auto" w:fill="D92231"/>
          </w:tcPr>
          <w:p>
            <w:pPr>
              <w:ind w:left="20"/>
              <w:spacing w:after="0"/>
              <w:rPr>
                <w:sz w:val="20"/>
                <w:szCs w:val="20"/>
                <w:color w:val="auto"/>
              </w:rPr>
            </w:pPr>
            <w:r>
              <w:rPr>
                <w:rFonts w:ascii="Arial" w:cs="Arial" w:eastAsia="Arial" w:hAnsi="Arial"/>
                <w:sz w:val="18"/>
                <w:szCs w:val="18"/>
                <w:b w:val="1"/>
                <w:bCs w:val="1"/>
                <w:color w:val="FFFFFF"/>
              </w:rPr>
              <w:t>Level</w:t>
            </w:r>
          </w:p>
        </w:tc>
        <w:tc>
          <w:tcPr>
            <w:tcW w:w="2980" w:type="dxa"/>
            <w:vAlign w:val="bottom"/>
            <w:shd w:val="clear" w:color="auto" w:fill="D92231"/>
          </w:tcPr>
          <w:p>
            <w:pPr>
              <w:ind w:left="880"/>
              <w:spacing w:after="0"/>
              <w:rPr>
                <w:sz w:val="20"/>
                <w:szCs w:val="20"/>
                <w:color w:val="auto"/>
              </w:rPr>
            </w:pPr>
            <w:r>
              <w:rPr>
                <w:rFonts w:ascii="Arial" w:cs="Arial" w:eastAsia="Arial" w:hAnsi="Arial"/>
                <w:sz w:val="18"/>
                <w:szCs w:val="18"/>
                <w:b w:val="1"/>
                <w:bCs w:val="1"/>
                <w:color w:val="FFFFFF"/>
                <w:w w:val="99"/>
              </w:rPr>
              <w:t>Ownership Requirement</w:t>
            </w:r>
          </w:p>
        </w:tc>
      </w:tr>
      <w:tr>
        <w:trPr>
          <w:trHeight w:val="230"/>
        </w:trPr>
        <w:tc>
          <w:tcPr>
            <w:tcW w:w="92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Arial" w:cs="Arial" w:eastAsia="Arial" w:hAnsi="Arial"/>
                <w:sz w:val="18"/>
                <w:szCs w:val="18"/>
                <w:color w:val="auto"/>
              </w:rPr>
              <w:t>CEO</w:t>
            </w:r>
          </w:p>
        </w:tc>
        <w:tc>
          <w:tcPr>
            <w:tcW w:w="2980" w:type="dxa"/>
            <w:vAlign w:val="bottom"/>
          </w:tcPr>
          <w:p>
            <w:pPr>
              <w:ind w:left="780"/>
              <w:spacing w:after="0"/>
              <w:rPr>
                <w:sz w:val="20"/>
                <w:szCs w:val="20"/>
                <w:color w:val="auto"/>
              </w:rPr>
            </w:pPr>
            <w:r>
              <w:rPr>
                <w:rFonts w:ascii="Arial" w:cs="Arial" w:eastAsia="Arial" w:hAnsi="Arial"/>
                <w:sz w:val="18"/>
                <w:szCs w:val="18"/>
                <w:color w:val="auto"/>
              </w:rPr>
              <w:t>5 times base salary</w:t>
            </w:r>
          </w:p>
        </w:tc>
      </w:tr>
      <w:tr>
        <w:trPr>
          <w:trHeight w:val="229"/>
        </w:trPr>
        <w:tc>
          <w:tcPr>
            <w:tcW w:w="920" w:type="dxa"/>
            <w:vAlign w:val="bottom"/>
          </w:tcPr>
          <w:p>
            <w:pPr>
              <w:spacing w:after="0"/>
              <w:rPr>
                <w:sz w:val="19"/>
                <w:szCs w:val="19"/>
                <w:color w:val="auto"/>
              </w:rPr>
            </w:pPr>
          </w:p>
        </w:tc>
        <w:tc>
          <w:tcPr>
            <w:tcW w:w="6440" w:type="dxa"/>
            <w:vAlign w:val="bottom"/>
            <w:shd w:val="clear" w:color="auto" w:fill="D8D8D8"/>
          </w:tcPr>
          <w:p>
            <w:pPr>
              <w:ind w:left="20"/>
              <w:spacing w:after="0"/>
              <w:rPr>
                <w:sz w:val="20"/>
                <w:szCs w:val="20"/>
                <w:color w:val="auto"/>
              </w:rPr>
            </w:pPr>
            <w:r>
              <w:rPr>
                <w:rFonts w:ascii="Arial" w:cs="Arial" w:eastAsia="Arial" w:hAnsi="Arial"/>
                <w:sz w:val="18"/>
                <w:szCs w:val="18"/>
                <w:color w:val="auto"/>
              </w:rPr>
              <w:t>Other NEOs</w:t>
            </w:r>
          </w:p>
        </w:tc>
        <w:tc>
          <w:tcPr>
            <w:tcW w:w="2980" w:type="dxa"/>
            <w:vAlign w:val="bottom"/>
            <w:shd w:val="clear" w:color="auto" w:fill="D8D8D8"/>
          </w:tcPr>
          <w:p>
            <w:pPr>
              <w:ind w:left="780"/>
              <w:spacing w:after="0"/>
              <w:rPr>
                <w:sz w:val="20"/>
                <w:szCs w:val="20"/>
                <w:color w:val="auto"/>
              </w:rPr>
            </w:pPr>
            <w:r>
              <w:rPr>
                <w:rFonts w:ascii="Arial" w:cs="Arial" w:eastAsia="Arial" w:hAnsi="Arial"/>
                <w:sz w:val="18"/>
                <w:szCs w:val="18"/>
                <w:color w:val="auto"/>
              </w:rPr>
              <w:t>3 times base salary</w:t>
            </w:r>
          </w:p>
        </w:tc>
      </w:tr>
    </w:tbl>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NEOs must retain at least 50% of the shares acquired through the vesting of their annual LTIP awards, net of taxes, until they achieve their required level of ownership. Once achieved, NEOs must continue to hold that amount of stock as long as they remain with the Company. Following separation from employment (including retirement), the holding requirement applies through the later of the end of the blackout period (if terminated during the blackout period) or as long as the NEO is aware of material non-public information. The Chief Legal Officer has the authority to permit discretionary hardship exceptions (other than for him or herself) from the ownership and holding requirements to enable participants with financial need to access their vested shares; to date no such exception has ever been requested.</w:t>
      </w:r>
    </w:p>
    <w:p>
      <w:pPr>
        <w:spacing w:after="0" w:line="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Shares that count toward ownership requirements include (i) shares owned outright (whether or not held in street name), (ii) outstanding unvested restricted stock and RSUs, and (iii) PSUs when performance results have been determined. As of March 16, 2026, all 2025 NEOs excluding Mr. Butler and Ms. Colón are in compliance with the Company's share retention policy.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Hedging and Pledging</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Company’s insider trading policy, executive officers are permitted to buy or sell Xerox securities only during a “window period,” which is the period commencing on the day that is one full trading day following announcement of quarterly earnings and ending on (and including) the fifteenth day of the last month of the quarter during which the earnings announcement is made. The only exception to the window-period restriction described in the preceding sentence is for executive officers who have entered into trading plans pursuant to SEC Rule 10b5-1.</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Executive officers are prohibited from engaging in short-swing trading and trading in options (including puts, calls, and straddles), and from otherwise engaging in transactions that hedge or offset, or are designed to hedge or offset, any decrease in the market value of Xerox securities. “Short sales” are also prohibited. Our anti-hedging policies and practices also apply to directors. In addition, executive officers are prohibited from pledging Xerox securities, including depositing Xerox securities in margin accounts at brokerage firms, and from using Xerox securities as collateral.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Recoupment (Clawback) Policy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adopted the Compensation Recoupment Policy of Xerox Holdings Corporation (the Clawback Policy) on July 27, 2023, effective December 1, 2023. The Recoupment Policy is intended to comply with the requirements of Section 10D of the Securities Exchange Act of 1934 and Rule 10D-1 thereunder and Nasdaq Listing Rule 5608. Under the terms of the Recoupment Policy, in the event of a restatement of our financial statements due to material non-compliance with any financial reporting requirement under applicable securities laws, the Committee shall take reasonably prompt action to cause the Company to recover the amount of any incentive compensation granted, awarded or paid to a covered person within the preceding 36-month period to the extent the value of such compensation was in excess of the amount of incentive compensation that would have been granted, awarded or paid had the financial statements been in compliance with the financial reporting requirements. Each executive officer, including our Named Executive Officers and former executive officers, are considered covered persons for purposes of the Recoupment Policy.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plans provide for compensation recovery.</w:t>
      </w:r>
    </w:p>
    <w:p>
      <w:pPr>
        <w:spacing w:after="0" w:line="117" w:lineRule="exact"/>
        <w:rPr>
          <w:sz w:val="20"/>
          <w:szCs w:val="20"/>
          <w:color w:val="auto"/>
        </w:rPr>
      </w:pPr>
    </w:p>
    <w:p>
      <w:pPr>
        <w:ind w:left="820" w:hanging="326"/>
        <w:spacing w:after="0" w:line="262" w:lineRule="auto"/>
        <w:tabs>
          <w:tab w:leader="none" w:pos="8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Officer Severance Program (see </w:t>
      </w:r>
      <w:r>
        <w:rPr>
          <w:rFonts w:ascii="Arial" w:cs="Arial" w:eastAsia="Arial" w:hAnsi="Arial"/>
          <w:sz w:val="18"/>
          <w:szCs w:val="18"/>
          <w:i w:val="1"/>
          <w:iCs w:val="1"/>
          <w:color w:val="auto"/>
        </w:rPr>
        <w:t>Employment and Separation</w:t>
      </w:r>
      <w:r>
        <w:rPr>
          <w:rFonts w:ascii="Arial" w:cs="Arial" w:eastAsia="Arial" w:hAnsi="Arial"/>
          <w:sz w:val="18"/>
          <w:szCs w:val="18"/>
          <w:color w:val="auto"/>
        </w:rPr>
        <w:t>) and, typically, any individual separation arrangement with an NEO, includes a provision that rescinds severance payments if the recipient engages in activity that is detrimental to the Company. Clawback arrangements may also be included in letter agreements with executives or under the Company's standard U.S. severance policy, as applicable at the time of the separation.</w:t>
      </w:r>
    </w:p>
    <w:p>
      <w:pPr>
        <w:spacing w:after="0" w:line="68" w:lineRule="exact"/>
        <w:rPr>
          <w:rFonts w:ascii="Arial" w:cs="Arial" w:eastAsia="Arial" w:hAnsi="Arial"/>
          <w:sz w:val="18"/>
          <w:szCs w:val="18"/>
          <w:color w:val="auto"/>
        </w:rPr>
      </w:pPr>
    </w:p>
    <w:p>
      <w:pPr>
        <w:ind w:left="820" w:right="200" w:hanging="326"/>
        <w:spacing w:after="0" w:line="287" w:lineRule="auto"/>
        <w:tabs>
          <w:tab w:leader="none" w:pos="8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the 2004 Performance Incentive Plan and its successors, the Xerox Holdings Corporation Performance Incentive Plan, as Amended Through October 21, 2021, and the Xerox Holdings</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8" w:name="page59"/>
    <w:bookmarkEnd w:id="58"/>
    <w:p>
      <w:pPr>
        <w:ind w:left="820" w:right="160"/>
        <w:spacing w:after="0" w:line="259" w:lineRule="auto"/>
        <w:rPr>
          <w:sz w:val="20"/>
          <w:szCs w:val="20"/>
          <w:color w:val="auto"/>
        </w:rPr>
      </w:pPr>
      <w:r>
        <w:rPr>
          <w:rFonts w:ascii="Arial" w:cs="Arial" w:eastAsia="Arial" w:hAnsi="Arial"/>
          <w:sz w:val="18"/>
          <w:szCs w:val="18"/>
          <w:color w:val="auto"/>
        </w:rPr>
        <w:t>Corporation 2024 Equity and Performance Incentive Plan (collectively, the EPIP) if the Committee determines that an NEO has engaged in activity that is detrimental to the Company, it may cancel any awards granted to that individual. In addition, if such a determination is made before any change in control of Xerox, the Committee may rescind any payment or delivery of an equity or annual cash incentive award that occurred from six months before the detrimental activity. For this purpose, detrimental activity may include:</w:t>
      </w:r>
    </w:p>
    <w:p>
      <w:pPr>
        <w:spacing w:after="0" w:line="71" w:lineRule="exact"/>
        <w:rPr>
          <w:sz w:val="20"/>
          <w:szCs w:val="20"/>
          <w:color w:val="auto"/>
        </w:rPr>
      </w:pPr>
    </w:p>
    <w:p>
      <w:pPr>
        <w:ind w:left="1460" w:hanging="318"/>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violation of a non-compete agreement with the Company;</w:t>
      </w:r>
    </w:p>
    <w:p>
      <w:pPr>
        <w:spacing w:after="0" w:line="117" w:lineRule="exact"/>
        <w:rPr>
          <w:rFonts w:ascii="Arial" w:cs="Arial" w:eastAsia="Arial" w:hAnsi="Arial"/>
          <w:sz w:val="18"/>
          <w:szCs w:val="18"/>
          <w:color w:val="auto"/>
        </w:rPr>
      </w:pPr>
    </w:p>
    <w:p>
      <w:pPr>
        <w:ind w:left="1460" w:right="20" w:hanging="318"/>
        <w:spacing w:after="0" w:line="287" w:lineRule="auto"/>
        <w:tabs>
          <w:tab w:leader="none" w:pos="14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Disclosing confidential information (except for reporting and other communications protected by “whistle blower” provisions of the Dodd-Frank Wall Street Reform and Consumer Protection Act (Dodd Frank));</w:t>
      </w:r>
    </w:p>
    <w:p>
      <w:pPr>
        <w:spacing w:after="0" w:line="44" w:lineRule="exact"/>
        <w:rPr>
          <w:rFonts w:ascii="Arial" w:cs="Arial" w:eastAsia="Arial" w:hAnsi="Arial"/>
          <w:sz w:val="18"/>
          <w:szCs w:val="18"/>
          <w:color w:val="auto"/>
        </w:rPr>
      </w:pPr>
    </w:p>
    <w:p>
      <w:pPr>
        <w:ind w:left="1460" w:hanging="318"/>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Soliciting an employee to terminate employment with the Company;</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Soliciting a customer to reduce its level of business with the Company; or</w:t>
      </w:r>
    </w:p>
    <w:p>
      <w:pPr>
        <w:spacing w:after="0" w:line="117" w:lineRule="exact"/>
        <w:rPr>
          <w:rFonts w:ascii="Arial" w:cs="Arial" w:eastAsia="Arial" w:hAnsi="Arial"/>
          <w:sz w:val="18"/>
          <w:szCs w:val="18"/>
          <w:color w:val="auto"/>
        </w:rPr>
      </w:pPr>
    </w:p>
    <w:p>
      <w:pPr>
        <w:ind w:left="1460" w:right="580" w:hanging="318"/>
        <w:spacing w:after="0" w:line="287" w:lineRule="auto"/>
        <w:tabs>
          <w:tab w:leader="none" w:pos="14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Engaging in any other conduct or act that is determined to be injurious, detrimental, prejudicial, or which may cause reputational harm, to any interest of the Company.</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If a payment or award is rescinded, the NEO will be expected to pay the Company the amount of any gain realized, or payment received in a manner the Committee, or its delegate, requires.</w:t>
      </w:r>
    </w:p>
    <w:p>
      <w:pPr>
        <w:spacing w:after="0" w:line="45" w:lineRule="exact"/>
        <w:rPr>
          <w:sz w:val="20"/>
          <w:szCs w:val="20"/>
          <w:color w:val="auto"/>
        </w:rPr>
      </w:pPr>
    </w:p>
    <w:p>
      <w:pPr>
        <w:ind w:left="820" w:hanging="326"/>
        <w:spacing w:after="0" w:line="262" w:lineRule="auto"/>
        <w:tabs>
          <w:tab w:leader="none" w:pos="8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LTIP PSU equity award agreements, as governed by the EPIP, incorporate by reference the Recoupment Policy adopted by the Company effective December 1, 2023. Pursuant to the Recoupment Policy, in the event of an accounting restatement, the Company can recover, for the three prior years, any excess incentive-based compensation (over what would have been paid under the accounting restatement) from executive officers or former executive officers.</w:t>
      </w:r>
    </w:p>
    <w:p>
      <w:pPr>
        <w:spacing w:after="0" w:line="68" w:lineRule="exact"/>
        <w:rPr>
          <w:rFonts w:ascii="Arial" w:cs="Arial" w:eastAsia="Arial" w:hAnsi="Arial"/>
          <w:sz w:val="18"/>
          <w:szCs w:val="18"/>
          <w:color w:val="auto"/>
        </w:rPr>
      </w:pPr>
    </w:p>
    <w:p>
      <w:pPr>
        <w:ind w:left="820" w:hanging="326"/>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Annual incentive awards to NEOs under the MIP are also subject to the above clawback provisions.</w:t>
      </w:r>
    </w:p>
    <w:p>
      <w:pPr>
        <w:spacing w:after="0" w:line="117" w:lineRule="exact"/>
        <w:rPr>
          <w:rFonts w:ascii="Arial" w:cs="Arial" w:eastAsia="Arial" w:hAnsi="Arial"/>
          <w:sz w:val="18"/>
          <w:szCs w:val="18"/>
          <w:color w:val="auto"/>
        </w:rPr>
      </w:pPr>
    </w:p>
    <w:p>
      <w:pPr>
        <w:ind w:left="820" w:right="420" w:hanging="326"/>
        <w:spacing w:after="0" w:line="268" w:lineRule="auto"/>
        <w:tabs>
          <w:tab w:leader="none" w:pos="8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 the Xerox Corporation Supplemental Savings Plan, if a participant, including an NEO, is found to have engaged in detrimental activity, the plan administrator may reduce or rescind the matching contribution account balance and not pay such amounts to that individual.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Timing Policies and Practices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equity award grants, the Committee has historically granted such awards on a predetermined annual schedule. In fiscal year 2025, we did not grant new awards of stock options, stock appreciation rights, or similar option-like instruments to our NEOs.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CERTAIN TAX IMPLICATIONS OF EXECUTIVE COMPENSATION</w:t>
      </w:r>
    </w:p>
    <w:p>
      <w:pPr>
        <w:spacing w:after="0" w:line="11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Section 162(m) of the Internal Revenue Code of 1986, as amended (Section 162(m)), limits to $1 million per year the federal income tax deduction available to public corporations for compensation paid for any fiscal year to the corporation’s CEO and other NEOs, as well as certain former NEOs. As a result, compensation paid in excess of $1 million to each of our NEOs will generally not be deductible.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COMPENSATION AND HUMAN CAPITAL COMMITTEE REPORT</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Committee has reviewed and discussed the Compensation Discussion and Analysis with Xerox management. Based upon its review and discussions, the Committee recommended to the Board that the Compensation Discussion and Analysis be incorporated by reference in the Company’s Annual Report on Form 10-K for the year ended December 31, 2025, and be included in the Proxy Statement for the 2026 Annual Meeting of Shareholders.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Nichelle Maynard-Elliott,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Edward G. McLaughlin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Schwetz</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D92231"/>
        </w:rPr>
        <w:t>SUMMARY COMPENSATION TABLE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Summary Compensation Table below provides compensation information for the CEO, the CFO, the next three most highly compensated executive officers who served as executive officers as of December 31, 2025 and any individual who would have been among the three most highly compensated executive officers but for the fact they were not serving as an executive officer as of December 31, 2025. During Fiscal Year 2025, the Chief Financial Officer role transitioned during the year. Mr. Heiss retired on January 31, 2025. Ms. Gecaj served as Chief Financial Officer until December 2025. Mr. Butler was appointed Chief Financial Officer in December 2025. Accordingly, three individuals are included in the Summary Compensation Table for the Chief Financial Officer role for 2025. The table includes the dollar value of base salary earned, bonus, stock and option awards, non-equity incentive plan compensation earned, change in pension value (if any) above-market non-qualified deferred compensation earnings (if any) and all other compensation (including severance and consulting payments) whether paid or deferred.</w:t>
      </w:r>
    </w:p>
    <w:p>
      <w:pPr>
        <w:spacing w:after="0" w:line="7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For a summary of the Committee’s decisions on the compensation awarded to our NEOs for fiscal year 2025, please refer to the CD&amp;A beginning on page 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Compensation elements reported in this Summary Compensation table and its accompanying notes, are in U.S. dollars and rounded to the nearest dollar. For Messrs. Heiss and Gueden, compensation other than stock awards are denominated and paid in euros; the amount shown in U.S. dollars for other than the Change in Pension Value and NQDC, for which the exchange rate is described in the narrative following the Pension Benefits for the 2025 Fiscal Year table, reflects the December average exchange rates, EUR per USD, as follows:</w:t>
      </w:r>
    </w:p>
    <w:p>
      <w:pPr>
        <w:spacing w:after="0" w:line="68" w:lineRule="exact"/>
        <w:rPr>
          <w:sz w:val="20"/>
          <w:szCs w:val="20"/>
          <w:color w:val="auto"/>
        </w:rPr>
      </w:pPr>
    </w:p>
    <w:p>
      <w:pPr>
        <w:ind w:left="820" w:hanging="326"/>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1.1697 EUR per USD for 2025</w:t>
      </w:r>
    </w:p>
    <w:p>
      <w:pPr>
        <w:spacing w:after="0" w:line="27" w:lineRule="exact"/>
        <w:rPr>
          <w:rFonts w:ascii="Arial" w:cs="Arial" w:eastAsia="Arial" w:hAnsi="Arial"/>
          <w:sz w:val="18"/>
          <w:szCs w:val="18"/>
          <w:color w:val="auto"/>
        </w:rPr>
      </w:pPr>
    </w:p>
    <w:p>
      <w:pPr>
        <w:ind w:left="820" w:hanging="326"/>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1.0485 EUR per USD for 2024</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1.0903 EUR per USD for 2023</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193"/>
        </w:trPr>
        <w:tc>
          <w:tcPr>
            <w:tcW w:w="840" w:type="dxa"/>
            <w:vAlign w:val="bottom"/>
            <w:tcBorders>
              <w:left w:val="single" w:sz="8" w:color="DA2031"/>
            </w:tcBorders>
            <w:shd w:val="clear" w:color="auto" w:fill="DA2031"/>
          </w:tcPr>
          <w:p>
            <w:pPr>
              <w:spacing w:after="0"/>
              <w:rPr>
                <w:sz w:val="16"/>
                <w:szCs w:val="16"/>
                <w:color w:val="auto"/>
              </w:rPr>
            </w:pPr>
          </w:p>
        </w:tc>
        <w:tc>
          <w:tcPr>
            <w:tcW w:w="160" w:type="dxa"/>
            <w:vAlign w:val="bottom"/>
            <w:shd w:val="clear" w:color="auto" w:fill="DA2031"/>
          </w:tcPr>
          <w:p>
            <w:pPr>
              <w:spacing w:after="0"/>
              <w:rPr>
                <w:sz w:val="16"/>
                <w:szCs w:val="16"/>
                <w:color w:val="auto"/>
              </w:rPr>
            </w:pPr>
          </w:p>
        </w:tc>
        <w:tc>
          <w:tcPr>
            <w:tcW w:w="100" w:type="dxa"/>
            <w:vAlign w:val="bottom"/>
            <w:shd w:val="clear" w:color="auto" w:fill="DA2031"/>
          </w:tcPr>
          <w:p>
            <w:pPr>
              <w:spacing w:after="0"/>
              <w:rPr>
                <w:sz w:val="16"/>
                <w:szCs w:val="16"/>
                <w:color w:val="auto"/>
              </w:rPr>
            </w:pPr>
          </w:p>
        </w:tc>
        <w:tc>
          <w:tcPr>
            <w:tcW w:w="60" w:type="dxa"/>
            <w:vAlign w:val="bottom"/>
            <w:shd w:val="clear" w:color="auto" w:fill="DA2031"/>
          </w:tcPr>
          <w:p>
            <w:pPr>
              <w:spacing w:after="0"/>
              <w:rPr>
                <w:sz w:val="16"/>
                <w:szCs w:val="16"/>
                <w:color w:val="auto"/>
              </w:rPr>
            </w:pPr>
          </w:p>
        </w:tc>
        <w:tc>
          <w:tcPr>
            <w:tcW w:w="120" w:type="dxa"/>
            <w:vAlign w:val="bottom"/>
            <w:shd w:val="clear" w:color="auto" w:fill="DA2031"/>
          </w:tcPr>
          <w:p>
            <w:pPr>
              <w:spacing w:after="0"/>
              <w:rPr>
                <w:sz w:val="16"/>
                <w:szCs w:val="16"/>
                <w:color w:val="auto"/>
              </w:rPr>
            </w:pPr>
          </w:p>
        </w:tc>
        <w:tc>
          <w:tcPr>
            <w:tcW w:w="60" w:type="dxa"/>
            <w:vAlign w:val="bottom"/>
            <w:shd w:val="clear" w:color="auto" w:fill="DA2031"/>
          </w:tcPr>
          <w:p>
            <w:pPr>
              <w:spacing w:after="0"/>
              <w:rPr>
                <w:sz w:val="16"/>
                <w:szCs w:val="16"/>
                <w:color w:val="auto"/>
              </w:rPr>
            </w:pPr>
          </w:p>
        </w:tc>
        <w:tc>
          <w:tcPr>
            <w:tcW w:w="40" w:type="dxa"/>
            <w:vAlign w:val="bottom"/>
            <w:shd w:val="clear" w:color="auto" w:fill="DA2031"/>
          </w:tcPr>
          <w:p>
            <w:pPr>
              <w:spacing w:after="0"/>
              <w:rPr>
                <w:sz w:val="16"/>
                <w:szCs w:val="16"/>
                <w:color w:val="auto"/>
              </w:rPr>
            </w:pPr>
          </w:p>
        </w:tc>
        <w:tc>
          <w:tcPr>
            <w:tcW w:w="80" w:type="dxa"/>
            <w:vAlign w:val="bottom"/>
            <w:shd w:val="clear" w:color="auto" w:fill="DA2031"/>
          </w:tcPr>
          <w:p>
            <w:pPr>
              <w:spacing w:after="0"/>
              <w:rPr>
                <w:sz w:val="16"/>
                <w:szCs w:val="16"/>
                <w:color w:val="auto"/>
              </w:rPr>
            </w:pPr>
          </w:p>
        </w:tc>
        <w:tc>
          <w:tcPr>
            <w:tcW w:w="180" w:type="dxa"/>
            <w:vAlign w:val="bottom"/>
            <w:tcBorders>
              <w:right w:val="single" w:sz="8" w:color="DA2031"/>
            </w:tcBorders>
            <w:shd w:val="clear" w:color="auto" w:fill="DA2031"/>
          </w:tcPr>
          <w:p>
            <w:pPr>
              <w:spacing w:after="0"/>
              <w:rPr>
                <w:sz w:val="16"/>
                <w:szCs w:val="16"/>
                <w:color w:val="auto"/>
              </w:rPr>
            </w:pPr>
          </w:p>
        </w:tc>
        <w:tc>
          <w:tcPr>
            <w:tcW w:w="200" w:type="dxa"/>
            <w:vAlign w:val="bottom"/>
            <w:shd w:val="clear" w:color="auto" w:fill="DA2031"/>
          </w:tcPr>
          <w:p>
            <w:pPr>
              <w:spacing w:after="0"/>
              <w:rPr>
                <w:sz w:val="16"/>
                <w:szCs w:val="16"/>
                <w:color w:val="auto"/>
              </w:rPr>
            </w:pPr>
          </w:p>
        </w:tc>
        <w:tc>
          <w:tcPr>
            <w:tcW w:w="280" w:type="dxa"/>
            <w:vAlign w:val="bottom"/>
            <w:shd w:val="clear" w:color="auto" w:fill="DA2031"/>
          </w:tcPr>
          <w:p>
            <w:pPr>
              <w:spacing w:after="0"/>
              <w:rPr>
                <w:sz w:val="16"/>
                <w:szCs w:val="16"/>
                <w:color w:val="auto"/>
              </w:rPr>
            </w:pPr>
          </w:p>
        </w:tc>
        <w:tc>
          <w:tcPr>
            <w:tcW w:w="240" w:type="dxa"/>
            <w:vAlign w:val="bottom"/>
            <w:tcBorders>
              <w:right w:val="single" w:sz="8" w:color="DA2031"/>
            </w:tcBorders>
            <w:shd w:val="clear" w:color="auto" w:fill="DA2031"/>
          </w:tcPr>
          <w:p>
            <w:pPr>
              <w:spacing w:after="0"/>
              <w:rPr>
                <w:sz w:val="16"/>
                <w:szCs w:val="16"/>
                <w:color w:val="auto"/>
              </w:rPr>
            </w:pPr>
          </w:p>
        </w:tc>
        <w:tc>
          <w:tcPr>
            <w:tcW w:w="1020" w:type="dxa"/>
            <w:vAlign w:val="bottom"/>
            <w:tcBorders>
              <w:right w:val="single" w:sz="8" w:color="DA2031"/>
            </w:tcBorders>
            <w:shd w:val="clear" w:color="auto" w:fill="DA2031"/>
          </w:tcPr>
          <w:p>
            <w:pPr>
              <w:spacing w:after="0"/>
              <w:rPr>
                <w:sz w:val="16"/>
                <w:szCs w:val="16"/>
                <w:color w:val="auto"/>
              </w:rPr>
            </w:pPr>
          </w:p>
        </w:tc>
        <w:tc>
          <w:tcPr>
            <w:tcW w:w="620" w:type="dxa"/>
            <w:vAlign w:val="bottom"/>
            <w:shd w:val="clear" w:color="auto" w:fill="DA2031"/>
          </w:tcPr>
          <w:p>
            <w:pPr>
              <w:spacing w:after="0"/>
              <w:rPr>
                <w:sz w:val="16"/>
                <w:szCs w:val="16"/>
                <w:color w:val="auto"/>
              </w:rPr>
            </w:pPr>
          </w:p>
        </w:tc>
        <w:tc>
          <w:tcPr>
            <w:tcW w:w="200" w:type="dxa"/>
            <w:vAlign w:val="bottom"/>
            <w:tcBorders>
              <w:right w:val="single" w:sz="8" w:color="DA2031"/>
            </w:tcBorders>
            <w:shd w:val="clear" w:color="auto" w:fill="DA2031"/>
          </w:tcPr>
          <w:p>
            <w:pPr>
              <w:spacing w:after="0"/>
              <w:rPr>
                <w:sz w:val="16"/>
                <w:szCs w:val="16"/>
                <w:color w:val="auto"/>
              </w:rPr>
            </w:pPr>
          </w:p>
        </w:tc>
        <w:tc>
          <w:tcPr>
            <w:tcW w:w="1120" w:type="dxa"/>
            <w:vAlign w:val="bottom"/>
            <w:tcBorders>
              <w:right w:val="single" w:sz="8" w:color="DA2031"/>
            </w:tcBorders>
            <w:shd w:val="clear" w:color="auto" w:fill="DA2031"/>
          </w:tcPr>
          <w:p>
            <w:pPr>
              <w:spacing w:after="0"/>
              <w:rPr>
                <w:sz w:val="16"/>
                <w:szCs w:val="16"/>
                <w:color w:val="auto"/>
              </w:rPr>
            </w:pPr>
          </w:p>
        </w:tc>
        <w:tc>
          <w:tcPr>
            <w:tcW w:w="1420" w:type="dxa"/>
            <w:vAlign w:val="bottom"/>
            <w:tcBorders>
              <w:right w:val="single" w:sz="8" w:color="DA2031"/>
            </w:tcBorders>
            <w:shd w:val="clear" w:color="auto" w:fill="DA2031"/>
          </w:tcPr>
          <w:p>
            <w:pPr>
              <w:spacing w:after="0"/>
              <w:rPr>
                <w:sz w:val="16"/>
                <w:szCs w:val="16"/>
                <w:color w:val="auto"/>
              </w:rPr>
            </w:pPr>
          </w:p>
        </w:tc>
        <w:tc>
          <w:tcPr>
            <w:tcW w:w="1140" w:type="dxa"/>
            <w:vAlign w:val="bottom"/>
            <w:tcBorders>
              <w:right w:val="single" w:sz="8" w:color="DA2031"/>
            </w:tcBorders>
            <w:gridSpan w:val="2"/>
            <w:shd w:val="clear" w:color="auto" w:fill="DA2031"/>
          </w:tcPr>
          <w:p>
            <w:pPr>
              <w:jc w:val="center"/>
              <w:spacing w:after="0"/>
              <w:rPr>
                <w:sz w:val="20"/>
                <w:szCs w:val="20"/>
                <w:color w:val="auto"/>
              </w:rPr>
            </w:pPr>
            <w:r>
              <w:rPr>
                <w:rFonts w:ascii="Arial" w:cs="Arial" w:eastAsia="Arial" w:hAnsi="Arial"/>
                <w:sz w:val="14"/>
                <w:szCs w:val="14"/>
                <w:b w:val="1"/>
                <w:bCs w:val="1"/>
                <w:color w:val="FFFFFF"/>
              </w:rPr>
              <w:t>Change in</w:t>
            </w:r>
          </w:p>
        </w:tc>
        <w:tc>
          <w:tcPr>
            <w:tcW w:w="1420" w:type="dxa"/>
            <w:vAlign w:val="bottom"/>
            <w:tcBorders>
              <w:right w:val="single" w:sz="8" w:color="DA2031"/>
            </w:tcBorders>
            <w:shd w:val="clear" w:color="auto" w:fill="DA2031"/>
          </w:tcPr>
          <w:p>
            <w:pPr>
              <w:spacing w:after="0"/>
              <w:rPr>
                <w:sz w:val="16"/>
                <w:szCs w:val="16"/>
                <w:color w:val="auto"/>
              </w:rPr>
            </w:pPr>
          </w:p>
        </w:tc>
        <w:tc>
          <w:tcPr>
            <w:tcW w:w="1080" w:type="dxa"/>
            <w:vAlign w:val="bottom"/>
            <w:tcBorders>
              <w:right w:val="single" w:sz="8" w:color="DA2031"/>
            </w:tcBorders>
            <w:shd w:val="clear" w:color="auto" w:fill="DA203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40" w:type="dxa"/>
            <w:vAlign w:val="bottom"/>
            <w:tcBorders>
              <w:left w:val="single" w:sz="8" w:color="DA2031"/>
            </w:tcBorders>
            <w:shd w:val="clear" w:color="auto" w:fill="DA2031"/>
          </w:tcPr>
          <w:p>
            <w:pPr>
              <w:spacing w:after="0"/>
              <w:rPr>
                <w:sz w:val="15"/>
                <w:szCs w:val="15"/>
                <w:color w:val="auto"/>
              </w:rPr>
            </w:pPr>
          </w:p>
        </w:tc>
        <w:tc>
          <w:tcPr>
            <w:tcW w:w="160" w:type="dxa"/>
            <w:vAlign w:val="bottom"/>
            <w:shd w:val="clear" w:color="auto" w:fill="DA2031"/>
          </w:tcPr>
          <w:p>
            <w:pPr>
              <w:spacing w:after="0"/>
              <w:rPr>
                <w:sz w:val="15"/>
                <w:szCs w:val="15"/>
                <w:color w:val="auto"/>
              </w:rPr>
            </w:pPr>
          </w:p>
        </w:tc>
        <w:tc>
          <w:tcPr>
            <w:tcW w:w="100" w:type="dxa"/>
            <w:vAlign w:val="bottom"/>
            <w:shd w:val="clear" w:color="auto" w:fill="DA2031"/>
          </w:tcPr>
          <w:p>
            <w:pPr>
              <w:spacing w:after="0"/>
              <w:rPr>
                <w:sz w:val="15"/>
                <w:szCs w:val="15"/>
                <w:color w:val="auto"/>
              </w:rPr>
            </w:pPr>
          </w:p>
        </w:tc>
        <w:tc>
          <w:tcPr>
            <w:tcW w:w="60" w:type="dxa"/>
            <w:vAlign w:val="bottom"/>
            <w:shd w:val="clear" w:color="auto" w:fill="DA2031"/>
          </w:tcPr>
          <w:p>
            <w:pPr>
              <w:spacing w:after="0"/>
              <w:rPr>
                <w:sz w:val="15"/>
                <w:szCs w:val="15"/>
                <w:color w:val="auto"/>
              </w:rPr>
            </w:pPr>
          </w:p>
        </w:tc>
        <w:tc>
          <w:tcPr>
            <w:tcW w:w="120" w:type="dxa"/>
            <w:vAlign w:val="bottom"/>
            <w:shd w:val="clear" w:color="auto" w:fill="DA2031"/>
          </w:tcPr>
          <w:p>
            <w:pPr>
              <w:spacing w:after="0"/>
              <w:rPr>
                <w:sz w:val="15"/>
                <w:szCs w:val="15"/>
                <w:color w:val="auto"/>
              </w:rPr>
            </w:pPr>
          </w:p>
        </w:tc>
        <w:tc>
          <w:tcPr>
            <w:tcW w:w="60" w:type="dxa"/>
            <w:vAlign w:val="bottom"/>
            <w:shd w:val="clear" w:color="auto" w:fill="DA2031"/>
          </w:tcPr>
          <w:p>
            <w:pPr>
              <w:spacing w:after="0"/>
              <w:rPr>
                <w:sz w:val="15"/>
                <w:szCs w:val="15"/>
                <w:color w:val="auto"/>
              </w:rPr>
            </w:pPr>
          </w:p>
        </w:tc>
        <w:tc>
          <w:tcPr>
            <w:tcW w:w="40" w:type="dxa"/>
            <w:vAlign w:val="bottom"/>
            <w:shd w:val="clear" w:color="auto" w:fill="DA2031"/>
          </w:tcPr>
          <w:p>
            <w:pPr>
              <w:spacing w:after="0"/>
              <w:rPr>
                <w:sz w:val="15"/>
                <w:szCs w:val="15"/>
                <w:color w:val="auto"/>
              </w:rPr>
            </w:pPr>
          </w:p>
        </w:tc>
        <w:tc>
          <w:tcPr>
            <w:tcW w:w="80" w:type="dxa"/>
            <w:vAlign w:val="bottom"/>
            <w:shd w:val="clear" w:color="auto" w:fill="DA2031"/>
          </w:tcPr>
          <w:p>
            <w:pPr>
              <w:spacing w:after="0"/>
              <w:rPr>
                <w:sz w:val="15"/>
                <w:szCs w:val="15"/>
                <w:color w:val="auto"/>
              </w:rPr>
            </w:pPr>
          </w:p>
        </w:tc>
        <w:tc>
          <w:tcPr>
            <w:tcW w:w="180" w:type="dxa"/>
            <w:vAlign w:val="bottom"/>
            <w:tcBorders>
              <w:right w:val="single" w:sz="8" w:color="DA2031"/>
            </w:tcBorders>
            <w:shd w:val="clear" w:color="auto" w:fill="DA2031"/>
          </w:tcPr>
          <w:p>
            <w:pPr>
              <w:spacing w:after="0"/>
              <w:rPr>
                <w:sz w:val="15"/>
                <w:szCs w:val="15"/>
                <w:color w:val="auto"/>
              </w:rPr>
            </w:pPr>
          </w:p>
        </w:tc>
        <w:tc>
          <w:tcPr>
            <w:tcW w:w="200" w:type="dxa"/>
            <w:vAlign w:val="bottom"/>
            <w:shd w:val="clear" w:color="auto" w:fill="DA2031"/>
          </w:tcPr>
          <w:p>
            <w:pPr>
              <w:spacing w:after="0"/>
              <w:rPr>
                <w:sz w:val="15"/>
                <w:szCs w:val="15"/>
                <w:color w:val="auto"/>
              </w:rPr>
            </w:pPr>
          </w:p>
        </w:tc>
        <w:tc>
          <w:tcPr>
            <w:tcW w:w="280" w:type="dxa"/>
            <w:vAlign w:val="bottom"/>
            <w:shd w:val="clear" w:color="auto" w:fill="DA2031"/>
          </w:tcPr>
          <w:p>
            <w:pPr>
              <w:spacing w:after="0"/>
              <w:rPr>
                <w:sz w:val="15"/>
                <w:szCs w:val="15"/>
                <w:color w:val="auto"/>
              </w:rPr>
            </w:pPr>
          </w:p>
        </w:tc>
        <w:tc>
          <w:tcPr>
            <w:tcW w:w="240" w:type="dxa"/>
            <w:vAlign w:val="bottom"/>
            <w:tcBorders>
              <w:right w:val="single" w:sz="8" w:color="DA2031"/>
            </w:tcBorders>
            <w:shd w:val="clear" w:color="auto" w:fill="DA2031"/>
          </w:tcPr>
          <w:p>
            <w:pPr>
              <w:spacing w:after="0"/>
              <w:rPr>
                <w:sz w:val="15"/>
                <w:szCs w:val="15"/>
                <w:color w:val="auto"/>
              </w:rPr>
            </w:pPr>
          </w:p>
        </w:tc>
        <w:tc>
          <w:tcPr>
            <w:tcW w:w="1020" w:type="dxa"/>
            <w:vAlign w:val="bottom"/>
            <w:tcBorders>
              <w:right w:val="single" w:sz="8" w:color="DA2031"/>
            </w:tcBorders>
            <w:shd w:val="clear" w:color="auto" w:fill="DA2031"/>
          </w:tcPr>
          <w:p>
            <w:pPr>
              <w:spacing w:after="0"/>
              <w:rPr>
                <w:sz w:val="15"/>
                <w:szCs w:val="15"/>
                <w:color w:val="auto"/>
              </w:rPr>
            </w:pPr>
          </w:p>
        </w:tc>
        <w:tc>
          <w:tcPr>
            <w:tcW w:w="620" w:type="dxa"/>
            <w:vAlign w:val="bottom"/>
            <w:shd w:val="clear" w:color="auto" w:fill="DA2031"/>
          </w:tcPr>
          <w:p>
            <w:pPr>
              <w:spacing w:after="0"/>
              <w:rPr>
                <w:sz w:val="15"/>
                <w:szCs w:val="15"/>
                <w:color w:val="auto"/>
              </w:rPr>
            </w:pPr>
          </w:p>
        </w:tc>
        <w:tc>
          <w:tcPr>
            <w:tcW w:w="200" w:type="dxa"/>
            <w:vAlign w:val="bottom"/>
            <w:tcBorders>
              <w:right w:val="single" w:sz="8" w:color="DA2031"/>
            </w:tcBorders>
            <w:shd w:val="clear" w:color="auto" w:fill="DA2031"/>
          </w:tcPr>
          <w:p>
            <w:pPr>
              <w:spacing w:after="0"/>
              <w:rPr>
                <w:sz w:val="15"/>
                <w:szCs w:val="15"/>
                <w:color w:val="auto"/>
              </w:rPr>
            </w:pPr>
          </w:p>
        </w:tc>
        <w:tc>
          <w:tcPr>
            <w:tcW w:w="1120" w:type="dxa"/>
            <w:vAlign w:val="bottom"/>
            <w:tcBorders>
              <w:right w:val="single" w:sz="8" w:color="DA2031"/>
            </w:tcBorders>
            <w:shd w:val="clear" w:color="auto" w:fill="DA2031"/>
          </w:tcPr>
          <w:p>
            <w:pPr>
              <w:spacing w:after="0"/>
              <w:rPr>
                <w:sz w:val="15"/>
                <w:szCs w:val="15"/>
                <w:color w:val="auto"/>
              </w:rPr>
            </w:pPr>
          </w:p>
        </w:tc>
        <w:tc>
          <w:tcPr>
            <w:tcW w:w="1420" w:type="dxa"/>
            <w:vAlign w:val="bottom"/>
            <w:tcBorders>
              <w:right w:val="single" w:sz="8" w:color="DA2031"/>
            </w:tcBorders>
            <w:shd w:val="clear" w:color="auto" w:fill="DA2031"/>
          </w:tcPr>
          <w:p>
            <w:pPr>
              <w:spacing w:after="0"/>
              <w:rPr>
                <w:sz w:val="15"/>
                <w:szCs w:val="15"/>
                <w:color w:val="auto"/>
              </w:rPr>
            </w:pPr>
          </w:p>
        </w:tc>
        <w:tc>
          <w:tcPr>
            <w:tcW w:w="1140" w:type="dxa"/>
            <w:vAlign w:val="bottom"/>
            <w:tcBorders>
              <w:right w:val="single" w:sz="8" w:color="DA2031"/>
            </w:tcBorders>
            <w:gridSpan w:val="2"/>
            <w:shd w:val="clear" w:color="auto" w:fill="DA2031"/>
          </w:tcPr>
          <w:p>
            <w:pPr>
              <w:jc w:val="center"/>
              <w:spacing w:after="0"/>
              <w:rPr>
                <w:sz w:val="20"/>
                <w:szCs w:val="20"/>
                <w:color w:val="auto"/>
              </w:rPr>
            </w:pPr>
            <w:r>
              <w:rPr>
                <w:rFonts w:ascii="Arial" w:cs="Arial" w:eastAsia="Arial" w:hAnsi="Arial"/>
                <w:sz w:val="14"/>
                <w:szCs w:val="14"/>
                <w:b w:val="1"/>
                <w:bCs w:val="1"/>
                <w:color w:val="FFFFFF"/>
              </w:rPr>
              <w:t>Pension</w:t>
            </w:r>
          </w:p>
        </w:tc>
        <w:tc>
          <w:tcPr>
            <w:tcW w:w="1420" w:type="dxa"/>
            <w:vAlign w:val="bottom"/>
            <w:tcBorders>
              <w:right w:val="single" w:sz="8" w:color="DA2031"/>
            </w:tcBorders>
            <w:shd w:val="clear" w:color="auto" w:fill="DA2031"/>
          </w:tcPr>
          <w:p>
            <w:pPr>
              <w:spacing w:after="0"/>
              <w:rPr>
                <w:sz w:val="15"/>
                <w:szCs w:val="15"/>
                <w:color w:val="auto"/>
              </w:rPr>
            </w:pPr>
          </w:p>
        </w:tc>
        <w:tc>
          <w:tcPr>
            <w:tcW w:w="1080" w:type="dxa"/>
            <w:vAlign w:val="bottom"/>
            <w:tcBorders>
              <w:right w:val="single" w:sz="8" w:color="DA2031"/>
            </w:tcBorders>
            <w:shd w:val="clear" w:color="auto" w:fill="DA203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DA2031"/>
            </w:tcBorders>
            <w:shd w:val="clear" w:color="auto" w:fill="DA2031"/>
          </w:tcPr>
          <w:p>
            <w:pPr>
              <w:spacing w:after="0"/>
              <w:rPr>
                <w:sz w:val="14"/>
                <w:szCs w:val="14"/>
                <w:color w:val="auto"/>
              </w:rPr>
            </w:pPr>
          </w:p>
        </w:tc>
        <w:tc>
          <w:tcPr>
            <w:tcW w:w="160" w:type="dxa"/>
            <w:vAlign w:val="bottom"/>
            <w:shd w:val="clear" w:color="auto" w:fill="DA2031"/>
          </w:tcPr>
          <w:p>
            <w:pPr>
              <w:spacing w:after="0"/>
              <w:rPr>
                <w:sz w:val="14"/>
                <w:szCs w:val="14"/>
                <w:color w:val="auto"/>
              </w:rPr>
            </w:pPr>
          </w:p>
        </w:tc>
        <w:tc>
          <w:tcPr>
            <w:tcW w:w="100" w:type="dxa"/>
            <w:vAlign w:val="bottom"/>
            <w:shd w:val="clear" w:color="auto" w:fill="DA2031"/>
          </w:tcPr>
          <w:p>
            <w:pPr>
              <w:spacing w:after="0"/>
              <w:rPr>
                <w:sz w:val="14"/>
                <w:szCs w:val="14"/>
                <w:color w:val="auto"/>
              </w:rPr>
            </w:pPr>
          </w:p>
        </w:tc>
        <w:tc>
          <w:tcPr>
            <w:tcW w:w="60" w:type="dxa"/>
            <w:vAlign w:val="bottom"/>
            <w:shd w:val="clear" w:color="auto" w:fill="DA2031"/>
          </w:tcPr>
          <w:p>
            <w:pPr>
              <w:spacing w:after="0"/>
              <w:rPr>
                <w:sz w:val="14"/>
                <w:szCs w:val="14"/>
                <w:color w:val="auto"/>
              </w:rPr>
            </w:pPr>
          </w:p>
        </w:tc>
        <w:tc>
          <w:tcPr>
            <w:tcW w:w="120" w:type="dxa"/>
            <w:vAlign w:val="bottom"/>
            <w:shd w:val="clear" w:color="auto" w:fill="DA2031"/>
          </w:tcPr>
          <w:p>
            <w:pPr>
              <w:spacing w:after="0"/>
              <w:rPr>
                <w:sz w:val="14"/>
                <w:szCs w:val="14"/>
                <w:color w:val="auto"/>
              </w:rPr>
            </w:pPr>
          </w:p>
        </w:tc>
        <w:tc>
          <w:tcPr>
            <w:tcW w:w="60" w:type="dxa"/>
            <w:vAlign w:val="bottom"/>
            <w:shd w:val="clear" w:color="auto" w:fill="DA2031"/>
          </w:tcPr>
          <w:p>
            <w:pPr>
              <w:spacing w:after="0"/>
              <w:rPr>
                <w:sz w:val="14"/>
                <w:szCs w:val="14"/>
                <w:color w:val="auto"/>
              </w:rPr>
            </w:pPr>
          </w:p>
        </w:tc>
        <w:tc>
          <w:tcPr>
            <w:tcW w:w="40" w:type="dxa"/>
            <w:vAlign w:val="bottom"/>
            <w:shd w:val="clear" w:color="auto" w:fill="DA2031"/>
          </w:tcPr>
          <w:p>
            <w:pPr>
              <w:spacing w:after="0"/>
              <w:rPr>
                <w:sz w:val="14"/>
                <w:szCs w:val="14"/>
                <w:color w:val="auto"/>
              </w:rPr>
            </w:pPr>
          </w:p>
        </w:tc>
        <w:tc>
          <w:tcPr>
            <w:tcW w:w="80" w:type="dxa"/>
            <w:vAlign w:val="bottom"/>
            <w:shd w:val="clear" w:color="auto" w:fill="DA2031"/>
          </w:tcPr>
          <w:p>
            <w:pPr>
              <w:spacing w:after="0"/>
              <w:rPr>
                <w:sz w:val="14"/>
                <w:szCs w:val="14"/>
                <w:color w:val="auto"/>
              </w:rPr>
            </w:pPr>
          </w:p>
        </w:tc>
        <w:tc>
          <w:tcPr>
            <w:tcW w:w="180" w:type="dxa"/>
            <w:vAlign w:val="bottom"/>
            <w:tcBorders>
              <w:right w:val="single" w:sz="8" w:color="DA2031"/>
            </w:tcBorders>
            <w:shd w:val="clear" w:color="auto" w:fill="DA2031"/>
          </w:tcPr>
          <w:p>
            <w:pPr>
              <w:spacing w:after="0"/>
              <w:rPr>
                <w:sz w:val="14"/>
                <w:szCs w:val="14"/>
                <w:color w:val="auto"/>
              </w:rPr>
            </w:pPr>
          </w:p>
        </w:tc>
        <w:tc>
          <w:tcPr>
            <w:tcW w:w="200" w:type="dxa"/>
            <w:vAlign w:val="bottom"/>
            <w:shd w:val="clear" w:color="auto" w:fill="DA2031"/>
          </w:tcPr>
          <w:p>
            <w:pPr>
              <w:spacing w:after="0"/>
              <w:rPr>
                <w:sz w:val="14"/>
                <w:szCs w:val="14"/>
                <w:color w:val="auto"/>
              </w:rPr>
            </w:pPr>
          </w:p>
        </w:tc>
        <w:tc>
          <w:tcPr>
            <w:tcW w:w="280" w:type="dxa"/>
            <w:vAlign w:val="bottom"/>
            <w:shd w:val="clear" w:color="auto" w:fill="DA2031"/>
          </w:tcPr>
          <w:p>
            <w:pPr>
              <w:spacing w:after="0"/>
              <w:rPr>
                <w:sz w:val="14"/>
                <w:szCs w:val="14"/>
                <w:color w:val="auto"/>
              </w:rPr>
            </w:pPr>
          </w:p>
        </w:tc>
        <w:tc>
          <w:tcPr>
            <w:tcW w:w="240" w:type="dxa"/>
            <w:vAlign w:val="bottom"/>
            <w:tcBorders>
              <w:right w:val="single" w:sz="8" w:color="DA2031"/>
            </w:tcBorders>
            <w:shd w:val="clear" w:color="auto" w:fill="DA2031"/>
          </w:tcPr>
          <w:p>
            <w:pPr>
              <w:spacing w:after="0"/>
              <w:rPr>
                <w:sz w:val="14"/>
                <w:szCs w:val="14"/>
                <w:color w:val="auto"/>
              </w:rPr>
            </w:pPr>
          </w:p>
        </w:tc>
        <w:tc>
          <w:tcPr>
            <w:tcW w:w="1020" w:type="dxa"/>
            <w:vAlign w:val="bottom"/>
            <w:tcBorders>
              <w:right w:val="single" w:sz="8" w:color="DA2031"/>
            </w:tcBorders>
            <w:shd w:val="clear" w:color="auto" w:fill="DA2031"/>
          </w:tcPr>
          <w:p>
            <w:pPr>
              <w:spacing w:after="0"/>
              <w:rPr>
                <w:sz w:val="14"/>
                <w:szCs w:val="14"/>
                <w:color w:val="auto"/>
              </w:rPr>
            </w:pPr>
          </w:p>
        </w:tc>
        <w:tc>
          <w:tcPr>
            <w:tcW w:w="620" w:type="dxa"/>
            <w:vAlign w:val="bottom"/>
            <w:shd w:val="clear" w:color="auto" w:fill="DA2031"/>
          </w:tcPr>
          <w:p>
            <w:pPr>
              <w:spacing w:after="0"/>
              <w:rPr>
                <w:sz w:val="14"/>
                <w:szCs w:val="14"/>
                <w:color w:val="auto"/>
              </w:rPr>
            </w:pPr>
          </w:p>
        </w:tc>
        <w:tc>
          <w:tcPr>
            <w:tcW w:w="200" w:type="dxa"/>
            <w:vAlign w:val="bottom"/>
            <w:tcBorders>
              <w:right w:val="single" w:sz="8" w:color="DA2031"/>
            </w:tcBorders>
            <w:shd w:val="clear" w:color="auto" w:fill="DA2031"/>
          </w:tcPr>
          <w:p>
            <w:pPr>
              <w:spacing w:after="0"/>
              <w:rPr>
                <w:sz w:val="14"/>
                <w:szCs w:val="14"/>
                <w:color w:val="auto"/>
              </w:rPr>
            </w:pPr>
          </w:p>
        </w:tc>
        <w:tc>
          <w:tcPr>
            <w:tcW w:w="1120" w:type="dxa"/>
            <w:vAlign w:val="bottom"/>
            <w:tcBorders>
              <w:right w:val="single" w:sz="8" w:color="DA2031"/>
            </w:tcBorders>
            <w:shd w:val="clear" w:color="auto" w:fill="DA2031"/>
          </w:tcPr>
          <w:p>
            <w:pPr>
              <w:spacing w:after="0"/>
              <w:rPr>
                <w:sz w:val="14"/>
                <w:szCs w:val="14"/>
                <w:color w:val="auto"/>
              </w:rPr>
            </w:pPr>
          </w:p>
        </w:tc>
        <w:tc>
          <w:tcPr>
            <w:tcW w:w="14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Non-Equity</w:t>
            </w:r>
          </w:p>
        </w:tc>
        <w:tc>
          <w:tcPr>
            <w:tcW w:w="1140" w:type="dxa"/>
            <w:vAlign w:val="bottom"/>
            <w:tcBorders>
              <w:right w:val="single" w:sz="8" w:color="DA2031"/>
            </w:tcBorders>
            <w:gridSpan w:val="2"/>
            <w:shd w:val="clear" w:color="auto" w:fill="DA2031"/>
          </w:tcPr>
          <w:p>
            <w:pPr>
              <w:jc w:val="center"/>
              <w:spacing w:after="0"/>
              <w:rPr>
                <w:sz w:val="20"/>
                <w:szCs w:val="20"/>
                <w:color w:val="auto"/>
              </w:rPr>
            </w:pPr>
            <w:r>
              <w:rPr>
                <w:rFonts w:ascii="Arial" w:cs="Arial" w:eastAsia="Arial" w:hAnsi="Arial"/>
                <w:sz w:val="14"/>
                <w:szCs w:val="14"/>
                <w:b w:val="1"/>
                <w:bCs w:val="1"/>
                <w:color w:val="FFFFFF"/>
                <w:w w:val="99"/>
              </w:rPr>
              <w:t>Value and</w:t>
            </w:r>
          </w:p>
        </w:tc>
        <w:tc>
          <w:tcPr>
            <w:tcW w:w="1420" w:type="dxa"/>
            <w:vAlign w:val="bottom"/>
            <w:tcBorders>
              <w:right w:val="single" w:sz="8" w:color="DA2031"/>
            </w:tcBorders>
            <w:shd w:val="clear" w:color="auto" w:fill="DA2031"/>
          </w:tcPr>
          <w:p>
            <w:pPr>
              <w:spacing w:after="0"/>
              <w:rPr>
                <w:sz w:val="14"/>
                <w:szCs w:val="14"/>
                <w:color w:val="auto"/>
              </w:rPr>
            </w:pPr>
          </w:p>
        </w:tc>
        <w:tc>
          <w:tcPr>
            <w:tcW w:w="1080" w:type="dxa"/>
            <w:vAlign w:val="bottom"/>
            <w:tcBorders>
              <w:right w:val="single" w:sz="8" w:color="DA2031"/>
            </w:tcBorders>
            <w:shd w:val="clear" w:color="auto" w:fill="DA203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0" w:type="dxa"/>
            <w:vAlign w:val="bottom"/>
            <w:tcBorders>
              <w:left w:val="single" w:sz="8" w:color="DA2031"/>
            </w:tcBorders>
            <w:shd w:val="clear" w:color="auto" w:fill="DA2031"/>
          </w:tcPr>
          <w:p>
            <w:pPr>
              <w:spacing w:after="0"/>
              <w:rPr>
                <w:sz w:val="15"/>
                <w:szCs w:val="15"/>
                <w:color w:val="auto"/>
              </w:rPr>
            </w:pPr>
          </w:p>
        </w:tc>
        <w:tc>
          <w:tcPr>
            <w:tcW w:w="160" w:type="dxa"/>
            <w:vAlign w:val="bottom"/>
            <w:shd w:val="clear" w:color="auto" w:fill="DA2031"/>
          </w:tcPr>
          <w:p>
            <w:pPr>
              <w:spacing w:after="0"/>
              <w:rPr>
                <w:sz w:val="15"/>
                <w:szCs w:val="15"/>
                <w:color w:val="auto"/>
              </w:rPr>
            </w:pPr>
          </w:p>
        </w:tc>
        <w:tc>
          <w:tcPr>
            <w:tcW w:w="100" w:type="dxa"/>
            <w:vAlign w:val="bottom"/>
            <w:shd w:val="clear" w:color="auto" w:fill="DA2031"/>
          </w:tcPr>
          <w:p>
            <w:pPr>
              <w:spacing w:after="0"/>
              <w:rPr>
                <w:sz w:val="15"/>
                <w:szCs w:val="15"/>
                <w:color w:val="auto"/>
              </w:rPr>
            </w:pPr>
          </w:p>
        </w:tc>
        <w:tc>
          <w:tcPr>
            <w:tcW w:w="60" w:type="dxa"/>
            <w:vAlign w:val="bottom"/>
            <w:shd w:val="clear" w:color="auto" w:fill="DA2031"/>
          </w:tcPr>
          <w:p>
            <w:pPr>
              <w:spacing w:after="0"/>
              <w:rPr>
                <w:sz w:val="15"/>
                <w:szCs w:val="15"/>
                <w:color w:val="auto"/>
              </w:rPr>
            </w:pPr>
          </w:p>
        </w:tc>
        <w:tc>
          <w:tcPr>
            <w:tcW w:w="120" w:type="dxa"/>
            <w:vAlign w:val="bottom"/>
            <w:shd w:val="clear" w:color="auto" w:fill="DA2031"/>
          </w:tcPr>
          <w:p>
            <w:pPr>
              <w:spacing w:after="0"/>
              <w:rPr>
                <w:sz w:val="15"/>
                <w:szCs w:val="15"/>
                <w:color w:val="auto"/>
              </w:rPr>
            </w:pPr>
          </w:p>
        </w:tc>
        <w:tc>
          <w:tcPr>
            <w:tcW w:w="60" w:type="dxa"/>
            <w:vAlign w:val="bottom"/>
            <w:shd w:val="clear" w:color="auto" w:fill="DA2031"/>
          </w:tcPr>
          <w:p>
            <w:pPr>
              <w:spacing w:after="0"/>
              <w:rPr>
                <w:sz w:val="15"/>
                <w:szCs w:val="15"/>
                <w:color w:val="auto"/>
              </w:rPr>
            </w:pPr>
          </w:p>
        </w:tc>
        <w:tc>
          <w:tcPr>
            <w:tcW w:w="40" w:type="dxa"/>
            <w:vAlign w:val="bottom"/>
            <w:shd w:val="clear" w:color="auto" w:fill="DA2031"/>
          </w:tcPr>
          <w:p>
            <w:pPr>
              <w:spacing w:after="0"/>
              <w:rPr>
                <w:sz w:val="15"/>
                <w:szCs w:val="15"/>
                <w:color w:val="auto"/>
              </w:rPr>
            </w:pPr>
          </w:p>
        </w:tc>
        <w:tc>
          <w:tcPr>
            <w:tcW w:w="80" w:type="dxa"/>
            <w:vAlign w:val="bottom"/>
            <w:shd w:val="clear" w:color="auto" w:fill="DA2031"/>
          </w:tcPr>
          <w:p>
            <w:pPr>
              <w:spacing w:after="0"/>
              <w:rPr>
                <w:sz w:val="15"/>
                <w:szCs w:val="15"/>
                <w:color w:val="auto"/>
              </w:rPr>
            </w:pPr>
          </w:p>
        </w:tc>
        <w:tc>
          <w:tcPr>
            <w:tcW w:w="180" w:type="dxa"/>
            <w:vAlign w:val="bottom"/>
            <w:tcBorders>
              <w:right w:val="single" w:sz="8" w:color="DA2031"/>
            </w:tcBorders>
            <w:shd w:val="clear" w:color="auto" w:fill="DA2031"/>
          </w:tcPr>
          <w:p>
            <w:pPr>
              <w:spacing w:after="0"/>
              <w:rPr>
                <w:sz w:val="15"/>
                <w:szCs w:val="15"/>
                <w:color w:val="auto"/>
              </w:rPr>
            </w:pPr>
          </w:p>
        </w:tc>
        <w:tc>
          <w:tcPr>
            <w:tcW w:w="200" w:type="dxa"/>
            <w:vAlign w:val="bottom"/>
            <w:shd w:val="clear" w:color="auto" w:fill="DA2031"/>
          </w:tcPr>
          <w:p>
            <w:pPr>
              <w:spacing w:after="0"/>
              <w:rPr>
                <w:sz w:val="15"/>
                <w:szCs w:val="15"/>
                <w:color w:val="auto"/>
              </w:rPr>
            </w:pPr>
          </w:p>
        </w:tc>
        <w:tc>
          <w:tcPr>
            <w:tcW w:w="280" w:type="dxa"/>
            <w:vAlign w:val="bottom"/>
            <w:shd w:val="clear" w:color="auto" w:fill="DA2031"/>
          </w:tcPr>
          <w:p>
            <w:pPr>
              <w:spacing w:after="0"/>
              <w:rPr>
                <w:sz w:val="15"/>
                <w:szCs w:val="15"/>
                <w:color w:val="auto"/>
              </w:rPr>
            </w:pPr>
          </w:p>
        </w:tc>
        <w:tc>
          <w:tcPr>
            <w:tcW w:w="240" w:type="dxa"/>
            <w:vAlign w:val="bottom"/>
            <w:tcBorders>
              <w:right w:val="single" w:sz="8" w:color="DA2031"/>
            </w:tcBorders>
            <w:shd w:val="clear" w:color="auto" w:fill="DA2031"/>
          </w:tcPr>
          <w:p>
            <w:pPr>
              <w:spacing w:after="0"/>
              <w:rPr>
                <w:sz w:val="15"/>
                <w:szCs w:val="15"/>
                <w:color w:val="auto"/>
              </w:rPr>
            </w:pPr>
          </w:p>
        </w:tc>
        <w:tc>
          <w:tcPr>
            <w:tcW w:w="1020" w:type="dxa"/>
            <w:vAlign w:val="bottom"/>
            <w:tcBorders>
              <w:right w:val="single" w:sz="8" w:color="DA2031"/>
            </w:tcBorders>
            <w:shd w:val="clear" w:color="auto" w:fill="DA2031"/>
          </w:tcPr>
          <w:p>
            <w:pPr>
              <w:spacing w:after="0"/>
              <w:rPr>
                <w:sz w:val="15"/>
                <w:szCs w:val="15"/>
                <w:color w:val="auto"/>
              </w:rPr>
            </w:pPr>
          </w:p>
        </w:tc>
        <w:tc>
          <w:tcPr>
            <w:tcW w:w="620" w:type="dxa"/>
            <w:vAlign w:val="bottom"/>
            <w:shd w:val="clear" w:color="auto" w:fill="DA2031"/>
          </w:tcPr>
          <w:p>
            <w:pPr>
              <w:spacing w:after="0"/>
              <w:rPr>
                <w:sz w:val="15"/>
                <w:szCs w:val="15"/>
                <w:color w:val="auto"/>
              </w:rPr>
            </w:pPr>
          </w:p>
        </w:tc>
        <w:tc>
          <w:tcPr>
            <w:tcW w:w="200" w:type="dxa"/>
            <w:vAlign w:val="bottom"/>
            <w:tcBorders>
              <w:right w:val="single" w:sz="8" w:color="DA2031"/>
            </w:tcBorders>
            <w:shd w:val="clear" w:color="auto" w:fill="DA2031"/>
          </w:tcPr>
          <w:p>
            <w:pPr>
              <w:spacing w:after="0"/>
              <w:rPr>
                <w:sz w:val="15"/>
                <w:szCs w:val="15"/>
                <w:color w:val="auto"/>
              </w:rPr>
            </w:pPr>
          </w:p>
        </w:tc>
        <w:tc>
          <w:tcPr>
            <w:tcW w:w="1120" w:type="dxa"/>
            <w:vAlign w:val="bottom"/>
            <w:tcBorders>
              <w:right w:val="single" w:sz="8" w:color="DA2031"/>
            </w:tcBorders>
            <w:shd w:val="clear" w:color="auto" w:fill="DA2031"/>
          </w:tcPr>
          <w:p>
            <w:pPr>
              <w:spacing w:after="0"/>
              <w:rPr>
                <w:sz w:val="15"/>
                <w:szCs w:val="15"/>
                <w:color w:val="auto"/>
              </w:rPr>
            </w:pPr>
          </w:p>
        </w:tc>
        <w:tc>
          <w:tcPr>
            <w:tcW w:w="14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140" w:type="dxa"/>
            <w:vAlign w:val="bottom"/>
            <w:tcBorders>
              <w:right w:val="single" w:sz="8" w:color="DA2031"/>
            </w:tcBorders>
            <w:gridSpan w:val="2"/>
            <w:shd w:val="clear" w:color="auto" w:fill="DA2031"/>
          </w:tcPr>
          <w:p>
            <w:pPr>
              <w:jc w:val="center"/>
              <w:spacing w:after="0"/>
              <w:rPr>
                <w:sz w:val="20"/>
                <w:szCs w:val="20"/>
                <w:color w:val="auto"/>
              </w:rPr>
            </w:pPr>
            <w:r>
              <w:rPr>
                <w:rFonts w:ascii="Arial" w:cs="Arial" w:eastAsia="Arial" w:hAnsi="Arial"/>
                <w:sz w:val="14"/>
                <w:szCs w:val="14"/>
                <w:b w:val="1"/>
                <w:bCs w:val="1"/>
                <w:color w:val="FFFFFF"/>
              </w:rPr>
              <w:t>NQDC</w:t>
            </w:r>
          </w:p>
        </w:tc>
        <w:tc>
          <w:tcPr>
            <w:tcW w:w="14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All Other</w:t>
            </w:r>
          </w:p>
        </w:tc>
        <w:tc>
          <w:tcPr>
            <w:tcW w:w="1080" w:type="dxa"/>
            <w:vAlign w:val="bottom"/>
            <w:tcBorders>
              <w:right w:val="single" w:sz="8" w:color="DA2031"/>
            </w:tcBorders>
            <w:shd w:val="clear" w:color="auto" w:fill="DA203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Borders>
              <w:left w:val="single" w:sz="8" w:color="DA2031"/>
            </w:tcBorders>
            <w:shd w:val="clear" w:color="auto" w:fill="DA2031"/>
          </w:tcPr>
          <w:p>
            <w:pPr>
              <w:spacing w:after="0"/>
              <w:rPr>
                <w:sz w:val="15"/>
                <w:szCs w:val="15"/>
                <w:color w:val="auto"/>
              </w:rPr>
            </w:pPr>
          </w:p>
        </w:tc>
        <w:tc>
          <w:tcPr>
            <w:tcW w:w="160" w:type="dxa"/>
            <w:vAlign w:val="bottom"/>
            <w:shd w:val="clear" w:color="auto" w:fill="DA2031"/>
          </w:tcPr>
          <w:p>
            <w:pPr>
              <w:spacing w:after="0"/>
              <w:rPr>
                <w:sz w:val="15"/>
                <w:szCs w:val="15"/>
                <w:color w:val="auto"/>
              </w:rPr>
            </w:pPr>
          </w:p>
        </w:tc>
        <w:tc>
          <w:tcPr>
            <w:tcW w:w="100" w:type="dxa"/>
            <w:vAlign w:val="bottom"/>
            <w:shd w:val="clear" w:color="auto" w:fill="DA2031"/>
          </w:tcPr>
          <w:p>
            <w:pPr>
              <w:spacing w:after="0"/>
              <w:rPr>
                <w:sz w:val="15"/>
                <w:szCs w:val="15"/>
                <w:color w:val="auto"/>
              </w:rPr>
            </w:pPr>
          </w:p>
        </w:tc>
        <w:tc>
          <w:tcPr>
            <w:tcW w:w="60" w:type="dxa"/>
            <w:vAlign w:val="bottom"/>
            <w:shd w:val="clear" w:color="auto" w:fill="DA2031"/>
          </w:tcPr>
          <w:p>
            <w:pPr>
              <w:spacing w:after="0"/>
              <w:rPr>
                <w:sz w:val="15"/>
                <w:szCs w:val="15"/>
                <w:color w:val="auto"/>
              </w:rPr>
            </w:pPr>
          </w:p>
        </w:tc>
        <w:tc>
          <w:tcPr>
            <w:tcW w:w="120" w:type="dxa"/>
            <w:vAlign w:val="bottom"/>
            <w:shd w:val="clear" w:color="auto" w:fill="DA2031"/>
          </w:tcPr>
          <w:p>
            <w:pPr>
              <w:spacing w:after="0"/>
              <w:rPr>
                <w:sz w:val="15"/>
                <w:szCs w:val="15"/>
                <w:color w:val="auto"/>
              </w:rPr>
            </w:pPr>
          </w:p>
        </w:tc>
        <w:tc>
          <w:tcPr>
            <w:tcW w:w="60" w:type="dxa"/>
            <w:vAlign w:val="bottom"/>
            <w:shd w:val="clear" w:color="auto" w:fill="DA2031"/>
          </w:tcPr>
          <w:p>
            <w:pPr>
              <w:spacing w:after="0"/>
              <w:rPr>
                <w:sz w:val="15"/>
                <w:szCs w:val="15"/>
                <w:color w:val="auto"/>
              </w:rPr>
            </w:pPr>
          </w:p>
        </w:tc>
        <w:tc>
          <w:tcPr>
            <w:tcW w:w="40" w:type="dxa"/>
            <w:vAlign w:val="bottom"/>
            <w:shd w:val="clear" w:color="auto" w:fill="DA2031"/>
          </w:tcPr>
          <w:p>
            <w:pPr>
              <w:spacing w:after="0"/>
              <w:rPr>
                <w:sz w:val="15"/>
                <w:szCs w:val="15"/>
                <w:color w:val="auto"/>
              </w:rPr>
            </w:pPr>
          </w:p>
        </w:tc>
        <w:tc>
          <w:tcPr>
            <w:tcW w:w="80" w:type="dxa"/>
            <w:vAlign w:val="bottom"/>
            <w:shd w:val="clear" w:color="auto" w:fill="DA2031"/>
          </w:tcPr>
          <w:p>
            <w:pPr>
              <w:spacing w:after="0"/>
              <w:rPr>
                <w:sz w:val="15"/>
                <w:szCs w:val="15"/>
                <w:color w:val="auto"/>
              </w:rPr>
            </w:pPr>
          </w:p>
        </w:tc>
        <w:tc>
          <w:tcPr>
            <w:tcW w:w="180" w:type="dxa"/>
            <w:vAlign w:val="bottom"/>
            <w:tcBorders>
              <w:right w:val="single" w:sz="8" w:color="DA2031"/>
            </w:tcBorders>
            <w:shd w:val="clear" w:color="auto" w:fill="DA2031"/>
          </w:tcPr>
          <w:p>
            <w:pPr>
              <w:spacing w:after="0"/>
              <w:rPr>
                <w:sz w:val="15"/>
                <w:szCs w:val="15"/>
                <w:color w:val="auto"/>
              </w:rPr>
            </w:pPr>
          </w:p>
        </w:tc>
        <w:tc>
          <w:tcPr>
            <w:tcW w:w="200" w:type="dxa"/>
            <w:vAlign w:val="bottom"/>
            <w:shd w:val="clear" w:color="auto" w:fill="DA2031"/>
          </w:tcPr>
          <w:p>
            <w:pPr>
              <w:spacing w:after="0"/>
              <w:rPr>
                <w:sz w:val="15"/>
                <w:szCs w:val="15"/>
                <w:color w:val="auto"/>
              </w:rPr>
            </w:pPr>
          </w:p>
        </w:tc>
        <w:tc>
          <w:tcPr>
            <w:tcW w:w="280" w:type="dxa"/>
            <w:vAlign w:val="bottom"/>
            <w:shd w:val="clear" w:color="auto" w:fill="DA2031"/>
          </w:tcPr>
          <w:p>
            <w:pPr>
              <w:spacing w:after="0"/>
              <w:rPr>
                <w:sz w:val="15"/>
                <w:szCs w:val="15"/>
                <w:color w:val="auto"/>
              </w:rPr>
            </w:pPr>
          </w:p>
        </w:tc>
        <w:tc>
          <w:tcPr>
            <w:tcW w:w="240" w:type="dxa"/>
            <w:vAlign w:val="bottom"/>
            <w:tcBorders>
              <w:right w:val="single" w:sz="8" w:color="DA2031"/>
            </w:tcBorders>
            <w:shd w:val="clear" w:color="auto" w:fill="DA2031"/>
          </w:tcPr>
          <w:p>
            <w:pPr>
              <w:spacing w:after="0"/>
              <w:rPr>
                <w:sz w:val="15"/>
                <w:szCs w:val="15"/>
                <w:color w:val="auto"/>
              </w:rPr>
            </w:pPr>
          </w:p>
        </w:tc>
        <w:tc>
          <w:tcPr>
            <w:tcW w:w="1020" w:type="dxa"/>
            <w:vAlign w:val="bottom"/>
            <w:tcBorders>
              <w:right w:val="single" w:sz="8" w:color="DA2031"/>
            </w:tcBorders>
            <w:shd w:val="clear" w:color="auto" w:fill="DA2031"/>
          </w:tcPr>
          <w:p>
            <w:pPr>
              <w:jc w:val="right"/>
              <w:ind w:right="256"/>
              <w:spacing w:after="0"/>
              <w:rPr>
                <w:sz w:val="20"/>
                <w:szCs w:val="20"/>
                <w:color w:val="auto"/>
              </w:rPr>
            </w:pPr>
            <w:r>
              <w:rPr>
                <w:rFonts w:ascii="Arial" w:cs="Arial" w:eastAsia="Arial" w:hAnsi="Arial"/>
                <w:sz w:val="14"/>
                <w:szCs w:val="14"/>
                <w:b w:val="1"/>
                <w:bCs w:val="1"/>
                <w:color w:val="FFFFFF"/>
              </w:rPr>
              <w:t>Salary</w:t>
            </w:r>
          </w:p>
        </w:tc>
        <w:tc>
          <w:tcPr>
            <w:tcW w:w="820" w:type="dxa"/>
            <w:vAlign w:val="bottom"/>
            <w:tcBorders>
              <w:right w:val="single" w:sz="8" w:color="DA2031"/>
            </w:tcBorders>
            <w:gridSpan w:val="2"/>
            <w:shd w:val="clear" w:color="auto" w:fill="DA2031"/>
          </w:tcPr>
          <w:p>
            <w:pPr>
              <w:ind w:left="160"/>
              <w:spacing w:after="0"/>
              <w:rPr>
                <w:sz w:val="20"/>
                <w:szCs w:val="20"/>
                <w:color w:val="auto"/>
              </w:rPr>
            </w:pPr>
            <w:r>
              <w:rPr>
                <w:rFonts w:ascii="Arial" w:cs="Arial" w:eastAsia="Arial" w:hAnsi="Arial"/>
                <w:sz w:val="14"/>
                <w:szCs w:val="14"/>
                <w:b w:val="1"/>
                <w:bCs w:val="1"/>
                <w:color w:val="FFFFFF"/>
              </w:rPr>
              <w:t>Bonus</w:t>
            </w:r>
          </w:p>
        </w:tc>
        <w:tc>
          <w:tcPr>
            <w:tcW w:w="1120" w:type="dxa"/>
            <w:vAlign w:val="bottom"/>
            <w:tcBorders>
              <w:right w:val="single" w:sz="8" w:color="DA2031"/>
            </w:tcBorders>
            <w:shd w:val="clear" w:color="auto" w:fill="DA2031"/>
          </w:tcPr>
          <w:p>
            <w:pPr>
              <w:jc w:val="right"/>
              <w:ind w:right="36"/>
              <w:spacing w:after="0"/>
              <w:rPr>
                <w:sz w:val="20"/>
                <w:szCs w:val="20"/>
                <w:color w:val="auto"/>
              </w:rPr>
            </w:pPr>
            <w:r>
              <w:rPr>
                <w:rFonts w:ascii="Arial" w:cs="Arial" w:eastAsia="Arial" w:hAnsi="Arial"/>
                <w:sz w:val="14"/>
                <w:szCs w:val="14"/>
                <w:b w:val="1"/>
                <w:bCs w:val="1"/>
                <w:color w:val="FFFFFF"/>
              </w:rPr>
              <w:t>Stock Awards</w:t>
            </w:r>
          </w:p>
        </w:tc>
        <w:tc>
          <w:tcPr>
            <w:tcW w:w="14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Compensation</w:t>
            </w:r>
          </w:p>
        </w:tc>
        <w:tc>
          <w:tcPr>
            <w:tcW w:w="1140" w:type="dxa"/>
            <w:vAlign w:val="bottom"/>
            <w:tcBorders>
              <w:right w:val="single" w:sz="8" w:color="DA2031"/>
            </w:tcBorders>
            <w:gridSpan w:val="2"/>
            <w:shd w:val="clear" w:color="auto" w:fill="DA2031"/>
          </w:tcPr>
          <w:p>
            <w:pPr>
              <w:jc w:val="center"/>
              <w:spacing w:after="0"/>
              <w:rPr>
                <w:sz w:val="20"/>
                <w:szCs w:val="20"/>
                <w:color w:val="auto"/>
              </w:rPr>
            </w:pPr>
            <w:r>
              <w:rPr>
                <w:rFonts w:ascii="Arial" w:cs="Arial" w:eastAsia="Arial" w:hAnsi="Arial"/>
                <w:sz w:val="14"/>
                <w:szCs w:val="14"/>
                <w:b w:val="1"/>
                <w:bCs w:val="1"/>
                <w:color w:val="FFFFFF"/>
              </w:rPr>
              <w:t>Earnings</w:t>
            </w:r>
          </w:p>
        </w:tc>
        <w:tc>
          <w:tcPr>
            <w:tcW w:w="14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Compensation</w:t>
            </w:r>
          </w:p>
        </w:tc>
        <w:tc>
          <w:tcPr>
            <w:tcW w:w="1080" w:type="dxa"/>
            <w:vAlign w:val="bottom"/>
            <w:tcBorders>
              <w:right w:val="single" w:sz="8" w:color="DA2031"/>
            </w:tcBorders>
            <w:shd w:val="clear" w:color="auto" w:fill="DA2031"/>
          </w:tcPr>
          <w:p>
            <w:pPr>
              <w:jc w:val="right"/>
              <w:ind w:right="316"/>
              <w:spacing w:after="0"/>
              <w:rPr>
                <w:sz w:val="20"/>
                <w:szCs w:val="20"/>
                <w:color w:val="auto"/>
              </w:rPr>
            </w:pPr>
            <w:r>
              <w:rPr>
                <w:rFonts w:ascii="Arial" w:cs="Arial" w:eastAsia="Arial" w:hAnsi="Arial"/>
                <w:sz w:val="14"/>
                <w:szCs w:val="14"/>
                <w:b w:val="1"/>
                <w:bCs w:val="1"/>
                <w:color w:val="FFFFFF"/>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DA2031"/>
              <w:bottom w:val="single" w:sz="8" w:color="B6B6B6"/>
            </w:tcBorders>
            <w:shd w:val="clear" w:color="auto" w:fill="DA2031"/>
          </w:tcPr>
          <w:p>
            <w:pPr>
              <w:spacing w:after="0"/>
              <w:rPr>
                <w:sz w:val="18"/>
                <w:szCs w:val="18"/>
                <w:color w:val="auto"/>
              </w:rPr>
            </w:pPr>
          </w:p>
        </w:tc>
        <w:tc>
          <w:tcPr>
            <w:tcW w:w="160" w:type="dxa"/>
            <w:vAlign w:val="bottom"/>
            <w:tcBorders>
              <w:bottom w:val="single" w:sz="8" w:color="B6B6B6"/>
            </w:tcBorders>
            <w:shd w:val="clear" w:color="auto" w:fill="DA2031"/>
          </w:tcPr>
          <w:p>
            <w:pPr>
              <w:spacing w:after="0"/>
              <w:rPr>
                <w:sz w:val="18"/>
                <w:szCs w:val="18"/>
                <w:color w:val="auto"/>
              </w:rPr>
            </w:pPr>
          </w:p>
        </w:tc>
        <w:tc>
          <w:tcPr>
            <w:tcW w:w="100" w:type="dxa"/>
            <w:vAlign w:val="bottom"/>
            <w:tcBorders>
              <w:bottom w:val="single" w:sz="8" w:color="B6B6B6"/>
            </w:tcBorders>
            <w:shd w:val="clear" w:color="auto" w:fill="DA2031"/>
          </w:tcPr>
          <w:p>
            <w:pPr>
              <w:spacing w:after="0"/>
              <w:rPr>
                <w:sz w:val="18"/>
                <w:szCs w:val="18"/>
                <w:color w:val="auto"/>
              </w:rPr>
            </w:pPr>
          </w:p>
        </w:tc>
        <w:tc>
          <w:tcPr>
            <w:tcW w:w="60" w:type="dxa"/>
            <w:vAlign w:val="bottom"/>
            <w:tcBorders>
              <w:bottom w:val="single" w:sz="8" w:color="B6B6B6"/>
            </w:tcBorders>
            <w:shd w:val="clear" w:color="auto" w:fill="DA2031"/>
          </w:tcPr>
          <w:p>
            <w:pPr>
              <w:spacing w:after="0"/>
              <w:rPr>
                <w:sz w:val="18"/>
                <w:szCs w:val="18"/>
                <w:color w:val="auto"/>
              </w:rPr>
            </w:pPr>
          </w:p>
        </w:tc>
        <w:tc>
          <w:tcPr>
            <w:tcW w:w="120" w:type="dxa"/>
            <w:vAlign w:val="bottom"/>
            <w:tcBorders>
              <w:bottom w:val="single" w:sz="8" w:color="B6B6B6"/>
            </w:tcBorders>
            <w:shd w:val="clear" w:color="auto" w:fill="DA2031"/>
          </w:tcPr>
          <w:p>
            <w:pPr>
              <w:spacing w:after="0"/>
              <w:rPr>
                <w:sz w:val="18"/>
                <w:szCs w:val="18"/>
                <w:color w:val="auto"/>
              </w:rPr>
            </w:pPr>
          </w:p>
        </w:tc>
        <w:tc>
          <w:tcPr>
            <w:tcW w:w="60" w:type="dxa"/>
            <w:vAlign w:val="bottom"/>
            <w:tcBorders>
              <w:bottom w:val="single" w:sz="8" w:color="B6B6B6"/>
            </w:tcBorders>
            <w:shd w:val="clear" w:color="auto" w:fill="DA2031"/>
          </w:tcPr>
          <w:p>
            <w:pPr>
              <w:spacing w:after="0"/>
              <w:rPr>
                <w:sz w:val="18"/>
                <w:szCs w:val="18"/>
                <w:color w:val="auto"/>
              </w:rPr>
            </w:pPr>
          </w:p>
        </w:tc>
        <w:tc>
          <w:tcPr>
            <w:tcW w:w="40" w:type="dxa"/>
            <w:vAlign w:val="bottom"/>
            <w:tcBorders>
              <w:bottom w:val="single" w:sz="8" w:color="B6B6B6"/>
            </w:tcBorders>
            <w:shd w:val="clear" w:color="auto" w:fill="DA2031"/>
          </w:tcPr>
          <w:p>
            <w:pPr>
              <w:spacing w:after="0"/>
              <w:rPr>
                <w:sz w:val="18"/>
                <w:szCs w:val="18"/>
                <w:color w:val="auto"/>
              </w:rPr>
            </w:pPr>
          </w:p>
        </w:tc>
        <w:tc>
          <w:tcPr>
            <w:tcW w:w="80" w:type="dxa"/>
            <w:vAlign w:val="bottom"/>
            <w:tcBorders>
              <w:bottom w:val="single" w:sz="8" w:color="B6B6B6"/>
            </w:tcBorders>
            <w:shd w:val="clear" w:color="auto" w:fill="DA2031"/>
          </w:tcPr>
          <w:p>
            <w:pPr>
              <w:spacing w:after="0"/>
              <w:rPr>
                <w:sz w:val="18"/>
                <w:szCs w:val="18"/>
                <w:color w:val="auto"/>
              </w:rPr>
            </w:pPr>
          </w:p>
        </w:tc>
        <w:tc>
          <w:tcPr>
            <w:tcW w:w="180" w:type="dxa"/>
            <w:vAlign w:val="bottom"/>
            <w:tcBorders>
              <w:bottom w:val="single" w:sz="8" w:color="B6B6B6"/>
              <w:right w:val="single" w:sz="8" w:color="DA2031"/>
            </w:tcBorders>
            <w:shd w:val="clear" w:color="auto" w:fill="DA2031"/>
          </w:tcPr>
          <w:p>
            <w:pPr>
              <w:spacing w:after="0"/>
              <w:rPr>
                <w:sz w:val="18"/>
                <w:szCs w:val="18"/>
                <w:color w:val="auto"/>
              </w:rPr>
            </w:pPr>
          </w:p>
        </w:tc>
        <w:tc>
          <w:tcPr>
            <w:tcW w:w="720" w:type="dxa"/>
            <w:vAlign w:val="bottom"/>
            <w:tcBorders>
              <w:bottom w:val="single" w:sz="8" w:color="B6B6B6"/>
              <w:right w:val="single" w:sz="8" w:color="DA2031"/>
            </w:tcBorders>
            <w:gridSpan w:val="3"/>
            <w:shd w:val="clear" w:color="auto" w:fill="DA2031"/>
          </w:tcPr>
          <w:p>
            <w:pPr>
              <w:ind w:left="180"/>
              <w:spacing w:after="0"/>
              <w:rPr>
                <w:sz w:val="20"/>
                <w:szCs w:val="20"/>
                <w:color w:val="auto"/>
              </w:rPr>
            </w:pPr>
            <w:r>
              <w:rPr>
                <w:rFonts w:ascii="Arial" w:cs="Arial" w:eastAsia="Arial" w:hAnsi="Arial"/>
                <w:sz w:val="14"/>
                <w:szCs w:val="14"/>
                <w:b w:val="1"/>
                <w:bCs w:val="1"/>
                <w:color w:val="FFFFFF"/>
              </w:rPr>
              <w:t>Year</w:t>
            </w:r>
          </w:p>
        </w:tc>
        <w:tc>
          <w:tcPr>
            <w:tcW w:w="1020" w:type="dxa"/>
            <w:vAlign w:val="bottom"/>
            <w:tcBorders>
              <w:bottom w:val="single" w:sz="8" w:color="B6B6B6"/>
              <w:right w:val="single" w:sz="8" w:color="DA2031"/>
            </w:tcBorders>
            <w:shd w:val="clear" w:color="auto" w:fill="DA2031"/>
          </w:tcPr>
          <w:p>
            <w:pPr>
              <w:jc w:val="right"/>
              <w:ind w:right="256"/>
              <w:spacing w:after="0"/>
              <w:rPr>
                <w:sz w:val="20"/>
                <w:szCs w:val="20"/>
                <w:color w:val="auto"/>
              </w:rPr>
            </w:pPr>
            <w:r>
              <w:rPr>
                <w:rFonts w:ascii="Arial" w:cs="Arial" w:eastAsia="Arial" w:hAnsi="Arial"/>
                <w:sz w:val="14"/>
                <w:szCs w:val="14"/>
                <w:b w:val="1"/>
                <w:bCs w:val="1"/>
                <w:color w:val="FFFFFF"/>
              </w:rPr>
              <w:t>($) (A)</w:t>
            </w:r>
          </w:p>
        </w:tc>
        <w:tc>
          <w:tcPr>
            <w:tcW w:w="820" w:type="dxa"/>
            <w:vAlign w:val="bottom"/>
            <w:tcBorders>
              <w:bottom w:val="single" w:sz="8" w:color="B6B6B6"/>
              <w:right w:val="single" w:sz="8" w:color="DA2031"/>
            </w:tcBorders>
            <w:gridSpan w:val="2"/>
            <w:shd w:val="clear" w:color="auto" w:fill="DA2031"/>
          </w:tcPr>
          <w:p>
            <w:pPr>
              <w:ind w:left="180"/>
              <w:spacing w:after="0"/>
              <w:rPr>
                <w:sz w:val="20"/>
                <w:szCs w:val="20"/>
                <w:color w:val="auto"/>
              </w:rPr>
            </w:pPr>
            <w:r>
              <w:rPr>
                <w:rFonts w:ascii="Arial" w:cs="Arial" w:eastAsia="Arial" w:hAnsi="Arial"/>
                <w:sz w:val="14"/>
                <w:szCs w:val="14"/>
                <w:b w:val="1"/>
                <w:bCs w:val="1"/>
                <w:color w:val="FFFFFF"/>
              </w:rPr>
              <w:t>($) (B)</w:t>
            </w:r>
          </w:p>
        </w:tc>
        <w:tc>
          <w:tcPr>
            <w:tcW w:w="1120" w:type="dxa"/>
            <w:vAlign w:val="bottom"/>
            <w:tcBorders>
              <w:bottom w:val="single" w:sz="8" w:color="B6B6B6"/>
              <w:right w:val="single" w:sz="8" w:color="DA2031"/>
            </w:tcBorders>
            <w:shd w:val="clear" w:color="auto" w:fill="DA2031"/>
          </w:tcPr>
          <w:p>
            <w:pPr>
              <w:jc w:val="right"/>
              <w:ind w:right="316"/>
              <w:spacing w:after="0"/>
              <w:rPr>
                <w:sz w:val="20"/>
                <w:szCs w:val="20"/>
                <w:color w:val="auto"/>
              </w:rPr>
            </w:pPr>
            <w:r>
              <w:rPr>
                <w:rFonts w:ascii="Arial" w:cs="Arial" w:eastAsia="Arial" w:hAnsi="Arial"/>
                <w:sz w:val="14"/>
                <w:szCs w:val="14"/>
                <w:b w:val="1"/>
                <w:bCs w:val="1"/>
                <w:color w:val="FFFFFF"/>
              </w:rPr>
              <w:t>($) (C)</w:t>
            </w:r>
          </w:p>
        </w:tc>
        <w:tc>
          <w:tcPr>
            <w:tcW w:w="142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 (D)</w:t>
            </w:r>
          </w:p>
        </w:tc>
        <w:tc>
          <w:tcPr>
            <w:tcW w:w="1140" w:type="dxa"/>
            <w:vAlign w:val="bottom"/>
            <w:tcBorders>
              <w:bottom w:val="single" w:sz="8" w:color="B6B6B6"/>
              <w:right w:val="single" w:sz="8" w:color="DA2031"/>
            </w:tcBorders>
            <w:gridSpan w:val="2"/>
            <w:shd w:val="clear" w:color="auto" w:fill="DA2031"/>
          </w:tcPr>
          <w:p>
            <w:pPr>
              <w:jc w:val="center"/>
              <w:spacing w:after="0"/>
              <w:rPr>
                <w:sz w:val="20"/>
                <w:szCs w:val="20"/>
                <w:color w:val="auto"/>
              </w:rPr>
            </w:pPr>
            <w:r>
              <w:rPr>
                <w:rFonts w:ascii="Arial" w:cs="Arial" w:eastAsia="Arial" w:hAnsi="Arial"/>
                <w:sz w:val="14"/>
                <w:szCs w:val="14"/>
                <w:b w:val="1"/>
                <w:bCs w:val="1"/>
                <w:color w:val="FFFFFF"/>
              </w:rPr>
              <w:t>($) (E)</w:t>
            </w:r>
          </w:p>
        </w:tc>
        <w:tc>
          <w:tcPr>
            <w:tcW w:w="142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 (F)</w:t>
            </w:r>
          </w:p>
        </w:tc>
        <w:tc>
          <w:tcPr>
            <w:tcW w:w="1080" w:type="dxa"/>
            <w:vAlign w:val="bottom"/>
            <w:tcBorders>
              <w:bottom w:val="single" w:sz="8" w:color="B6B6B6"/>
              <w:right w:val="single" w:sz="8" w:color="DA2031"/>
            </w:tcBorders>
            <w:shd w:val="clear" w:color="auto" w:fill="DA2031"/>
          </w:tcPr>
          <w:p>
            <w:pPr>
              <w:jc w:val="right"/>
              <w:ind w:right="396"/>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B6B6B6"/>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640" w:type="dxa"/>
            <w:vAlign w:val="bottom"/>
            <w:tcBorders>
              <w:left w:val="single" w:sz="8" w:color="B6B6B6"/>
              <w:right w:val="single" w:sz="8" w:color="B6B6B6"/>
            </w:tcBorders>
            <w:gridSpan w:val="9"/>
          </w:tcPr>
          <w:p>
            <w:pPr>
              <w:ind w:left="40"/>
              <w:spacing w:after="0" w:line="116" w:lineRule="exact"/>
              <w:rPr>
                <w:sz w:val="20"/>
                <w:szCs w:val="20"/>
                <w:color w:val="auto"/>
              </w:rPr>
            </w:pPr>
            <w:r>
              <w:rPr>
                <w:rFonts w:ascii="Arial" w:cs="Arial" w:eastAsia="Arial" w:hAnsi="Arial"/>
                <w:sz w:val="13"/>
                <w:szCs w:val="13"/>
                <w:color w:val="auto"/>
              </w:rPr>
              <w:t>Steven J. Bandrowczak</w:t>
            </w:r>
          </w:p>
        </w:tc>
        <w:tc>
          <w:tcPr>
            <w:tcW w:w="480" w:type="dxa"/>
            <w:vAlign w:val="bottom"/>
            <w:gridSpan w:val="2"/>
          </w:tcPr>
          <w:p>
            <w:pPr>
              <w:ind w:left="200"/>
              <w:spacing w:after="0" w:line="116" w:lineRule="exact"/>
              <w:rPr>
                <w:sz w:val="20"/>
                <w:szCs w:val="20"/>
                <w:color w:val="auto"/>
              </w:rPr>
            </w:pPr>
            <w:r>
              <w:rPr>
                <w:rFonts w:ascii="Arial" w:cs="Arial" w:eastAsia="Arial" w:hAnsi="Arial"/>
                <w:sz w:val="13"/>
                <w:szCs w:val="13"/>
                <w:color w:val="auto"/>
                <w:w w:val="89"/>
              </w:rPr>
              <w:t>2025</w:t>
            </w:r>
          </w:p>
        </w:tc>
        <w:tc>
          <w:tcPr>
            <w:tcW w:w="240" w:type="dxa"/>
            <w:vAlign w:val="bottom"/>
            <w:tcBorders>
              <w:right w:val="single" w:sz="8" w:color="B6B6B6"/>
            </w:tcBorders>
          </w:tcPr>
          <w:p>
            <w:pPr>
              <w:spacing w:after="0"/>
              <w:rPr>
                <w:sz w:val="10"/>
                <w:szCs w:val="10"/>
                <w:color w:val="auto"/>
              </w:rPr>
            </w:pPr>
          </w:p>
        </w:tc>
        <w:tc>
          <w:tcPr>
            <w:tcW w:w="1020" w:type="dxa"/>
            <w:vAlign w:val="bottom"/>
            <w:tcBorders>
              <w:right w:val="single" w:sz="8" w:color="B6B6B6"/>
            </w:tcBorders>
          </w:tcPr>
          <w:p>
            <w:pPr>
              <w:jc w:val="right"/>
              <w:ind w:right="16"/>
              <w:spacing w:after="0" w:line="116" w:lineRule="exact"/>
              <w:rPr>
                <w:sz w:val="20"/>
                <w:szCs w:val="20"/>
                <w:color w:val="auto"/>
              </w:rPr>
            </w:pPr>
            <w:r>
              <w:rPr>
                <w:rFonts w:ascii="Arial" w:cs="Arial" w:eastAsia="Arial" w:hAnsi="Arial"/>
                <w:sz w:val="13"/>
                <w:szCs w:val="13"/>
                <w:color w:val="auto"/>
              </w:rPr>
              <w:t>1,100,000</w:t>
            </w:r>
          </w:p>
        </w:tc>
        <w:tc>
          <w:tcPr>
            <w:tcW w:w="620" w:type="dxa"/>
            <w:vAlign w:val="bottom"/>
          </w:tcPr>
          <w:p>
            <w:pPr>
              <w:spacing w:after="0"/>
              <w:rPr>
                <w:sz w:val="10"/>
                <w:szCs w:val="10"/>
                <w:color w:val="auto"/>
              </w:rPr>
            </w:pPr>
          </w:p>
        </w:tc>
        <w:tc>
          <w:tcPr>
            <w:tcW w:w="200" w:type="dxa"/>
            <w:vAlign w:val="bottom"/>
            <w:tcBorders>
              <w:right w:val="single" w:sz="8" w:color="B6B6B6"/>
            </w:tcBorders>
          </w:tcPr>
          <w:p>
            <w:pPr>
              <w:spacing w:after="0" w:line="116" w:lineRule="exact"/>
              <w:rPr>
                <w:sz w:val="20"/>
                <w:szCs w:val="20"/>
                <w:color w:val="auto"/>
              </w:rPr>
            </w:pPr>
            <w:r>
              <w:rPr>
                <w:rFonts w:ascii="Arial" w:cs="Arial" w:eastAsia="Arial" w:hAnsi="Arial"/>
                <w:sz w:val="13"/>
                <w:szCs w:val="13"/>
                <w:color w:val="auto"/>
              </w:rPr>
              <w:t>—</w:t>
            </w:r>
          </w:p>
        </w:tc>
        <w:tc>
          <w:tcPr>
            <w:tcW w:w="1120" w:type="dxa"/>
            <w:vAlign w:val="bottom"/>
            <w:tcBorders>
              <w:right w:val="single" w:sz="8" w:color="B6B6B6"/>
            </w:tcBorders>
          </w:tcPr>
          <w:p>
            <w:pPr>
              <w:jc w:val="right"/>
              <w:ind w:right="16"/>
              <w:spacing w:after="0" w:line="116" w:lineRule="exact"/>
              <w:rPr>
                <w:sz w:val="20"/>
                <w:szCs w:val="20"/>
                <w:color w:val="auto"/>
              </w:rPr>
            </w:pPr>
            <w:r>
              <w:rPr>
                <w:rFonts w:ascii="Arial" w:cs="Arial" w:eastAsia="Arial" w:hAnsi="Arial"/>
                <w:sz w:val="13"/>
                <w:szCs w:val="13"/>
                <w:color w:val="auto"/>
              </w:rPr>
              <w:t>11,466,184</w:t>
            </w:r>
          </w:p>
        </w:tc>
        <w:tc>
          <w:tcPr>
            <w:tcW w:w="1420" w:type="dxa"/>
            <w:vAlign w:val="bottom"/>
            <w:tcBorders>
              <w:right w:val="single" w:sz="8" w:color="B6B6B6"/>
            </w:tcBorders>
          </w:tcPr>
          <w:p>
            <w:pPr>
              <w:jc w:val="right"/>
              <w:ind w:right="15"/>
              <w:spacing w:after="0" w:line="116" w:lineRule="exact"/>
              <w:rPr>
                <w:sz w:val="20"/>
                <w:szCs w:val="20"/>
                <w:color w:val="auto"/>
              </w:rPr>
            </w:pPr>
            <w:r>
              <w:rPr>
                <w:rFonts w:ascii="Arial" w:cs="Arial" w:eastAsia="Arial" w:hAnsi="Arial"/>
                <w:sz w:val="13"/>
                <w:szCs w:val="13"/>
                <w:color w:val="auto"/>
              </w:rPr>
              <w:t>—</w:t>
            </w:r>
          </w:p>
        </w:tc>
        <w:tc>
          <w:tcPr>
            <w:tcW w:w="940" w:type="dxa"/>
            <w:vAlign w:val="bottom"/>
          </w:tcPr>
          <w:p>
            <w:pPr>
              <w:spacing w:after="0"/>
              <w:rPr>
                <w:sz w:val="10"/>
                <w:szCs w:val="10"/>
                <w:color w:val="auto"/>
              </w:rPr>
            </w:pPr>
          </w:p>
        </w:tc>
        <w:tc>
          <w:tcPr>
            <w:tcW w:w="200" w:type="dxa"/>
            <w:vAlign w:val="bottom"/>
            <w:tcBorders>
              <w:right w:val="single" w:sz="8" w:color="B6B6B6"/>
            </w:tcBorders>
          </w:tcPr>
          <w:p>
            <w:pPr>
              <w:jc w:val="right"/>
              <w:ind w:right="17"/>
              <w:spacing w:after="0" w:line="116" w:lineRule="exact"/>
              <w:rPr>
                <w:sz w:val="20"/>
                <w:szCs w:val="20"/>
                <w:color w:val="auto"/>
              </w:rPr>
            </w:pPr>
            <w:r>
              <w:rPr>
                <w:rFonts w:ascii="Arial" w:cs="Arial" w:eastAsia="Arial" w:hAnsi="Arial"/>
                <w:sz w:val="13"/>
                <w:szCs w:val="13"/>
                <w:color w:val="auto"/>
                <w:w w:val="76"/>
              </w:rPr>
              <w:t>—</w:t>
            </w:r>
          </w:p>
        </w:tc>
        <w:tc>
          <w:tcPr>
            <w:tcW w:w="1420" w:type="dxa"/>
            <w:vAlign w:val="bottom"/>
            <w:tcBorders>
              <w:right w:val="single" w:sz="8" w:color="B6B6B6"/>
            </w:tcBorders>
          </w:tcPr>
          <w:p>
            <w:pPr>
              <w:jc w:val="right"/>
              <w:ind w:right="16"/>
              <w:spacing w:after="0" w:line="116" w:lineRule="exact"/>
              <w:rPr>
                <w:sz w:val="20"/>
                <w:szCs w:val="20"/>
                <w:color w:val="auto"/>
              </w:rPr>
            </w:pPr>
            <w:r>
              <w:rPr>
                <w:rFonts w:ascii="Arial" w:cs="Arial" w:eastAsia="Arial" w:hAnsi="Arial"/>
                <w:sz w:val="13"/>
                <w:szCs w:val="13"/>
                <w:color w:val="auto"/>
              </w:rPr>
              <w:t>15,642</w:t>
            </w:r>
          </w:p>
        </w:tc>
        <w:tc>
          <w:tcPr>
            <w:tcW w:w="1080" w:type="dxa"/>
            <w:vAlign w:val="bottom"/>
          </w:tcPr>
          <w:p>
            <w:pPr>
              <w:jc w:val="right"/>
              <w:spacing w:after="0" w:line="116" w:lineRule="exact"/>
              <w:rPr>
                <w:sz w:val="20"/>
                <w:szCs w:val="20"/>
                <w:color w:val="auto"/>
              </w:rPr>
            </w:pPr>
            <w:r>
              <w:rPr>
                <w:rFonts w:ascii="Arial" w:cs="Arial" w:eastAsia="Arial" w:hAnsi="Arial"/>
                <w:sz w:val="13"/>
                <w:szCs w:val="13"/>
                <w:color w:val="auto"/>
              </w:rPr>
              <w:t>12,581,826</w:t>
            </w: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B6B6B6"/>
              <w:right w:val="single" w:sz="8" w:color="B6B6B6"/>
            </w:tcBorders>
            <w:gridSpan w:val="9"/>
          </w:tcPr>
          <w:p>
            <w:pPr>
              <w:ind w:left="40"/>
              <w:spacing w:after="0" w:line="102" w:lineRule="exact"/>
              <w:rPr>
                <w:sz w:val="20"/>
                <w:szCs w:val="20"/>
                <w:color w:val="auto"/>
              </w:rPr>
            </w:pPr>
            <w:r>
              <w:rPr>
                <w:rFonts w:ascii="Arial" w:cs="Arial" w:eastAsia="Arial" w:hAnsi="Arial"/>
                <w:sz w:val="9"/>
                <w:szCs w:val="9"/>
                <w:color w:val="auto"/>
              </w:rPr>
              <w:t>Chief Executive Officer</w:t>
            </w:r>
            <w:r>
              <w:rPr>
                <w:rFonts w:ascii="Arial" w:cs="Arial" w:eastAsia="Arial" w:hAnsi="Arial"/>
                <w:sz w:val="11"/>
                <w:szCs w:val="11"/>
                <w:color w:val="auto"/>
                <w:vertAlign w:val="superscript"/>
              </w:rPr>
              <w:t>(1)</w:t>
            </w:r>
          </w:p>
        </w:tc>
        <w:tc>
          <w:tcPr>
            <w:tcW w:w="200" w:type="dxa"/>
            <w:vAlign w:val="bottom"/>
            <w:tcBorders>
              <w:bottom w:val="single" w:sz="8" w:color="B6B6B6"/>
            </w:tcBorders>
          </w:tcPr>
          <w:p>
            <w:pPr>
              <w:spacing w:after="0"/>
              <w:rPr>
                <w:sz w:val="10"/>
                <w:szCs w:val="10"/>
                <w:color w:val="auto"/>
              </w:rPr>
            </w:pPr>
          </w:p>
        </w:tc>
        <w:tc>
          <w:tcPr>
            <w:tcW w:w="280" w:type="dxa"/>
            <w:vAlign w:val="bottom"/>
            <w:tcBorders>
              <w:bottom w:val="single" w:sz="8" w:color="B6B6B6"/>
            </w:tcBorders>
          </w:tcPr>
          <w:p>
            <w:pPr>
              <w:spacing w:after="0"/>
              <w:rPr>
                <w:sz w:val="10"/>
                <w:szCs w:val="10"/>
                <w:color w:val="auto"/>
              </w:rPr>
            </w:pPr>
          </w:p>
        </w:tc>
        <w:tc>
          <w:tcPr>
            <w:tcW w:w="240" w:type="dxa"/>
            <w:vAlign w:val="bottom"/>
            <w:tcBorders>
              <w:bottom w:val="single" w:sz="8" w:color="B6B6B6"/>
              <w:right w:val="single" w:sz="8" w:color="B6B6B6"/>
            </w:tcBorders>
          </w:tcPr>
          <w:p>
            <w:pPr>
              <w:spacing w:after="0"/>
              <w:rPr>
                <w:sz w:val="10"/>
                <w:szCs w:val="10"/>
                <w:color w:val="auto"/>
              </w:rPr>
            </w:pPr>
          </w:p>
        </w:tc>
        <w:tc>
          <w:tcPr>
            <w:tcW w:w="1020" w:type="dxa"/>
            <w:vAlign w:val="bottom"/>
            <w:tcBorders>
              <w:bottom w:val="single" w:sz="8" w:color="B6B6B6"/>
              <w:right w:val="single" w:sz="8" w:color="B6B6B6"/>
            </w:tcBorders>
          </w:tcPr>
          <w:p>
            <w:pPr>
              <w:spacing w:after="0"/>
              <w:rPr>
                <w:sz w:val="10"/>
                <w:szCs w:val="10"/>
                <w:color w:val="auto"/>
              </w:rPr>
            </w:pPr>
          </w:p>
        </w:tc>
        <w:tc>
          <w:tcPr>
            <w:tcW w:w="620" w:type="dxa"/>
            <w:vAlign w:val="bottom"/>
            <w:tcBorders>
              <w:bottom w:val="single" w:sz="8" w:color="B6B6B6"/>
            </w:tcBorders>
          </w:tcPr>
          <w:p>
            <w:pPr>
              <w:spacing w:after="0"/>
              <w:rPr>
                <w:sz w:val="10"/>
                <w:szCs w:val="10"/>
                <w:color w:val="auto"/>
              </w:rPr>
            </w:pPr>
          </w:p>
        </w:tc>
        <w:tc>
          <w:tcPr>
            <w:tcW w:w="200" w:type="dxa"/>
            <w:vAlign w:val="bottom"/>
            <w:tcBorders>
              <w:bottom w:val="single" w:sz="8" w:color="B6B6B6"/>
              <w:right w:val="single" w:sz="8" w:color="B6B6B6"/>
            </w:tcBorders>
          </w:tcPr>
          <w:p>
            <w:pPr>
              <w:spacing w:after="0"/>
              <w:rPr>
                <w:sz w:val="10"/>
                <w:szCs w:val="10"/>
                <w:color w:val="auto"/>
              </w:rPr>
            </w:pPr>
          </w:p>
        </w:tc>
        <w:tc>
          <w:tcPr>
            <w:tcW w:w="1120" w:type="dxa"/>
            <w:vAlign w:val="bottom"/>
            <w:tcBorders>
              <w:bottom w:val="single" w:sz="8" w:color="B6B6B6"/>
              <w:right w:val="single" w:sz="8" w:color="B6B6B6"/>
            </w:tcBorders>
          </w:tcPr>
          <w:p>
            <w:pPr>
              <w:spacing w:after="0"/>
              <w:rPr>
                <w:sz w:val="10"/>
                <w:szCs w:val="10"/>
                <w:color w:val="auto"/>
              </w:rPr>
            </w:pPr>
          </w:p>
        </w:tc>
        <w:tc>
          <w:tcPr>
            <w:tcW w:w="1420" w:type="dxa"/>
            <w:vAlign w:val="bottom"/>
            <w:tcBorders>
              <w:bottom w:val="single" w:sz="8" w:color="B6B6B6"/>
              <w:right w:val="single" w:sz="8" w:color="B6B6B6"/>
            </w:tcBorders>
          </w:tcPr>
          <w:p>
            <w:pPr>
              <w:spacing w:after="0"/>
              <w:rPr>
                <w:sz w:val="10"/>
                <w:szCs w:val="10"/>
                <w:color w:val="auto"/>
              </w:rPr>
            </w:pPr>
          </w:p>
        </w:tc>
        <w:tc>
          <w:tcPr>
            <w:tcW w:w="940" w:type="dxa"/>
            <w:vAlign w:val="bottom"/>
            <w:tcBorders>
              <w:bottom w:val="single" w:sz="8" w:color="B6B6B6"/>
            </w:tcBorders>
          </w:tcPr>
          <w:p>
            <w:pPr>
              <w:spacing w:after="0"/>
              <w:rPr>
                <w:sz w:val="10"/>
                <w:szCs w:val="10"/>
                <w:color w:val="auto"/>
              </w:rPr>
            </w:pPr>
          </w:p>
        </w:tc>
        <w:tc>
          <w:tcPr>
            <w:tcW w:w="200" w:type="dxa"/>
            <w:vAlign w:val="bottom"/>
            <w:tcBorders>
              <w:bottom w:val="single" w:sz="8" w:color="B6B6B6"/>
              <w:right w:val="single" w:sz="8" w:color="B6B6B6"/>
            </w:tcBorders>
          </w:tcPr>
          <w:p>
            <w:pPr>
              <w:spacing w:after="0"/>
              <w:rPr>
                <w:sz w:val="10"/>
                <w:szCs w:val="10"/>
                <w:color w:val="auto"/>
              </w:rPr>
            </w:pPr>
          </w:p>
        </w:tc>
        <w:tc>
          <w:tcPr>
            <w:tcW w:w="1420" w:type="dxa"/>
            <w:vAlign w:val="bottom"/>
            <w:tcBorders>
              <w:bottom w:val="single" w:sz="8" w:color="B6B6B6"/>
              <w:right w:val="single" w:sz="8" w:color="B6B6B6"/>
            </w:tcBorders>
          </w:tcPr>
          <w:p>
            <w:pPr>
              <w:spacing w:after="0"/>
              <w:rPr>
                <w:sz w:val="10"/>
                <w:szCs w:val="10"/>
                <w:color w:val="auto"/>
              </w:rPr>
            </w:pPr>
          </w:p>
        </w:tc>
        <w:tc>
          <w:tcPr>
            <w:tcW w:w="1080" w:type="dxa"/>
            <w:vAlign w:val="bottom"/>
            <w:tcBorders>
              <w:bottom w:val="single" w:sz="8" w:color="B6B6B6"/>
            </w:tcBorders>
          </w:tcPr>
          <w:p>
            <w:pPr>
              <w:spacing w:after="0"/>
              <w:rPr>
                <w:sz w:val="10"/>
                <w:szCs w:val="10"/>
                <w:color w:val="auto"/>
              </w:rPr>
            </w:pPr>
          </w:p>
        </w:tc>
        <w:tc>
          <w:tcPr>
            <w:tcW w:w="20" w:type="dxa"/>
            <w:vAlign w:val="bottom"/>
            <w:tcBorders>
              <w:bottom w:val="single" w:sz="8" w:color="B6B6B6"/>
            </w:tcBorders>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40" w:type="dxa"/>
            <w:vAlign w:val="bottom"/>
            <w:tcBorders>
              <w:left w:val="single" w:sz="8" w:color="B6B6B6"/>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right w:val="single" w:sz="8" w:color="B6B6B6"/>
            </w:tcBorders>
          </w:tcPr>
          <w:p>
            <w:pPr>
              <w:spacing w:after="0"/>
              <w:rPr>
                <w:sz w:val="13"/>
                <w:szCs w:val="13"/>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w w:val="89"/>
              </w:rPr>
              <w:t>2024</w:t>
            </w:r>
          </w:p>
        </w:tc>
        <w:tc>
          <w:tcPr>
            <w:tcW w:w="240" w:type="dxa"/>
            <w:vAlign w:val="bottom"/>
            <w:tcBorders>
              <w:right w:val="single" w:sz="8" w:color="B6B6B6"/>
            </w:tcBorders>
          </w:tcPr>
          <w:p>
            <w:pPr>
              <w:spacing w:after="0"/>
              <w:rPr>
                <w:sz w:val="13"/>
                <w:szCs w:val="13"/>
                <w:color w:val="auto"/>
              </w:rPr>
            </w:pPr>
          </w:p>
        </w:tc>
        <w:tc>
          <w:tcPr>
            <w:tcW w:w="10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1,066,667</w:t>
            </w:r>
          </w:p>
        </w:tc>
        <w:tc>
          <w:tcPr>
            <w:tcW w:w="620" w:type="dxa"/>
            <w:vAlign w:val="bottom"/>
          </w:tcPr>
          <w:p>
            <w:pPr>
              <w:spacing w:after="0"/>
              <w:rPr>
                <w:sz w:val="13"/>
                <w:szCs w:val="13"/>
                <w:color w:val="auto"/>
              </w:rPr>
            </w:pPr>
          </w:p>
        </w:tc>
        <w:tc>
          <w:tcPr>
            <w:tcW w:w="200" w:type="dxa"/>
            <w:vAlign w:val="bottom"/>
            <w:tcBorders>
              <w:right w:val="single" w:sz="8" w:color="B6B6B6"/>
            </w:tcBorders>
          </w:tcPr>
          <w:p>
            <w:pPr>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11,879,791</w:t>
            </w:r>
          </w:p>
        </w:tc>
        <w:tc>
          <w:tcPr>
            <w:tcW w:w="1420" w:type="dxa"/>
            <w:vAlign w:val="bottom"/>
            <w:tcBorders>
              <w:right w:val="single" w:sz="8" w:color="B6B6B6"/>
            </w:tcBorders>
          </w:tcPr>
          <w:p>
            <w:pPr>
              <w:jc w:val="right"/>
              <w:ind w:right="15"/>
              <w:spacing w:after="0"/>
              <w:rPr>
                <w:sz w:val="20"/>
                <w:szCs w:val="20"/>
                <w:color w:val="auto"/>
              </w:rPr>
            </w:pPr>
            <w:r>
              <w:rPr>
                <w:rFonts w:ascii="Arial" w:cs="Arial" w:eastAsia="Arial" w:hAnsi="Arial"/>
                <w:sz w:val="13"/>
                <w:szCs w:val="13"/>
                <w:color w:val="auto"/>
              </w:rPr>
              <w:t>1,269,333</w:t>
            </w:r>
          </w:p>
        </w:tc>
        <w:tc>
          <w:tcPr>
            <w:tcW w:w="940" w:type="dxa"/>
            <w:vAlign w:val="bottom"/>
          </w:tcPr>
          <w:p>
            <w:pPr>
              <w:spacing w:after="0"/>
              <w:rPr>
                <w:sz w:val="13"/>
                <w:szCs w:val="13"/>
                <w:color w:val="auto"/>
              </w:rPr>
            </w:pPr>
          </w:p>
        </w:tc>
        <w:tc>
          <w:tcPr>
            <w:tcW w:w="200" w:type="dxa"/>
            <w:vAlign w:val="bottom"/>
            <w:tcBorders>
              <w:right w:val="single" w:sz="8" w:color="B6B6B6"/>
            </w:tcBorders>
          </w:tcPr>
          <w:p>
            <w:pPr>
              <w:jc w:val="right"/>
              <w:ind w:right="17"/>
              <w:spacing w:after="0"/>
              <w:rPr>
                <w:sz w:val="20"/>
                <w:szCs w:val="20"/>
                <w:color w:val="auto"/>
              </w:rPr>
            </w:pPr>
            <w:r>
              <w:rPr>
                <w:rFonts w:ascii="Arial" w:cs="Arial" w:eastAsia="Arial" w:hAnsi="Arial"/>
                <w:sz w:val="13"/>
                <w:szCs w:val="13"/>
                <w:color w:val="auto"/>
                <w:w w:val="76"/>
              </w:rPr>
              <w:t>—</w:t>
            </w:r>
          </w:p>
        </w:tc>
        <w:tc>
          <w:tcPr>
            <w:tcW w:w="14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104,851</w:t>
            </w:r>
          </w:p>
        </w:tc>
        <w:tc>
          <w:tcPr>
            <w:tcW w:w="1080" w:type="dxa"/>
            <w:vAlign w:val="bottom"/>
          </w:tcPr>
          <w:p>
            <w:pPr>
              <w:jc w:val="right"/>
              <w:spacing w:after="0"/>
              <w:rPr>
                <w:sz w:val="20"/>
                <w:szCs w:val="20"/>
                <w:color w:val="auto"/>
              </w:rPr>
            </w:pPr>
            <w:r>
              <w:rPr>
                <w:rFonts w:ascii="Arial" w:cs="Arial" w:eastAsia="Arial" w:hAnsi="Arial"/>
                <w:sz w:val="13"/>
                <w:szCs w:val="13"/>
                <w:color w:val="auto"/>
              </w:rPr>
              <w:t>14,320,642</w:t>
            </w:r>
          </w:p>
        </w:tc>
        <w:tc>
          <w:tcPr>
            <w:tcW w:w="20" w:type="dxa"/>
            <w:vAlign w:val="bottom"/>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840" w:type="dxa"/>
            <w:vAlign w:val="bottom"/>
            <w:tcBorders>
              <w:left w:val="single" w:sz="8" w:color="B6B6B6"/>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right w:val="single" w:sz="8" w:color="B6B6B6"/>
            </w:tcBorders>
          </w:tcPr>
          <w:p>
            <w:pPr>
              <w:spacing w:after="0"/>
              <w:rPr>
                <w:sz w:val="6"/>
                <w:szCs w:val="6"/>
                <w:color w:val="auto"/>
              </w:rPr>
            </w:pPr>
          </w:p>
        </w:tc>
        <w:tc>
          <w:tcPr>
            <w:tcW w:w="200" w:type="dxa"/>
            <w:vAlign w:val="bottom"/>
            <w:tcBorders>
              <w:bottom w:val="single" w:sz="8" w:color="B6B6B6"/>
            </w:tcBorders>
          </w:tcPr>
          <w:p>
            <w:pPr>
              <w:spacing w:after="0"/>
              <w:rPr>
                <w:sz w:val="6"/>
                <w:szCs w:val="6"/>
                <w:color w:val="auto"/>
              </w:rPr>
            </w:pPr>
          </w:p>
        </w:tc>
        <w:tc>
          <w:tcPr>
            <w:tcW w:w="280" w:type="dxa"/>
            <w:vAlign w:val="bottom"/>
            <w:tcBorders>
              <w:bottom w:val="single" w:sz="8" w:color="B6B6B6"/>
            </w:tcBorders>
          </w:tcPr>
          <w:p>
            <w:pPr>
              <w:spacing w:after="0"/>
              <w:rPr>
                <w:sz w:val="6"/>
                <w:szCs w:val="6"/>
                <w:color w:val="auto"/>
              </w:rPr>
            </w:pPr>
          </w:p>
        </w:tc>
        <w:tc>
          <w:tcPr>
            <w:tcW w:w="240" w:type="dxa"/>
            <w:vAlign w:val="bottom"/>
            <w:tcBorders>
              <w:bottom w:val="single" w:sz="8" w:color="B6B6B6"/>
              <w:right w:val="single" w:sz="8" w:color="B6B6B6"/>
            </w:tcBorders>
          </w:tcPr>
          <w:p>
            <w:pPr>
              <w:spacing w:after="0"/>
              <w:rPr>
                <w:sz w:val="6"/>
                <w:szCs w:val="6"/>
                <w:color w:val="auto"/>
              </w:rPr>
            </w:pPr>
          </w:p>
        </w:tc>
        <w:tc>
          <w:tcPr>
            <w:tcW w:w="1020" w:type="dxa"/>
            <w:vAlign w:val="bottom"/>
            <w:tcBorders>
              <w:bottom w:val="single" w:sz="8" w:color="B6B6B6"/>
              <w:right w:val="single" w:sz="8" w:color="B6B6B6"/>
            </w:tcBorders>
          </w:tcPr>
          <w:p>
            <w:pPr>
              <w:spacing w:after="0"/>
              <w:rPr>
                <w:sz w:val="6"/>
                <w:szCs w:val="6"/>
                <w:color w:val="auto"/>
              </w:rPr>
            </w:pPr>
          </w:p>
        </w:tc>
        <w:tc>
          <w:tcPr>
            <w:tcW w:w="620" w:type="dxa"/>
            <w:vAlign w:val="bottom"/>
            <w:tcBorders>
              <w:bottom w:val="single" w:sz="8" w:color="B6B6B6"/>
            </w:tcBorders>
          </w:tcPr>
          <w:p>
            <w:pPr>
              <w:spacing w:after="0"/>
              <w:rPr>
                <w:sz w:val="6"/>
                <w:szCs w:val="6"/>
                <w:color w:val="auto"/>
              </w:rPr>
            </w:pPr>
          </w:p>
        </w:tc>
        <w:tc>
          <w:tcPr>
            <w:tcW w:w="200" w:type="dxa"/>
            <w:vAlign w:val="bottom"/>
            <w:tcBorders>
              <w:bottom w:val="single" w:sz="8" w:color="B6B6B6"/>
              <w:right w:val="single" w:sz="8" w:color="B6B6B6"/>
            </w:tcBorders>
          </w:tcPr>
          <w:p>
            <w:pPr>
              <w:spacing w:after="0"/>
              <w:rPr>
                <w:sz w:val="6"/>
                <w:szCs w:val="6"/>
                <w:color w:val="auto"/>
              </w:rPr>
            </w:pPr>
          </w:p>
        </w:tc>
        <w:tc>
          <w:tcPr>
            <w:tcW w:w="1120" w:type="dxa"/>
            <w:vAlign w:val="bottom"/>
            <w:tcBorders>
              <w:bottom w:val="single" w:sz="8" w:color="B6B6B6"/>
              <w:right w:val="single" w:sz="8" w:color="B6B6B6"/>
            </w:tcBorders>
          </w:tcPr>
          <w:p>
            <w:pPr>
              <w:spacing w:after="0"/>
              <w:rPr>
                <w:sz w:val="6"/>
                <w:szCs w:val="6"/>
                <w:color w:val="auto"/>
              </w:rPr>
            </w:pPr>
          </w:p>
        </w:tc>
        <w:tc>
          <w:tcPr>
            <w:tcW w:w="1420" w:type="dxa"/>
            <w:vAlign w:val="bottom"/>
            <w:tcBorders>
              <w:bottom w:val="single" w:sz="8" w:color="B6B6B6"/>
              <w:right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200" w:type="dxa"/>
            <w:vAlign w:val="bottom"/>
            <w:tcBorders>
              <w:bottom w:val="single" w:sz="8" w:color="B6B6B6"/>
              <w:right w:val="single" w:sz="8" w:color="B6B6B6"/>
            </w:tcBorders>
          </w:tcPr>
          <w:p>
            <w:pPr>
              <w:spacing w:after="0"/>
              <w:rPr>
                <w:sz w:val="6"/>
                <w:szCs w:val="6"/>
                <w:color w:val="auto"/>
              </w:rPr>
            </w:pPr>
          </w:p>
        </w:tc>
        <w:tc>
          <w:tcPr>
            <w:tcW w:w="1420" w:type="dxa"/>
            <w:vAlign w:val="bottom"/>
            <w:tcBorders>
              <w:bottom w:val="single" w:sz="8" w:color="B6B6B6"/>
              <w:right w:val="single" w:sz="8" w:color="B6B6B6"/>
            </w:tcBorders>
          </w:tcPr>
          <w:p>
            <w:pPr>
              <w:spacing w:after="0"/>
              <w:rPr>
                <w:sz w:val="6"/>
                <w:szCs w:val="6"/>
                <w:color w:val="auto"/>
              </w:rPr>
            </w:pPr>
          </w:p>
        </w:tc>
        <w:tc>
          <w:tcPr>
            <w:tcW w:w="1080" w:type="dxa"/>
            <w:vAlign w:val="bottom"/>
            <w:tcBorders>
              <w:bottom w:val="single" w:sz="8" w:color="B6B6B6"/>
            </w:tcBorders>
          </w:tcPr>
          <w:p>
            <w:pPr>
              <w:spacing w:after="0"/>
              <w:rPr>
                <w:sz w:val="6"/>
                <w:szCs w:val="6"/>
                <w:color w:val="auto"/>
              </w:rPr>
            </w:pPr>
          </w:p>
        </w:tc>
        <w:tc>
          <w:tcPr>
            <w:tcW w:w="20" w:type="dxa"/>
            <w:vAlign w:val="bottom"/>
            <w:tcBorders>
              <w:bottom w:val="single" w:sz="8" w:color="B6B6B6"/>
            </w:tcBorders>
            <w:shd w:val="clear" w:color="auto" w:fill="B6B6B6"/>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840" w:type="dxa"/>
            <w:vAlign w:val="bottom"/>
            <w:tcBorders>
              <w:left w:val="single" w:sz="8" w:color="B6B6B6"/>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right w:val="single" w:sz="8" w:color="B6B6B6"/>
            </w:tcBorders>
          </w:tcPr>
          <w:p>
            <w:pPr>
              <w:spacing w:after="0"/>
              <w:rPr>
                <w:sz w:val="13"/>
                <w:szCs w:val="13"/>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w w:val="89"/>
              </w:rPr>
              <w:t>2023</w:t>
            </w:r>
          </w:p>
        </w:tc>
        <w:tc>
          <w:tcPr>
            <w:tcW w:w="240" w:type="dxa"/>
            <w:vAlign w:val="bottom"/>
            <w:tcBorders>
              <w:right w:val="single" w:sz="8" w:color="B6B6B6"/>
            </w:tcBorders>
          </w:tcPr>
          <w:p>
            <w:pPr>
              <w:spacing w:after="0"/>
              <w:rPr>
                <w:sz w:val="13"/>
                <w:szCs w:val="13"/>
                <w:color w:val="auto"/>
              </w:rPr>
            </w:pPr>
          </w:p>
        </w:tc>
        <w:tc>
          <w:tcPr>
            <w:tcW w:w="10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1,000,000</w:t>
            </w:r>
          </w:p>
        </w:tc>
        <w:tc>
          <w:tcPr>
            <w:tcW w:w="620" w:type="dxa"/>
            <w:vAlign w:val="bottom"/>
          </w:tcPr>
          <w:p>
            <w:pPr>
              <w:spacing w:after="0"/>
              <w:rPr>
                <w:sz w:val="13"/>
                <w:szCs w:val="13"/>
                <w:color w:val="auto"/>
              </w:rPr>
            </w:pPr>
          </w:p>
        </w:tc>
        <w:tc>
          <w:tcPr>
            <w:tcW w:w="200" w:type="dxa"/>
            <w:vAlign w:val="bottom"/>
            <w:tcBorders>
              <w:right w:val="single" w:sz="8" w:color="B6B6B6"/>
            </w:tcBorders>
          </w:tcPr>
          <w:p>
            <w:pPr>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8,556,086</w:t>
            </w:r>
          </w:p>
        </w:tc>
        <w:tc>
          <w:tcPr>
            <w:tcW w:w="1420" w:type="dxa"/>
            <w:vAlign w:val="bottom"/>
            <w:tcBorders>
              <w:right w:val="single" w:sz="8" w:color="B6B6B6"/>
            </w:tcBorders>
          </w:tcPr>
          <w:p>
            <w:pPr>
              <w:jc w:val="right"/>
              <w:ind w:right="15"/>
              <w:spacing w:after="0"/>
              <w:rPr>
                <w:sz w:val="20"/>
                <w:szCs w:val="20"/>
                <w:color w:val="auto"/>
              </w:rPr>
            </w:pPr>
            <w:r>
              <w:rPr>
                <w:rFonts w:ascii="Arial" w:cs="Arial" w:eastAsia="Arial" w:hAnsi="Arial"/>
                <w:sz w:val="13"/>
                <w:szCs w:val="13"/>
                <w:color w:val="auto"/>
              </w:rPr>
              <w:t>3,278,700</w:t>
            </w:r>
          </w:p>
        </w:tc>
        <w:tc>
          <w:tcPr>
            <w:tcW w:w="940" w:type="dxa"/>
            <w:vAlign w:val="bottom"/>
          </w:tcPr>
          <w:p>
            <w:pPr>
              <w:spacing w:after="0"/>
              <w:rPr>
                <w:sz w:val="13"/>
                <w:szCs w:val="13"/>
                <w:color w:val="auto"/>
              </w:rPr>
            </w:pPr>
          </w:p>
        </w:tc>
        <w:tc>
          <w:tcPr>
            <w:tcW w:w="200" w:type="dxa"/>
            <w:vAlign w:val="bottom"/>
            <w:tcBorders>
              <w:right w:val="single" w:sz="8" w:color="B6B6B6"/>
            </w:tcBorders>
          </w:tcPr>
          <w:p>
            <w:pPr>
              <w:jc w:val="right"/>
              <w:ind w:right="17"/>
              <w:spacing w:after="0"/>
              <w:rPr>
                <w:sz w:val="20"/>
                <w:szCs w:val="20"/>
                <w:color w:val="auto"/>
              </w:rPr>
            </w:pPr>
            <w:r>
              <w:rPr>
                <w:rFonts w:ascii="Arial" w:cs="Arial" w:eastAsia="Arial" w:hAnsi="Arial"/>
                <w:sz w:val="13"/>
                <w:szCs w:val="13"/>
                <w:color w:val="auto"/>
                <w:w w:val="76"/>
              </w:rPr>
              <w:t>—</w:t>
            </w:r>
          </w:p>
        </w:tc>
        <w:tc>
          <w:tcPr>
            <w:tcW w:w="14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9,900</w:t>
            </w:r>
          </w:p>
        </w:tc>
        <w:tc>
          <w:tcPr>
            <w:tcW w:w="1080" w:type="dxa"/>
            <w:vAlign w:val="bottom"/>
          </w:tcPr>
          <w:p>
            <w:pPr>
              <w:jc w:val="right"/>
              <w:spacing w:after="0"/>
              <w:rPr>
                <w:sz w:val="20"/>
                <w:szCs w:val="20"/>
                <w:color w:val="auto"/>
              </w:rPr>
            </w:pPr>
            <w:r>
              <w:rPr>
                <w:rFonts w:ascii="Arial" w:cs="Arial" w:eastAsia="Arial" w:hAnsi="Arial"/>
                <w:sz w:val="13"/>
                <w:szCs w:val="13"/>
                <w:color w:val="auto"/>
              </w:rPr>
              <w:t>12,844,686</w:t>
            </w:r>
          </w:p>
        </w:tc>
        <w:tc>
          <w:tcPr>
            <w:tcW w:w="20" w:type="dxa"/>
            <w:vAlign w:val="bottom"/>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840" w:type="dxa"/>
            <w:vAlign w:val="bottom"/>
            <w:tcBorders>
              <w:left w:val="single" w:sz="8" w:color="B6B6B6"/>
              <w:bottom w:val="single" w:sz="8" w:color="B6B6B6"/>
            </w:tcBorders>
          </w:tcPr>
          <w:p>
            <w:pPr>
              <w:spacing w:after="0"/>
              <w:rPr>
                <w:sz w:val="6"/>
                <w:szCs w:val="6"/>
                <w:color w:val="auto"/>
              </w:rPr>
            </w:pPr>
          </w:p>
        </w:tc>
        <w:tc>
          <w:tcPr>
            <w:tcW w:w="160" w:type="dxa"/>
            <w:vAlign w:val="bottom"/>
            <w:tcBorders>
              <w:bottom w:val="single" w:sz="8" w:color="B6B6B6"/>
            </w:tcBorders>
          </w:tcPr>
          <w:p>
            <w:pPr>
              <w:spacing w:after="0"/>
              <w:rPr>
                <w:sz w:val="6"/>
                <w:szCs w:val="6"/>
                <w:color w:val="auto"/>
              </w:rPr>
            </w:pPr>
          </w:p>
        </w:tc>
        <w:tc>
          <w:tcPr>
            <w:tcW w:w="100" w:type="dxa"/>
            <w:vAlign w:val="bottom"/>
            <w:tcBorders>
              <w:bottom w:val="single" w:sz="8" w:color="B6B6B6"/>
            </w:tcBorders>
          </w:tcPr>
          <w:p>
            <w:pPr>
              <w:spacing w:after="0"/>
              <w:rPr>
                <w:sz w:val="6"/>
                <w:szCs w:val="6"/>
                <w:color w:val="auto"/>
              </w:rPr>
            </w:pPr>
          </w:p>
        </w:tc>
        <w:tc>
          <w:tcPr>
            <w:tcW w:w="60" w:type="dxa"/>
            <w:vAlign w:val="bottom"/>
            <w:tcBorders>
              <w:bottom w:val="single" w:sz="8" w:color="B6B6B6"/>
            </w:tcBorders>
          </w:tcPr>
          <w:p>
            <w:pPr>
              <w:spacing w:after="0"/>
              <w:rPr>
                <w:sz w:val="6"/>
                <w:szCs w:val="6"/>
                <w:color w:val="auto"/>
              </w:rPr>
            </w:pPr>
          </w:p>
        </w:tc>
        <w:tc>
          <w:tcPr>
            <w:tcW w:w="120" w:type="dxa"/>
            <w:vAlign w:val="bottom"/>
            <w:tcBorders>
              <w:bottom w:val="single" w:sz="8" w:color="B6B6B6"/>
            </w:tcBorders>
          </w:tcPr>
          <w:p>
            <w:pPr>
              <w:spacing w:after="0"/>
              <w:rPr>
                <w:sz w:val="6"/>
                <w:szCs w:val="6"/>
                <w:color w:val="auto"/>
              </w:rPr>
            </w:pPr>
          </w:p>
        </w:tc>
        <w:tc>
          <w:tcPr>
            <w:tcW w:w="60" w:type="dxa"/>
            <w:vAlign w:val="bottom"/>
            <w:tcBorders>
              <w:bottom w:val="single" w:sz="8" w:color="B6B6B6"/>
            </w:tcBorders>
          </w:tcPr>
          <w:p>
            <w:pPr>
              <w:spacing w:after="0"/>
              <w:rPr>
                <w:sz w:val="6"/>
                <w:szCs w:val="6"/>
                <w:color w:val="auto"/>
              </w:rPr>
            </w:pPr>
          </w:p>
        </w:tc>
        <w:tc>
          <w:tcPr>
            <w:tcW w:w="40" w:type="dxa"/>
            <w:vAlign w:val="bottom"/>
            <w:tcBorders>
              <w:bottom w:val="single" w:sz="8" w:color="B6B6B6"/>
            </w:tcBorders>
          </w:tcPr>
          <w:p>
            <w:pPr>
              <w:spacing w:after="0"/>
              <w:rPr>
                <w:sz w:val="6"/>
                <w:szCs w:val="6"/>
                <w:color w:val="auto"/>
              </w:rPr>
            </w:pPr>
          </w:p>
        </w:tc>
        <w:tc>
          <w:tcPr>
            <w:tcW w:w="80" w:type="dxa"/>
            <w:vAlign w:val="bottom"/>
            <w:tcBorders>
              <w:bottom w:val="single" w:sz="8" w:color="B6B6B6"/>
            </w:tcBorders>
          </w:tcPr>
          <w:p>
            <w:pPr>
              <w:spacing w:after="0"/>
              <w:rPr>
                <w:sz w:val="6"/>
                <w:szCs w:val="6"/>
                <w:color w:val="auto"/>
              </w:rPr>
            </w:pPr>
          </w:p>
        </w:tc>
        <w:tc>
          <w:tcPr>
            <w:tcW w:w="180" w:type="dxa"/>
            <w:vAlign w:val="bottom"/>
            <w:tcBorders>
              <w:bottom w:val="single" w:sz="8" w:color="B6B6B6"/>
              <w:right w:val="single" w:sz="8" w:color="B6B6B6"/>
            </w:tcBorders>
          </w:tcPr>
          <w:p>
            <w:pPr>
              <w:spacing w:after="0"/>
              <w:rPr>
                <w:sz w:val="6"/>
                <w:szCs w:val="6"/>
                <w:color w:val="auto"/>
              </w:rPr>
            </w:pPr>
          </w:p>
        </w:tc>
        <w:tc>
          <w:tcPr>
            <w:tcW w:w="200" w:type="dxa"/>
            <w:vAlign w:val="bottom"/>
            <w:tcBorders>
              <w:bottom w:val="single" w:sz="8" w:color="B6B6B6"/>
            </w:tcBorders>
          </w:tcPr>
          <w:p>
            <w:pPr>
              <w:spacing w:after="0"/>
              <w:rPr>
                <w:sz w:val="6"/>
                <w:szCs w:val="6"/>
                <w:color w:val="auto"/>
              </w:rPr>
            </w:pPr>
          </w:p>
        </w:tc>
        <w:tc>
          <w:tcPr>
            <w:tcW w:w="280" w:type="dxa"/>
            <w:vAlign w:val="bottom"/>
            <w:tcBorders>
              <w:bottom w:val="single" w:sz="8" w:color="B6B6B6"/>
            </w:tcBorders>
          </w:tcPr>
          <w:p>
            <w:pPr>
              <w:spacing w:after="0"/>
              <w:rPr>
                <w:sz w:val="6"/>
                <w:szCs w:val="6"/>
                <w:color w:val="auto"/>
              </w:rPr>
            </w:pPr>
          </w:p>
        </w:tc>
        <w:tc>
          <w:tcPr>
            <w:tcW w:w="240" w:type="dxa"/>
            <w:vAlign w:val="bottom"/>
            <w:tcBorders>
              <w:bottom w:val="single" w:sz="8" w:color="B6B6B6"/>
              <w:right w:val="single" w:sz="8" w:color="B6B6B6"/>
            </w:tcBorders>
          </w:tcPr>
          <w:p>
            <w:pPr>
              <w:spacing w:after="0"/>
              <w:rPr>
                <w:sz w:val="6"/>
                <w:szCs w:val="6"/>
                <w:color w:val="auto"/>
              </w:rPr>
            </w:pPr>
          </w:p>
        </w:tc>
        <w:tc>
          <w:tcPr>
            <w:tcW w:w="1020" w:type="dxa"/>
            <w:vAlign w:val="bottom"/>
            <w:tcBorders>
              <w:bottom w:val="single" w:sz="8" w:color="B6B6B6"/>
              <w:right w:val="single" w:sz="8" w:color="B6B6B6"/>
            </w:tcBorders>
          </w:tcPr>
          <w:p>
            <w:pPr>
              <w:spacing w:after="0"/>
              <w:rPr>
                <w:sz w:val="6"/>
                <w:szCs w:val="6"/>
                <w:color w:val="auto"/>
              </w:rPr>
            </w:pPr>
          </w:p>
        </w:tc>
        <w:tc>
          <w:tcPr>
            <w:tcW w:w="620" w:type="dxa"/>
            <w:vAlign w:val="bottom"/>
            <w:tcBorders>
              <w:bottom w:val="single" w:sz="8" w:color="B6B6B6"/>
            </w:tcBorders>
          </w:tcPr>
          <w:p>
            <w:pPr>
              <w:spacing w:after="0"/>
              <w:rPr>
                <w:sz w:val="6"/>
                <w:szCs w:val="6"/>
                <w:color w:val="auto"/>
              </w:rPr>
            </w:pPr>
          </w:p>
        </w:tc>
        <w:tc>
          <w:tcPr>
            <w:tcW w:w="200" w:type="dxa"/>
            <w:vAlign w:val="bottom"/>
            <w:tcBorders>
              <w:bottom w:val="single" w:sz="8" w:color="B6B6B6"/>
              <w:right w:val="single" w:sz="8" w:color="B6B6B6"/>
            </w:tcBorders>
          </w:tcPr>
          <w:p>
            <w:pPr>
              <w:spacing w:after="0"/>
              <w:rPr>
                <w:sz w:val="6"/>
                <w:szCs w:val="6"/>
                <w:color w:val="auto"/>
              </w:rPr>
            </w:pPr>
          </w:p>
        </w:tc>
        <w:tc>
          <w:tcPr>
            <w:tcW w:w="1120" w:type="dxa"/>
            <w:vAlign w:val="bottom"/>
            <w:tcBorders>
              <w:bottom w:val="single" w:sz="8" w:color="B6B6B6"/>
              <w:right w:val="single" w:sz="8" w:color="B6B6B6"/>
            </w:tcBorders>
          </w:tcPr>
          <w:p>
            <w:pPr>
              <w:spacing w:after="0"/>
              <w:rPr>
                <w:sz w:val="6"/>
                <w:szCs w:val="6"/>
                <w:color w:val="auto"/>
              </w:rPr>
            </w:pPr>
          </w:p>
        </w:tc>
        <w:tc>
          <w:tcPr>
            <w:tcW w:w="1420" w:type="dxa"/>
            <w:vAlign w:val="bottom"/>
            <w:tcBorders>
              <w:bottom w:val="single" w:sz="8" w:color="B6B6B6"/>
              <w:right w:val="single" w:sz="8" w:color="B6B6B6"/>
            </w:tcBorders>
          </w:tcPr>
          <w:p>
            <w:pPr>
              <w:spacing w:after="0"/>
              <w:rPr>
                <w:sz w:val="6"/>
                <w:szCs w:val="6"/>
                <w:color w:val="auto"/>
              </w:rPr>
            </w:pPr>
          </w:p>
        </w:tc>
        <w:tc>
          <w:tcPr>
            <w:tcW w:w="940" w:type="dxa"/>
            <w:vAlign w:val="bottom"/>
            <w:tcBorders>
              <w:bottom w:val="single" w:sz="8" w:color="B6B6B6"/>
            </w:tcBorders>
          </w:tcPr>
          <w:p>
            <w:pPr>
              <w:spacing w:after="0"/>
              <w:rPr>
                <w:sz w:val="6"/>
                <w:szCs w:val="6"/>
                <w:color w:val="auto"/>
              </w:rPr>
            </w:pPr>
          </w:p>
        </w:tc>
        <w:tc>
          <w:tcPr>
            <w:tcW w:w="200" w:type="dxa"/>
            <w:vAlign w:val="bottom"/>
            <w:tcBorders>
              <w:bottom w:val="single" w:sz="8" w:color="B6B6B6"/>
              <w:right w:val="single" w:sz="8" w:color="B6B6B6"/>
            </w:tcBorders>
          </w:tcPr>
          <w:p>
            <w:pPr>
              <w:spacing w:after="0"/>
              <w:rPr>
                <w:sz w:val="6"/>
                <w:szCs w:val="6"/>
                <w:color w:val="auto"/>
              </w:rPr>
            </w:pPr>
          </w:p>
        </w:tc>
        <w:tc>
          <w:tcPr>
            <w:tcW w:w="1420" w:type="dxa"/>
            <w:vAlign w:val="bottom"/>
            <w:tcBorders>
              <w:bottom w:val="single" w:sz="8" w:color="B6B6B6"/>
              <w:right w:val="single" w:sz="8" w:color="B6B6B6"/>
            </w:tcBorders>
          </w:tcPr>
          <w:p>
            <w:pPr>
              <w:spacing w:after="0"/>
              <w:rPr>
                <w:sz w:val="6"/>
                <w:szCs w:val="6"/>
                <w:color w:val="auto"/>
              </w:rPr>
            </w:pPr>
          </w:p>
        </w:tc>
        <w:tc>
          <w:tcPr>
            <w:tcW w:w="1080" w:type="dxa"/>
            <w:vAlign w:val="bottom"/>
            <w:tcBorders>
              <w:bottom w:val="single" w:sz="8" w:color="B6B6B6"/>
            </w:tcBorders>
          </w:tcPr>
          <w:p>
            <w:pPr>
              <w:spacing w:after="0"/>
              <w:rPr>
                <w:sz w:val="6"/>
                <w:szCs w:val="6"/>
                <w:color w:val="auto"/>
              </w:rPr>
            </w:pPr>
          </w:p>
        </w:tc>
        <w:tc>
          <w:tcPr>
            <w:tcW w:w="20" w:type="dxa"/>
            <w:vAlign w:val="bottom"/>
            <w:tcBorders>
              <w:bottom w:val="single" w:sz="8" w:color="B6B6B6"/>
            </w:tcBorders>
            <w:shd w:val="clear" w:color="auto" w:fill="B6B6B6"/>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840" w:type="dxa"/>
            <w:vAlign w:val="bottom"/>
            <w:tcBorders>
              <w:left w:val="single" w:sz="8" w:color="B6B6B6"/>
              <w:bottom w:val="single" w:sz="8" w:color="DBDBDB"/>
            </w:tcBorders>
            <w:shd w:val="clear" w:color="auto" w:fill="DBDBDB"/>
          </w:tcPr>
          <w:p>
            <w:pPr>
              <w:ind w:left="40"/>
              <w:spacing w:after="0" w:line="142" w:lineRule="exact"/>
              <w:rPr>
                <w:sz w:val="20"/>
                <w:szCs w:val="20"/>
                <w:color w:val="auto"/>
              </w:rPr>
            </w:pPr>
            <w:r>
              <w:rPr>
                <w:rFonts w:ascii="Arial" w:cs="Arial" w:eastAsia="Arial" w:hAnsi="Arial"/>
                <w:sz w:val="13"/>
                <w:szCs w:val="13"/>
                <w:color w:val="auto"/>
                <w:highlight w:val="lightGray"/>
              </w:rPr>
              <w:t>John Bruno</w:t>
            </w:r>
          </w:p>
        </w:tc>
        <w:tc>
          <w:tcPr>
            <w:tcW w:w="16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right w:val="single" w:sz="8" w:color="B6B6B6"/>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line="142" w:lineRule="exact"/>
              <w:rPr>
                <w:sz w:val="20"/>
                <w:szCs w:val="20"/>
                <w:color w:val="auto"/>
              </w:rPr>
            </w:pPr>
            <w:r>
              <w:rPr>
                <w:rFonts w:ascii="Arial" w:cs="Arial" w:eastAsia="Arial" w:hAnsi="Arial"/>
                <w:sz w:val="13"/>
                <w:szCs w:val="13"/>
                <w:color w:val="auto"/>
                <w:highlight w:val="lightGray"/>
                <w:w w:val="89"/>
              </w:rPr>
              <w:t>2025</w:t>
            </w:r>
          </w:p>
        </w:tc>
        <w:tc>
          <w:tcPr>
            <w:tcW w:w="240" w:type="dxa"/>
            <w:vAlign w:val="bottom"/>
            <w:tcBorders>
              <w:bottom w:val="single" w:sz="8" w:color="DBDBDB"/>
              <w:right w:val="single" w:sz="8" w:color="B6B6B6"/>
            </w:tcBorders>
            <w:shd w:val="clear" w:color="auto" w:fill="DBDBDB"/>
          </w:tcPr>
          <w:p>
            <w:pPr>
              <w:spacing w:after="0"/>
              <w:rPr>
                <w:sz w:val="15"/>
                <w:szCs w:val="15"/>
                <w:color w:val="auto"/>
              </w:rPr>
            </w:pPr>
          </w:p>
        </w:tc>
        <w:tc>
          <w:tcPr>
            <w:tcW w:w="1020" w:type="dxa"/>
            <w:vAlign w:val="bottom"/>
            <w:tcBorders>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highlight w:val="lightGray"/>
              </w:rPr>
              <w:t>566,667</w:t>
            </w:r>
          </w:p>
        </w:tc>
        <w:tc>
          <w:tcPr>
            <w:tcW w:w="62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right w:val="single" w:sz="8" w:color="B6B6B6"/>
            </w:tcBorders>
            <w:shd w:val="clear" w:color="auto" w:fill="DBDBDB"/>
          </w:tcPr>
          <w:p>
            <w:pPr>
              <w:spacing w:after="0" w:line="142" w:lineRule="exact"/>
              <w:rPr>
                <w:sz w:val="20"/>
                <w:szCs w:val="20"/>
                <w:color w:val="auto"/>
              </w:rPr>
            </w:pPr>
            <w:r>
              <w:rPr>
                <w:rFonts w:ascii="Arial" w:cs="Arial" w:eastAsia="Arial" w:hAnsi="Arial"/>
                <w:sz w:val="13"/>
                <w:szCs w:val="13"/>
                <w:color w:val="auto"/>
                <w:highlight w:val="lightGray"/>
              </w:rPr>
              <w:t>—</w:t>
            </w:r>
          </w:p>
        </w:tc>
        <w:tc>
          <w:tcPr>
            <w:tcW w:w="1120" w:type="dxa"/>
            <w:vAlign w:val="bottom"/>
            <w:tcBorders>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highlight w:val="lightGray"/>
              </w:rPr>
              <w:t>7,543,554</w:t>
            </w:r>
          </w:p>
        </w:tc>
        <w:tc>
          <w:tcPr>
            <w:tcW w:w="1420" w:type="dxa"/>
            <w:vAlign w:val="bottom"/>
            <w:tcBorders>
              <w:bottom w:val="single" w:sz="8" w:color="DBDBDB"/>
              <w:right w:val="single" w:sz="8" w:color="B6B6B6"/>
            </w:tcBorders>
            <w:shd w:val="clear" w:color="auto" w:fill="DBDBDB"/>
          </w:tcPr>
          <w:p>
            <w:pPr>
              <w:jc w:val="right"/>
              <w:ind w:right="15"/>
              <w:spacing w:after="0" w:line="142" w:lineRule="exact"/>
              <w:rPr>
                <w:sz w:val="20"/>
                <w:szCs w:val="20"/>
                <w:color w:val="auto"/>
              </w:rPr>
            </w:pPr>
            <w:r>
              <w:rPr>
                <w:rFonts w:ascii="Arial" w:cs="Arial" w:eastAsia="Arial" w:hAnsi="Arial"/>
                <w:sz w:val="13"/>
                <w:szCs w:val="13"/>
                <w:color w:val="auto"/>
                <w:highlight w:val="lightGray"/>
              </w:rPr>
              <w:t>—</w:t>
            </w:r>
          </w:p>
        </w:tc>
        <w:tc>
          <w:tcPr>
            <w:tcW w:w="94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right w:val="single" w:sz="8" w:color="B6B6B6"/>
            </w:tcBorders>
            <w:shd w:val="clear" w:color="auto" w:fill="DBDBDB"/>
          </w:tcPr>
          <w:p>
            <w:pPr>
              <w:jc w:val="right"/>
              <w:ind w:right="17"/>
              <w:spacing w:after="0" w:line="142" w:lineRule="exact"/>
              <w:rPr>
                <w:sz w:val="20"/>
                <w:szCs w:val="20"/>
                <w:color w:val="auto"/>
              </w:rPr>
            </w:pPr>
            <w:r>
              <w:rPr>
                <w:rFonts w:ascii="Arial" w:cs="Arial" w:eastAsia="Arial" w:hAnsi="Arial"/>
                <w:sz w:val="13"/>
                <w:szCs w:val="13"/>
                <w:color w:val="auto"/>
                <w:highlight w:val="lightGray"/>
                <w:w w:val="76"/>
              </w:rPr>
              <w:t>—</w:t>
            </w:r>
          </w:p>
        </w:tc>
        <w:tc>
          <w:tcPr>
            <w:tcW w:w="1420" w:type="dxa"/>
            <w:vAlign w:val="bottom"/>
            <w:tcBorders>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523,418</w:t>
            </w:r>
          </w:p>
        </w:tc>
        <w:tc>
          <w:tcPr>
            <w:tcW w:w="1080" w:type="dxa"/>
            <w:vAlign w:val="bottom"/>
            <w:tcBorders>
              <w:bottom w:val="single" w:sz="8" w:color="DBDBDB"/>
              <w:right w:val="single" w:sz="8" w:color="DBDBDB"/>
            </w:tcBorders>
            <w:shd w:val="clear" w:color="auto" w:fill="DBDBDB"/>
          </w:tcPr>
          <w:p>
            <w:pPr>
              <w:jc w:val="right"/>
              <w:spacing w:after="0" w:line="142" w:lineRule="exact"/>
              <w:rPr>
                <w:sz w:val="20"/>
                <w:szCs w:val="20"/>
                <w:color w:val="auto"/>
              </w:rPr>
            </w:pPr>
            <w:r>
              <w:rPr>
                <w:rFonts w:ascii="Arial" w:cs="Arial" w:eastAsia="Arial" w:hAnsi="Arial"/>
                <w:sz w:val="13"/>
                <w:szCs w:val="13"/>
                <w:color w:val="auto"/>
                <w:highlight w:val="lightGray"/>
              </w:rPr>
              <w:t>8,633,639</w:t>
            </w:r>
          </w:p>
        </w:tc>
        <w:tc>
          <w:tcPr>
            <w:tcW w:w="20" w:type="dxa"/>
            <w:vAlign w:val="bottom"/>
            <w:tcBorders>
              <w:bottom w:val="single" w:sz="8" w:color="B6B6B6"/>
            </w:tcBorders>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160" w:type="dxa"/>
            <w:vAlign w:val="bottom"/>
            <w:tcBorders>
              <w:top w:val="single" w:sz="8" w:color="DBDBDB"/>
              <w:left w:val="single" w:sz="8" w:color="B6B6B6"/>
            </w:tcBorders>
            <w:gridSpan w:val="4"/>
            <w:shd w:val="clear" w:color="auto" w:fill="DBDBDB"/>
          </w:tcPr>
          <w:p>
            <w:pPr>
              <w:ind w:left="40"/>
              <w:spacing w:after="0" w:line="102" w:lineRule="exact"/>
              <w:rPr>
                <w:sz w:val="20"/>
                <w:szCs w:val="20"/>
                <w:color w:val="auto"/>
              </w:rPr>
            </w:pPr>
            <w:r>
              <w:rPr>
                <w:rFonts w:ascii="Arial" w:cs="Arial" w:eastAsia="Arial" w:hAnsi="Arial"/>
                <w:sz w:val="10"/>
                <w:szCs w:val="10"/>
                <w:color w:val="auto"/>
                <w:highlight w:val="lightGray"/>
              </w:rPr>
              <w:t>President and Chief</w:t>
            </w:r>
          </w:p>
        </w:tc>
        <w:tc>
          <w:tcPr>
            <w:tcW w:w="120" w:type="dxa"/>
            <w:vAlign w:val="bottom"/>
            <w:tcBorders>
              <w:top w:val="single" w:sz="8" w:color="DBDBDB"/>
            </w:tcBorders>
            <w:vMerge w:val="restart"/>
            <w:shd w:val="clear" w:color="auto" w:fill="DBDBDB"/>
          </w:tcPr>
          <w:p>
            <w:pPr>
              <w:spacing w:after="0"/>
              <w:rPr>
                <w:sz w:val="8"/>
                <w:szCs w:val="8"/>
                <w:color w:val="auto"/>
              </w:rPr>
            </w:pPr>
          </w:p>
        </w:tc>
        <w:tc>
          <w:tcPr>
            <w:tcW w:w="60" w:type="dxa"/>
            <w:vAlign w:val="bottom"/>
            <w:tcBorders>
              <w:top w:val="single" w:sz="8" w:color="DBDBDB"/>
            </w:tcBorders>
            <w:vMerge w:val="restart"/>
            <w:shd w:val="clear" w:color="auto" w:fill="DBDBDB"/>
          </w:tcPr>
          <w:p>
            <w:pPr>
              <w:spacing w:after="0"/>
              <w:rPr>
                <w:sz w:val="8"/>
                <w:szCs w:val="8"/>
                <w:color w:val="auto"/>
              </w:rPr>
            </w:pPr>
          </w:p>
        </w:tc>
        <w:tc>
          <w:tcPr>
            <w:tcW w:w="40" w:type="dxa"/>
            <w:vAlign w:val="bottom"/>
            <w:tcBorders>
              <w:top w:val="single" w:sz="8" w:color="DBDBDB"/>
            </w:tcBorders>
            <w:vMerge w:val="restart"/>
            <w:shd w:val="clear" w:color="auto" w:fill="DBDBDB"/>
          </w:tcPr>
          <w:p>
            <w:pPr>
              <w:spacing w:after="0"/>
              <w:rPr>
                <w:sz w:val="8"/>
                <w:szCs w:val="8"/>
                <w:color w:val="auto"/>
              </w:rPr>
            </w:pPr>
          </w:p>
        </w:tc>
        <w:tc>
          <w:tcPr>
            <w:tcW w:w="80" w:type="dxa"/>
            <w:vAlign w:val="bottom"/>
            <w:tcBorders>
              <w:top w:val="single" w:sz="8" w:color="DBDBDB"/>
            </w:tcBorders>
            <w:vMerge w:val="restart"/>
            <w:shd w:val="clear" w:color="auto" w:fill="DBDBDB"/>
          </w:tcPr>
          <w:p>
            <w:pPr>
              <w:spacing w:after="0"/>
              <w:rPr>
                <w:sz w:val="8"/>
                <w:szCs w:val="8"/>
                <w:color w:val="auto"/>
              </w:rPr>
            </w:pPr>
          </w:p>
        </w:tc>
        <w:tc>
          <w:tcPr>
            <w:tcW w:w="180" w:type="dxa"/>
            <w:vAlign w:val="bottom"/>
            <w:tcBorders>
              <w:top w:val="single" w:sz="8" w:color="DBDBDB"/>
              <w:right w:val="single" w:sz="8" w:color="B6B6B6"/>
            </w:tcBorders>
            <w:vMerge w:val="restart"/>
            <w:shd w:val="clear" w:color="auto" w:fill="DBDBDB"/>
          </w:tcPr>
          <w:p>
            <w:pPr>
              <w:spacing w:after="0"/>
              <w:rPr>
                <w:sz w:val="8"/>
                <w:szCs w:val="8"/>
                <w:color w:val="auto"/>
              </w:rPr>
            </w:pPr>
          </w:p>
        </w:tc>
        <w:tc>
          <w:tcPr>
            <w:tcW w:w="200" w:type="dxa"/>
            <w:vAlign w:val="bottom"/>
            <w:tcBorders>
              <w:top w:val="single" w:sz="8" w:color="B6B6B6"/>
            </w:tcBorders>
            <w:vMerge w:val="restart"/>
            <w:shd w:val="clear" w:color="auto" w:fill="DBDBDB"/>
          </w:tcPr>
          <w:p>
            <w:pPr>
              <w:spacing w:after="0"/>
              <w:rPr>
                <w:sz w:val="8"/>
                <w:szCs w:val="8"/>
                <w:color w:val="auto"/>
              </w:rPr>
            </w:pPr>
          </w:p>
        </w:tc>
        <w:tc>
          <w:tcPr>
            <w:tcW w:w="280" w:type="dxa"/>
            <w:vAlign w:val="bottom"/>
            <w:tcBorders>
              <w:top w:val="single" w:sz="8" w:color="B6B6B6"/>
            </w:tcBorders>
            <w:vMerge w:val="restart"/>
            <w:shd w:val="clear" w:color="auto" w:fill="DBDBDB"/>
          </w:tcPr>
          <w:p>
            <w:pPr>
              <w:spacing w:after="0" w:line="142" w:lineRule="exact"/>
              <w:rPr>
                <w:sz w:val="20"/>
                <w:szCs w:val="20"/>
                <w:color w:val="auto"/>
              </w:rPr>
            </w:pPr>
            <w:r>
              <w:rPr>
                <w:rFonts w:ascii="Arial" w:cs="Arial" w:eastAsia="Arial" w:hAnsi="Arial"/>
                <w:sz w:val="13"/>
                <w:szCs w:val="13"/>
                <w:color w:val="auto"/>
                <w:highlight w:val="lightGray"/>
                <w:w w:val="89"/>
              </w:rPr>
              <w:t>2024</w:t>
            </w:r>
          </w:p>
        </w:tc>
        <w:tc>
          <w:tcPr>
            <w:tcW w:w="240" w:type="dxa"/>
            <w:vAlign w:val="bottom"/>
            <w:tcBorders>
              <w:top w:val="single" w:sz="8" w:color="B6B6B6"/>
              <w:right w:val="single" w:sz="8" w:color="B6B6B6"/>
            </w:tcBorders>
            <w:vMerge w:val="restart"/>
            <w:shd w:val="clear" w:color="auto" w:fill="DBDBDB"/>
          </w:tcPr>
          <w:p>
            <w:pPr>
              <w:spacing w:after="0"/>
              <w:rPr>
                <w:sz w:val="8"/>
                <w:szCs w:val="8"/>
                <w:color w:val="auto"/>
              </w:rPr>
            </w:pPr>
          </w:p>
        </w:tc>
        <w:tc>
          <w:tcPr>
            <w:tcW w:w="1020" w:type="dxa"/>
            <w:vAlign w:val="bottom"/>
            <w:tcBorders>
              <w:top w:val="single" w:sz="8" w:color="B6B6B6"/>
              <w:right w:val="single" w:sz="8" w:color="B6B6B6"/>
            </w:tcBorders>
            <w:vMerge w:val="restart"/>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816,667</w:t>
            </w:r>
          </w:p>
        </w:tc>
        <w:tc>
          <w:tcPr>
            <w:tcW w:w="620" w:type="dxa"/>
            <w:vAlign w:val="bottom"/>
            <w:tcBorders>
              <w:top w:val="single" w:sz="8" w:color="B6B6B6"/>
            </w:tcBorders>
            <w:vMerge w:val="restart"/>
            <w:shd w:val="clear" w:color="auto" w:fill="DBDBDB"/>
          </w:tcPr>
          <w:p>
            <w:pPr>
              <w:spacing w:after="0"/>
              <w:rPr>
                <w:sz w:val="8"/>
                <w:szCs w:val="8"/>
                <w:color w:val="auto"/>
              </w:rPr>
            </w:pPr>
          </w:p>
        </w:tc>
        <w:tc>
          <w:tcPr>
            <w:tcW w:w="200" w:type="dxa"/>
            <w:vAlign w:val="bottom"/>
            <w:tcBorders>
              <w:top w:val="single" w:sz="8" w:color="B6B6B6"/>
              <w:right w:val="single" w:sz="8" w:color="B6B6B6"/>
            </w:tcBorders>
            <w:vMerge w:val="restart"/>
            <w:shd w:val="clear" w:color="auto" w:fill="DBDBDB"/>
          </w:tcPr>
          <w:p>
            <w:pPr>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top w:val="single" w:sz="8" w:color="B6B6B6"/>
              <w:right w:val="single" w:sz="8" w:color="B6B6B6"/>
            </w:tcBorders>
            <w:vMerge w:val="restart"/>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7,503,038</w:t>
            </w:r>
          </w:p>
        </w:tc>
        <w:tc>
          <w:tcPr>
            <w:tcW w:w="1420" w:type="dxa"/>
            <w:vAlign w:val="bottom"/>
            <w:tcBorders>
              <w:top w:val="single" w:sz="8" w:color="B6B6B6"/>
              <w:right w:val="single" w:sz="8" w:color="B6B6B6"/>
            </w:tcBorders>
            <w:vMerge w:val="restart"/>
            <w:shd w:val="clear" w:color="auto" w:fill="DBDBDB"/>
          </w:tcPr>
          <w:p>
            <w:pPr>
              <w:jc w:val="right"/>
              <w:ind w:right="15"/>
              <w:spacing w:after="0" w:line="142" w:lineRule="exact"/>
              <w:rPr>
                <w:sz w:val="20"/>
                <w:szCs w:val="20"/>
                <w:color w:val="auto"/>
              </w:rPr>
            </w:pPr>
            <w:r>
              <w:rPr>
                <w:rFonts w:ascii="Arial" w:cs="Arial" w:eastAsia="Arial" w:hAnsi="Arial"/>
                <w:sz w:val="13"/>
                <w:szCs w:val="13"/>
                <w:color w:val="auto"/>
              </w:rPr>
              <w:t>857,500</w:t>
            </w:r>
          </w:p>
        </w:tc>
        <w:tc>
          <w:tcPr>
            <w:tcW w:w="940" w:type="dxa"/>
            <w:vAlign w:val="bottom"/>
            <w:tcBorders>
              <w:top w:val="single" w:sz="8" w:color="B6B6B6"/>
            </w:tcBorders>
            <w:shd w:val="clear" w:color="auto" w:fill="DBDBDB"/>
          </w:tcPr>
          <w:p>
            <w:pPr>
              <w:spacing w:after="0"/>
              <w:rPr>
                <w:sz w:val="8"/>
                <w:szCs w:val="8"/>
                <w:color w:val="auto"/>
              </w:rPr>
            </w:pPr>
          </w:p>
        </w:tc>
        <w:tc>
          <w:tcPr>
            <w:tcW w:w="200" w:type="dxa"/>
            <w:vAlign w:val="bottom"/>
            <w:tcBorders>
              <w:top w:val="single" w:sz="8" w:color="B6B6B6"/>
              <w:right w:val="single" w:sz="8" w:color="B6B6B6"/>
            </w:tcBorders>
            <w:shd w:val="clear" w:color="auto" w:fill="DBDBDB"/>
          </w:tcPr>
          <w:p>
            <w:pPr>
              <w:spacing w:after="0"/>
              <w:rPr>
                <w:sz w:val="8"/>
                <w:szCs w:val="8"/>
                <w:color w:val="auto"/>
              </w:rPr>
            </w:pPr>
          </w:p>
        </w:tc>
        <w:tc>
          <w:tcPr>
            <w:tcW w:w="1420" w:type="dxa"/>
            <w:vAlign w:val="bottom"/>
            <w:tcBorders>
              <w:top w:val="single" w:sz="8" w:color="B6B6B6"/>
              <w:right w:val="single" w:sz="8" w:color="B6B6B6"/>
            </w:tcBorders>
            <w:vMerge w:val="restart"/>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10,350</w:t>
            </w:r>
          </w:p>
        </w:tc>
        <w:tc>
          <w:tcPr>
            <w:tcW w:w="1080" w:type="dxa"/>
            <w:vAlign w:val="bottom"/>
            <w:tcBorders>
              <w:top w:val="single" w:sz="8" w:color="B6B6B6"/>
              <w:right w:val="single" w:sz="8" w:color="DBDBDB"/>
            </w:tcBorders>
            <w:vMerge w:val="restart"/>
            <w:shd w:val="clear" w:color="auto" w:fill="DBDBDB"/>
          </w:tcPr>
          <w:p>
            <w:pPr>
              <w:jc w:val="right"/>
              <w:spacing w:after="0" w:line="142" w:lineRule="exact"/>
              <w:rPr>
                <w:sz w:val="20"/>
                <w:szCs w:val="20"/>
                <w:color w:val="auto"/>
              </w:rPr>
            </w:pPr>
            <w:r>
              <w:rPr>
                <w:rFonts w:ascii="Arial" w:cs="Arial" w:eastAsia="Arial" w:hAnsi="Arial"/>
                <w:sz w:val="13"/>
                <w:szCs w:val="13"/>
                <w:color w:val="auto"/>
              </w:rPr>
              <w:t>9,187,555</w:t>
            </w:r>
          </w:p>
        </w:tc>
        <w:tc>
          <w:tcPr>
            <w:tcW w:w="20" w:type="dxa"/>
            <w:vAlign w:val="bottom"/>
            <w:tcBorders>
              <w:top w:val="single" w:sz="8" w:color="B6B6B6"/>
            </w:tcBorders>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00" w:type="dxa"/>
            <w:vAlign w:val="bottom"/>
            <w:tcBorders>
              <w:left w:val="single" w:sz="8" w:color="B6B6B6"/>
              <w:bottom w:val="single" w:sz="8" w:color="DBDBDB"/>
            </w:tcBorders>
            <w:gridSpan w:val="2"/>
            <w:vMerge w:val="restart"/>
            <w:shd w:val="clear" w:color="auto" w:fill="DBDBDB"/>
          </w:tcPr>
          <w:p>
            <w:pPr>
              <w:ind w:left="40"/>
              <w:spacing w:after="0"/>
              <w:rPr>
                <w:sz w:val="20"/>
                <w:szCs w:val="20"/>
                <w:color w:val="auto"/>
              </w:rPr>
            </w:pPr>
            <w:r>
              <w:rPr>
                <w:rFonts w:ascii="Arial" w:cs="Arial" w:eastAsia="Arial" w:hAnsi="Arial"/>
                <w:sz w:val="13"/>
                <w:szCs w:val="13"/>
                <w:color w:val="auto"/>
                <w:highlight w:val="lightGray"/>
                <w:w w:val="94"/>
              </w:rPr>
              <w:t>Operating Officer</w:t>
            </w:r>
          </w:p>
        </w:tc>
        <w:tc>
          <w:tcPr>
            <w:tcW w:w="100" w:type="dxa"/>
            <w:vAlign w:val="bottom"/>
            <w:tcBorders>
              <w:bottom w:val="single" w:sz="8" w:color="DBDBDB"/>
            </w:tcBorders>
            <w:shd w:val="clear" w:color="auto" w:fill="DBDBDB"/>
          </w:tcPr>
          <w:p>
            <w:pPr>
              <w:jc w:val="right"/>
              <w:spacing w:after="0" w:line="75" w:lineRule="exact"/>
              <w:rPr>
                <w:sz w:val="20"/>
                <w:szCs w:val="20"/>
                <w:color w:val="auto"/>
              </w:rPr>
            </w:pPr>
            <w:r>
              <w:rPr>
                <w:rFonts w:ascii="Arial" w:cs="Arial" w:eastAsia="Arial" w:hAnsi="Arial"/>
                <w:sz w:val="8"/>
                <w:szCs w:val="8"/>
                <w:color w:val="auto"/>
                <w:highlight w:val="lightGray"/>
                <w:w w:val="81"/>
              </w:rPr>
              <w:t>(2)</w:t>
            </w:r>
          </w:p>
        </w:tc>
        <w:tc>
          <w:tcPr>
            <w:tcW w:w="60" w:type="dxa"/>
            <w:vAlign w:val="bottom"/>
            <w:tcBorders>
              <w:bottom w:val="single" w:sz="8" w:color="DBDBDB"/>
            </w:tcBorders>
            <w:shd w:val="clear" w:color="auto" w:fill="DBDBDB"/>
          </w:tcPr>
          <w:p>
            <w:pPr>
              <w:spacing w:after="0"/>
              <w:rPr>
                <w:sz w:val="7"/>
                <w:szCs w:val="7"/>
                <w:color w:val="auto"/>
              </w:rPr>
            </w:pPr>
          </w:p>
        </w:tc>
        <w:tc>
          <w:tcPr>
            <w:tcW w:w="120" w:type="dxa"/>
            <w:vAlign w:val="bottom"/>
            <w:tcBorders>
              <w:bottom w:val="single" w:sz="8" w:color="DBDBDB"/>
            </w:tcBorders>
            <w:vMerge w:val="continue"/>
            <w:shd w:val="clear" w:color="auto" w:fill="DBDBDB"/>
          </w:tcPr>
          <w:p>
            <w:pPr>
              <w:spacing w:after="0"/>
              <w:rPr>
                <w:sz w:val="7"/>
                <w:szCs w:val="7"/>
                <w:color w:val="auto"/>
              </w:rPr>
            </w:pPr>
          </w:p>
        </w:tc>
        <w:tc>
          <w:tcPr>
            <w:tcW w:w="60" w:type="dxa"/>
            <w:vAlign w:val="bottom"/>
            <w:tcBorders>
              <w:bottom w:val="single" w:sz="8" w:color="DBDBDB"/>
            </w:tcBorders>
            <w:vMerge w:val="continue"/>
            <w:shd w:val="clear" w:color="auto" w:fill="DBDBDB"/>
          </w:tcPr>
          <w:p>
            <w:pPr>
              <w:spacing w:after="0"/>
              <w:rPr>
                <w:sz w:val="7"/>
                <w:szCs w:val="7"/>
                <w:color w:val="auto"/>
              </w:rPr>
            </w:pPr>
          </w:p>
        </w:tc>
        <w:tc>
          <w:tcPr>
            <w:tcW w:w="40" w:type="dxa"/>
            <w:vAlign w:val="bottom"/>
            <w:tcBorders>
              <w:bottom w:val="single" w:sz="8" w:color="DBDBDB"/>
            </w:tcBorders>
            <w:vMerge w:val="continue"/>
            <w:shd w:val="clear" w:color="auto" w:fill="DBDBDB"/>
          </w:tcPr>
          <w:p>
            <w:pPr>
              <w:spacing w:after="0"/>
              <w:rPr>
                <w:sz w:val="7"/>
                <w:szCs w:val="7"/>
                <w:color w:val="auto"/>
              </w:rPr>
            </w:pPr>
          </w:p>
        </w:tc>
        <w:tc>
          <w:tcPr>
            <w:tcW w:w="80" w:type="dxa"/>
            <w:vAlign w:val="bottom"/>
            <w:tcBorders>
              <w:bottom w:val="single" w:sz="8" w:color="DBDBDB"/>
            </w:tcBorders>
            <w:vMerge w:val="continue"/>
            <w:shd w:val="clear" w:color="auto" w:fill="DBDBDB"/>
          </w:tcPr>
          <w:p>
            <w:pPr>
              <w:spacing w:after="0"/>
              <w:rPr>
                <w:sz w:val="7"/>
                <w:szCs w:val="7"/>
                <w:color w:val="auto"/>
              </w:rPr>
            </w:pPr>
          </w:p>
        </w:tc>
        <w:tc>
          <w:tcPr>
            <w:tcW w:w="180" w:type="dxa"/>
            <w:vAlign w:val="bottom"/>
            <w:tcBorders>
              <w:bottom w:val="single" w:sz="8" w:color="DBDBDB"/>
              <w:right w:val="single" w:sz="8" w:color="B6B6B6"/>
            </w:tcBorders>
            <w:vMerge w:val="continue"/>
            <w:shd w:val="clear" w:color="auto" w:fill="DBDBDB"/>
          </w:tcPr>
          <w:p>
            <w:pPr>
              <w:spacing w:after="0"/>
              <w:rPr>
                <w:sz w:val="7"/>
                <w:szCs w:val="7"/>
                <w:color w:val="auto"/>
              </w:rPr>
            </w:pPr>
          </w:p>
        </w:tc>
        <w:tc>
          <w:tcPr>
            <w:tcW w:w="200" w:type="dxa"/>
            <w:vAlign w:val="bottom"/>
            <w:tcBorders>
              <w:bottom w:val="single" w:sz="8" w:color="DBDBDB"/>
            </w:tcBorders>
            <w:vMerge w:val="continue"/>
            <w:shd w:val="clear" w:color="auto" w:fill="DBDBDB"/>
          </w:tcPr>
          <w:p>
            <w:pPr>
              <w:spacing w:after="0"/>
              <w:rPr>
                <w:sz w:val="7"/>
                <w:szCs w:val="7"/>
                <w:color w:val="auto"/>
              </w:rPr>
            </w:pPr>
          </w:p>
        </w:tc>
        <w:tc>
          <w:tcPr>
            <w:tcW w:w="280" w:type="dxa"/>
            <w:vAlign w:val="bottom"/>
            <w:tcBorders>
              <w:bottom w:val="single" w:sz="8" w:color="DBDBDB"/>
            </w:tcBorders>
            <w:vMerge w:val="continue"/>
            <w:shd w:val="clear" w:color="auto" w:fill="DBDBDB"/>
          </w:tcPr>
          <w:p>
            <w:pPr>
              <w:spacing w:after="0"/>
              <w:rPr>
                <w:sz w:val="7"/>
                <w:szCs w:val="7"/>
                <w:color w:val="auto"/>
              </w:rPr>
            </w:pPr>
          </w:p>
        </w:tc>
        <w:tc>
          <w:tcPr>
            <w:tcW w:w="240" w:type="dxa"/>
            <w:vAlign w:val="bottom"/>
            <w:tcBorders>
              <w:bottom w:val="single" w:sz="8" w:color="DBDBDB"/>
              <w:right w:val="single" w:sz="8" w:color="B6B6B6"/>
            </w:tcBorders>
            <w:vMerge w:val="continue"/>
            <w:shd w:val="clear" w:color="auto" w:fill="DBDBDB"/>
          </w:tcPr>
          <w:p>
            <w:pPr>
              <w:spacing w:after="0"/>
              <w:rPr>
                <w:sz w:val="7"/>
                <w:szCs w:val="7"/>
                <w:color w:val="auto"/>
              </w:rPr>
            </w:pPr>
          </w:p>
        </w:tc>
        <w:tc>
          <w:tcPr>
            <w:tcW w:w="1020" w:type="dxa"/>
            <w:vAlign w:val="bottom"/>
            <w:tcBorders>
              <w:bottom w:val="single" w:sz="8" w:color="DBDBDB"/>
              <w:right w:val="single" w:sz="8" w:color="B6B6B6"/>
            </w:tcBorders>
            <w:vMerge w:val="continue"/>
            <w:shd w:val="clear" w:color="auto" w:fill="DBDBDB"/>
          </w:tcPr>
          <w:p>
            <w:pPr>
              <w:spacing w:after="0"/>
              <w:rPr>
                <w:sz w:val="7"/>
                <w:szCs w:val="7"/>
                <w:color w:val="auto"/>
              </w:rPr>
            </w:pPr>
          </w:p>
        </w:tc>
        <w:tc>
          <w:tcPr>
            <w:tcW w:w="620" w:type="dxa"/>
            <w:vAlign w:val="bottom"/>
            <w:tcBorders>
              <w:bottom w:val="single" w:sz="8" w:color="DBDBDB"/>
            </w:tcBorders>
            <w:vMerge w:val="continue"/>
            <w:shd w:val="clear" w:color="auto" w:fill="DBDBDB"/>
          </w:tcPr>
          <w:p>
            <w:pPr>
              <w:spacing w:after="0"/>
              <w:rPr>
                <w:sz w:val="7"/>
                <w:szCs w:val="7"/>
                <w:color w:val="auto"/>
              </w:rPr>
            </w:pPr>
          </w:p>
        </w:tc>
        <w:tc>
          <w:tcPr>
            <w:tcW w:w="200" w:type="dxa"/>
            <w:vAlign w:val="bottom"/>
            <w:tcBorders>
              <w:bottom w:val="single" w:sz="8" w:color="DBDBDB"/>
              <w:right w:val="single" w:sz="8" w:color="B6B6B6"/>
            </w:tcBorders>
            <w:vMerge w:val="continue"/>
            <w:shd w:val="clear" w:color="auto" w:fill="DBDBDB"/>
          </w:tcPr>
          <w:p>
            <w:pPr>
              <w:spacing w:after="0"/>
              <w:rPr>
                <w:sz w:val="7"/>
                <w:szCs w:val="7"/>
                <w:color w:val="auto"/>
              </w:rPr>
            </w:pPr>
          </w:p>
        </w:tc>
        <w:tc>
          <w:tcPr>
            <w:tcW w:w="1120" w:type="dxa"/>
            <w:vAlign w:val="bottom"/>
            <w:tcBorders>
              <w:bottom w:val="single" w:sz="8" w:color="DBDBDB"/>
              <w:right w:val="single" w:sz="8" w:color="B6B6B6"/>
            </w:tcBorders>
            <w:vMerge w:val="continue"/>
            <w:shd w:val="clear" w:color="auto" w:fill="DBDBDB"/>
          </w:tcPr>
          <w:p>
            <w:pPr>
              <w:spacing w:after="0"/>
              <w:rPr>
                <w:sz w:val="7"/>
                <w:szCs w:val="7"/>
                <w:color w:val="auto"/>
              </w:rPr>
            </w:pPr>
          </w:p>
        </w:tc>
        <w:tc>
          <w:tcPr>
            <w:tcW w:w="1420" w:type="dxa"/>
            <w:vAlign w:val="bottom"/>
            <w:tcBorders>
              <w:bottom w:val="single" w:sz="8" w:color="DBDBDB"/>
              <w:right w:val="single" w:sz="8" w:color="B6B6B6"/>
            </w:tcBorders>
            <w:vMerge w:val="continue"/>
            <w:shd w:val="clear" w:color="auto" w:fill="DBDBDB"/>
          </w:tcPr>
          <w:p>
            <w:pPr>
              <w:spacing w:after="0"/>
              <w:rPr>
                <w:sz w:val="7"/>
                <w:szCs w:val="7"/>
                <w:color w:val="auto"/>
              </w:rPr>
            </w:pPr>
          </w:p>
        </w:tc>
        <w:tc>
          <w:tcPr>
            <w:tcW w:w="940" w:type="dxa"/>
            <w:vAlign w:val="bottom"/>
            <w:tcBorders>
              <w:bottom w:val="single" w:sz="8" w:color="DBDBDB"/>
            </w:tcBorders>
            <w:shd w:val="clear" w:color="auto" w:fill="DBDBDB"/>
          </w:tcPr>
          <w:p>
            <w:pPr>
              <w:spacing w:after="0"/>
              <w:rPr>
                <w:sz w:val="7"/>
                <w:szCs w:val="7"/>
                <w:color w:val="auto"/>
              </w:rPr>
            </w:pPr>
          </w:p>
        </w:tc>
        <w:tc>
          <w:tcPr>
            <w:tcW w:w="200" w:type="dxa"/>
            <w:vAlign w:val="bottom"/>
            <w:tcBorders>
              <w:bottom w:val="single" w:sz="8" w:color="DBDBDB"/>
              <w:right w:val="single" w:sz="8" w:color="B6B6B6"/>
            </w:tcBorders>
            <w:shd w:val="clear" w:color="auto" w:fill="DBDBDB"/>
          </w:tcPr>
          <w:p>
            <w:pPr>
              <w:spacing w:after="0"/>
              <w:rPr>
                <w:sz w:val="7"/>
                <w:szCs w:val="7"/>
                <w:color w:val="auto"/>
              </w:rPr>
            </w:pPr>
          </w:p>
        </w:tc>
        <w:tc>
          <w:tcPr>
            <w:tcW w:w="1420" w:type="dxa"/>
            <w:vAlign w:val="bottom"/>
            <w:tcBorders>
              <w:bottom w:val="single" w:sz="8" w:color="DBDBDB"/>
              <w:right w:val="single" w:sz="8" w:color="B6B6B6"/>
            </w:tcBorders>
            <w:vMerge w:val="continue"/>
            <w:shd w:val="clear" w:color="auto" w:fill="DBDBDB"/>
          </w:tcPr>
          <w:p>
            <w:pPr>
              <w:spacing w:after="0"/>
              <w:rPr>
                <w:sz w:val="7"/>
                <w:szCs w:val="7"/>
                <w:color w:val="auto"/>
              </w:rPr>
            </w:pPr>
          </w:p>
        </w:tc>
        <w:tc>
          <w:tcPr>
            <w:tcW w:w="1080" w:type="dxa"/>
            <w:vAlign w:val="bottom"/>
            <w:tcBorders>
              <w:bottom w:val="single" w:sz="8" w:color="DBDBDB"/>
              <w:right w:val="single" w:sz="8" w:color="DBDBDB"/>
            </w:tcBorders>
            <w:vMerge w:val="continue"/>
            <w:shd w:val="clear" w:color="auto" w:fill="DBDBDB"/>
          </w:tcPr>
          <w:p>
            <w:pPr>
              <w:spacing w:after="0"/>
              <w:rPr>
                <w:sz w:val="7"/>
                <w:szCs w:val="7"/>
                <w:color w:val="auto"/>
              </w:rPr>
            </w:pPr>
          </w:p>
        </w:tc>
        <w:tc>
          <w:tcPr>
            <w:tcW w:w="20" w:type="dxa"/>
            <w:vAlign w:val="bottom"/>
            <w:tcBorders>
              <w:bottom w:val="single" w:sz="8" w:color="B6B6B6"/>
            </w:tcBorders>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000" w:type="dxa"/>
            <w:vAlign w:val="bottom"/>
            <w:tcBorders>
              <w:top w:val="single" w:sz="8" w:color="DBDBDB"/>
              <w:left w:val="single" w:sz="8" w:color="B6B6B6"/>
            </w:tcBorders>
            <w:gridSpan w:val="2"/>
            <w:vMerge w:val="continue"/>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right w:val="single" w:sz="8" w:color="B6B6B6"/>
            </w:tcBorders>
            <w:shd w:val="clear" w:color="auto" w:fill="DBDBDB"/>
          </w:tcPr>
          <w:p>
            <w:pPr>
              <w:spacing w:after="0"/>
              <w:rPr>
                <w:sz w:val="4"/>
                <w:szCs w:val="4"/>
                <w:color w:val="auto"/>
              </w:rPr>
            </w:pPr>
          </w:p>
        </w:tc>
        <w:tc>
          <w:tcPr>
            <w:tcW w:w="200" w:type="dxa"/>
            <w:vAlign w:val="bottom"/>
            <w:tcBorders>
              <w:top w:val="single" w:sz="8" w:color="B6B6B6"/>
            </w:tcBorders>
            <w:shd w:val="clear" w:color="auto" w:fill="DBDBDB"/>
          </w:tcPr>
          <w:p>
            <w:pPr>
              <w:spacing w:after="0"/>
              <w:rPr>
                <w:sz w:val="4"/>
                <w:szCs w:val="4"/>
                <w:color w:val="auto"/>
              </w:rPr>
            </w:pPr>
          </w:p>
        </w:tc>
        <w:tc>
          <w:tcPr>
            <w:tcW w:w="280" w:type="dxa"/>
            <w:vAlign w:val="bottom"/>
            <w:tcBorders>
              <w:top w:val="single" w:sz="8" w:color="B6B6B6"/>
            </w:tcBorders>
            <w:vMerge w:val="restart"/>
            <w:shd w:val="clear" w:color="auto" w:fill="DBDBDB"/>
          </w:tcPr>
          <w:p>
            <w:pPr>
              <w:spacing w:after="0" w:line="142" w:lineRule="exact"/>
              <w:rPr>
                <w:sz w:val="20"/>
                <w:szCs w:val="20"/>
                <w:color w:val="auto"/>
              </w:rPr>
            </w:pPr>
            <w:r>
              <w:rPr>
                <w:rFonts w:ascii="Arial" w:cs="Arial" w:eastAsia="Arial" w:hAnsi="Arial"/>
                <w:sz w:val="13"/>
                <w:szCs w:val="13"/>
                <w:color w:val="auto"/>
                <w:highlight w:val="lightGray"/>
                <w:w w:val="89"/>
              </w:rPr>
              <w:t>2023</w:t>
            </w:r>
          </w:p>
        </w:tc>
        <w:tc>
          <w:tcPr>
            <w:tcW w:w="240" w:type="dxa"/>
            <w:vAlign w:val="bottom"/>
            <w:tcBorders>
              <w:top w:val="single" w:sz="8" w:color="B6B6B6"/>
              <w:right w:val="single" w:sz="8" w:color="B6B6B6"/>
            </w:tcBorders>
            <w:shd w:val="clear" w:color="auto" w:fill="DBDBDB"/>
          </w:tcPr>
          <w:p>
            <w:pPr>
              <w:spacing w:after="0"/>
              <w:rPr>
                <w:sz w:val="4"/>
                <w:szCs w:val="4"/>
                <w:color w:val="auto"/>
              </w:rPr>
            </w:pPr>
          </w:p>
        </w:tc>
        <w:tc>
          <w:tcPr>
            <w:tcW w:w="1020" w:type="dxa"/>
            <w:vAlign w:val="bottom"/>
            <w:tcBorders>
              <w:top w:val="single" w:sz="8" w:color="B6B6B6"/>
              <w:right w:val="single" w:sz="8" w:color="B6B6B6"/>
            </w:tcBorders>
            <w:vMerge w:val="restart"/>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750,000</w:t>
            </w:r>
          </w:p>
        </w:tc>
        <w:tc>
          <w:tcPr>
            <w:tcW w:w="620" w:type="dxa"/>
            <w:vAlign w:val="bottom"/>
            <w:tcBorders>
              <w:top w:val="single" w:sz="8" w:color="B6B6B6"/>
            </w:tcBorders>
            <w:shd w:val="clear" w:color="auto" w:fill="DBDBDB"/>
          </w:tcPr>
          <w:p>
            <w:pPr>
              <w:spacing w:after="0"/>
              <w:rPr>
                <w:sz w:val="4"/>
                <w:szCs w:val="4"/>
                <w:color w:val="auto"/>
              </w:rPr>
            </w:pPr>
          </w:p>
        </w:tc>
        <w:tc>
          <w:tcPr>
            <w:tcW w:w="200" w:type="dxa"/>
            <w:vAlign w:val="bottom"/>
            <w:tcBorders>
              <w:top w:val="single" w:sz="8" w:color="B6B6B6"/>
              <w:right w:val="single" w:sz="8" w:color="B6B6B6"/>
            </w:tcBorders>
            <w:vMerge w:val="restart"/>
            <w:shd w:val="clear" w:color="auto" w:fill="DBDBDB"/>
          </w:tcPr>
          <w:p>
            <w:pPr>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top w:val="single" w:sz="8" w:color="B6B6B6"/>
              <w:right w:val="single" w:sz="8" w:color="B6B6B6"/>
            </w:tcBorders>
            <w:vMerge w:val="restart"/>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4,499,898</w:t>
            </w:r>
          </w:p>
        </w:tc>
        <w:tc>
          <w:tcPr>
            <w:tcW w:w="1420" w:type="dxa"/>
            <w:vAlign w:val="bottom"/>
            <w:tcBorders>
              <w:top w:val="single" w:sz="8" w:color="B6B6B6"/>
              <w:right w:val="single" w:sz="8" w:color="B6B6B6"/>
            </w:tcBorders>
            <w:vMerge w:val="restart"/>
            <w:shd w:val="clear" w:color="auto" w:fill="DBDBDB"/>
          </w:tcPr>
          <w:p>
            <w:pPr>
              <w:jc w:val="right"/>
              <w:ind w:right="15"/>
              <w:spacing w:after="0" w:line="142" w:lineRule="exact"/>
              <w:rPr>
                <w:sz w:val="20"/>
                <w:szCs w:val="20"/>
                <w:color w:val="auto"/>
              </w:rPr>
            </w:pPr>
            <w:r>
              <w:rPr>
                <w:rFonts w:ascii="Arial" w:cs="Arial" w:eastAsia="Arial" w:hAnsi="Arial"/>
                <w:sz w:val="13"/>
                <w:szCs w:val="13"/>
                <w:color w:val="auto"/>
              </w:rPr>
              <w:t>2,064,188</w:t>
            </w:r>
          </w:p>
        </w:tc>
        <w:tc>
          <w:tcPr>
            <w:tcW w:w="940" w:type="dxa"/>
            <w:vAlign w:val="bottom"/>
            <w:tcBorders>
              <w:top w:val="single" w:sz="8" w:color="B6B6B6"/>
            </w:tcBorders>
            <w:shd w:val="clear" w:color="auto" w:fill="DBDBDB"/>
          </w:tcPr>
          <w:p>
            <w:pPr>
              <w:spacing w:after="0"/>
              <w:rPr>
                <w:sz w:val="4"/>
                <w:szCs w:val="4"/>
                <w:color w:val="auto"/>
              </w:rPr>
            </w:pPr>
          </w:p>
        </w:tc>
        <w:tc>
          <w:tcPr>
            <w:tcW w:w="200" w:type="dxa"/>
            <w:vAlign w:val="bottom"/>
            <w:tcBorders>
              <w:top w:val="single" w:sz="8" w:color="B6B6B6"/>
              <w:right w:val="single" w:sz="8" w:color="B6B6B6"/>
            </w:tcBorders>
            <w:vMerge w:val="restart"/>
            <w:shd w:val="clear" w:color="auto" w:fill="DBDBDB"/>
          </w:tcPr>
          <w:p>
            <w:pPr>
              <w:jc w:val="right"/>
              <w:ind w:right="17"/>
              <w:spacing w:after="0" w:line="142" w:lineRule="exact"/>
              <w:rPr>
                <w:sz w:val="20"/>
                <w:szCs w:val="20"/>
                <w:color w:val="auto"/>
              </w:rPr>
            </w:pPr>
            <w:r>
              <w:rPr>
                <w:rFonts w:ascii="Arial" w:cs="Arial" w:eastAsia="Arial" w:hAnsi="Arial"/>
                <w:sz w:val="13"/>
                <w:szCs w:val="13"/>
                <w:color w:val="auto"/>
                <w:w w:val="76"/>
              </w:rPr>
              <w:t>—</w:t>
            </w:r>
          </w:p>
        </w:tc>
        <w:tc>
          <w:tcPr>
            <w:tcW w:w="1420" w:type="dxa"/>
            <w:vAlign w:val="bottom"/>
            <w:tcBorders>
              <w:top w:val="single" w:sz="8" w:color="B6B6B6"/>
              <w:right w:val="single" w:sz="8" w:color="B6B6B6"/>
            </w:tcBorders>
            <w:vMerge w:val="restart"/>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31,223</w:t>
            </w:r>
          </w:p>
        </w:tc>
        <w:tc>
          <w:tcPr>
            <w:tcW w:w="1080" w:type="dxa"/>
            <w:vAlign w:val="bottom"/>
            <w:tcBorders>
              <w:top w:val="single" w:sz="8" w:color="B6B6B6"/>
              <w:right w:val="single" w:sz="8" w:color="DBDBDB"/>
            </w:tcBorders>
            <w:vMerge w:val="restart"/>
            <w:shd w:val="clear" w:color="auto" w:fill="DBDBDB"/>
          </w:tcPr>
          <w:p>
            <w:pPr>
              <w:jc w:val="right"/>
              <w:spacing w:after="0" w:line="142" w:lineRule="exact"/>
              <w:rPr>
                <w:sz w:val="20"/>
                <w:szCs w:val="20"/>
                <w:color w:val="auto"/>
              </w:rPr>
            </w:pPr>
            <w:r>
              <w:rPr>
                <w:rFonts w:ascii="Arial" w:cs="Arial" w:eastAsia="Arial" w:hAnsi="Arial"/>
                <w:sz w:val="13"/>
                <w:szCs w:val="13"/>
                <w:color w:val="auto"/>
              </w:rPr>
              <w:t>7,345,309</w:t>
            </w:r>
          </w:p>
        </w:tc>
        <w:tc>
          <w:tcPr>
            <w:tcW w:w="20" w:type="dxa"/>
            <w:vAlign w:val="bottom"/>
            <w:tcBorders>
              <w:top w:val="single" w:sz="8" w:color="B6B6B6"/>
            </w:tcBorders>
            <w:shd w:val="clear" w:color="auto" w:fill="B6B6B6"/>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40" w:type="dxa"/>
            <w:vAlign w:val="bottom"/>
            <w:tcBorders>
              <w:left w:val="single" w:sz="8" w:color="B6B6B6"/>
              <w:bottom w:val="single" w:sz="8" w:color="DBDBDB"/>
            </w:tcBorders>
            <w:shd w:val="clear" w:color="auto" w:fill="DBDBDB"/>
          </w:tcPr>
          <w:p>
            <w:pPr>
              <w:spacing w:after="0"/>
              <w:rPr>
                <w:sz w:val="11"/>
                <w:szCs w:val="11"/>
                <w:color w:val="auto"/>
              </w:rPr>
            </w:pPr>
          </w:p>
        </w:tc>
        <w:tc>
          <w:tcPr>
            <w:tcW w:w="160" w:type="dxa"/>
            <w:vAlign w:val="bottom"/>
            <w:tcBorders>
              <w:bottom w:val="single" w:sz="8" w:color="DBDBDB"/>
            </w:tcBorders>
            <w:shd w:val="clear" w:color="auto" w:fill="DBDBDB"/>
          </w:tcPr>
          <w:p>
            <w:pPr>
              <w:spacing w:after="0"/>
              <w:rPr>
                <w:sz w:val="11"/>
                <w:szCs w:val="11"/>
                <w:color w:val="auto"/>
              </w:rPr>
            </w:pPr>
          </w:p>
        </w:tc>
        <w:tc>
          <w:tcPr>
            <w:tcW w:w="100" w:type="dxa"/>
            <w:vAlign w:val="bottom"/>
            <w:tcBorders>
              <w:bottom w:val="single" w:sz="8" w:color="DBDBDB"/>
            </w:tcBorders>
            <w:shd w:val="clear" w:color="auto" w:fill="DBDBDB"/>
          </w:tcPr>
          <w:p>
            <w:pPr>
              <w:spacing w:after="0"/>
              <w:rPr>
                <w:sz w:val="11"/>
                <w:szCs w:val="11"/>
                <w:color w:val="auto"/>
              </w:rPr>
            </w:pPr>
          </w:p>
        </w:tc>
        <w:tc>
          <w:tcPr>
            <w:tcW w:w="60" w:type="dxa"/>
            <w:vAlign w:val="bottom"/>
            <w:tcBorders>
              <w:bottom w:val="single" w:sz="8" w:color="DBDBDB"/>
            </w:tcBorders>
            <w:shd w:val="clear" w:color="auto" w:fill="DBDBDB"/>
          </w:tcPr>
          <w:p>
            <w:pPr>
              <w:spacing w:after="0"/>
              <w:rPr>
                <w:sz w:val="11"/>
                <w:szCs w:val="11"/>
                <w:color w:val="auto"/>
              </w:rPr>
            </w:pPr>
          </w:p>
        </w:tc>
        <w:tc>
          <w:tcPr>
            <w:tcW w:w="120" w:type="dxa"/>
            <w:vAlign w:val="bottom"/>
            <w:tcBorders>
              <w:bottom w:val="single" w:sz="8" w:color="DBDBDB"/>
            </w:tcBorders>
            <w:shd w:val="clear" w:color="auto" w:fill="DBDBDB"/>
          </w:tcPr>
          <w:p>
            <w:pPr>
              <w:spacing w:after="0"/>
              <w:rPr>
                <w:sz w:val="11"/>
                <w:szCs w:val="11"/>
                <w:color w:val="auto"/>
              </w:rPr>
            </w:pPr>
          </w:p>
        </w:tc>
        <w:tc>
          <w:tcPr>
            <w:tcW w:w="60" w:type="dxa"/>
            <w:vAlign w:val="bottom"/>
            <w:tcBorders>
              <w:bottom w:val="single" w:sz="8" w:color="DBDBDB"/>
            </w:tcBorders>
            <w:shd w:val="clear" w:color="auto" w:fill="DBDBDB"/>
          </w:tcPr>
          <w:p>
            <w:pPr>
              <w:spacing w:after="0"/>
              <w:rPr>
                <w:sz w:val="11"/>
                <w:szCs w:val="11"/>
                <w:color w:val="auto"/>
              </w:rPr>
            </w:pPr>
          </w:p>
        </w:tc>
        <w:tc>
          <w:tcPr>
            <w:tcW w:w="40" w:type="dxa"/>
            <w:vAlign w:val="bottom"/>
            <w:tcBorders>
              <w:bottom w:val="single" w:sz="8" w:color="DBDBDB"/>
            </w:tcBorders>
            <w:shd w:val="clear" w:color="auto" w:fill="DBDBDB"/>
          </w:tcPr>
          <w:p>
            <w:pPr>
              <w:spacing w:after="0"/>
              <w:rPr>
                <w:sz w:val="11"/>
                <w:szCs w:val="11"/>
                <w:color w:val="auto"/>
              </w:rPr>
            </w:pPr>
          </w:p>
        </w:tc>
        <w:tc>
          <w:tcPr>
            <w:tcW w:w="80" w:type="dxa"/>
            <w:vAlign w:val="bottom"/>
            <w:tcBorders>
              <w:bottom w:val="single" w:sz="8" w:color="DBDBDB"/>
            </w:tcBorders>
            <w:shd w:val="clear" w:color="auto" w:fill="DBDBDB"/>
          </w:tcPr>
          <w:p>
            <w:pPr>
              <w:spacing w:after="0"/>
              <w:rPr>
                <w:sz w:val="11"/>
                <w:szCs w:val="11"/>
                <w:color w:val="auto"/>
              </w:rPr>
            </w:pPr>
          </w:p>
        </w:tc>
        <w:tc>
          <w:tcPr>
            <w:tcW w:w="180" w:type="dxa"/>
            <w:vAlign w:val="bottom"/>
            <w:tcBorders>
              <w:bottom w:val="single" w:sz="8" w:color="DBDBDB"/>
              <w:right w:val="single" w:sz="8" w:color="B6B6B6"/>
            </w:tcBorders>
            <w:shd w:val="clear" w:color="auto" w:fill="DBDBDB"/>
          </w:tcPr>
          <w:p>
            <w:pPr>
              <w:spacing w:after="0"/>
              <w:rPr>
                <w:sz w:val="11"/>
                <w:szCs w:val="11"/>
                <w:color w:val="auto"/>
              </w:rPr>
            </w:pPr>
          </w:p>
        </w:tc>
        <w:tc>
          <w:tcPr>
            <w:tcW w:w="200" w:type="dxa"/>
            <w:vAlign w:val="bottom"/>
            <w:tcBorders>
              <w:bottom w:val="single" w:sz="8" w:color="DBDBDB"/>
            </w:tcBorders>
            <w:shd w:val="clear" w:color="auto" w:fill="DBDBDB"/>
          </w:tcPr>
          <w:p>
            <w:pPr>
              <w:spacing w:after="0"/>
              <w:rPr>
                <w:sz w:val="11"/>
                <w:szCs w:val="11"/>
                <w:color w:val="auto"/>
              </w:rPr>
            </w:pPr>
          </w:p>
        </w:tc>
        <w:tc>
          <w:tcPr>
            <w:tcW w:w="280" w:type="dxa"/>
            <w:vAlign w:val="bottom"/>
            <w:tcBorders>
              <w:bottom w:val="single" w:sz="8" w:color="DBDBDB"/>
            </w:tcBorders>
            <w:vMerge w:val="continue"/>
            <w:shd w:val="clear" w:color="auto" w:fill="DBDBDB"/>
          </w:tcPr>
          <w:p>
            <w:pPr>
              <w:spacing w:after="0"/>
              <w:rPr>
                <w:sz w:val="11"/>
                <w:szCs w:val="11"/>
                <w:color w:val="auto"/>
              </w:rPr>
            </w:pPr>
          </w:p>
        </w:tc>
        <w:tc>
          <w:tcPr>
            <w:tcW w:w="240" w:type="dxa"/>
            <w:vAlign w:val="bottom"/>
            <w:tcBorders>
              <w:bottom w:val="single" w:sz="8" w:color="DBDBDB"/>
              <w:right w:val="single" w:sz="8" w:color="B6B6B6"/>
            </w:tcBorders>
            <w:shd w:val="clear" w:color="auto" w:fill="DBDBDB"/>
          </w:tcPr>
          <w:p>
            <w:pPr>
              <w:spacing w:after="0"/>
              <w:rPr>
                <w:sz w:val="11"/>
                <w:szCs w:val="11"/>
                <w:color w:val="auto"/>
              </w:rPr>
            </w:pPr>
          </w:p>
        </w:tc>
        <w:tc>
          <w:tcPr>
            <w:tcW w:w="1020" w:type="dxa"/>
            <w:vAlign w:val="bottom"/>
            <w:tcBorders>
              <w:bottom w:val="single" w:sz="8" w:color="DBDBDB"/>
              <w:right w:val="single" w:sz="8" w:color="B6B6B6"/>
            </w:tcBorders>
            <w:vMerge w:val="continue"/>
            <w:shd w:val="clear" w:color="auto" w:fill="DBDBDB"/>
          </w:tcPr>
          <w:p>
            <w:pPr>
              <w:spacing w:after="0"/>
              <w:rPr>
                <w:sz w:val="11"/>
                <w:szCs w:val="11"/>
                <w:color w:val="auto"/>
              </w:rPr>
            </w:pPr>
          </w:p>
        </w:tc>
        <w:tc>
          <w:tcPr>
            <w:tcW w:w="620" w:type="dxa"/>
            <w:vAlign w:val="bottom"/>
            <w:tcBorders>
              <w:bottom w:val="single" w:sz="8" w:color="DBDBDB"/>
            </w:tcBorders>
            <w:shd w:val="clear" w:color="auto" w:fill="DBDBDB"/>
          </w:tcPr>
          <w:p>
            <w:pPr>
              <w:spacing w:after="0"/>
              <w:rPr>
                <w:sz w:val="11"/>
                <w:szCs w:val="11"/>
                <w:color w:val="auto"/>
              </w:rPr>
            </w:pPr>
          </w:p>
        </w:tc>
        <w:tc>
          <w:tcPr>
            <w:tcW w:w="200" w:type="dxa"/>
            <w:vAlign w:val="bottom"/>
            <w:tcBorders>
              <w:bottom w:val="single" w:sz="8" w:color="DBDBDB"/>
              <w:right w:val="single" w:sz="8" w:color="B6B6B6"/>
            </w:tcBorders>
            <w:vMerge w:val="continue"/>
            <w:shd w:val="clear" w:color="auto" w:fill="DBDBDB"/>
          </w:tcPr>
          <w:p>
            <w:pPr>
              <w:spacing w:after="0"/>
              <w:rPr>
                <w:sz w:val="11"/>
                <w:szCs w:val="11"/>
                <w:color w:val="auto"/>
              </w:rPr>
            </w:pPr>
          </w:p>
        </w:tc>
        <w:tc>
          <w:tcPr>
            <w:tcW w:w="1120" w:type="dxa"/>
            <w:vAlign w:val="bottom"/>
            <w:tcBorders>
              <w:bottom w:val="single" w:sz="8" w:color="DBDBDB"/>
              <w:right w:val="single" w:sz="8" w:color="B6B6B6"/>
            </w:tcBorders>
            <w:vMerge w:val="continue"/>
            <w:shd w:val="clear" w:color="auto" w:fill="DBDBDB"/>
          </w:tcPr>
          <w:p>
            <w:pPr>
              <w:spacing w:after="0"/>
              <w:rPr>
                <w:sz w:val="11"/>
                <w:szCs w:val="11"/>
                <w:color w:val="auto"/>
              </w:rPr>
            </w:pPr>
          </w:p>
        </w:tc>
        <w:tc>
          <w:tcPr>
            <w:tcW w:w="1420" w:type="dxa"/>
            <w:vAlign w:val="bottom"/>
            <w:tcBorders>
              <w:bottom w:val="single" w:sz="8" w:color="DBDBDB"/>
              <w:right w:val="single" w:sz="8" w:color="B6B6B6"/>
            </w:tcBorders>
            <w:vMerge w:val="continue"/>
            <w:shd w:val="clear" w:color="auto" w:fill="DBDBDB"/>
          </w:tcPr>
          <w:p>
            <w:pPr>
              <w:spacing w:after="0"/>
              <w:rPr>
                <w:sz w:val="11"/>
                <w:szCs w:val="11"/>
                <w:color w:val="auto"/>
              </w:rPr>
            </w:pPr>
          </w:p>
        </w:tc>
        <w:tc>
          <w:tcPr>
            <w:tcW w:w="940" w:type="dxa"/>
            <w:vAlign w:val="bottom"/>
            <w:tcBorders>
              <w:bottom w:val="single" w:sz="8" w:color="DBDBDB"/>
            </w:tcBorders>
            <w:shd w:val="clear" w:color="auto" w:fill="DBDBDB"/>
          </w:tcPr>
          <w:p>
            <w:pPr>
              <w:spacing w:after="0"/>
              <w:rPr>
                <w:sz w:val="11"/>
                <w:szCs w:val="11"/>
                <w:color w:val="auto"/>
              </w:rPr>
            </w:pPr>
          </w:p>
        </w:tc>
        <w:tc>
          <w:tcPr>
            <w:tcW w:w="200" w:type="dxa"/>
            <w:vAlign w:val="bottom"/>
            <w:tcBorders>
              <w:bottom w:val="single" w:sz="8" w:color="DBDBDB"/>
              <w:right w:val="single" w:sz="8" w:color="B6B6B6"/>
            </w:tcBorders>
            <w:vMerge w:val="continue"/>
            <w:shd w:val="clear" w:color="auto" w:fill="DBDBDB"/>
          </w:tcPr>
          <w:p>
            <w:pPr>
              <w:spacing w:after="0"/>
              <w:rPr>
                <w:sz w:val="11"/>
                <w:szCs w:val="11"/>
                <w:color w:val="auto"/>
              </w:rPr>
            </w:pPr>
          </w:p>
        </w:tc>
        <w:tc>
          <w:tcPr>
            <w:tcW w:w="1420" w:type="dxa"/>
            <w:vAlign w:val="bottom"/>
            <w:tcBorders>
              <w:bottom w:val="single" w:sz="8" w:color="DBDBDB"/>
              <w:right w:val="single" w:sz="8" w:color="B6B6B6"/>
            </w:tcBorders>
            <w:vMerge w:val="continue"/>
            <w:shd w:val="clear" w:color="auto" w:fill="DBDBDB"/>
          </w:tcPr>
          <w:p>
            <w:pPr>
              <w:spacing w:after="0"/>
              <w:rPr>
                <w:sz w:val="11"/>
                <w:szCs w:val="11"/>
                <w:color w:val="auto"/>
              </w:rPr>
            </w:pPr>
          </w:p>
        </w:tc>
        <w:tc>
          <w:tcPr>
            <w:tcW w:w="1080" w:type="dxa"/>
            <w:vAlign w:val="bottom"/>
            <w:tcBorders>
              <w:bottom w:val="single" w:sz="8" w:color="DBDBDB"/>
              <w:right w:val="single" w:sz="8" w:color="DBDBDB"/>
            </w:tcBorders>
            <w:vMerge w:val="continue"/>
            <w:shd w:val="clear" w:color="auto" w:fill="DBDBDB"/>
          </w:tcPr>
          <w:p>
            <w:pPr>
              <w:spacing w:after="0"/>
              <w:rPr>
                <w:sz w:val="11"/>
                <w:szCs w:val="11"/>
                <w:color w:val="auto"/>
              </w:rPr>
            </w:pPr>
          </w:p>
        </w:tc>
        <w:tc>
          <w:tcPr>
            <w:tcW w:w="20" w:type="dxa"/>
            <w:vAlign w:val="bottom"/>
            <w:tcBorders>
              <w:bottom w:val="single" w:sz="8" w:color="B6B6B6"/>
            </w:tcBorders>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640" w:type="dxa"/>
            <w:vAlign w:val="bottom"/>
            <w:tcBorders>
              <w:top w:val="single" w:sz="8" w:color="B6B6B6"/>
              <w:left w:val="single" w:sz="8" w:color="B6B6B6"/>
              <w:right w:val="single" w:sz="8" w:color="B6B6B6"/>
            </w:tcBorders>
            <w:gridSpan w:val="9"/>
          </w:tcPr>
          <w:p>
            <w:pPr>
              <w:ind w:left="80"/>
              <w:spacing w:after="0"/>
              <w:rPr>
                <w:sz w:val="20"/>
                <w:szCs w:val="20"/>
                <w:color w:val="auto"/>
              </w:rPr>
            </w:pPr>
            <w:r>
              <w:rPr>
                <w:rFonts w:ascii="Arial" w:cs="Arial" w:eastAsia="Arial" w:hAnsi="Arial"/>
                <w:sz w:val="13"/>
                <w:szCs w:val="13"/>
                <w:color w:val="auto"/>
              </w:rPr>
              <w:t>Louis J. Pastor</w:t>
            </w:r>
          </w:p>
        </w:tc>
        <w:tc>
          <w:tcPr>
            <w:tcW w:w="480" w:type="dxa"/>
            <w:vAlign w:val="bottom"/>
            <w:tcBorders>
              <w:top w:val="single" w:sz="8" w:color="B6B6B6"/>
            </w:tcBorders>
            <w:gridSpan w:val="2"/>
          </w:tcPr>
          <w:p>
            <w:pPr>
              <w:ind w:left="200"/>
              <w:spacing w:after="0"/>
              <w:rPr>
                <w:sz w:val="20"/>
                <w:szCs w:val="20"/>
                <w:color w:val="auto"/>
              </w:rPr>
            </w:pPr>
            <w:r>
              <w:rPr>
                <w:rFonts w:ascii="Arial" w:cs="Arial" w:eastAsia="Arial" w:hAnsi="Arial"/>
                <w:sz w:val="13"/>
                <w:szCs w:val="13"/>
                <w:color w:val="auto"/>
                <w:w w:val="89"/>
              </w:rPr>
              <w:t>2025</w:t>
            </w:r>
          </w:p>
        </w:tc>
        <w:tc>
          <w:tcPr>
            <w:tcW w:w="240" w:type="dxa"/>
            <w:vAlign w:val="bottom"/>
            <w:tcBorders>
              <w:top w:val="single" w:sz="8" w:color="B6B6B6"/>
              <w:right w:val="single" w:sz="8" w:color="B6B6B6"/>
            </w:tcBorders>
          </w:tcPr>
          <w:p>
            <w:pPr>
              <w:spacing w:after="0"/>
              <w:rPr>
                <w:sz w:val="13"/>
                <w:szCs w:val="13"/>
                <w:color w:val="auto"/>
              </w:rPr>
            </w:pPr>
          </w:p>
        </w:tc>
        <w:tc>
          <w:tcPr>
            <w:tcW w:w="1020" w:type="dxa"/>
            <w:vAlign w:val="bottom"/>
            <w:tcBorders>
              <w:top w:val="single" w:sz="8" w:color="B6B6B6"/>
              <w:right w:val="single" w:sz="8" w:color="B6B6B6"/>
            </w:tcBorders>
          </w:tcPr>
          <w:p>
            <w:pPr>
              <w:jc w:val="right"/>
              <w:ind w:right="16"/>
              <w:spacing w:after="0"/>
              <w:rPr>
                <w:sz w:val="20"/>
                <w:szCs w:val="20"/>
                <w:color w:val="auto"/>
              </w:rPr>
            </w:pPr>
            <w:r>
              <w:rPr>
                <w:rFonts w:ascii="Arial" w:cs="Arial" w:eastAsia="Arial" w:hAnsi="Arial"/>
                <w:sz w:val="13"/>
                <w:szCs w:val="13"/>
                <w:color w:val="auto"/>
              </w:rPr>
              <w:t>625,000</w:t>
            </w:r>
          </w:p>
        </w:tc>
        <w:tc>
          <w:tcPr>
            <w:tcW w:w="620" w:type="dxa"/>
            <w:vAlign w:val="bottom"/>
            <w:tcBorders>
              <w:top w:val="single" w:sz="8" w:color="B6B6B6"/>
            </w:tcBorders>
          </w:tcPr>
          <w:p>
            <w:pPr>
              <w:spacing w:after="0"/>
              <w:rPr>
                <w:sz w:val="13"/>
                <w:szCs w:val="13"/>
                <w:color w:val="auto"/>
              </w:rPr>
            </w:pPr>
          </w:p>
        </w:tc>
        <w:tc>
          <w:tcPr>
            <w:tcW w:w="200" w:type="dxa"/>
            <w:vAlign w:val="bottom"/>
            <w:tcBorders>
              <w:top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B6B6B6"/>
              <w:right w:val="single" w:sz="8" w:color="B6B6B6"/>
            </w:tcBorders>
          </w:tcPr>
          <w:p>
            <w:pPr>
              <w:jc w:val="right"/>
              <w:ind w:right="16"/>
              <w:spacing w:after="0"/>
              <w:rPr>
                <w:sz w:val="20"/>
                <w:szCs w:val="20"/>
                <w:color w:val="auto"/>
              </w:rPr>
            </w:pPr>
            <w:r>
              <w:rPr>
                <w:rFonts w:ascii="Arial" w:cs="Arial" w:eastAsia="Arial" w:hAnsi="Arial"/>
                <w:sz w:val="13"/>
                <w:szCs w:val="13"/>
                <w:color w:val="auto"/>
              </w:rPr>
              <w:t>3,268,881</w:t>
            </w:r>
          </w:p>
        </w:tc>
        <w:tc>
          <w:tcPr>
            <w:tcW w:w="1420" w:type="dxa"/>
            <w:vAlign w:val="bottom"/>
            <w:tcBorders>
              <w:top w:val="single" w:sz="8" w:color="B6B6B6"/>
              <w:right w:val="single" w:sz="8" w:color="B6B6B6"/>
            </w:tcBorders>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B6B6B6"/>
            </w:tcBorders>
          </w:tcPr>
          <w:p>
            <w:pPr>
              <w:spacing w:after="0"/>
              <w:rPr>
                <w:sz w:val="13"/>
                <w:szCs w:val="13"/>
                <w:color w:val="auto"/>
              </w:rPr>
            </w:pPr>
          </w:p>
        </w:tc>
        <w:tc>
          <w:tcPr>
            <w:tcW w:w="200" w:type="dxa"/>
            <w:vAlign w:val="bottom"/>
            <w:tcBorders>
              <w:top w:val="single" w:sz="8" w:color="B6B6B6"/>
              <w:right w:val="single" w:sz="8" w:color="B6B6B6"/>
            </w:tcBorders>
          </w:tcPr>
          <w:p>
            <w:pPr>
              <w:jc w:val="right"/>
              <w:ind w:right="17"/>
              <w:spacing w:after="0"/>
              <w:rPr>
                <w:sz w:val="20"/>
                <w:szCs w:val="20"/>
                <w:color w:val="auto"/>
              </w:rPr>
            </w:pPr>
            <w:r>
              <w:rPr>
                <w:rFonts w:ascii="Arial" w:cs="Arial" w:eastAsia="Arial" w:hAnsi="Arial"/>
                <w:sz w:val="13"/>
                <w:szCs w:val="13"/>
                <w:color w:val="auto"/>
                <w:w w:val="76"/>
              </w:rPr>
              <w:t>—</w:t>
            </w:r>
          </w:p>
        </w:tc>
        <w:tc>
          <w:tcPr>
            <w:tcW w:w="1420" w:type="dxa"/>
            <w:vAlign w:val="bottom"/>
            <w:tcBorders>
              <w:top w:val="single" w:sz="8" w:color="B6B6B6"/>
              <w:right w:val="single" w:sz="8" w:color="B6B6B6"/>
            </w:tcBorders>
          </w:tcPr>
          <w:p>
            <w:pPr>
              <w:jc w:val="right"/>
              <w:ind w:right="16"/>
              <w:spacing w:after="0"/>
              <w:rPr>
                <w:sz w:val="20"/>
                <w:szCs w:val="20"/>
                <w:color w:val="auto"/>
              </w:rPr>
            </w:pPr>
            <w:r>
              <w:rPr>
                <w:rFonts w:ascii="Arial" w:cs="Arial" w:eastAsia="Arial" w:hAnsi="Arial"/>
                <w:sz w:val="13"/>
                <w:szCs w:val="13"/>
                <w:color w:val="auto"/>
              </w:rPr>
              <w:t>15,000</w:t>
            </w:r>
          </w:p>
        </w:tc>
        <w:tc>
          <w:tcPr>
            <w:tcW w:w="10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3,908,881</w:t>
            </w:r>
          </w:p>
        </w:tc>
        <w:tc>
          <w:tcPr>
            <w:tcW w:w="20" w:type="dxa"/>
            <w:vAlign w:val="bottom"/>
            <w:tcBorders>
              <w:top w:val="single" w:sz="8" w:color="B6B6B6"/>
            </w:tcBorders>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1640" w:type="dxa"/>
            <w:vAlign w:val="bottom"/>
            <w:tcBorders>
              <w:left w:val="single" w:sz="8" w:color="B6B6B6"/>
              <w:right w:val="single" w:sz="8" w:color="B6B6B6"/>
            </w:tcBorders>
            <w:gridSpan w:val="9"/>
            <w:vMerge w:val="restart"/>
          </w:tcPr>
          <w:p>
            <w:pPr>
              <w:ind w:left="80"/>
              <w:spacing w:after="0"/>
              <w:rPr>
                <w:sz w:val="20"/>
                <w:szCs w:val="20"/>
                <w:color w:val="auto"/>
              </w:rPr>
            </w:pPr>
            <w:r>
              <w:rPr>
                <w:rFonts w:ascii="Arial" w:cs="Arial" w:eastAsia="Arial" w:hAnsi="Arial"/>
                <w:sz w:val="13"/>
                <w:szCs w:val="13"/>
                <w:color w:val="auto"/>
              </w:rPr>
              <w:t>President and Chief</w:t>
            </w:r>
          </w:p>
        </w:tc>
        <w:tc>
          <w:tcPr>
            <w:tcW w:w="200" w:type="dxa"/>
            <w:vAlign w:val="bottom"/>
            <w:tcBorders>
              <w:bottom w:val="single" w:sz="8" w:color="B6B6B6"/>
            </w:tcBorders>
          </w:tcPr>
          <w:p>
            <w:pPr>
              <w:spacing w:after="0"/>
              <w:rPr>
                <w:sz w:val="3"/>
                <w:szCs w:val="3"/>
                <w:color w:val="auto"/>
              </w:rPr>
            </w:pPr>
          </w:p>
        </w:tc>
        <w:tc>
          <w:tcPr>
            <w:tcW w:w="280" w:type="dxa"/>
            <w:vAlign w:val="bottom"/>
            <w:tcBorders>
              <w:bottom w:val="single" w:sz="8" w:color="B6B6B6"/>
            </w:tcBorders>
          </w:tcPr>
          <w:p>
            <w:pPr>
              <w:spacing w:after="0"/>
              <w:rPr>
                <w:sz w:val="3"/>
                <w:szCs w:val="3"/>
                <w:color w:val="auto"/>
              </w:rPr>
            </w:pPr>
          </w:p>
        </w:tc>
        <w:tc>
          <w:tcPr>
            <w:tcW w:w="240" w:type="dxa"/>
            <w:vAlign w:val="bottom"/>
            <w:tcBorders>
              <w:bottom w:val="single" w:sz="8" w:color="B6B6B6"/>
              <w:right w:val="single" w:sz="8" w:color="B6B6B6"/>
            </w:tcBorders>
          </w:tcPr>
          <w:p>
            <w:pPr>
              <w:spacing w:after="0"/>
              <w:rPr>
                <w:sz w:val="3"/>
                <w:szCs w:val="3"/>
                <w:color w:val="auto"/>
              </w:rPr>
            </w:pPr>
          </w:p>
        </w:tc>
        <w:tc>
          <w:tcPr>
            <w:tcW w:w="1020" w:type="dxa"/>
            <w:vAlign w:val="bottom"/>
            <w:tcBorders>
              <w:bottom w:val="single" w:sz="8" w:color="B6B6B6"/>
              <w:right w:val="single" w:sz="8" w:color="B6B6B6"/>
            </w:tcBorders>
          </w:tcPr>
          <w:p>
            <w:pPr>
              <w:spacing w:after="0"/>
              <w:rPr>
                <w:sz w:val="3"/>
                <w:szCs w:val="3"/>
                <w:color w:val="auto"/>
              </w:rPr>
            </w:pPr>
          </w:p>
        </w:tc>
        <w:tc>
          <w:tcPr>
            <w:tcW w:w="620" w:type="dxa"/>
            <w:vAlign w:val="bottom"/>
            <w:tcBorders>
              <w:bottom w:val="single" w:sz="8" w:color="B6B6B6"/>
            </w:tcBorders>
          </w:tcPr>
          <w:p>
            <w:pPr>
              <w:spacing w:after="0"/>
              <w:rPr>
                <w:sz w:val="3"/>
                <w:szCs w:val="3"/>
                <w:color w:val="auto"/>
              </w:rPr>
            </w:pPr>
          </w:p>
        </w:tc>
        <w:tc>
          <w:tcPr>
            <w:tcW w:w="200" w:type="dxa"/>
            <w:vAlign w:val="bottom"/>
            <w:tcBorders>
              <w:bottom w:val="single" w:sz="8" w:color="B6B6B6"/>
              <w:right w:val="single" w:sz="8" w:color="B6B6B6"/>
            </w:tcBorders>
          </w:tcPr>
          <w:p>
            <w:pPr>
              <w:spacing w:after="0"/>
              <w:rPr>
                <w:sz w:val="3"/>
                <w:szCs w:val="3"/>
                <w:color w:val="auto"/>
              </w:rPr>
            </w:pPr>
          </w:p>
        </w:tc>
        <w:tc>
          <w:tcPr>
            <w:tcW w:w="1120" w:type="dxa"/>
            <w:vAlign w:val="bottom"/>
            <w:tcBorders>
              <w:bottom w:val="single" w:sz="8" w:color="B6B6B6"/>
              <w:right w:val="single" w:sz="8" w:color="B6B6B6"/>
            </w:tcBorders>
          </w:tcPr>
          <w:p>
            <w:pPr>
              <w:spacing w:after="0"/>
              <w:rPr>
                <w:sz w:val="3"/>
                <w:szCs w:val="3"/>
                <w:color w:val="auto"/>
              </w:rPr>
            </w:pPr>
          </w:p>
        </w:tc>
        <w:tc>
          <w:tcPr>
            <w:tcW w:w="1420" w:type="dxa"/>
            <w:vAlign w:val="bottom"/>
            <w:tcBorders>
              <w:bottom w:val="single" w:sz="8" w:color="B6B6B6"/>
              <w:right w:val="single" w:sz="8" w:color="B6B6B6"/>
            </w:tcBorders>
          </w:tcPr>
          <w:p>
            <w:pPr>
              <w:spacing w:after="0"/>
              <w:rPr>
                <w:sz w:val="3"/>
                <w:szCs w:val="3"/>
                <w:color w:val="auto"/>
              </w:rPr>
            </w:pPr>
          </w:p>
        </w:tc>
        <w:tc>
          <w:tcPr>
            <w:tcW w:w="940" w:type="dxa"/>
            <w:vAlign w:val="bottom"/>
            <w:tcBorders>
              <w:bottom w:val="single" w:sz="8" w:color="B6B6B6"/>
            </w:tcBorders>
          </w:tcPr>
          <w:p>
            <w:pPr>
              <w:spacing w:after="0"/>
              <w:rPr>
                <w:sz w:val="3"/>
                <w:szCs w:val="3"/>
                <w:color w:val="auto"/>
              </w:rPr>
            </w:pPr>
          </w:p>
        </w:tc>
        <w:tc>
          <w:tcPr>
            <w:tcW w:w="200" w:type="dxa"/>
            <w:vAlign w:val="bottom"/>
            <w:tcBorders>
              <w:bottom w:val="single" w:sz="8" w:color="B6B6B6"/>
              <w:right w:val="single" w:sz="8" w:color="B6B6B6"/>
            </w:tcBorders>
          </w:tcPr>
          <w:p>
            <w:pPr>
              <w:spacing w:after="0"/>
              <w:rPr>
                <w:sz w:val="3"/>
                <w:szCs w:val="3"/>
                <w:color w:val="auto"/>
              </w:rPr>
            </w:pPr>
          </w:p>
        </w:tc>
        <w:tc>
          <w:tcPr>
            <w:tcW w:w="1420" w:type="dxa"/>
            <w:vAlign w:val="bottom"/>
            <w:tcBorders>
              <w:bottom w:val="single" w:sz="8" w:color="B6B6B6"/>
              <w:right w:val="single" w:sz="8" w:color="B6B6B6"/>
            </w:tcBorders>
          </w:tcPr>
          <w:p>
            <w:pPr>
              <w:spacing w:after="0"/>
              <w:rPr>
                <w:sz w:val="3"/>
                <w:szCs w:val="3"/>
                <w:color w:val="auto"/>
              </w:rPr>
            </w:pPr>
          </w:p>
        </w:tc>
        <w:tc>
          <w:tcPr>
            <w:tcW w:w="1080" w:type="dxa"/>
            <w:vAlign w:val="bottom"/>
            <w:tcBorders>
              <w:bottom w:val="single" w:sz="8" w:color="B6B6B6"/>
            </w:tcBorders>
          </w:tcPr>
          <w:p>
            <w:pPr>
              <w:spacing w:after="0"/>
              <w:rPr>
                <w:sz w:val="3"/>
                <w:szCs w:val="3"/>
                <w:color w:val="auto"/>
              </w:rPr>
            </w:pPr>
          </w:p>
        </w:tc>
        <w:tc>
          <w:tcPr>
            <w:tcW w:w="20" w:type="dxa"/>
            <w:vAlign w:val="bottom"/>
            <w:tcBorders>
              <w:bottom w:val="single" w:sz="8" w:color="B6B6B6"/>
            </w:tcBorders>
            <w:shd w:val="clear" w:color="auto" w:fill="B6B6B6"/>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1640" w:type="dxa"/>
            <w:vAlign w:val="bottom"/>
            <w:tcBorders>
              <w:left w:val="single" w:sz="8" w:color="B6B6B6"/>
              <w:right w:val="single" w:sz="8" w:color="B6B6B6"/>
            </w:tcBorders>
            <w:gridSpan w:val="9"/>
            <w:vMerge w:val="continue"/>
          </w:tcPr>
          <w:p>
            <w:pPr>
              <w:spacing w:after="0"/>
              <w:rPr>
                <w:sz w:val="7"/>
                <w:szCs w:val="7"/>
                <w:color w:val="auto"/>
              </w:rPr>
            </w:pPr>
          </w:p>
        </w:tc>
        <w:tc>
          <w:tcPr>
            <w:tcW w:w="480" w:type="dxa"/>
            <w:vAlign w:val="bottom"/>
            <w:gridSpan w:val="2"/>
            <w:vMerge w:val="restart"/>
          </w:tcPr>
          <w:p>
            <w:pPr>
              <w:ind w:left="200"/>
              <w:spacing w:after="0"/>
              <w:rPr>
                <w:sz w:val="20"/>
                <w:szCs w:val="20"/>
                <w:color w:val="auto"/>
              </w:rPr>
            </w:pPr>
            <w:r>
              <w:rPr>
                <w:rFonts w:ascii="Arial" w:cs="Arial" w:eastAsia="Arial" w:hAnsi="Arial"/>
                <w:sz w:val="13"/>
                <w:szCs w:val="13"/>
                <w:color w:val="auto"/>
                <w:w w:val="89"/>
              </w:rPr>
              <w:t>2024</w:t>
            </w:r>
          </w:p>
        </w:tc>
        <w:tc>
          <w:tcPr>
            <w:tcW w:w="240" w:type="dxa"/>
            <w:vAlign w:val="bottom"/>
            <w:tcBorders>
              <w:right w:val="single" w:sz="8" w:color="B6B6B6"/>
            </w:tcBorders>
          </w:tcPr>
          <w:p>
            <w:pPr>
              <w:spacing w:after="0"/>
              <w:rPr>
                <w:sz w:val="7"/>
                <w:szCs w:val="7"/>
                <w:color w:val="auto"/>
              </w:rPr>
            </w:pPr>
          </w:p>
        </w:tc>
        <w:tc>
          <w:tcPr>
            <w:tcW w:w="1020" w:type="dxa"/>
            <w:vAlign w:val="bottom"/>
            <w:tcBorders>
              <w:right w:val="single" w:sz="8" w:color="B6B6B6"/>
            </w:tcBorders>
            <w:vMerge w:val="restart"/>
          </w:tcPr>
          <w:p>
            <w:pPr>
              <w:jc w:val="right"/>
              <w:ind w:right="16"/>
              <w:spacing w:after="0"/>
              <w:rPr>
                <w:sz w:val="20"/>
                <w:szCs w:val="20"/>
                <w:color w:val="auto"/>
              </w:rPr>
            </w:pPr>
            <w:r>
              <w:rPr>
                <w:rFonts w:ascii="Arial" w:cs="Arial" w:eastAsia="Arial" w:hAnsi="Arial"/>
                <w:sz w:val="13"/>
                <w:szCs w:val="13"/>
                <w:color w:val="auto"/>
              </w:rPr>
              <w:t>622,735</w:t>
            </w:r>
          </w:p>
        </w:tc>
        <w:tc>
          <w:tcPr>
            <w:tcW w:w="620" w:type="dxa"/>
            <w:vAlign w:val="bottom"/>
          </w:tcPr>
          <w:p>
            <w:pPr>
              <w:spacing w:after="0"/>
              <w:rPr>
                <w:sz w:val="7"/>
                <w:szCs w:val="7"/>
                <w:color w:val="auto"/>
              </w:rPr>
            </w:pPr>
          </w:p>
        </w:tc>
        <w:tc>
          <w:tcPr>
            <w:tcW w:w="200" w:type="dxa"/>
            <w:vAlign w:val="bottom"/>
            <w:tcBorders>
              <w:right w:val="single" w:sz="8" w:color="B6B6B6"/>
            </w:tcBorders>
            <w:vMerge w:val="restart"/>
          </w:tcPr>
          <w:p>
            <w:pPr>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B6B6B6"/>
            </w:tcBorders>
            <w:vMerge w:val="restart"/>
          </w:tcPr>
          <w:p>
            <w:pPr>
              <w:jc w:val="right"/>
              <w:ind w:right="16"/>
              <w:spacing w:after="0"/>
              <w:rPr>
                <w:sz w:val="20"/>
                <w:szCs w:val="20"/>
                <w:color w:val="auto"/>
              </w:rPr>
            </w:pPr>
            <w:r>
              <w:rPr>
                <w:rFonts w:ascii="Arial" w:cs="Arial" w:eastAsia="Arial" w:hAnsi="Arial"/>
                <w:sz w:val="13"/>
                <w:szCs w:val="13"/>
                <w:color w:val="auto"/>
              </w:rPr>
              <w:t>5,576,209</w:t>
            </w:r>
          </w:p>
        </w:tc>
        <w:tc>
          <w:tcPr>
            <w:tcW w:w="1420" w:type="dxa"/>
            <w:vAlign w:val="bottom"/>
            <w:tcBorders>
              <w:right w:val="single" w:sz="8" w:color="B6B6B6"/>
            </w:tcBorders>
            <w:vMerge w:val="restart"/>
          </w:tcPr>
          <w:p>
            <w:pPr>
              <w:jc w:val="right"/>
              <w:ind w:right="15"/>
              <w:spacing w:after="0"/>
              <w:rPr>
                <w:sz w:val="20"/>
                <w:szCs w:val="20"/>
                <w:color w:val="auto"/>
              </w:rPr>
            </w:pPr>
            <w:r>
              <w:rPr>
                <w:rFonts w:ascii="Arial" w:cs="Arial" w:eastAsia="Arial" w:hAnsi="Arial"/>
                <w:sz w:val="13"/>
                <w:szCs w:val="13"/>
                <w:color w:val="auto"/>
              </w:rPr>
              <w:t>437,500</w:t>
            </w:r>
          </w:p>
        </w:tc>
        <w:tc>
          <w:tcPr>
            <w:tcW w:w="940" w:type="dxa"/>
            <w:vAlign w:val="bottom"/>
          </w:tcPr>
          <w:p>
            <w:pPr>
              <w:spacing w:after="0"/>
              <w:rPr>
                <w:sz w:val="7"/>
                <w:szCs w:val="7"/>
                <w:color w:val="auto"/>
              </w:rPr>
            </w:pPr>
          </w:p>
        </w:tc>
        <w:tc>
          <w:tcPr>
            <w:tcW w:w="200" w:type="dxa"/>
            <w:vAlign w:val="bottom"/>
            <w:tcBorders>
              <w:right w:val="single" w:sz="8" w:color="B6B6B6"/>
            </w:tcBorders>
            <w:vMerge w:val="restart"/>
          </w:tcPr>
          <w:p>
            <w:pPr>
              <w:jc w:val="right"/>
              <w:ind w:right="17"/>
              <w:spacing w:after="0"/>
              <w:rPr>
                <w:sz w:val="20"/>
                <w:szCs w:val="20"/>
                <w:color w:val="auto"/>
              </w:rPr>
            </w:pPr>
            <w:r>
              <w:rPr>
                <w:rFonts w:ascii="Arial" w:cs="Arial" w:eastAsia="Arial" w:hAnsi="Arial"/>
                <w:sz w:val="13"/>
                <w:szCs w:val="13"/>
                <w:color w:val="auto"/>
                <w:w w:val="76"/>
              </w:rPr>
              <w:t>—</w:t>
            </w:r>
          </w:p>
        </w:tc>
        <w:tc>
          <w:tcPr>
            <w:tcW w:w="1420" w:type="dxa"/>
            <w:vAlign w:val="bottom"/>
            <w:tcBorders>
              <w:right w:val="single" w:sz="8" w:color="B6B6B6"/>
            </w:tcBorders>
            <w:vMerge w:val="restart"/>
          </w:tcPr>
          <w:p>
            <w:pPr>
              <w:jc w:val="right"/>
              <w:ind w:right="16"/>
              <w:spacing w:after="0"/>
              <w:rPr>
                <w:sz w:val="20"/>
                <w:szCs w:val="20"/>
                <w:color w:val="auto"/>
              </w:rPr>
            </w:pPr>
            <w:r>
              <w:rPr>
                <w:rFonts w:ascii="Arial" w:cs="Arial" w:eastAsia="Arial" w:hAnsi="Arial"/>
                <w:sz w:val="13"/>
                <w:szCs w:val="13"/>
                <w:color w:val="auto"/>
              </w:rPr>
              <w:t>4,679</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6,641,123</w:t>
            </w:r>
          </w:p>
        </w:tc>
        <w:tc>
          <w:tcPr>
            <w:tcW w:w="20" w:type="dxa"/>
            <w:vAlign w:val="bottom"/>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640" w:type="dxa"/>
            <w:vAlign w:val="bottom"/>
            <w:tcBorders>
              <w:left w:val="single" w:sz="8" w:color="B6B6B6"/>
              <w:right w:val="single" w:sz="8" w:color="B6B6B6"/>
            </w:tcBorders>
            <w:gridSpan w:val="9"/>
            <w:vMerge w:val="restart"/>
          </w:tcPr>
          <w:p>
            <w:pPr>
              <w:ind w:left="80"/>
              <w:spacing w:after="0" w:line="106" w:lineRule="exact"/>
              <w:rPr>
                <w:sz w:val="20"/>
                <w:szCs w:val="20"/>
                <w:color w:val="auto"/>
              </w:rPr>
            </w:pPr>
            <w:r>
              <w:rPr>
                <w:rFonts w:ascii="Arial" w:cs="Arial" w:eastAsia="Arial" w:hAnsi="Arial"/>
                <w:sz w:val="10"/>
                <w:szCs w:val="10"/>
                <w:color w:val="auto"/>
              </w:rPr>
              <w:t>Operating Officer</w:t>
            </w:r>
            <w:r>
              <w:rPr>
                <w:rFonts w:ascii="Arial" w:cs="Arial" w:eastAsia="Arial" w:hAnsi="Arial"/>
                <w:sz w:val="12"/>
                <w:szCs w:val="12"/>
                <w:color w:val="auto"/>
                <w:vertAlign w:val="superscript"/>
              </w:rPr>
              <w:t>(3)</w:t>
            </w:r>
          </w:p>
        </w:tc>
        <w:tc>
          <w:tcPr>
            <w:tcW w:w="480" w:type="dxa"/>
            <w:vAlign w:val="bottom"/>
            <w:gridSpan w:val="2"/>
            <w:vMerge w:val="continue"/>
          </w:tcPr>
          <w:p>
            <w:pPr>
              <w:spacing w:after="0"/>
              <w:rPr>
                <w:sz w:val="6"/>
                <w:szCs w:val="6"/>
                <w:color w:val="auto"/>
              </w:rPr>
            </w:pPr>
          </w:p>
        </w:tc>
        <w:tc>
          <w:tcPr>
            <w:tcW w:w="240" w:type="dxa"/>
            <w:vAlign w:val="bottom"/>
            <w:tcBorders>
              <w:right w:val="single" w:sz="8" w:color="B6B6B6"/>
            </w:tcBorders>
          </w:tcPr>
          <w:p>
            <w:pPr>
              <w:spacing w:after="0"/>
              <w:rPr>
                <w:sz w:val="6"/>
                <w:szCs w:val="6"/>
                <w:color w:val="auto"/>
              </w:rPr>
            </w:pPr>
          </w:p>
        </w:tc>
        <w:tc>
          <w:tcPr>
            <w:tcW w:w="1020" w:type="dxa"/>
            <w:vAlign w:val="bottom"/>
            <w:tcBorders>
              <w:right w:val="single" w:sz="8" w:color="B6B6B6"/>
            </w:tcBorders>
            <w:vMerge w:val="continue"/>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Borders>
              <w:right w:val="single" w:sz="8" w:color="B6B6B6"/>
            </w:tcBorders>
            <w:vMerge w:val="continue"/>
          </w:tcPr>
          <w:p>
            <w:pPr>
              <w:spacing w:after="0"/>
              <w:rPr>
                <w:sz w:val="6"/>
                <w:szCs w:val="6"/>
                <w:color w:val="auto"/>
              </w:rPr>
            </w:pPr>
          </w:p>
        </w:tc>
        <w:tc>
          <w:tcPr>
            <w:tcW w:w="1120" w:type="dxa"/>
            <w:vAlign w:val="bottom"/>
            <w:tcBorders>
              <w:right w:val="single" w:sz="8" w:color="B6B6B6"/>
            </w:tcBorders>
            <w:vMerge w:val="continue"/>
          </w:tcPr>
          <w:p>
            <w:pPr>
              <w:spacing w:after="0"/>
              <w:rPr>
                <w:sz w:val="6"/>
                <w:szCs w:val="6"/>
                <w:color w:val="auto"/>
              </w:rPr>
            </w:pPr>
          </w:p>
        </w:tc>
        <w:tc>
          <w:tcPr>
            <w:tcW w:w="1420" w:type="dxa"/>
            <w:vAlign w:val="bottom"/>
            <w:tcBorders>
              <w:right w:val="single" w:sz="8" w:color="B6B6B6"/>
            </w:tcBorders>
            <w:vMerge w:val="continue"/>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Borders>
              <w:right w:val="single" w:sz="8" w:color="B6B6B6"/>
            </w:tcBorders>
            <w:vMerge w:val="continue"/>
          </w:tcPr>
          <w:p>
            <w:pPr>
              <w:spacing w:after="0"/>
              <w:rPr>
                <w:sz w:val="6"/>
                <w:szCs w:val="6"/>
                <w:color w:val="auto"/>
              </w:rPr>
            </w:pPr>
          </w:p>
        </w:tc>
        <w:tc>
          <w:tcPr>
            <w:tcW w:w="1420" w:type="dxa"/>
            <w:vAlign w:val="bottom"/>
            <w:tcBorders>
              <w:right w:val="single" w:sz="8" w:color="B6B6B6"/>
            </w:tcBorders>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0" w:type="dxa"/>
            <w:vAlign w:val="bottom"/>
            <w:shd w:val="clear" w:color="auto" w:fill="B6B6B6"/>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640" w:type="dxa"/>
            <w:vAlign w:val="bottom"/>
            <w:tcBorders>
              <w:left w:val="single" w:sz="8" w:color="B6B6B6"/>
              <w:right w:val="single" w:sz="8" w:color="B6B6B6"/>
            </w:tcBorders>
            <w:gridSpan w:val="9"/>
            <w:vMerge w:val="continue"/>
          </w:tcPr>
          <w:p>
            <w:pPr>
              <w:spacing w:after="0"/>
              <w:rPr>
                <w:sz w:val="3"/>
                <w:szCs w:val="3"/>
                <w:color w:val="auto"/>
              </w:rPr>
            </w:pPr>
          </w:p>
        </w:tc>
        <w:tc>
          <w:tcPr>
            <w:tcW w:w="200" w:type="dxa"/>
            <w:vAlign w:val="bottom"/>
            <w:tcBorders>
              <w:bottom w:val="single" w:sz="8" w:color="B6B6B6"/>
            </w:tcBorders>
          </w:tcPr>
          <w:p>
            <w:pPr>
              <w:spacing w:after="0"/>
              <w:rPr>
                <w:sz w:val="3"/>
                <w:szCs w:val="3"/>
                <w:color w:val="auto"/>
              </w:rPr>
            </w:pPr>
          </w:p>
        </w:tc>
        <w:tc>
          <w:tcPr>
            <w:tcW w:w="280" w:type="dxa"/>
            <w:vAlign w:val="bottom"/>
            <w:tcBorders>
              <w:bottom w:val="single" w:sz="8" w:color="B6B6B6"/>
            </w:tcBorders>
          </w:tcPr>
          <w:p>
            <w:pPr>
              <w:spacing w:after="0"/>
              <w:rPr>
                <w:sz w:val="3"/>
                <w:szCs w:val="3"/>
                <w:color w:val="auto"/>
              </w:rPr>
            </w:pPr>
          </w:p>
        </w:tc>
        <w:tc>
          <w:tcPr>
            <w:tcW w:w="240" w:type="dxa"/>
            <w:vAlign w:val="bottom"/>
            <w:tcBorders>
              <w:bottom w:val="single" w:sz="8" w:color="B6B6B6"/>
              <w:right w:val="single" w:sz="8" w:color="B6B6B6"/>
            </w:tcBorders>
          </w:tcPr>
          <w:p>
            <w:pPr>
              <w:spacing w:after="0"/>
              <w:rPr>
                <w:sz w:val="3"/>
                <w:szCs w:val="3"/>
                <w:color w:val="auto"/>
              </w:rPr>
            </w:pPr>
          </w:p>
        </w:tc>
        <w:tc>
          <w:tcPr>
            <w:tcW w:w="1020" w:type="dxa"/>
            <w:vAlign w:val="bottom"/>
            <w:tcBorders>
              <w:bottom w:val="single" w:sz="8" w:color="B6B6B6"/>
              <w:right w:val="single" w:sz="8" w:color="B6B6B6"/>
            </w:tcBorders>
          </w:tcPr>
          <w:p>
            <w:pPr>
              <w:spacing w:after="0"/>
              <w:rPr>
                <w:sz w:val="3"/>
                <w:szCs w:val="3"/>
                <w:color w:val="auto"/>
              </w:rPr>
            </w:pPr>
          </w:p>
        </w:tc>
        <w:tc>
          <w:tcPr>
            <w:tcW w:w="620" w:type="dxa"/>
            <w:vAlign w:val="bottom"/>
            <w:tcBorders>
              <w:bottom w:val="single" w:sz="8" w:color="B6B6B6"/>
            </w:tcBorders>
          </w:tcPr>
          <w:p>
            <w:pPr>
              <w:spacing w:after="0"/>
              <w:rPr>
                <w:sz w:val="3"/>
                <w:szCs w:val="3"/>
                <w:color w:val="auto"/>
              </w:rPr>
            </w:pPr>
          </w:p>
        </w:tc>
        <w:tc>
          <w:tcPr>
            <w:tcW w:w="200" w:type="dxa"/>
            <w:vAlign w:val="bottom"/>
            <w:tcBorders>
              <w:bottom w:val="single" w:sz="8" w:color="B6B6B6"/>
              <w:right w:val="single" w:sz="8" w:color="B6B6B6"/>
            </w:tcBorders>
          </w:tcPr>
          <w:p>
            <w:pPr>
              <w:spacing w:after="0"/>
              <w:rPr>
                <w:sz w:val="3"/>
                <w:szCs w:val="3"/>
                <w:color w:val="auto"/>
              </w:rPr>
            </w:pPr>
          </w:p>
        </w:tc>
        <w:tc>
          <w:tcPr>
            <w:tcW w:w="1120" w:type="dxa"/>
            <w:vAlign w:val="bottom"/>
            <w:tcBorders>
              <w:bottom w:val="single" w:sz="8" w:color="B6B6B6"/>
              <w:right w:val="single" w:sz="8" w:color="B6B6B6"/>
            </w:tcBorders>
          </w:tcPr>
          <w:p>
            <w:pPr>
              <w:spacing w:after="0"/>
              <w:rPr>
                <w:sz w:val="3"/>
                <w:szCs w:val="3"/>
                <w:color w:val="auto"/>
              </w:rPr>
            </w:pPr>
          </w:p>
        </w:tc>
        <w:tc>
          <w:tcPr>
            <w:tcW w:w="1420" w:type="dxa"/>
            <w:vAlign w:val="bottom"/>
            <w:tcBorders>
              <w:bottom w:val="single" w:sz="8" w:color="B6B6B6"/>
              <w:right w:val="single" w:sz="8" w:color="B6B6B6"/>
            </w:tcBorders>
          </w:tcPr>
          <w:p>
            <w:pPr>
              <w:spacing w:after="0"/>
              <w:rPr>
                <w:sz w:val="3"/>
                <w:szCs w:val="3"/>
                <w:color w:val="auto"/>
              </w:rPr>
            </w:pPr>
          </w:p>
        </w:tc>
        <w:tc>
          <w:tcPr>
            <w:tcW w:w="940" w:type="dxa"/>
            <w:vAlign w:val="bottom"/>
            <w:tcBorders>
              <w:bottom w:val="single" w:sz="8" w:color="B6B6B6"/>
            </w:tcBorders>
          </w:tcPr>
          <w:p>
            <w:pPr>
              <w:spacing w:after="0"/>
              <w:rPr>
                <w:sz w:val="3"/>
                <w:szCs w:val="3"/>
                <w:color w:val="auto"/>
              </w:rPr>
            </w:pPr>
          </w:p>
        </w:tc>
        <w:tc>
          <w:tcPr>
            <w:tcW w:w="200" w:type="dxa"/>
            <w:vAlign w:val="bottom"/>
            <w:tcBorders>
              <w:bottom w:val="single" w:sz="8" w:color="B6B6B6"/>
              <w:right w:val="single" w:sz="8" w:color="B6B6B6"/>
            </w:tcBorders>
          </w:tcPr>
          <w:p>
            <w:pPr>
              <w:spacing w:after="0"/>
              <w:rPr>
                <w:sz w:val="3"/>
                <w:szCs w:val="3"/>
                <w:color w:val="auto"/>
              </w:rPr>
            </w:pPr>
          </w:p>
        </w:tc>
        <w:tc>
          <w:tcPr>
            <w:tcW w:w="1420" w:type="dxa"/>
            <w:vAlign w:val="bottom"/>
            <w:tcBorders>
              <w:bottom w:val="single" w:sz="8" w:color="B6B6B6"/>
              <w:right w:val="single" w:sz="8" w:color="B6B6B6"/>
            </w:tcBorders>
          </w:tcPr>
          <w:p>
            <w:pPr>
              <w:spacing w:after="0"/>
              <w:rPr>
                <w:sz w:val="3"/>
                <w:szCs w:val="3"/>
                <w:color w:val="auto"/>
              </w:rPr>
            </w:pPr>
          </w:p>
        </w:tc>
        <w:tc>
          <w:tcPr>
            <w:tcW w:w="1080" w:type="dxa"/>
            <w:vAlign w:val="bottom"/>
            <w:tcBorders>
              <w:bottom w:val="single" w:sz="8" w:color="B6B6B6"/>
            </w:tcBorders>
          </w:tcPr>
          <w:p>
            <w:pPr>
              <w:spacing w:after="0"/>
              <w:rPr>
                <w:sz w:val="3"/>
                <w:szCs w:val="3"/>
                <w:color w:val="auto"/>
              </w:rPr>
            </w:pPr>
          </w:p>
        </w:tc>
        <w:tc>
          <w:tcPr>
            <w:tcW w:w="20" w:type="dxa"/>
            <w:vAlign w:val="bottom"/>
            <w:tcBorders>
              <w:bottom w:val="single" w:sz="8" w:color="B6B6B6"/>
            </w:tcBorders>
            <w:shd w:val="clear" w:color="auto" w:fill="B6B6B6"/>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840" w:type="dxa"/>
            <w:vAlign w:val="bottom"/>
            <w:tcBorders>
              <w:left w:val="single" w:sz="8" w:color="B6B6B6"/>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right w:val="single" w:sz="8" w:color="B6B6B6"/>
            </w:tcBorders>
          </w:tcPr>
          <w:p>
            <w:pPr>
              <w:spacing w:after="0"/>
              <w:rPr>
                <w:sz w:val="13"/>
                <w:szCs w:val="13"/>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w w:val="89"/>
              </w:rPr>
              <w:t>2023</w:t>
            </w:r>
          </w:p>
        </w:tc>
        <w:tc>
          <w:tcPr>
            <w:tcW w:w="240" w:type="dxa"/>
            <w:vAlign w:val="bottom"/>
            <w:tcBorders>
              <w:right w:val="single" w:sz="8" w:color="B6B6B6"/>
            </w:tcBorders>
          </w:tcPr>
          <w:p>
            <w:pPr>
              <w:spacing w:after="0"/>
              <w:rPr>
                <w:sz w:val="13"/>
                <w:szCs w:val="13"/>
                <w:color w:val="auto"/>
              </w:rPr>
            </w:pPr>
          </w:p>
        </w:tc>
        <w:tc>
          <w:tcPr>
            <w:tcW w:w="10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187,500</w:t>
            </w:r>
          </w:p>
        </w:tc>
        <w:tc>
          <w:tcPr>
            <w:tcW w:w="620" w:type="dxa"/>
            <w:vAlign w:val="bottom"/>
          </w:tcPr>
          <w:p>
            <w:pPr>
              <w:spacing w:after="0"/>
              <w:rPr>
                <w:sz w:val="13"/>
                <w:szCs w:val="13"/>
                <w:color w:val="auto"/>
              </w:rPr>
            </w:pPr>
          </w:p>
        </w:tc>
        <w:tc>
          <w:tcPr>
            <w:tcW w:w="200" w:type="dxa"/>
            <w:vAlign w:val="bottom"/>
            <w:tcBorders>
              <w:right w:val="single" w:sz="8" w:color="B6B6B6"/>
            </w:tcBorders>
          </w:tcPr>
          <w:p>
            <w:pPr>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2,548,511</w:t>
            </w:r>
          </w:p>
        </w:tc>
        <w:tc>
          <w:tcPr>
            <w:tcW w:w="1420" w:type="dxa"/>
            <w:vAlign w:val="bottom"/>
            <w:tcBorders>
              <w:right w:val="single" w:sz="8" w:color="B6B6B6"/>
            </w:tcBorders>
          </w:tcPr>
          <w:p>
            <w:pPr>
              <w:jc w:val="right"/>
              <w:ind w:right="15"/>
              <w:spacing w:after="0"/>
              <w:rPr>
                <w:sz w:val="20"/>
                <w:szCs w:val="20"/>
                <w:color w:val="auto"/>
              </w:rPr>
            </w:pPr>
            <w:r>
              <w:rPr>
                <w:rFonts w:ascii="Arial" w:cs="Arial" w:eastAsia="Arial" w:hAnsi="Arial"/>
                <w:sz w:val="13"/>
                <w:szCs w:val="13"/>
                <w:color w:val="auto"/>
              </w:rPr>
              <w:t>1,452,000</w:t>
            </w:r>
          </w:p>
        </w:tc>
        <w:tc>
          <w:tcPr>
            <w:tcW w:w="940" w:type="dxa"/>
            <w:vAlign w:val="bottom"/>
          </w:tcPr>
          <w:p>
            <w:pPr>
              <w:spacing w:after="0"/>
              <w:rPr>
                <w:sz w:val="13"/>
                <w:szCs w:val="13"/>
                <w:color w:val="auto"/>
              </w:rPr>
            </w:pPr>
          </w:p>
        </w:tc>
        <w:tc>
          <w:tcPr>
            <w:tcW w:w="200" w:type="dxa"/>
            <w:vAlign w:val="bottom"/>
            <w:tcBorders>
              <w:right w:val="single" w:sz="8" w:color="B6B6B6"/>
            </w:tcBorders>
          </w:tcPr>
          <w:p>
            <w:pPr>
              <w:jc w:val="right"/>
              <w:ind w:right="17"/>
              <w:spacing w:after="0"/>
              <w:rPr>
                <w:sz w:val="20"/>
                <w:szCs w:val="20"/>
                <w:color w:val="auto"/>
              </w:rPr>
            </w:pPr>
            <w:r>
              <w:rPr>
                <w:rFonts w:ascii="Arial" w:cs="Arial" w:eastAsia="Arial" w:hAnsi="Arial"/>
                <w:sz w:val="13"/>
                <w:szCs w:val="13"/>
                <w:color w:val="auto"/>
                <w:w w:val="76"/>
              </w:rPr>
              <w:t>—</w:t>
            </w:r>
          </w:p>
        </w:tc>
        <w:tc>
          <w:tcPr>
            <w:tcW w:w="14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422,981</w:t>
            </w:r>
          </w:p>
        </w:tc>
        <w:tc>
          <w:tcPr>
            <w:tcW w:w="1080" w:type="dxa"/>
            <w:vAlign w:val="bottom"/>
          </w:tcPr>
          <w:p>
            <w:pPr>
              <w:jc w:val="right"/>
              <w:spacing w:after="0"/>
              <w:rPr>
                <w:sz w:val="20"/>
                <w:szCs w:val="20"/>
                <w:color w:val="auto"/>
              </w:rPr>
            </w:pPr>
            <w:r>
              <w:rPr>
                <w:rFonts w:ascii="Arial" w:cs="Arial" w:eastAsia="Arial" w:hAnsi="Arial"/>
                <w:sz w:val="13"/>
                <w:szCs w:val="13"/>
                <w:color w:val="auto"/>
              </w:rPr>
              <w:t>4,610,992</w:t>
            </w:r>
          </w:p>
        </w:tc>
        <w:tc>
          <w:tcPr>
            <w:tcW w:w="20" w:type="dxa"/>
            <w:vAlign w:val="bottom"/>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840" w:type="dxa"/>
            <w:vAlign w:val="bottom"/>
            <w:tcBorders>
              <w:left w:val="single" w:sz="8" w:color="B6B6B6"/>
              <w:bottom w:val="single" w:sz="8" w:color="B6B6B6"/>
            </w:tcBorders>
          </w:tcPr>
          <w:p>
            <w:pPr>
              <w:spacing w:after="0"/>
              <w:rPr>
                <w:sz w:val="3"/>
                <w:szCs w:val="3"/>
                <w:color w:val="auto"/>
              </w:rPr>
            </w:pPr>
          </w:p>
        </w:tc>
        <w:tc>
          <w:tcPr>
            <w:tcW w:w="160" w:type="dxa"/>
            <w:vAlign w:val="bottom"/>
            <w:tcBorders>
              <w:bottom w:val="single" w:sz="8" w:color="B6B6B6"/>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c>
          <w:tcPr>
            <w:tcW w:w="60" w:type="dxa"/>
            <w:vAlign w:val="bottom"/>
            <w:tcBorders>
              <w:bottom w:val="single" w:sz="8" w:color="B6B6B6"/>
            </w:tcBorders>
          </w:tcPr>
          <w:p>
            <w:pPr>
              <w:spacing w:after="0"/>
              <w:rPr>
                <w:sz w:val="3"/>
                <w:szCs w:val="3"/>
                <w:color w:val="auto"/>
              </w:rPr>
            </w:pPr>
          </w:p>
        </w:tc>
        <w:tc>
          <w:tcPr>
            <w:tcW w:w="120" w:type="dxa"/>
            <w:vAlign w:val="bottom"/>
            <w:tcBorders>
              <w:bottom w:val="single" w:sz="8" w:color="B6B6B6"/>
            </w:tcBorders>
          </w:tcPr>
          <w:p>
            <w:pPr>
              <w:spacing w:after="0"/>
              <w:rPr>
                <w:sz w:val="3"/>
                <w:szCs w:val="3"/>
                <w:color w:val="auto"/>
              </w:rPr>
            </w:pPr>
          </w:p>
        </w:tc>
        <w:tc>
          <w:tcPr>
            <w:tcW w:w="60" w:type="dxa"/>
            <w:vAlign w:val="bottom"/>
            <w:tcBorders>
              <w:bottom w:val="single" w:sz="8" w:color="B6B6B6"/>
            </w:tcBorders>
          </w:tcPr>
          <w:p>
            <w:pPr>
              <w:spacing w:after="0"/>
              <w:rPr>
                <w:sz w:val="3"/>
                <w:szCs w:val="3"/>
                <w:color w:val="auto"/>
              </w:rPr>
            </w:pPr>
          </w:p>
        </w:tc>
        <w:tc>
          <w:tcPr>
            <w:tcW w:w="40" w:type="dxa"/>
            <w:vAlign w:val="bottom"/>
            <w:tcBorders>
              <w:bottom w:val="single" w:sz="8" w:color="B6B6B6"/>
            </w:tcBorders>
          </w:tcPr>
          <w:p>
            <w:pPr>
              <w:spacing w:after="0"/>
              <w:rPr>
                <w:sz w:val="3"/>
                <w:szCs w:val="3"/>
                <w:color w:val="auto"/>
              </w:rPr>
            </w:pPr>
          </w:p>
        </w:tc>
        <w:tc>
          <w:tcPr>
            <w:tcW w:w="80" w:type="dxa"/>
            <w:vAlign w:val="bottom"/>
            <w:tcBorders>
              <w:bottom w:val="single" w:sz="8" w:color="B6B6B6"/>
            </w:tcBorders>
          </w:tcPr>
          <w:p>
            <w:pPr>
              <w:spacing w:after="0"/>
              <w:rPr>
                <w:sz w:val="3"/>
                <w:szCs w:val="3"/>
                <w:color w:val="auto"/>
              </w:rPr>
            </w:pPr>
          </w:p>
        </w:tc>
        <w:tc>
          <w:tcPr>
            <w:tcW w:w="180" w:type="dxa"/>
            <w:vAlign w:val="bottom"/>
            <w:tcBorders>
              <w:bottom w:val="single" w:sz="8" w:color="B6B6B6"/>
              <w:right w:val="single" w:sz="8" w:color="B6B6B6"/>
            </w:tcBorders>
          </w:tcPr>
          <w:p>
            <w:pPr>
              <w:spacing w:after="0"/>
              <w:rPr>
                <w:sz w:val="3"/>
                <w:szCs w:val="3"/>
                <w:color w:val="auto"/>
              </w:rPr>
            </w:pPr>
          </w:p>
        </w:tc>
        <w:tc>
          <w:tcPr>
            <w:tcW w:w="200" w:type="dxa"/>
            <w:vAlign w:val="bottom"/>
            <w:tcBorders>
              <w:bottom w:val="single" w:sz="8" w:color="B6B6B6"/>
            </w:tcBorders>
          </w:tcPr>
          <w:p>
            <w:pPr>
              <w:spacing w:after="0"/>
              <w:rPr>
                <w:sz w:val="3"/>
                <w:szCs w:val="3"/>
                <w:color w:val="auto"/>
              </w:rPr>
            </w:pPr>
          </w:p>
        </w:tc>
        <w:tc>
          <w:tcPr>
            <w:tcW w:w="280" w:type="dxa"/>
            <w:vAlign w:val="bottom"/>
            <w:tcBorders>
              <w:bottom w:val="single" w:sz="8" w:color="B6B6B6"/>
            </w:tcBorders>
          </w:tcPr>
          <w:p>
            <w:pPr>
              <w:spacing w:after="0"/>
              <w:rPr>
                <w:sz w:val="3"/>
                <w:szCs w:val="3"/>
                <w:color w:val="auto"/>
              </w:rPr>
            </w:pPr>
          </w:p>
        </w:tc>
        <w:tc>
          <w:tcPr>
            <w:tcW w:w="240" w:type="dxa"/>
            <w:vAlign w:val="bottom"/>
            <w:tcBorders>
              <w:bottom w:val="single" w:sz="8" w:color="B6B6B6"/>
              <w:right w:val="single" w:sz="8" w:color="B6B6B6"/>
            </w:tcBorders>
          </w:tcPr>
          <w:p>
            <w:pPr>
              <w:spacing w:after="0"/>
              <w:rPr>
                <w:sz w:val="3"/>
                <w:szCs w:val="3"/>
                <w:color w:val="auto"/>
              </w:rPr>
            </w:pPr>
          </w:p>
        </w:tc>
        <w:tc>
          <w:tcPr>
            <w:tcW w:w="1020" w:type="dxa"/>
            <w:vAlign w:val="bottom"/>
            <w:tcBorders>
              <w:bottom w:val="single" w:sz="8" w:color="B6B6B6"/>
              <w:right w:val="single" w:sz="8" w:color="B6B6B6"/>
            </w:tcBorders>
          </w:tcPr>
          <w:p>
            <w:pPr>
              <w:spacing w:after="0"/>
              <w:rPr>
                <w:sz w:val="3"/>
                <w:szCs w:val="3"/>
                <w:color w:val="auto"/>
              </w:rPr>
            </w:pPr>
          </w:p>
        </w:tc>
        <w:tc>
          <w:tcPr>
            <w:tcW w:w="620" w:type="dxa"/>
            <w:vAlign w:val="bottom"/>
            <w:tcBorders>
              <w:bottom w:val="single" w:sz="8" w:color="B6B6B6"/>
            </w:tcBorders>
          </w:tcPr>
          <w:p>
            <w:pPr>
              <w:spacing w:after="0"/>
              <w:rPr>
                <w:sz w:val="3"/>
                <w:szCs w:val="3"/>
                <w:color w:val="auto"/>
              </w:rPr>
            </w:pPr>
          </w:p>
        </w:tc>
        <w:tc>
          <w:tcPr>
            <w:tcW w:w="200" w:type="dxa"/>
            <w:vAlign w:val="bottom"/>
            <w:tcBorders>
              <w:bottom w:val="single" w:sz="8" w:color="B6B6B6"/>
              <w:right w:val="single" w:sz="8" w:color="B6B6B6"/>
            </w:tcBorders>
          </w:tcPr>
          <w:p>
            <w:pPr>
              <w:spacing w:after="0"/>
              <w:rPr>
                <w:sz w:val="3"/>
                <w:szCs w:val="3"/>
                <w:color w:val="auto"/>
              </w:rPr>
            </w:pPr>
          </w:p>
        </w:tc>
        <w:tc>
          <w:tcPr>
            <w:tcW w:w="1120" w:type="dxa"/>
            <w:vAlign w:val="bottom"/>
            <w:tcBorders>
              <w:bottom w:val="single" w:sz="8" w:color="B6B6B6"/>
              <w:right w:val="single" w:sz="8" w:color="B6B6B6"/>
            </w:tcBorders>
          </w:tcPr>
          <w:p>
            <w:pPr>
              <w:spacing w:after="0"/>
              <w:rPr>
                <w:sz w:val="3"/>
                <w:szCs w:val="3"/>
                <w:color w:val="auto"/>
              </w:rPr>
            </w:pPr>
          </w:p>
        </w:tc>
        <w:tc>
          <w:tcPr>
            <w:tcW w:w="1420" w:type="dxa"/>
            <w:vAlign w:val="bottom"/>
            <w:tcBorders>
              <w:bottom w:val="single" w:sz="8" w:color="B6B6B6"/>
              <w:right w:val="single" w:sz="8" w:color="B6B6B6"/>
            </w:tcBorders>
          </w:tcPr>
          <w:p>
            <w:pPr>
              <w:spacing w:after="0"/>
              <w:rPr>
                <w:sz w:val="3"/>
                <w:szCs w:val="3"/>
                <w:color w:val="auto"/>
              </w:rPr>
            </w:pPr>
          </w:p>
        </w:tc>
        <w:tc>
          <w:tcPr>
            <w:tcW w:w="940" w:type="dxa"/>
            <w:vAlign w:val="bottom"/>
            <w:tcBorders>
              <w:bottom w:val="single" w:sz="8" w:color="B6B6B6"/>
            </w:tcBorders>
          </w:tcPr>
          <w:p>
            <w:pPr>
              <w:spacing w:after="0"/>
              <w:rPr>
                <w:sz w:val="3"/>
                <w:szCs w:val="3"/>
                <w:color w:val="auto"/>
              </w:rPr>
            </w:pPr>
          </w:p>
        </w:tc>
        <w:tc>
          <w:tcPr>
            <w:tcW w:w="200" w:type="dxa"/>
            <w:vAlign w:val="bottom"/>
            <w:tcBorders>
              <w:bottom w:val="single" w:sz="8" w:color="B6B6B6"/>
              <w:right w:val="single" w:sz="8" w:color="B6B6B6"/>
            </w:tcBorders>
          </w:tcPr>
          <w:p>
            <w:pPr>
              <w:spacing w:after="0"/>
              <w:rPr>
                <w:sz w:val="3"/>
                <w:szCs w:val="3"/>
                <w:color w:val="auto"/>
              </w:rPr>
            </w:pPr>
          </w:p>
        </w:tc>
        <w:tc>
          <w:tcPr>
            <w:tcW w:w="1420" w:type="dxa"/>
            <w:vAlign w:val="bottom"/>
            <w:tcBorders>
              <w:bottom w:val="single" w:sz="8" w:color="B6B6B6"/>
              <w:right w:val="single" w:sz="8" w:color="B6B6B6"/>
            </w:tcBorders>
          </w:tcPr>
          <w:p>
            <w:pPr>
              <w:spacing w:after="0"/>
              <w:rPr>
                <w:sz w:val="3"/>
                <w:szCs w:val="3"/>
                <w:color w:val="auto"/>
              </w:rPr>
            </w:pPr>
          </w:p>
        </w:tc>
        <w:tc>
          <w:tcPr>
            <w:tcW w:w="1080" w:type="dxa"/>
            <w:vAlign w:val="bottom"/>
            <w:tcBorders>
              <w:bottom w:val="single" w:sz="8" w:color="B6B6B6"/>
            </w:tcBorders>
          </w:tcPr>
          <w:p>
            <w:pPr>
              <w:spacing w:after="0"/>
              <w:rPr>
                <w:sz w:val="3"/>
                <w:szCs w:val="3"/>
                <w:color w:val="auto"/>
              </w:rPr>
            </w:pPr>
          </w:p>
        </w:tc>
        <w:tc>
          <w:tcPr>
            <w:tcW w:w="20" w:type="dxa"/>
            <w:vAlign w:val="bottom"/>
            <w:tcBorders>
              <w:bottom w:val="single" w:sz="8" w:color="B6B6B6"/>
            </w:tcBorders>
            <w:shd w:val="clear" w:color="auto" w:fill="B6B6B6"/>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840" w:type="dxa"/>
            <w:vAlign w:val="bottom"/>
            <w:tcBorders>
              <w:left w:val="single" w:sz="8" w:color="B6B6B6"/>
            </w:tcBorders>
            <w:shd w:val="clear" w:color="auto" w:fill="DBDBDB"/>
          </w:tcPr>
          <w:p>
            <w:pPr>
              <w:ind w:left="40"/>
              <w:spacing w:after="0" w:line="115" w:lineRule="exact"/>
              <w:rPr>
                <w:sz w:val="20"/>
                <w:szCs w:val="20"/>
                <w:color w:val="auto"/>
              </w:rPr>
            </w:pPr>
            <w:r>
              <w:rPr>
                <w:rFonts w:ascii="Arial" w:cs="Arial" w:eastAsia="Arial" w:hAnsi="Arial"/>
                <w:sz w:val="13"/>
                <w:szCs w:val="13"/>
                <w:color w:val="auto"/>
                <w:highlight w:val="lightGray"/>
                <w:w w:val="94"/>
              </w:rPr>
              <w:t>Charles Butler</w:t>
            </w:r>
          </w:p>
        </w:tc>
        <w:tc>
          <w:tcPr>
            <w:tcW w:w="260" w:type="dxa"/>
            <w:vAlign w:val="bottom"/>
            <w:gridSpan w:val="2"/>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tcBorders>
              <w:right w:val="single" w:sz="8" w:color="B6B6B6"/>
            </w:tcBorders>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line="115" w:lineRule="exact"/>
              <w:rPr>
                <w:sz w:val="20"/>
                <w:szCs w:val="20"/>
                <w:color w:val="auto"/>
              </w:rPr>
            </w:pPr>
            <w:r>
              <w:rPr>
                <w:rFonts w:ascii="Arial" w:cs="Arial" w:eastAsia="Arial" w:hAnsi="Arial"/>
                <w:sz w:val="13"/>
                <w:szCs w:val="13"/>
                <w:color w:val="auto"/>
                <w:highlight w:val="lightGray"/>
                <w:w w:val="89"/>
              </w:rPr>
              <w:t>2025</w:t>
            </w:r>
          </w:p>
        </w:tc>
        <w:tc>
          <w:tcPr>
            <w:tcW w:w="240" w:type="dxa"/>
            <w:vAlign w:val="bottom"/>
            <w:tcBorders>
              <w:right w:val="single" w:sz="8" w:color="B6B6B6"/>
            </w:tcBorders>
            <w:shd w:val="clear" w:color="auto" w:fill="DBDBDB"/>
          </w:tcPr>
          <w:p>
            <w:pPr>
              <w:spacing w:after="0"/>
              <w:rPr>
                <w:sz w:val="10"/>
                <w:szCs w:val="10"/>
                <w:color w:val="auto"/>
              </w:rPr>
            </w:pPr>
          </w:p>
        </w:tc>
        <w:tc>
          <w:tcPr>
            <w:tcW w:w="1020" w:type="dxa"/>
            <w:vAlign w:val="bottom"/>
            <w:tcBorders>
              <w:right w:val="single" w:sz="8" w:color="B6B6B6"/>
            </w:tcBorders>
            <w:shd w:val="clear" w:color="auto" w:fill="DBDBDB"/>
          </w:tcPr>
          <w:p>
            <w:pPr>
              <w:jc w:val="right"/>
              <w:ind w:right="16"/>
              <w:spacing w:after="0" w:line="115" w:lineRule="exact"/>
              <w:rPr>
                <w:sz w:val="20"/>
                <w:szCs w:val="20"/>
                <w:color w:val="auto"/>
              </w:rPr>
            </w:pPr>
            <w:r>
              <w:rPr>
                <w:rFonts w:ascii="Arial" w:cs="Arial" w:eastAsia="Arial" w:hAnsi="Arial"/>
                <w:sz w:val="13"/>
                <w:szCs w:val="13"/>
                <w:color w:val="auto"/>
                <w:highlight w:val="lightGray"/>
              </w:rPr>
              <w:t>253,365</w:t>
            </w:r>
          </w:p>
        </w:tc>
        <w:tc>
          <w:tcPr>
            <w:tcW w:w="620" w:type="dxa"/>
            <w:vAlign w:val="bottom"/>
            <w:shd w:val="clear" w:color="auto" w:fill="DBDBDB"/>
          </w:tcPr>
          <w:p>
            <w:pPr>
              <w:spacing w:after="0"/>
              <w:rPr>
                <w:sz w:val="10"/>
                <w:szCs w:val="10"/>
                <w:color w:val="auto"/>
              </w:rPr>
            </w:pPr>
          </w:p>
        </w:tc>
        <w:tc>
          <w:tcPr>
            <w:tcW w:w="200" w:type="dxa"/>
            <w:vAlign w:val="bottom"/>
            <w:tcBorders>
              <w:right w:val="single" w:sz="8" w:color="B6B6B6"/>
            </w:tcBorders>
            <w:shd w:val="clear" w:color="auto" w:fill="DBDBDB"/>
          </w:tcPr>
          <w:p>
            <w:pPr>
              <w:spacing w:after="0" w:line="115" w:lineRule="exact"/>
              <w:rPr>
                <w:sz w:val="20"/>
                <w:szCs w:val="20"/>
                <w:color w:val="auto"/>
              </w:rPr>
            </w:pPr>
            <w:r>
              <w:rPr>
                <w:rFonts w:ascii="Arial" w:cs="Arial" w:eastAsia="Arial" w:hAnsi="Arial"/>
                <w:sz w:val="13"/>
                <w:szCs w:val="13"/>
                <w:color w:val="auto"/>
                <w:highlight w:val="lightGray"/>
              </w:rPr>
              <w:t>—</w:t>
            </w:r>
          </w:p>
        </w:tc>
        <w:tc>
          <w:tcPr>
            <w:tcW w:w="1120" w:type="dxa"/>
            <w:vAlign w:val="bottom"/>
            <w:tcBorders>
              <w:right w:val="single" w:sz="8" w:color="B6B6B6"/>
            </w:tcBorders>
            <w:shd w:val="clear" w:color="auto" w:fill="DBDBDB"/>
          </w:tcPr>
          <w:p>
            <w:pPr>
              <w:jc w:val="right"/>
              <w:ind w:right="16"/>
              <w:spacing w:after="0" w:line="115" w:lineRule="exact"/>
              <w:rPr>
                <w:sz w:val="20"/>
                <w:szCs w:val="20"/>
                <w:color w:val="auto"/>
              </w:rPr>
            </w:pPr>
            <w:r>
              <w:rPr>
                <w:rFonts w:ascii="Arial" w:cs="Arial" w:eastAsia="Arial" w:hAnsi="Arial"/>
                <w:sz w:val="13"/>
                <w:szCs w:val="13"/>
                <w:color w:val="auto"/>
                <w:highlight w:val="lightGray"/>
              </w:rPr>
              <w:t>—</w:t>
            </w:r>
          </w:p>
        </w:tc>
        <w:tc>
          <w:tcPr>
            <w:tcW w:w="1420" w:type="dxa"/>
            <w:vAlign w:val="bottom"/>
            <w:tcBorders>
              <w:right w:val="single" w:sz="8" w:color="B6B6B6"/>
            </w:tcBorders>
            <w:shd w:val="clear" w:color="auto" w:fill="DBDBDB"/>
          </w:tcPr>
          <w:p>
            <w:pPr>
              <w:jc w:val="right"/>
              <w:ind w:right="15"/>
              <w:spacing w:after="0" w:line="115" w:lineRule="exact"/>
              <w:rPr>
                <w:sz w:val="20"/>
                <w:szCs w:val="20"/>
                <w:color w:val="auto"/>
              </w:rPr>
            </w:pPr>
            <w:r>
              <w:rPr>
                <w:rFonts w:ascii="Arial" w:cs="Arial" w:eastAsia="Arial" w:hAnsi="Arial"/>
                <w:sz w:val="13"/>
                <w:szCs w:val="13"/>
                <w:color w:val="auto"/>
                <w:highlight w:val="lightGray"/>
              </w:rPr>
              <w:t>1,950,000</w:t>
            </w:r>
          </w:p>
        </w:tc>
        <w:tc>
          <w:tcPr>
            <w:tcW w:w="1140" w:type="dxa"/>
            <w:vAlign w:val="bottom"/>
            <w:tcBorders>
              <w:right w:val="single" w:sz="8" w:color="B6B6B6"/>
            </w:tcBorders>
            <w:gridSpan w:val="2"/>
            <w:shd w:val="clear" w:color="auto" w:fill="DBDBDB"/>
          </w:tcPr>
          <w:p>
            <w:pPr>
              <w:jc w:val="right"/>
              <w:ind w:right="17"/>
              <w:spacing w:after="0" w:line="115" w:lineRule="exact"/>
              <w:rPr>
                <w:sz w:val="20"/>
                <w:szCs w:val="20"/>
                <w:color w:val="auto"/>
              </w:rPr>
            </w:pPr>
            <w:r>
              <w:rPr>
                <w:rFonts w:ascii="Arial" w:cs="Arial" w:eastAsia="Arial" w:hAnsi="Arial"/>
                <w:sz w:val="13"/>
                <w:szCs w:val="13"/>
                <w:color w:val="auto"/>
                <w:highlight w:val="lightGray"/>
              </w:rPr>
              <w:t>425</w:t>
            </w:r>
          </w:p>
        </w:tc>
        <w:tc>
          <w:tcPr>
            <w:tcW w:w="1420" w:type="dxa"/>
            <w:vAlign w:val="bottom"/>
            <w:tcBorders>
              <w:right w:val="single" w:sz="8" w:color="B6B6B6"/>
            </w:tcBorders>
            <w:shd w:val="clear" w:color="auto" w:fill="DBDBDB"/>
          </w:tcPr>
          <w:p>
            <w:pPr>
              <w:jc w:val="right"/>
              <w:ind w:right="16"/>
              <w:spacing w:after="0" w:line="115" w:lineRule="exact"/>
              <w:rPr>
                <w:sz w:val="20"/>
                <w:szCs w:val="20"/>
                <w:color w:val="auto"/>
              </w:rPr>
            </w:pPr>
            <w:r>
              <w:rPr>
                <w:rFonts w:ascii="Arial" w:cs="Arial" w:eastAsia="Arial" w:hAnsi="Arial"/>
                <w:sz w:val="13"/>
                <w:szCs w:val="13"/>
                <w:color w:val="auto"/>
              </w:rPr>
              <w:t>24,972</w:t>
            </w:r>
          </w:p>
        </w:tc>
        <w:tc>
          <w:tcPr>
            <w:tcW w:w="1080" w:type="dxa"/>
            <w:vAlign w:val="bottom"/>
            <w:tcBorders>
              <w:right w:val="single" w:sz="8" w:color="DBDBDB"/>
            </w:tcBorders>
            <w:shd w:val="clear" w:color="auto" w:fill="DBDBDB"/>
          </w:tcPr>
          <w:p>
            <w:pPr>
              <w:jc w:val="right"/>
              <w:spacing w:after="0" w:line="115" w:lineRule="exact"/>
              <w:rPr>
                <w:sz w:val="20"/>
                <w:szCs w:val="20"/>
                <w:color w:val="auto"/>
              </w:rPr>
            </w:pPr>
            <w:r>
              <w:rPr>
                <w:rFonts w:ascii="Arial" w:cs="Arial" w:eastAsia="Arial" w:hAnsi="Arial"/>
                <w:sz w:val="13"/>
                <w:szCs w:val="13"/>
                <w:color w:val="auto"/>
                <w:highlight w:val="lightGray"/>
              </w:rPr>
              <w:t>2,228,762</w:t>
            </w: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Borders>
              <w:left w:val="single" w:sz="8" w:color="B6B6B6"/>
            </w:tcBorders>
            <w:shd w:val="clear" w:color="auto" w:fill="DBDBDB"/>
          </w:tcPr>
          <w:p>
            <w:pPr>
              <w:ind w:left="40"/>
              <w:spacing w:after="0" w:line="122" w:lineRule="exact"/>
              <w:rPr>
                <w:sz w:val="20"/>
                <w:szCs w:val="20"/>
                <w:color w:val="auto"/>
              </w:rPr>
            </w:pPr>
            <w:r>
              <w:rPr>
                <w:rFonts w:ascii="Arial" w:cs="Arial" w:eastAsia="Arial" w:hAnsi="Arial"/>
                <w:sz w:val="13"/>
                <w:szCs w:val="13"/>
                <w:color w:val="auto"/>
                <w:highlight w:val="lightGray"/>
                <w:w w:val="91"/>
              </w:rPr>
              <w:t>Executive Vice</w:t>
            </w:r>
          </w:p>
        </w:tc>
        <w:tc>
          <w:tcPr>
            <w:tcW w:w="620" w:type="dxa"/>
            <w:vAlign w:val="bottom"/>
            <w:gridSpan w:val="7"/>
            <w:shd w:val="clear" w:color="auto" w:fill="DBDBDB"/>
          </w:tcPr>
          <w:p>
            <w:pPr>
              <w:ind w:left="60"/>
              <w:spacing w:after="0" w:line="122" w:lineRule="exact"/>
              <w:rPr>
                <w:sz w:val="20"/>
                <w:szCs w:val="20"/>
                <w:color w:val="auto"/>
              </w:rPr>
            </w:pPr>
            <w:r>
              <w:rPr>
                <w:rFonts w:ascii="Arial" w:cs="Arial" w:eastAsia="Arial" w:hAnsi="Arial"/>
                <w:sz w:val="13"/>
                <w:szCs w:val="13"/>
                <w:color w:val="auto"/>
                <w:highlight w:val="lightGray"/>
                <w:w w:val="92"/>
              </w:rPr>
              <w:t>President,</w:t>
            </w:r>
          </w:p>
        </w:tc>
        <w:tc>
          <w:tcPr>
            <w:tcW w:w="180" w:type="dxa"/>
            <w:vAlign w:val="bottom"/>
            <w:tcBorders>
              <w:right w:val="single" w:sz="8" w:color="B6B6B6"/>
            </w:tcBorders>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240" w:type="dxa"/>
            <w:vAlign w:val="bottom"/>
            <w:tcBorders>
              <w:right w:val="single" w:sz="8" w:color="B6B6B6"/>
            </w:tcBorders>
            <w:shd w:val="clear" w:color="auto" w:fill="DBDBDB"/>
          </w:tcPr>
          <w:p>
            <w:pPr>
              <w:spacing w:after="0"/>
              <w:rPr>
                <w:sz w:val="10"/>
                <w:szCs w:val="10"/>
                <w:color w:val="auto"/>
              </w:rPr>
            </w:pPr>
          </w:p>
        </w:tc>
        <w:tc>
          <w:tcPr>
            <w:tcW w:w="1020" w:type="dxa"/>
            <w:vAlign w:val="bottom"/>
            <w:tcBorders>
              <w:right w:val="single" w:sz="8" w:color="B6B6B6"/>
            </w:tcBorders>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200" w:type="dxa"/>
            <w:vAlign w:val="bottom"/>
            <w:tcBorders>
              <w:right w:val="single" w:sz="8" w:color="B6B6B6"/>
            </w:tcBorders>
            <w:shd w:val="clear" w:color="auto" w:fill="DBDBDB"/>
          </w:tcPr>
          <w:p>
            <w:pPr>
              <w:spacing w:after="0"/>
              <w:rPr>
                <w:sz w:val="10"/>
                <w:szCs w:val="10"/>
                <w:color w:val="auto"/>
              </w:rPr>
            </w:pPr>
          </w:p>
        </w:tc>
        <w:tc>
          <w:tcPr>
            <w:tcW w:w="1120" w:type="dxa"/>
            <w:vAlign w:val="bottom"/>
            <w:tcBorders>
              <w:right w:val="single" w:sz="8" w:color="B6B6B6"/>
            </w:tcBorders>
            <w:shd w:val="clear" w:color="auto" w:fill="DBDBDB"/>
          </w:tcPr>
          <w:p>
            <w:pPr>
              <w:spacing w:after="0"/>
              <w:rPr>
                <w:sz w:val="10"/>
                <w:szCs w:val="10"/>
                <w:color w:val="auto"/>
              </w:rPr>
            </w:pPr>
          </w:p>
        </w:tc>
        <w:tc>
          <w:tcPr>
            <w:tcW w:w="1420" w:type="dxa"/>
            <w:vAlign w:val="bottom"/>
            <w:tcBorders>
              <w:right w:val="single" w:sz="8" w:color="B6B6B6"/>
            </w:tcBorders>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200" w:type="dxa"/>
            <w:vAlign w:val="bottom"/>
            <w:tcBorders>
              <w:right w:val="single" w:sz="8" w:color="B6B6B6"/>
            </w:tcBorders>
            <w:shd w:val="clear" w:color="auto" w:fill="DBDBDB"/>
          </w:tcPr>
          <w:p>
            <w:pPr>
              <w:spacing w:after="0"/>
              <w:rPr>
                <w:sz w:val="10"/>
                <w:szCs w:val="10"/>
                <w:color w:val="auto"/>
              </w:rPr>
            </w:pPr>
          </w:p>
        </w:tc>
        <w:tc>
          <w:tcPr>
            <w:tcW w:w="1420" w:type="dxa"/>
            <w:vAlign w:val="bottom"/>
            <w:tcBorders>
              <w:right w:val="single" w:sz="8" w:color="B6B6B6"/>
            </w:tcBorders>
            <w:shd w:val="clear" w:color="auto" w:fill="DBDBDB"/>
          </w:tcPr>
          <w:p>
            <w:pPr>
              <w:spacing w:after="0"/>
              <w:rPr>
                <w:sz w:val="10"/>
                <w:szCs w:val="10"/>
                <w:color w:val="auto"/>
              </w:rPr>
            </w:pPr>
          </w:p>
        </w:tc>
        <w:tc>
          <w:tcPr>
            <w:tcW w:w="1080" w:type="dxa"/>
            <w:vAlign w:val="bottom"/>
            <w:tcBorders>
              <w:right w:val="single" w:sz="8" w:color="DBDBDB"/>
            </w:tcBorders>
            <w:shd w:val="clear" w:color="auto" w:fill="DBDBDB"/>
          </w:tcPr>
          <w:p>
            <w:pPr>
              <w:spacing w:after="0"/>
              <w:rPr>
                <w:sz w:val="10"/>
                <w:szCs w:val="10"/>
                <w:color w:val="auto"/>
              </w:rPr>
            </w:pP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B6B6B6"/>
            </w:tcBorders>
            <w:gridSpan w:val="5"/>
            <w:vMerge w:val="restart"/>
            <w:shd w:val="clear" w:color="auto" w:fill="DBDBDB"/>
          </w:tcPr>
          <w:p>
            <w:pPr>
              <w:ind w:left="40"/>
              <w:spacing w:after="0"/>
              <w:rPr>
                <w:sz w:val="20"/>
                <w:szCs w:val="20"/>
                <w:color w:val="auto"/>
              </w:rPr>
            </w:pPr>
            <w:r>
              <w:rPr>
                <w:rFonts w:ascii="Arial" w:cs="Arial" w:eastAsia="Arial" w:hAnsi="Arial"/>
                <w:sz w:val="13"/>
                <w:szCs w:val="13"/>
                <w:color w:val="auto"/>
                <w:highlight w:val="lightGray"/>
                <w:w w:val="95"/>
              </w:rPr>
              <w:t>Chief Financial Officer</w:t>
            </w:r>
          </w:p>
        </w:tc>
        <w:tc>
          <w:tcPr>
            <w:tcW w:w="100" w:type="dxa"/>
            <w:vAlign w:val="bottom"/>
            <w:gridSpan w:val="2"/>
            <w:shd w:val="clear" w:color="auto" w:fill="DBDBDB"/>
          </w:tcPr>
          <w:p>
            <w:pPr>
              <w:jc w:val="right"/>
              <w:spacing w:after="0"/>
              <w:rPr>
                <w:sz w:val="20"/>
                <w:szCs w:val="20"/>
                <w:color w:val="auto"/>
              </w:rPr>
            </w:pPr>
            <w:r>
              <w:rPr>
                <w:rFonts w:ascii="Arial" w:cs="Arial" w:eastAsia="Arial" w:hAnsi="Arial"/>
                <w:sz w:val="8"/>
                <w:szCs w:val="8"/>
                <w:color w:val="auto"/>
                <w:highlight w:val="lightGray"/>
                <w:w w:val="81"/>
              </w:rPr>
              <w:t>(4)</w:t>
            </w:r>
          </w:p>
        </w:tc>
        <w:tc>
          <w:tcPr>
            <w:tcW w:w="80" w:type="dxa"/>
            <w:vAlign w:val="bottom"/>
            <w:vMerge w:val="restart"/>
            <w:shd w:val="clear" w:color="auto" w:fill="DBDBDB"/>
          </w:tcPr>
          <w:p>
            <w:pPr>
              <w:spacing w:after="0"/>
              <w:rPr>
                <w:sz w:val="9"/>
                <w:szCs w:val="9"/>
                <w:color w:val="auto"/>
              </w:rPr>
            </w:pPr>
          </w:p>
        </w:tc>
        <w:tc>
          <w:tcPr>
            <w:tcW w:w="180" w:type="dxa"/>
            <w:vAlign w:val="bottom"/>
            <w:tcBorders>
              <w:right w:val="single" w:sz="8" w:color="B6B6B6"/>
            </w:tcBorders>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240" w:type="dxa"/>
            <w:vAlign w:val="bottom"/>
            <w:tcBorders>
              <w:right w:val="single" w:sz="8" w:color="B6B6B6"/>
            </w:tcBorders>
            <w:shd w:val="clear" w:color="auto" w:fill="DBDBDB"/>
          </w:tcPr>
          <w:p>
            <w:pPr>
              <w:spacing w:after="0"/>
              <w:rPr>
                <w:sz w:val="9"/>
                <w:szCs w:val="9"/>
                <w:color w:val="auto"/>
              </w:rPr>
            </w:pPr>
          </w:p>
        </w:tc>
        <w:tc>
          <w:tcPr>
            <w:tcW w:w="1020" w:type="dxa"/>
            <w:vAlign w:val="bottom"/>
            <w:tcBorders>
              <w:right w:val="single" w:sz="8" w:color="B6B6B6"/>
            </w:tcBorders>
            <w:shd w:val="clear" w:color="auto" w:fill="DBDBDB"/>
          </w:tcPr>
          <w:p>
            <w:pPr>
              <w:spacing w:after="0"/>
              <w:rPr>
                <w:sz w:val="9"/>
                <w:szCs w:val="9"/>
                <w:color w:val="auto"/>
              </w:rPr>
            </w:pPr>
          </w:p>
        </w:tc>
        <w:tc>
          <w:tcPr>
            <w:tcW w:w="620" w:type="dxa"/>
            <w:vAlign w:val="bottom"/>
            <w:shd w:val="clear" w:color="auto" w:fill="DBDBDB"/>
          </w:tcPr>
          <w:p>
            <w:pPr>
              <w:spacing w:after="0"/>
              <w:rPr>
                <w:sz w:val="9"/>
                <w:szCs w:val="9"/>
                <w:color w:val="auto"/>
              </w:rPr>
            </w:pPr>
          </w:p>
        </w:tc>
        <w:tc>
          <w:tcPr>
            <w:tcW w:w="200" w:type="dxa"/>
            <w:vAlign w:val="bottom"/>
            <w:tcBorders>
              <w:right w:val="single" w:sz="8" w:color="B6B6B6"/>
            </w:tcBorders>
            <w:shd w:val="clear" w:color="auto" w:fill="DBDBDB"/>
          </w:tcPr>
          <w:p>
            <w:pPr>
              <w:spacing w:after="0"/>
              <w:rPr>
                <w:sz w:val="9"/>
                <w:szCs w:val="9"/>
                <w:color w:val="auto"/>
              </w:rPr>
            </w:pPr>
          </w:p>
        </w:tc>
        <w:tc>
          <w:tcPr>
            <w:tcW w:w="1120" w:type="dxa"/>
            <w:vAlign w:val="bottom"/>
            <w:tcBorders>
              <w:right w:val="single" w:sz="8" w:color="B6B6B6"/>
            </w:tcBorders>
            <w:shd w:val="clear" w:color="auto" w:fill="DBDBDB"/>
          </w:tcPr>
          <w:p>
            <w:pPr>
              <w:spacing w:after="0"/>
              <w:rPr>
                <w:sz w:val="9"/>
                <w:szCs w:val="9"/>
                <w:color w:val="auto"/>
              </w:rPr>
            </w:pPr>
          </w:p>
        </w:tc>
        <w:tc>
          <w:tcPr>
            <w:tcW w:w="1420" w:type="dxa"/>
            <w:vAlign w:val="bottom"/>
            <w:tcBorders>
              <w:right w:val="single" w:sz="8" w:color="B6B6B6"/>
            </w:tcBorders>
            <w:shd w:val="clear" w:color="auto" w:fill="DBDBDB"/>
          </w:tcPr>
          <w:p>
            <w:pPr>
              <w:spacing w:after="0"/>
              <w:rPr>
                <w:sz w:val="9"/>
                <w:szCs w:val="9"/>
                <w:color w:val="auto"/>
              </w:rPr>
            </w:pPr>
          </w:p>
        </w:tc>
        <w:tc>
          <w:tcPr>
            <w:tcW w:w="940" w:type="dxa"/>
            <w:vAlign w:val="bottom"/>
            <w:shd w:val="clear" w:color="auto" w:fill="DBDBDB"/>
          </w:tcPr>
          <w:p>
            <w:pPr>
              <w:spacing w:after="0"/>
              <w:rPr>
                <w:sz w:val="9"/>
                <w:szCs w:val="9"/>
                <w:color w:val="auto"/>
              </w:rPr>
            </w:pPr>
          </w:p>
        </w:tc>
        <w:tc>
          <w:tcPr>
            <w:tcW w:w="200" w:type="dxa"/>
            <w:vAlign w:val="bottom"/>
            <w:tcBorders>
              <w:right w:val="single" w:sz="8" w:color="B6B6B6"/>
            </w:tcBorders>
            <w:shd w:val="clear" w:color="auto" w:fill="DBDBDB"/>
          </w:tcPr>
          <w:p>
            <w:pPr>
              <w:spacing w:after="0"/>
              <w:rPr>
                <w:sz w:val="9"/>
                <w:szCs w:val="9"/>
                <w:color w:val="auto"/>
              </w:rPr>
            </w:pPr>
          </w:p>
        </w:tc>
        <w:tc>
          <w:tcPr>
            <w:tcW w:w="1420" w:type="dxa"/>
            <w:vAlign w:val="bottom"/>
            <w:tcBorders>
              <w:right w:val="single" w:sz="8" w:color="B6B6B6"/>
            </w:tcBorders>
            <w:shd w:val="clear" w:color="auto" w:fill="DBDBDB"/>
          </w:tcPr>
          <w:p>
            <w:pPr>
              <w:spacing w:after="0"/>
              <w:rPr>
                <w:sz w:val="9"/>
                <w:szCs w:val="9"/>
                <w:color w:val="auto"/>
              </w:rPr>
            </w:pPr>
          </w:p>
        </w:tc>
        <w:tc>
          <w:tcPr>
            <w:tcW w:w="1080" w:type="dxa"/>
            <w:vAlign w:val="bottom"/>
            <w:tcBorders>
              <w:right w:val="single" w:sz="8" w:color="DBDBDB"/>
            </w:tcBorders>
            <w:shd w:val="clear" w:color="auto" w:fill="DBDBDB"/>
          </w:tcPr>
          <w:p>
            <w:pPr>
              <w:spacing w:after="0"/>
              <w:rPr>
                <w:sz w:val="9"/>
                <w:szCs w:val="9"/>
                <w:color w:val="auto"/>
              </w:rPr>
            </w:pPr>
          </w:p>
        </w:tc>
        <w:tc>
          <w:tcPr>
            <w:tcW w:w="20" w:type="dxa"/>
            <w:vAlign w:val="bottom"/>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80" w:type="dxa"/>
            <w:vAlign w:val="bottom"/>
            <w:tcBorders>
              <w:left w:val="single" w:sz="8" w:color="B6B6B6"/>
              <w:bottom w:val="single" w:sz="8" w:color="DBDBDB"/>
            </w:tcBorders>
            <w:gridSpan w:val="5"/>
            <w:vMerge w:val="continue"/>
            <w:shd w:val="clear" w:color="auto" w:fill="DBDBDB"/>
          </w:tcPr>
          <w:p>
            <w:pPr>
              <w:spacing w:after="0"/>
              <w:rPr>
                <w:sz w:val="7"/>
                <w:szCs w:val="7"/>
                <w:color w:val="auto"/>
              </w:rPr>
            </w:pPr>
          </w:p>
        </w:tc>
        <w:tc>
          <w:tcPr>
            <w:tcW w:w="100" w:type="dxa"/>
            <w:vAlign w:val="bottom"/>
            <w:tcBorders>
              <w:bottom w:val="single" w:sz="8" w:color="DBDBDB"/>
            </w:tcBorders>
            <w:gridSpan w:val="2"/>
            <w:shd w:val="clear" w:color="auto" w:fill="DBDBDB"/>
          </w:tcPr>
          <w:p>
            <w:pPr>
              <w:spacing w:after="0"/>
              <w:rPr>
                <w:sz w:val="7"/>
                <w:szCs w:val="7"/>
                <w:color w:val="auto"/>
              </w:rPr>
            </w:pPr>
          </w:p>
        </w:tc>
        <w:tc>
          <w:tcPr>
            <w:tcW w:w="80" w:type="dxa"/>
            <w:vAlign w:val="bottom"/>
            <w:tcBorders>
              <w:bottom w:val="single" w:sz="8" w:color="DBDBDB"/>
            </w:tcBorders>
            <w:vMerge w:val="continue"/>
            <w:shd w:val="clear" w:color="auto" w:fill="DBDBDB"/>
          </w:tcPr>
          <w:p>
            <w:pPr>
              <w:spacing w:after="0"/>
              <w:rPr>
                <w:sz w:val="7"/>
                <w:szCs w:val="7"/>
                <w:color w:val="auto"/>
              </w:rPr>
            </w:pPr>
          </w:p>
        </w:tc>
        <w:tc>
          <w:tcPr>
            <w:tcW w:w="180" w:type="dxa"/>
            <w:vAlign w:val="bottom"/>
            <w:tcBorders>
              <w:bottom w:val="single" w:sz="8" w:color="DBDBDB"/>
              <w:right w:val="single" w:sz="8" w:color="B6B6B6"/>
            </w:tcBorders>
            <w:shd w:val="clear" w:color="auto" w:fill="DBDBDB"/>
          </w:tcPr>
          <w:p>
            <w:pPr>
              <w:spacing w:after="0"/>
              <w:rPr>
                <w:sz w:val="7"/>
                <w:szCs w:val="7"/>
                <w:color w:val="auto"/>
              </w:rPr>
            </w:pPr>
          </w:p>
        </w:tc>
        <w:tc>
          <w:tcPr>
            <w:tcW w:w="200" w:type="dxa"/>
            <w:vAlign w:val="bottom"/>
            <w:tcBorders>
              <w:bottom w:val="single" w:sz="8" w:color="DBDBDB"/>
            </w:tcBorders>
            <w:shd w:val="clear" w:color="auto" w:fill="DBDBDB"/>
          </w:tcPr>
          <w:p>
            <w:pPr>
              <w:spacing w:after="0"/>
              <w:rPr>
                <w:sz w:val="7"/>
                <w:szCs w:val="7"/>
                <w:color w:val="auto"/>
              </w:rPr>
            </w:pPr>
          </w:p>
        </w:tc>
        <w:tc>
          <w:tcPr>
            <w:tcW w:w="280" w:type="dxa"/>
            <w:vAlign w:val="bottom"/>
            <w:tcBorders>
              <w:bottom w:val="single" w:sz="8" w:color="DBDBDB"/>
            </w:tcBorders>
            <w:shd w:val="clear" w:color="auto" w:fill="DBDBDB"/>
          </w:tcPr>
          <w:p>
            <w:pPr>
              <w:spacing w:after="0"/>
              <w:rPr>
                <w:sz w:val="7"/>
                <w:szCs w:val="7"/>
                <w:color w:val="auto"/>
              </w:rPr>
            </w:pPr>
          </w:p>
        </w:tc>
        <w:tc>
          <w:tcPr>
            <w:tcW w:w="240" w:type="dxa"/>
            <w:vAlign w:val="bottom"/>
            <w:tcBorders>
              <w:bottom w:val="single" w:sz="8" w:color="DBDBDB"/>
              <w:right w:val="single" w:sz="8" w:color="B6B6B6"/>
            </w:tcBorders>
            <w:shd w:val="clear" w:color="auto" w:fill="DBDBDB"/>
          </w:tcPr>
          <w:p>
            <w:pPr>
              <w:spacing w:after="0"/>
              <w:rPr>
                <w:sz w:val="7"/>
                <w:szCs w:val="7"/>
                <w:color w:val="auto"/>
              </w:rPr>
            </w:pPr>
          </w:p>
        </w:tc>
        <w:tc>
          <w:tcPr>
            <w:tcW w:w="1020" w:type="dxa"/>
            <w:vAlign w:val="bottom"/>
            <w:tcBorders>
              <w:bottom w:val="single" w:sz="8" w:color="DBDBDB"/>
              <w:right w:val="single" w:sz="8" w:color="B6B6B6"/>
            </w:tcBorders>
            <w:shd w:val="clear" w:color="auto" w:fill="DBDBDB"/>
          </w:tcPr>
          <w:p>
            <w:pPr>
              <w:spacing w:after="0"/>
              <w:rPr>
                <w:sz w:val="7"/>
                <w:szCs w:val="7"/>
                <w:color w:val="auto"/>
              </w:rPr>
            </w:pPr>
          </w:p>
        </w:tc>
        <w:tc>
          <w:tcPr>
            <w:tcW w:w="620" w:type="dxa"/>
            <w:vAlign w:val="bottom"/>
            <w:tcBorders>
              <w:bottom w:val="single" w:sz="8" w:color="DBDBDB"/>
            </w:tcBorders>
            <w:shd w:val="clear" w:color="auto" w:fill="DBDBDB"/>
          </w:tcPr>
          <w:p>
            <w:pPr>
              <w:spacing w:after="0"/>
              <w:rPr>
                <w:sz w:val="7"/>
                <w:szCs w:val="7"/>
                <w:color w:val="auto"/>
              </w:rPr>
            </w:pPr>
          </w:p>
        </w:tc>
        <w:tc>
          <w:tcPr>
            <w:tcW w:w="200" w:type="dxa"/>
            <w:vAlign w:val="bottom"/>
            <w:tcBorders>
              <w:bottom w:val="single" w:sz="8" w:color="DBDBDB"/>
              <w:right w:val="single" w:sz="8" w:color="B6B6B6"/>
            </w:tcBorders>
            <w:shd w:val="clear" w:color="auto" w:fill="DBDBDB"/>
          </w:tcPr>
          <w:p>
            <w:pPr>
              <w:spacing w:after="0"/>
              <w:rPr>
                <w:sz w:val="7"/>
                <w:szCs w:val="7"/>
                <w:color w:val="auto"/>
              </w:rPr>
            </w:pPr>
          </w:p>
        </w:tc>
        <w:tc>
          <w:tcPr>
            <w:tcW w:w="1120" w:type="dxa"/>
            <w:vAlign w:val="bottom"/>
            <w:tcBorders>
              <w:bottom w:val="single" w:sz="8" w:color="DBDBDB"/>
              <w:right w:val="single" w:sz="8" w:color="B6B6B6"/>
            </w:tcBorders>
            <w:shd w:val="clear" w:color="auto" w:fill="DBDBDB"/>
          </w:tcPr>
          <w:p>
            <w:pPr>
              <w:spacing w:after="0"/>
              <w:rPr>
                <w:sz w:val="7"/>
                <w:szCs w:val="7"/>
                <w:color w:val="auto"/>
              </w:rPr>
            </w:pPr>
          </w:p>
        </w:tc>
        <w:tc>
          <w:tcPr>
            <w:tcW w:w="1420" w:type="dxa"/>
            <w:vAlign w:val="bottom"/>
            <w:tcBorders>
              <w:bottom w:val="single" w:sz="8" w:color="DBDBDB"/>
              <w:right w:val="single" w:sz="8" w:color="B6B6B6"/>
            </w:tcBorders>
            <w:shd w:val="clear" w:color="auto" w:fill="DBDBDB"/>
          </w:tcPr>
          <w:p>
            <w:pPr>
              <w:spacing w:after="0"/>
              <w:rPr>
                <w:sz w:val="7"/>
                <w:szCs w:val="7"/>
                <w:color w:val="auto"/>
              </w:rPr>
            </w:pPr>
          </w:p>
        </w:tc>
        <w:tc>
          <w:tcPr>
            <w:tcW w:w="940" w:type="dxa"/>
            <w:vAlign w:val="bottom"/>
            <w:tcBorders>
              <w:bottom w:val="single" w:sz="8" w:color="DBDBDB"/>
            </w:tcBorders>
            <w:shd w:val="clear" w:color="auto" w:fill="DBDBDB"/>
          </w:tcPr>
          <w:p>
            <w:pPr>
              <w:spacing w:after="0"/>
              <w:rPr>
                <w:sz w:val="7"/>
                <w:szCs w:val="7"/>
                <w:color w:val="auto"/>
              </w:rPr>
            </w:pPr>
          </w:p>
        </w:tc>
        <w:tc>
          <w:tcPr>
            <w:tcW w:w="200" w:type="dxa"/>
            <w:vAlign w:val="bottom"/>
            <w:tcBorders>
              <w:bottom w:val="single" w:sz="8" w:color="DBDBDB"/>
              <w:right w:val="single" w:sz="8" w:color="B6B6B6"/>
            </w:tcBorders>
            <w:shd w:val="clear" w:color="auto" w:fill="DBDBDB"/>
          </w:tcPr>
          <w:p>
            <w:pPr>
              <w:spacing w:after="0"/>
              <w:rPr>
                <w:sz w:val="7"/>
                <w:szCs w:val="7"/>
                <w:color w:val="auto"/>
              </w:rPr>
            </w:pPr>
          </w:p>
        </w:tc>
        <w:tc>
          <w:tcPr>
            <w:tcW w:w="1420" w:type="dxa"/>
            <w:vAlign w:val="bottom"/>
            <w:tcBorders>
              <w:bottom w:val="single" w:sz="8" w:color="DBDBDB"/>
              <w:right w:val="single" w:sz="8" w:color="B6B6B6"/>
            </w:tcBorders>
            <w:shd w:val="clear" w:color="auto" w:fill="DBDBDB"/>
          </w:tcPr>
          <w:p>
            <w:pPr>
              <w:spacing w:after="0"/>
              <w:rPr>
                <w:sz w:val="7"/>
                <w:szCs w:val="7"/>
                <w:color w:val="auto"/>
              </w:rPr>
            </w:pPr>
          </w:p>
        </w:tc>
        <w:tc>
          <w:tcPr>
            <w:tcW w:w="1080" w:type="dxa"/>
            <w:vAlign w:val="bottom"/>
            <w:tcBorders>
              <w:bottom w:val="single" w:sz="8" w:color="DBDBDB"/>
              <w:right w:val="single" w:sz="8" w:color="DBDBDB"/>
            </w:tcBorders>
            <w:shd w:val="clear" w:color="auto" w:fill="DBDBDB"/>
          </w:tcPr>
          <w:p>
            <w:pPr>
              <w:spacing w:after="0"/>
              <w:rPr>
                <w:sz w:val="7"/>
                <w:szCs w:val="7"/>
                <w:color w:val="auto"/>
              </w:rPr>
            </w:pPr>
          </w:p>
        </w:tc>
        <w:tc>
          <w:tcPr>
            <w:tcW w:w="20" w:type="dxa"/>
            <w:vAlign w:val="bottom"/>
            <w:tcBorders>
              <w:bottom w:val="single" w:sz="8" w:color="B6B6B6"/>
            </w:tcBorders>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640" w:type="dxa"/>
            <w:vAlign w:val="bottom"/>
            <w:tcBorders>
              <w:top w:val="single" w:sz="8" w:color="B6B6B6"/>
              <w:left w:val="single" w:sz="8" w:color="B6B6B6"/>
              <w:right w:val="single" w:sz="8" w:color="B6B6B6"/>
            </w:tcBorders>
            <w:gridSpan w:val="9"/>
          </w:tcPr>
          <w:p>
            <w:pPr>
              <w:ind w:left="40"/>
              <w:spacing w:after="0" w:line="115" w:lineRule="exact"/>
              <w:rPr>
                <w:sz w:val="20"/>
                <w:szCs w:val="20"/>
                <w:color w:val="auto"/>
              </w:rPr>
            </w:pPr>
            <w:r>
              <w:rPr>
                <w:rFonts w:ascii="Arial" w:cs="Arial" w:eastAsia="Arial" w:hAnsi="Arial"/>
                <w:sz w:val="13"/>
                <w:szCs w:val="13"/>
                <w:color w:val="auto"/>
              </w:rPr>
              <w:t>Jacques-Edouard Gueden</w:t>
            </w:r>
          </w:p>
        </w:tc>
        <w:tc>
          <w:tcPr>
            <w:tcW w:w="480" w:type="dxa"/>
            <w:vAlign w:val="bottom"/>
            <w:tcBorders>
              <w:top w:val="single" w:sz="8" w:color="B6B6B6"/>
            </w:tcBorders>
            <w:gridSpan w:val="2"/>
          </w:tcPr>
          <w:p>
            <w:pPr>
              <w:ind w:left="200"/>
              <w:spacing w:after="0" w:line="115" w:lineRule="exact"/>
              <w:rPr>
                <w:sz w:val="20"/>
                <w:szCs w:val="20"/>
                <w:color w:val="auto"/>
              </w:rPr>
            </w:pPr>
            <w:r>
              <w:rPr>
                <w:rFonts w:ascii="Arial" w:cs="Arial" w:eastAsia="Arial" w:hAnsi="Arial"/>
                <w:sz w:val="13"/>
                <w:szCs w:val="13"/>
                <w:color w:val="auto"/>
                <w:w w:val="89"/>
              </w:rPr>
              <w:t>2025</w:t>
            </w:r>
          </w:p>
        </w:tc>
        <w:tc>
          <w:tcPr>
            <w:tcW w:w="240" w:type="dxa"/>
            <w:vAlign w:val="bottom"/>
            <w:tcBorders>
              <w:top w:val="single" w:sz="8" w:color="B6B6B6"/>
              <w:right w:val="single" w:sz="8" w:color="B6B6B6"/>
            </w:tcBorders>
          </w:tcPr>
          <w:p>
            <w:pPr>
              <w:spacing w:after="0"/>
              <w:rPr>
                <w:sz w:val="10"/>
                <w:szCs w:val="10"/>
                <w:color w:val="auto"/>
              </w:rPr>
            </w:pPr>
          </w:p>
        </w:tc>
        <w:tc>
          <w:tcPr>
            <w:tcW w:w="1020" w:type="dxa"/>
            <w:vAlign w:val="bottom"/>
            <w:tcBorders>
              <w:top w:val="single" w:sz="8" w:color="B6B6B6"/>
              <w:right w:val="single" w:sz="8" w:color="B6B6B6"/>
            </w:tcBorders>
          </w:tcPr>
          <w:p>
            <w:pPr>
              <w:jc w:val="right"/>
              <w:ind w:right="16"/>
              <w:spacing w:after="0" w:line="115" w:lineRule="exact"/>
              <w:rPr>
                <w:sz w:val="20"/>
                <w:szCs w:val="20"/>
                <w:color w:val="auto"/>
              </w:rPr>
            </w:pPr>
            <w:r>
              <w:rPr>
                <w:rFonts w:ascii="Arial" w:cs="Arial" w:eastAsia="Arial" w:hAnsi="Arial"/>
                <w:sz w:val="13"/>
                <w:szCs w:val="13"/>
                <w:color w:val="auto"/>
              </w:rPr>
              <w:t>544,668</w:t>
            </w:r>
          </w:p>
        </w:tc>
        <w:tc>
          <w:tcPr>
            <w:tcW w:w="620" w:type="dxa"/>
            <w:vAlign w:val="bottom"/>
            <w:tcBorders>
              <w:top w:val="single" w:sz="8" w:color="B6B6B6"/>
            </w:tcBorders>
          </w:tcPr>
          <w:p>
            <w:pPr>
              <w:spacing w:after="0"/>
              <w:rPr>
                <w:sz w:val="10"/>
                <w:szCs w:val="10"/>
                <w:color w:val="auto"/>
              </w:rPr>
            </w:pPr>
          </w:p>
        </w:tc>
        <w:tc>
          <w:tcPr>
            <w:tcW w:w="200" w:type="dxa"/>
            <w:vAlign w:val="bottom"/>
            <w:tcBorders>
              <w:top w:val="single" w:sz="8" w:color="B6B6B6"/>
              <w:right w:val="single" w:sz="8" w:color="B6B6B6"/>
            </w:tcBorders>
          </w:tcPr>
          <w:p>
            <w:pPr>
              <w:spacing w:after="0" w:line="115" w:lineRule="exact"/>
              <w:rPr>
                <w:sz w:val="20"/>
                <w:szCs w:val="20"/>
                <w:color w:val="auto"/>
              </w:rPr>
            </w:pPr>
            <w:r>
              <w:rPr>
                <w:rFonts w:ascii="Arial" w:cs="Arial" w:eastAsia="Arial" w:hAnsi="Arial"/>
                <w:sz w:val="13"/>
                <w:szCs w:val="13"/>
                <w:color w:val="auto"/>
              </w:rPr>
              <w:t>—</w:t>
            </w:r>
          </w:p>
        </w:tc>
        <w:tc>
          <w:tcPr>
            <w:tcW w:w="1120" w:type="dxa"/>
            <w:vAlign w:val="bottom"/>
            <w:tcBorders>
              <w:top w:val="single" w:sz="8" w:color="B6B6B6"/>
              <w:right w:val="single" w:sz="8" w:color="B6B6B6"/>
            </w:tcBorders>
          </w:tcPr>
          <w:p>
            <w:pPr>
              <w:jc w:val="right"/>
              <w:ind w:right="16"/>
              <w:spacing w:after="0" w:line="115" w:lineRule="exact"/>
              <w:rPr>
                <w:sz w:val="20"/>
                <w:szCs w:val="20"/>
                <w:color w:val="auto"/>
              </w:rPr>
            </w:pPr>
            <w:r>
              <w:rPr>
                <w:rFonts w:ascii="Arial" w:cs="Arial" w:eastAsia="Arial" w:hAnsi="Arial"/>
                <w:sz w:val="13"/>
                <w:szCs w:val="13"/>
                <w:color w:val="auto"/>
              </w:rPr>
              <w:t>2,212,777</w:t>
            </w:r>
          </w:p>
        </w:tc>
        <w:tc>
          <w:tcPr>
            <w:tcW w:w="1420" w:type="dxa"/>
            <w:vAlign w:val="bottom"/>
            <w:tcBorders>
              <w:top w:val="single" w:sz="8" w:color="B6B6B6"/>
              <w:right w:val="single" w:sz="8" w:color="B6B6B6"/>
            </w:tcBorders>
          </w:tcPr>
          <w:p>
            <w:pPr>
              <w:jc w:val="right"/>
              <w:ind w:right="15"/>
              <w:spacing w:after="0" w:line="115" w:lineRule="exact"/>
              <w:rPr>
                <w:sz w:val="20"/>
                <w:szCs w:val="20"/>
                <w:color w:val="auto"/>
              </w:rPr>
            </w:pPr>
            <w:r>
              <w:rPr>
                <w:rFonts w:ascii="Arial" w:cs="Arial" w:eastAsia="Arial" w:hAnsi="Arial"/>
                <w:sz w:val="13"/>
                <w:szCs w:val="13"/>
                <w:color w:val="auto"/>
              </w:rPr>
              <w:t>—</w:t>
            </w:r>
          </w:p>
        </w:tc>
        <w:tc>
          <w:tcPr>
            <w:tcW w:w="940" w:type="dxa"/>
            <w:vAlign w:val="bottom"/>
            <w:tcBorders>
              <w:top w:val="single" w:sz="8" w:color="B6B6B6"/>
            </w:tcBorders>
          </w:tcPr>
          <w:p>
            <w:pPr>
              <w:spacing w:after="0"/>
              <w:rPr>
                <w:sz w:val="10"/>
                <w:szCs w:val="10"/>
                <w:color w:val="auto"/>
              </w:rPr>
            </w:pPr>
          </w:p>
        </w:tc>
        <w:tc>
          <w:tcPr>
            <w:tcW w:w="200" w:type="dxa"/>
            <w:vAlign w:val="bottom"/>
            <w:tcBorders>
              <w:top w:val="single" w:sz="8" w:color="B6B6B6"/>
              <w:right w:val="single" w:sz="8" w:color="B6B6B6"/>
            </w:tcBorders>
          </w:tcPr>
          <w:p>
            <w:pPr>
              <w:jc w:val="right"/>
              <w:ind w:right="17"/>
              <w:spacing w:after="0" w:line="115" w:lineRule="exact"/>
              <w:rPr>
                <w:sz w:val="20"/>
                <w:szCs w:val="20"/>
                <w:color w:val="auto"/>
              </w:rPr>
            </w:pPr>
            <w:r>
              <w:rPr>
                <w:rFonts w:ascii="Arial" w:cs="Arial" w:eastAsia="Arial" w:hAnsi="Arial"/>
                <w:sz w:val="13"/>
                <w:szCs w:val="13"/>
                <w:color w:val="auto"/>
                <w:w w:val="76"/>
              </w:rPr>
              <w:t>—</w:t>
            </w:r>
          </w:p>
        </w:tc>
        <w:tc>
          <w:tcPr>
            <w:tcW w:w="1420" w:type="dxa"/>
            <w:vAlign w:val="bottom"/>
            <w:tcBorders>
              <w:top w:val="single" w:sz="8" w:color="B6B6B6"/>
              <w:right w:val="single" w:sz="8" w:color="B6B6B6"/>
            </w:tcBorders>
          </w:tcPr>
          <w:p>
            <w:pPr>
              <w:jc w:val="right"/>
              <w:ind w:right="16"/>
              <w:spacing w:after="0" w:line="115" w:lineRule="exact"/>
              <w:rPr>
                <w:sz w:val="20"/>
                <w:szCs w:val="20"/>
                <w:color w:val="auto"/>
              </w:rPr>
            </w:pPr>
            <w:r>
              <w:rPr>
                <w:rFonts w:ascii="Arial" w:cs="Arial" w:eastAsia="Arial" w:hAnsi="Arial"/>
                <w:sz w:val="13"/>
                <w:szCs w:val="13"/>
                <w:color w:val="auto"/>
              </w:rPr>
              <w:t>653,531</w:t>
            </w:r>
          </w:p>
        </w:tc>
        <w:tc>
          <w:tcPr>
            <w:tcW w:w="1080" w:type="dxa"/>
            <w:vAlign w:val="bottom"/>
            <w:tcBorders>
              <w:top w:val="single" w:sz="8" w:color="B6B6B6"/>
            </w:tcBorders>
          </w:tcPr>
          <w:p>
            <w:pPr>
              <w:jc w:val="right"/>
              <w:spacing w:after="0" w:line="115" w:lineRule="exact"/>
              <w:rPr>
                <w:sz w:val="20"/>
                <w:szCs w:val="20"/>
                <w:color w:val="auto"/>
              </w:rPr>
            </w:pPr>
            <w:r>
              <w:rPr>
                <w:rFonts w:ascii="Arial" w:cs="Arial" w:eastAsia="Arial" w:hAnsi="Arial"/>
                <w:sz w:val="13"/>
                <w:szCs w:val="13"/>
                <w:color w:val="auto"/>
              </w:rPr>
              <w:t>3,410,976</w:t>
            </w:r>
          </w:p>
        </w:tc>
        <w:tc>
          <w:tcPr>
            <w:tcW w:w="20" w:type="dxa"/>
            <w:vAlign w:val="bottom"/>
            <w:tcBorders>
              <w:top w:val="single" w:sz="8" w:color="B6B6B6"/>
            </w:tcBorders>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40" w:type="dxa"/>
            <w:vAlign w:val="bottom"/>
            <w:tcBorders>
              <w:left w:val="single" w:sz="8" w:color="B6B6B6"/>
              <w:right w:val="single" w:sz="8" w:color="B6B6B6"/>
            </w:tcBorders>
            <w:gridSpan w:val="9"/>
          </w:tcPr>
          <w:p>
            <w:pPr>
              <w:ind w:left="40"/>
              <w:spacing w:after="0" w:line="131" w:lineRule="exact"/>
              <w:rPr>
                <w:sz w:val="20"/>
                <w:szCs w:val="20"/>
                <w:color w:val="auto"/>
              </w:rPr>
            </w:pPr>
            <w:r>
              <w:rPr>
                <w:rFonts w:ascii="Arial" w:cs="Arial" w:eastAsia="Arial" w:hAnsi="Arial"/>
                <w:sz w:val="13"/>
                <w:szCs w:val="13"/>
                <w:color w:val="auto"/>
              </w:rPr>
              <w:t>Executive Vice President,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right w:val="single" w:sz="8" w:color="B6B6B6"/>
            </w:tcBorders>
          </w:tcPr>
          <w:p>
            <w:pPr>
              <w:spacing w:after="0"/>
              <w:rPr>
                <w:sz w:val="11"/>
                <w:szCs w:val="11"/>
                <w:color w:val="auto"/>
              </w:rPr>
            </w:pPr>
          </w:p>
        </w:tc>
        <w:tc>
          <w:tcPr>
            <w:tcW w:w="1020" w:type="dxa"/>
            <w:vAlign w:val="bottom"/>
            <w:tcBorders>
              <w:right w:val="single" w:sz="8" w:color="B6B6B6"/>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right w:val="single" w:sz="8" w:color="B6B6B6"/>
            </w:tcBorders>
          </w:tcPr>
          <w:p>
            <w:pPr>
              <w:spacing w:after="0"/>
              <w:rPr>
                <w:sz w:val="11"/>
                <w:szCs w:val="11"/>
                <w:color w:val="auto"/>
              </w:rPr>
            </w:pPr>
          </w:p>
        </w:tc>
        <w:tc>
          <w:tcPr>
            <w:tcW w:w="1120" w:type="dxa"/>
            <w:vAlign w:val="bottom"/>
            <w:tcBorders>
              <w:right w:val="single" w:sz="8" w:color="B6B6B6"/>
            </w:tcBorders>
          </w:tcPr>
          <w:p>
            <w:pPr>
              <w:spacing w:after="0"/>
              <w:rPr>
                <w:sz w:val="11"/>
                <w:szCs w:val="11"/>
                <w:color w:val="auto"/>
              </w:rPr>
            </w:pPr>
          </w:p>
        </w:tc>
        <w:tc>
          <w:tcPr>
            <w:tcW w:w="1420" w:type="dxa"/>
            <w:vAlign w:val="bottom"/>
            <w:tcBorders>
              <w:right w:val="single" w:sz="8" w:color="B6B6B6"/>
            </w:tcBorders>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Borders>
              <w:right w:val="single" w:sz="8" w:color="B6B6B6"/>
            </w:tcBorders>
          </w:tcPr>
          <w:p>
            <w:pPr>
              <w:spacing w:after="0"/>
              <w:rPr>
                <w:sz w:val="11"/>
                <w:szCs w:val="11"/>
                <w:color w:val="auto"/>
              </w:rPr>
            </w:pPr>
          </w:p>
        </w:tc>
        <w:tc>
          <w:tcPr>
            <w:tcW w:w="1420" w:type="dxa"/>
            <w:vAlign w:val="bottom"/>
            <w:tcBorders>
              <w:right w:val="single" w:sz="8" w:color="B6B6B6"/>
            </w:tcBorders>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40" w:type="dxa"/>
            <w:vAlign w:val="bottom"/>
            <w:tcBorders>
              <w:left w:val="single" w:sz="8" w:color="B6B6B6"/>
              <w:right w:val="single" w:sz="8" w:color="B6B6B6"/>
            </w:tcBorders>
            <w:gridSpan w:val="9"/>
          </w:tcPr>
          <w:p>
            <w:pPr>
              <w:ind w:left="40"/>
              <w:spacing w:after="0" w:line="126" w:lineRule="exact"/>
              <w:rPr>
                <w:sz w:val="20"/>
                <w:szCs w:val="20"/>
                <w:color w:val="auto"/>
              </w:rPr>
            </w:pPr>
            <w:r>
              <w:rPr>
                <w:rFonts w:ascii="Arial" w:cs="Arial" w:eastAsia="Arial" w:hAnsi="Arial"/>
                <w:sz w:val="13"/>
                <w:szCs w:val="13"/>
                <w:color w:val="auto"/>
              </w:rPr>
              <w:t>Chief Channel and Partner</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B6B6B6"/>
            </w:tcBorders>
          </w:tcPr>
          <w:p>
            <w:pPr>
              <w:spacing w:after="0"/>
              <w:rPr>
                <w:sz w:val="10"/>
                <w:szCs w:val="10"/>
                <w:color w:val="auto"/>
              </w:rPr>
            </w:pPr>
          </w:p>
        </w:tc>
        <w:tc>
          <w:tcPr>
            <w:tcW w:w="1020" w:type="dxa"/>
            <w:vAlign w:val="bottom"/>
            <w:tcBorders>
              <w:right w:val="single" w:sz="8" w:color="B6B6B6"/>
            </w:tcBorders>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Borders>
              <w:right w:val="single" w:sz="8" w:color="B6B6B6"/>
            </w:tcBorders>
          </w:tcPr>
          <w:p>
            <w:pPr>
              <w:spacing w:after="0"/>
              <w:rPr>
                <w:sz w:val="10"/>
                <w:szCs w:val="10"/>
                <w:color w:val="auto"/>
              </w:rPr>
            </w:pPr>
          </w:p>
        </w:tc>
        <w:tc>
          <w:tcPr>
            <w:tcW w:w="1120" w:type="dxa"/>
            <w:vAlign w:val="bottom"/>
            <w:tcBorders>
              <w:right w:val="single" w:sz="8" w:color="B6B6B6"/>
            </w:tcBorders>
          </w:tcPr>
          <w:p>
            <w:pPr>
              <w:spacing w:after="0"/>
              <w:rPr>
                <w:sz w:val="10"/>
                <w:szCs w:val="10"/>
                <w:color w:val="auto"/>
              </w:rPr>
            </w:pPr>
          </w:p>
        </w:tc>
        <w:tc>
          <w:tcPr>
            <w:tcW w:w="1420" w:type="dxa"/>
            <w:vAlign w:val="bottom"/>
            <w:tcBorders>
              <w:right w:val="single" w:sz="8" w:color="B6B6B6"/>
            </w:tcBorders>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Borders>
              <w:right w:val="single" w:sz="8" w:color="B6B6B6"/>
            </w:tcBorders>
          </w:tcPr>
          <w:p>
            <w:pPr>
              <w:spacing w:after="0"/>
              <w:rPr>
                <w:sz w:val="10"/>
                <w:szCs w:val="10"/>
                <w:color w:val="auto"/>
              </w:rPr>
            </w:pPr>
          </w:p>
        </w:tc>
        <w:tc>
          <w:tcPr>
            <w:tcW w:w="1420" w:type="dxa"/>
            <w:vAlign w:val="bottom"/>
            <w:tcBorders>
              <w:right w:val="single" w:sz="8" w:color="B6B6B6"/>
            </w:tcBorders>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40" w:type="dxa"/>
            <w:vAlign w:val="bottom"/>
            <w:tcBorders>
              <w:left w:val="single" w:sz="8" w:color="B6B6B6"/>
              <w:right w:val="single" w:sz="8" w:color="B6B6B6"/>
            </w:tcBorders>
            <w:gridSpan w:val="9"/>
          </w:tcPr>
          <w:p>
            <w:pPr>
              <w:ind w:left="40"/>
              <w:spacing w:after="0"/>
              <w:rPr>
                <w:sz w:val="20"/>
                <w:szCs w:val="20"/>
                <w:color w:val="auto"/>
              </w:rPr>
            </w:pPr>
            <w:r>
              <w:rPr>
                <w:rFonts w:ascii="Arial" w:cs="Arial" w:eastAsia="Arial" w:hAnsi="Arial"/>
                <w:sz w:val="13"/>
                <w:szCs w:val="13"/>
                <w:color w:val="auto"/>
              </w:rPr>
              <w:t>Officer</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B6B6B6"/>
            </w:tcBorders>
          </w:tcPr>
          <w:p>
            <w:pPr>
              <w:spacing w:after="0"/>
              <w:rPr>
                <w:sz w:val="14"/>
                <w:szCs w:val="14"/>
                <w:color w:val="auto"/>
              </w:rPr>
            </w:pPr>
          </w:p>
        </w:tc>
        <w:tc>
          <w:tcPr>
            <w:tcW w:w="102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B6B6B6"/>
            </w:tcBorders>
          </w:tcPr>
          <w:p>
            <w:pPr>
              <w:spacing w:after="0"/>
              <w:rPr>
                <w:sz w:val="14"/>
                <w:szCs w:val="14"/>
                <w:color w:val="auto"/>
              </w:rPr>
            </w:pPr>
          </w:p>
        </w:tc>
        <w:tc>
          <w:tcPr>
            <w:tcW w:w="1120" w:type="dxa"/>
            <w:vAlign w:val="bottom"/>
            <w:tcBorders>
              <w:right w:val="single" w:sz="8" w:color="B6B6B6"/>
            </w:tcBorders>
          </w:tcPr>
          <w:p>
            <w:pPr>
              <w:spacing w:after="0"/>
              <w:rPr>
                <w:sz w:val="14"/>
                <w:szCs w:val="14"/>
                <w:color w:val="auto"/>
              </w:rPr>
            </w:pPr>
          </w:p>
        </w:tc>
        <w:tc>
          <w:tcPr>
            <w:tcW w:w="1420" w:type="dxa"/>
            <w:vAlign w:val="bottom"/>
            <w:tcBorders>
              <w:right w:val="single" w:sz="8" w:color="B6B6B6"/>
            </w:tcBorders>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Borders>
              <w:right w:val="single" w:sz="8" w:color="B6B6B6"/>
            </w:tcBorders>
          </w:tcPr>
          <w:p>
            <w:pPr>
              <w:spacing w:after="0"/>
              <w:rPr>
                <w:sz w:val="14"/>
                <w:szCs w:val="14"/>
                <w:color w:val="auto"/>
              </w:rPr>
            </w:pPr>
          </w:p>
        </w:tc>
        <w:tc>
          <w:tcPr>
            <w:tcW w:w="1420" w:type="dxa"/>
            <w:vAlign w:val="bottom"/>
            <w:tcBorders>
              <w:right w:val="single" w:sz="8" w:color="B6B6B6"/>
            </w:tcBorders>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840" w:type="dxa"/>
            <w:vAlign w:val="bottom"/>
            <w:tcBorders>
              <w:left w:val="single" w:sz="8" w:color="B6B6B6"/>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right w:val="single" w:sz="8" w:color="B6B6B6"/>
            </w:tcBorders>
          </w:tcPr>
          <w:p>
            <w:pPr>
              <w:spacing w:after="0"/>
              <w:rPr>
                <w:sz w:val="9"/>
                <w:szCs w:val="9"/>
                <w:color w:val="auto"/>
              </w:rPr>
            </w:pPr>
          </w:p>
        </w:tc>
        <w:tc>
          <w:tcPr>
            <w:tcW w:w="200" w:type="dxa"/>
            <w:vAlign w:val="bottom"/>
            <w:tcBorders>
              <w:bottom w:val="single" w:sz="8" w:color="B6B6B6"/>
            </w:tcBorders>
          </w:tcPr>
          <w:p>
            <w:pPr>
              <w:spacing w:after="0"/>
              <w:rPr>
                <w:sz w:val="9"/>
                <w:szCs w:val="9"/>
                <w:color w:val="auto"/>
              </w:rPr>
            </w:pPr>
          </w:p>
        </w:tc>
        <w:tc>
          <w:tcPr>
            <w:tcW w:w="280" w:type="dxa"/>
            <w:vAlign w:val="bottom"/>
            <w:tcBorders>
              <w:bottom w:val="single" w:sz="8" w:color="B6B6B6"/>
            </w:tcBorders>
          </w:tcPr>
          <w:p>
            <w:pPr>
              <w:spacing w:after="0"/>
              <w:rPr>
                <w:sz w:val="9"/>
                <w:szCs w:val="9"/>
                <w:color w:val="auto"/>
              </w:rPr>
            </w:pPr>
          </w:p>
        </w:tc>
        <w:tc>
          <w:tcPr>
            <w:tcW w:w="240" w:type="dxa"/>
            <w:vAlign w:val="bottom"/>
            <w:tcBorders>
              <w:bottom w:val="single" w:sz="8" w:color="B6B6B6"/>
              <w:right w:val="single" w:sz="8" w:color="B6B6B6"/>
            </w:tcBorders>
          </w:tcPr>
          <w:p>
            <w:pPr>
              <w:spacing w:after="0"/>
              <w:rPr>
                <w:sz w:val="9"/>
                <w:szCs w:val="9"/>
                <w:color w:val="auto"/>
              </w:rPr>
            </w:pPr>
          </w:p>
        </w:tc>
        <w:tc>
          <w:tcPr>
            <w:tcW w:w="1020" w:type="dxa"/>
            <w:vAlign w:val="bottom"/>
            <w:tcBorders>
              <w:bottom w:val="single" w:sz="8" w:color="B6B6B6"/>
              <w:right w:val="single" w:sz="8" w:color="B6B6B6"/>
            </w:tcBorders>
          </w:tcPr>
          <w:p>
            <w:pPr>
              <w:spacing w:after="0"/>
              <w:rPr>
                <w:sz w:val="9"/>
                <w:szCs w:val="9"/>
                <w:color w:val="auto"/>
              </w:rPr>
            </w:pPr>
          </w:p>
        </w:tc>
        <w:tc>
          <w:tcPr>
            <w:tcW w:w="620" w:type="dxa"/>
            <w:vAlign w:val="bottom"/>
            <w:tcBorders>
              <w:bottom w:val="single" w:sz="8" w:color="B6B6B6"/>
            </w:tcBorders>
          </w:tcPr>
          <w:p>
            <w:pPr>
              <w:spacing w:after="0"/>
              <w:rPr>
                <w:sz w:val="9"/>
                <w:szCs w:val="9"/>
                <w:color w:val="auto"/>
              </w:rPr>
            </w:pPr>
          </w:p>
        </w:tc>
        <w:tc>
          <w:tcPr>
            <w:tcW w:w="200" w:type="dxa"/>
            <w:vAlign w:val="bottom"/>
            <w:tcBorders>
              <w:bottom w:val="single" w:sz="8" w:color="B6B6B6"/>
              <w:right w:val="single" w:sz="8" w:color="B6B6B6"/>
            </w:tcBorders>
          </w:tcPr>
          <w:p>
            <w:pPr>
              <w:spacing w:after="0"/>
              <w:rPr>
                <w:sz w:val="9"/>
                <w:szCs w:val="9"/>
                <w:color w:val="auto"/>
              </w:rPr>
            </w:pPr>
          </w:p>
        </w:tc>
        <w:tc>
          <w:tcPr>
            <w:tcW w:w="1120" w:type="dxa"/>
            <w:vAlign w:val="bottom"/>
            <w:tcBorders>
              <w:bottom w:val="single" w:sz="8" w:color="B6B6B6"/>
              <w:right w:val="single" w:sz="8" w:color="B6B6B6"/>
            </w:tcBorders>
          </w:tcPr>
          <w:p>
            <w:pPr>
              <w:spacing w:after="0"/>
              <w:rPr>
                <w:sz w:val="9"/>
                <w:szCs w:val="9"/>
                <w:color w:val="auto"/>
              </w:rPr>
            </w:pPr>
          </w:p>
        </w:tc>
        <w:tc>
          <w:tcPr>
            <w:tcW w:w="1420" w:type="dxa"/>
            <w:vAlign w:val="bottom"/>
            <w:tcBorders>
              <w:bottom w:val="single" w:sz="8" w:color="B6B6B6"/>
              <w:right w:val="single" w:sz="8" w:color="B6B6B6"/>
            </w:tcBorders>
          </w:tcPr>
          <w:p>
            <w:pPr>
              <w:spacing w:after="0"/>
              <w:rPr>
                <w:sz w:val="9"/>
                <w:szCs w:val="9"/>
                <w:color w:val="auto"/>
              </w:rPr>
            </w:pPr>
          </w:p>
        </w:tc>
        <w:tc>
          <w:tcPr>
            <w:tcW w:w="940" w:type="dxa"/>
            <w:vAlign w:val="bottom"/>
            <w:tcBorders>
              <w:bottom w:val="single" w:sz="8" w:color="B6B6B6"/>
            </w:tcBorders>
          </w:tcPr>
          <w:p>
            <w:pPr>
              <w:spacing w:after="0"/>
              <w:rPr>
                <w:sz w:val="9"/>
                <w:szCs w:val="9"/>
                <w:color w:val="auto"/>
              </w:rPr>
            </w:pPr>
          </w:p>
        </w:tc>
        <w:tc>
          <w:tcPr>
            <w:tcW w:w="200" w:type="dxa"/>
            <w:vAlign w:val="bottom"/>
            <w:tcBorders>
              <w:bottom w:val="single" w:sz="8" w:color="B6B6B6"/>
              <w:right w:val="single" w:sz="8" w:color="B6B6B6"/>
            </w:tcBorders>
          </w:tcPr>
          <w:p>
            <w:pPr>
              <w:spacing w:after="0"/>
              <w:rPr>
                <w:sz w:val="9"/>
                <w:szCs w:val="9"/>
                <w:color w:val="auto"/>
              </w:rPr>
            </w:pPr>
          </w:p>
        </w:tc>
        <w:tc>
          <w:tcPr>
            <w:tcW w:w="1420" w:type="dxa"/>
            <w:vAlign w:val="bottom"/>
            <w:tcBorders>
              <w:bottom w:val="single" w:sz="8" w:color="B6B6B6"/>
              <w:right w:val="single" w:sz="8" w:color="B6B6B6"/>
            </w:tcBorders>
          </w:tcPr>
          <w:p>
            <w:pPr>
              <w:spacing w:after="0"/>
              <w:rPr>
                <w:sz w:val="9"/>
                <w:szCs w:val="9"/>
                <w:color w:val="auto"/>
              </w:rPr>
            </w:pPr>
          </w:p>
        </w:tc>
        <w:tc>
          <w:tcPr>
            <w:tcW w:w="1080" w:type="dxa"/>
            <w:vAlign w:val="bottom"/>
            <w:tcBorders>
              <w:bottom w:val="single" w:sz="8" w:color="B6B6B6"/>
            </w:tcBorders>
          </w:tcPr>
          <w:p>
            <w:pPr>
              <w:spacing w:after="0"/>
              <w:rPr>
                <w:sz w:val="9"/>
                <w:szCs w:val="9"/>
                <w:color w:val="auto"/>
              </w:rPr>
            </w:pPr>
          </w:p>
        </w:tc>
        <w:tc>
          <w:tcPr>
            <w:tcW w:w="20" w:type="dxa"/>
            <w:vAlign w:val="bottom"/>
            <w:tcBorders>
              <w:bottom w:val="single" w:sz="8" w:color="B6B6B6"/>
            </w:tcBorders>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40" w:type="dxa"/>
            <w:vAlign w:val="bottom"/>
            <w:tcBorders>
              <w:left w:val="single" w:sz="8" w:color="B6B6B6"/>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right w:val="single" w:sz="8" w:color="B6B6B6"/>
            </w:tcBorders>
          </w:tcPr>
          <w:p>
            <w:pPr>
              <w:spacing w:after="0"/>
              <w:rPr>
                <w:sz w:val="13"/>
                <w:szCs w:val="13"/>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w w:val="89"/>
              </w:rPr>
              <w:t>2024</w:t>
            </w:r>
          </w:p>
        </w:tc>
        <w:tc>
          <w:tcPr>
            <w:tcW w:w="240" w:type="dxa"/>
            <w:vAlign w:val="bottom"/>
            <w:tcBorders>
              <w:right w:val="single" w:sz="8" w:color="B6B6B6"/>
            </w:tcBorders>
          </w:tcPr>
          <w:p>
            <w:pPr>
              <w:spacing w:after="0"/>
              <w:rPr>
                <w:sz w:val="13"/>
                <w:szCs w:val="13"/>
                <w:color w:val="auto"/>
              </w:rPr>
            </w:pPr>
          </w:p>
        </w:tc>
        <w:tc>
          <w:tcPr>
            <w:tcW w:w="10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501,619</w:t>
            </w:r>
          </w:p>
        </w:tc>
        <w:tc>
          <w:tcPr>
            <w:tcW w:w="620" w:type="dxa"/>
            <w:vAlign w:val="bottom"/>
          </w:tcPr>
          <w:p>
            <w:pPr>
              <w:spacing w:after="0"/>
              <w:rPr>
                <w:sz w:val="13"/>
                <w:szCs w:val="13"/>
                <w:color w:val="auto"/>
              </w:rPr>
            </w:pPr>
          </w:p>
        </w:tc>
        <w:tc>
          <w:tcPr>
            <w:tcW w:w="200" w:type="dxa"/>
            <w:vAlign w:val="bottom"/>
            <w:tcBorders>
              <w:right w:val="single" w:sz="8" w:color="B6B6B6"/>
            </w:tcBorders>
          </w:tcPr>
          <w:p>
            <w:pPr>
              <w:spacing w:after="0"/>
              <w:rPr>
                <w:sz w:val="20"/>
                <w:szCs w:val="20"/>
                <w:color w:val="auto"/>
              </w:rPr>
            </w:pPr>
            <w:r>
              <w:rPr>
                <w:rFonts w:ascii="Arial" w:cs="Arial" w:eastAsia="Arial" w:hAnsi="Arial"/>
                <w:sz w:val="13"/>
                <w:szCs w:val="13"/>
                <w:color w:val="auto"/>
              </w:rPr>
              <w:t>—</w:t>
            </w:r>
          </w:p>
        </w:tc>
        <w:tc>
          <w:tcPr>
            <w:tcW w:w="11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2,751,129</w:t>
            </w:r>
          </w:p>
        </w:tc>
        <w:tc>
          <w:tcPr>
            <w:tcW w:w="1420" w:type="dxa"/>
            <w:vAlign w:val="bottom"/>
            <w:tcBorders>
              <w:right w:val="single" w:sz="8" w:color="B6B6B6"/>
            </w:tcBorders>
          </w:tcPr>
          <w:p>
            <w:pPr>
              <w:jc w:val="right"/>
              <w:ind w:right="15"/>
              <w:spacing w:after="0"/>
              <w:rPr>
                <w:sz w:val="20"/>
                <w:szCs w:val="20"/>
                <w:color w:val="auto"/>
              </w:rPr>
            </w:pPr>
            <w:r>
              <w:rPr>
                <w:rFonts w:ascii="Arial" w:cs="Arial" w:eastAsia="Arial" w:hAnsi="Arial"/>
                <w:sz w:val="13"/>
                <w:szCs w:val="13"/>
                <w:color w:val="auto"/>
              </w:rPr>
              <w:t>349,538</w:t>
            </w:r>
          </w:p>
        </w:tc>
        <w:tc>
          <w:tcPr>
            <w:tcW w:w="1140" w:type="dxa"/>
            <w:vAlign w:val="bottom"/>
            <w:tcBorders>
              <w:right w:val="single" w:sz="8" w:color="B6B6B6"/>
            </w:tcBorders>
            <w:gridSpan w:val="2"/>
          </w:tcPr>
          <w:p>
            <w:pPr>
              <w:jc w:val="right"/>
              <w:ind w:right="17"/>
              <w:spacing w:after="0"/>
              <w:rPr>
                <w:sz w:val="20"/>
                <w:szCs w:val="20"/>
                <w:color w:val="auto"/>
              </w:rPr>
            </w:pPr>
            <w:r>
              <w:rPr>
                <w:rFonts w:ascii="Arial" w:cs="Arial" w:eastAsia="Arial" w:hAnsi="Arial"/>
                <w:sz w:val="13"/>
                <w:szCs w:val="13"/>
                <w:color w:val="auto"/>
              </w:rPr>
              <w:t>638,891</w:t>
            </w:r>
          </w:p>
        </w:tc>
        <w:tc>
          <w:tcPr>
            <w:tcW w:w="1420" w:type="dxa"/>
            <w:vAlign w:val="bottom"/>
            <w:tcBorders>
              <w:right w:val="single" w:sz="8" w:color="B6B6B6"/>
            </w:tcBorders>
          </w:tcPr>
          <w:p>
            <w:pPr>
              <w:jc w:val="right"/>
              <w:ind w:right="16"/>
              <w:spacing w:after="0"/>
              <w:rPr>
                <w:sz w:val="20"/>
                <w:szCs w:val="20"/>
                <w:color w:val="auto"/>
              </w:rPr>
            </w:pPr>
            <w:r>
              <w:rPr>
                <w:rFonts w:ascii="Arial" w:cs="Arial" w:eastAsia="Arial" w:hAnsi="Arial"/>
                <w:sz w:val="13"/>
                <w:szCs w:val="13"/>
                <w:color w:val="auto"/>
              </w:rPr>
              <w:t>149,470</w:t>
            </w:r>
          </w:p>
        </w:tc>
        <w:tc>
          <w:tcPr>
            <w:tcW w:w="1080" w:type="dxa"/>
            <w:vAlign w:val="bottom"/>
          </w:tcPr>
          <w:p>
            <w:pPr>
              <w:jc w:val="right"/>
              <w:spacing w:after="0"/>
              <w:rPr>
                <w:sz w:val="20"/>
                <w:szCs w:val="20"/>
                <w:color w:val="auto"/>
              </w:rPr>
            </w:pPr>
            <w:r>
              <w:rPr>
                <w:rFonts w:ascii="Arial" w:cs="Arial" w:eastAsia="Arial" w:hAnsi="Arial"/>
                <w:sz w:val="13"/>
                <w:szCs w:val="13"/>
                <w:color w:val="auto"/>
              </w:rPr>
              <w:t>4,390,647</w:t>
            </w:r>
          </w:p>
        </w:tc>
        <w:tc>
          <w:tcPr>
            <w:tcW w:w="20" w:type="dxa"/>
            <w:vAlign w:val="bottom"/>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40" w:type="dxa"/>
            <w:vAlign w:val="bottom"/>
            <w:tcBorders>
              <w:left w:val="single" w:sz="8" w:color="B6B6B6"/>
              <w:bottom w:val="single" w:sz="8" w:color="B6B6B6"/>
            </w:tcBorders>
          </w:tcPr>
          <w:p>
            <w:pPr>
              <w:spacing w:after="0"/>
              <w:rPr>
                <w:sz w:val="2"/>
                <w:szCs w:val="2"/>
                <w:color w:val="auto"/>
              </w:rPr>
            </w:pPr>
          </w:p>
        </w:tc>
        <w:tc>
          <w:tcPr>
            <w:tcW w:w="160" w:type="dxa"/>
            <w:vAlign w:val="bottom"/>
            <w:tcBorders>
              <w:bottom w:val="single" w:sz="8" w:color="B6B6B6"/>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60" w:type="dxa"/>
            <w:vAlign w:val="bottom"/>
            <w:tcBorders>
              <w:bottom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60" w:type="dxa"/>
            <w:vAlign w:val="bottom"/>
            <w:tcBorders>
              <w:bottom w:val="single" w:sz="8" w:color="B6B6B6"/>
            </w:tcBorders>
          </w:tcPr>
          <w:p>
            <w:pPr>
              <w:spacing w:after="0"/>
              <w:rPr>
                <w:sz w:val="2"/>
                <w:szCs w:val="2"/>
                <w:color w:val="auto"/>
              </w:rPr>
            </w:pPr>
          </w:p>
        </w:tc>
        <w:tc>
          <w:tcPr>
            <w:tcW w:w="40" w:type="dxa"/>
            <w:vAlign w:val="bottom"/>
            <w:tcBorders>
              <w:bottom w:val="single" w:sz="8" w:color="B6B6B6"/>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180" w:type="dxa"/>
            <w:vAlign w:val="bottom"/>
            <w:tcBorders>
              <w:bottom w:val="single" w:sz="8" w:color="B6B6B6"/>
              <w:right w:val="single" w:sz="8" w:color="B6B6B6"/>
            </w:tcBorders>
          </w:tcPr>
          <w:p>
            <w:pPr>
              <w:spacing w:after="0"/>
              <w:rPr>
                <w:sz w:val="2"/>
                <w:szCs w:val="2"/>
                <w:color w:val="auto"/>
              </w:rPr>
            </w:pPr>
          </w:p>
        </w:tc>
        <w:tc>
          <w:tcPr>
            <w:tcW w:w="200" w:type="dxa"/>
            <w:vAlign w:val="bottom"/>
            <w:tcBorders>
              <w:bottom w:val="single" w:sz="8" w:color="B6B6B6"/>
            </w:tcBorders>
          </w:tcPr>
          <w:p>
            <w:pPr>
              <w:spacing w:after="0"/>
              <w:rPr>
                <w:sz w:val="2"/>
                <w:szCs w:val="2"/>
                <w:color w:val="auto"/>
              </w:rPr>
            </w:pPr>
          </w:p>
        </w:tc>
        <w:tc>
          <w:tcPr>
            <w:tcW w:w="280" w:type="dxa"/>
            <w:vAlign w:val="bottom"/>
            <w:tcBorders>
              <w:bottom w:val="single" w:sz="8" w:color="B6B6B6"/>
            </w:tcBorders>
          </w:tcPr>
          <w:p>
            <w:pPr>
              <w:spacing w:after="0"/>
              <w:rPr>
                <w:sz w:val="2"/>
                <w:szCs w:val="2"/>
                <w:color w:val="auto"/>
              </w:rPr>
            </w:pPr>
          </w:p>
        </w:tc>
        <w:tc>
          <w:tcPr>
            <w:tcW w:w="240" w:type="dxa"/>
            <w:vAlign w:val="bottom"/>
            <w:tcBorders>
              <w:bottom w:val="single" w:sz="8" w:color="B6B6B6"/>
              <w:right w:val="single" w:sz="8" w:color="B6B6B6"/>
            </w:tcBorders>
          </w:tcPr>
          <w:p>
            <w:pPr>
              <w:spacing w:after="0"/>
              <w:rPr>
                <w:sz w:val="2"/>
                <w:szCs w:val="2"/>
                <w:color w:val="auto"/>
              </w:rPr>
            </w:pPr>
          </w:p>
        </w:tc>
        <w:tc>
          <w:tcPr>
            <w:tcW w:w="1020" w:type="dxa"/>
            <w:vAlign w:val="bottom"/>
            <w:tcBorders>
              <w:bottom w:val="single" w:sz="8" w:color="B6B6B6"/>
              <w:right w:val="single" w:sz="8" w:color="B6B6B6"/>
            </w:tcBorders>
          </w:tcPr>
          <w:p>
            <w:pPr>
              <w:spacing w:after="0"/>
              <w:rPr>
                <w:sz w:val="2"/>
                <w:szCs w:val="2"/>
                <w:color w:val="auto"/>
              </w:rPr>
            </w:pPr>
          </w:p>
        </w:tc>
        <w:tc>
          <w:tcPr>
            <w:tcW w:w="620" w:type="dxa"/>
            <w:vAlign w:val="bottom"/>
            <w:tcBorders>
              <w:bottom w:val="single" w:sz="8" w:color="B6B6B6"/>
            </w:tcBorders>
          </w:tcPr>
          <w:p>
            <w:pPr>
              <w:spacing w:after="0"/>
              <w:rPr>
                <w:sz w:val="2"/>
                <w:szCs w:val="2"/>
                <w:color w:val="auto"/>
              </w:rPr>
            </w:pPr>
          </w:p>
        </w:tc>
        <w:tc>
          <w:tcPr>
            <w:tcW w:w="200" w:type="dxa"/>
            <w:vAlign w:val="bottom"/>
            <w:tcBorders>
              <w:bottom w:val="single" w:sz="8" w:color="B6B6B6"/>
              <w:right w:val="single" w:sz="8" w:color="B6B6B6"/>
            </w:tcBorders>
          </w:tcPr>
          <w:p>
            <w:pPr>
              <w:spacing w:after="0"/>
              <w:rPr>
                <w:sz w:val="2"/>
                <w:szCs w:val="2"/>
                <w:color w:val="auto"/>
              </w:rPr>
            </w:pPr>
          </w:p>
        </w:tc>
        <w:tc>
          <w:tcPr>
            <w:tcW w:w="1120" w:type="dxa"/>
            <w:vAlign w:val="bottom"/>
            <w:tcBorders>
              <w:bottom w:val="single" w:sz="8" w:color="B6B6B6"/>
              <w:right w:val="single" w:sz="8" w:color="B6B6B6"/>
            </w:tcBorders>
          </w:tcPr>
          <w:p>
            <w:pPr>
              <w:spacing w:after="0"/>
              <w:rPr>
                <w:sz w:val="2"/>
                <w:szCs w:val="2"/>
                <w:color w:val="auto"/>
              </w:rPr>
            </w:pPr>
          </w:p>
        </w:tc>
        <w:tc>
          <w:tcPr>
            <w:tcW w:w="14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tcBorders>
          </w:tcPr>
          <w:p>
            <w:pPr>
              <w:spacing w:after="0"/>
              <w:rPr>
                <w:sz w:val="2"/>
                <w:szCs w:val="2"/>
                <w:color w:val="auto"/>
              </w:rPr>
            </w:pPr>
          </w:p>
        </w:tc>
        <w:tc>
          <w:tcPr>
            <w:tcW w:w="200" w:type="dxa"/>
            <w:vAlign w:val="bottom"/>
            <w:tcBorders>
              <w:bottom w:val="single" w:sz="8" w:color="B6B6B6"/>
              <w:right w:val="single" w:sz="8" w:color="B6B6B6"/>
            </w:tcBorders>
          </w:tcPr>
          <w:p>
            <w:pPr>
              <w:spacing w:after="0"/>
              <w:rPr>
                <w:sz w:val="2"/>
                <w:szCs w:val="2"/>
                <w:color w:val="auto"/>
              </w:rPr>
            </w:pPr>
          </w:p>
        </w:tc>
        <w:tc>
          <w:tcPr>
            <w:tcW w:w="1420" w:type="dxa"/>
            <w:vAlign w:val="bottom"/>
            <w:tcBorders>
              <w:bottom w:val="single" w:sz="8" w:color="B6B6B6"/>
              <w:right w:val="single" w:sz="8" w:color="B6B6B6"/>
            </w:tcBorders>
          </w:tcPr>
          <w:p>
            <w:pPr>
              <w:spacing w:after="0"/>
              <w:rPr>
                <w:sz w:val="2"/>
                <w:szCs w:val="2"/>
                <w:color w:val="auto"/>
              </w:rPr>
            </w:pPr>
          </w:p>
        </w:tc>
        <w:tc>
          <w:tcPr>
            <w:tcW w:w="1080" w:type="dxa"/>
            <w:vAlign w:val="bottom"/>
            <w:tcBorders>
              <w:bottom w:val="single" w:sz="8" w:color="B6B6B6"/>
            </w:tcBorders>
          </w:tcPr>
          <w:p>
            <w:pPr>
              <w:spacing w:after="0"/>
              <w:rPr>
                <w:sz w:val="2"/>
                <w:szCs w:val="2"/>
                <w:color w:val="auto"/>
              </w:rPr>
            </w:pPr>
          </w:p>
        </w:tc>
        <w:tc>
          <w:tcPr>
            <w:tcW w:w="20" w:type="dxa"/>
            <w:vAlign w:val="bottom"/>
            <w:tcBorders>
              <w:bottom w:val="single" w:sz="8" w:color="B6B6B6"/>
            </w:tcBorders>
            <w:shd w:val="clear" w:color="auto" w:fill="B6B6B6"/>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40" w:type="dxa"/>
            <w:vAlign w:val="bottom"/>
            <w:tcBorders>
              <w:left w:val="single" w:sz="8" w:color="B6B6B6"/>
            </w:tcBorders>
            <w:shd w:val="clear" w:color="auto" w:fill="DBDBDB"/>
          </w:tcPr>
          <w:p>
            <w:pPr>
              <w:ind w:left="40"/>
              <w:spacing w:after="0" w:line="129" w:lineRule="exact"/>
              <w:rPr>
                <w:sz w:val="20"/>
                <w:szCs w:val="20"/>
                <w:color w:val="auto"/>
              </w:rPr>
            </w:pPr>
            <w:r>
              <w:rPr>
                <w:rFonts w:ascii="Arial" w:cs="Arial" w:eastAsia="Arial" w:hAnsi="Arial"/>
                <w:sz w:val="13"/>
                <w:szCs w:val="13"/>
                <w:color w:val="auto"/>
                <w:highlight w:val="lightGray"/>
                <w:w w:val="99"/>
              </w:rPr>
              <w:t>Flor M. Colón</w:t>
            </w:r>
          </w:p>
        </w:tc>
        <w:tc>
          <w:tcPr>
            <w:tcW w:w="260" w:type="dxa"/>
            <w:vAlign w:val="bottom"/>
            <w:gridSpan w:val="2"/>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80" w:type="dxa"/>
            <w:vAlign w:val="bottom"/>
            <w:gridSpan w:val="2"/>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260" w:type="dxa"/>
            <w:vAlign w:val="bottom"/>
            <w:tcBorders>
              <w:right w:val="single" w:sz="8" w:color="B6B6B6"/>
            </w:tcBorders>
            <w:gridSpan w:val="2"/>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line="129" w:lineRule="exact"/>
              <w:rPr>
                <w:sz w:val="20"/>
                <w:szCs w:val="20"/>
                <w:color w:val="auto"/>
              </w:rPr>
            </w:pPr>
            <w:r>
              <w:rPr>
                <w:rFonts w:ascii="Arial" w:cs="Arial" w:eastAsia="Arial" w:hAnsi="Arial"/>
                <w:sz w:val="13"/>
                <w:szCs w:val="13"/>
                <w:color w:val="auto"/>
                <w:highlight w:val="lightGray"/>
                <w:w w:val="89"/>
              </w:rPr>
              <w:t>2025</w:t>
            </w:r>
          </w:p>
        </w:tc>
        <w:tc>
          <w:tcPr>
            <w:tcW w:w="240" w:type="dxa"/>
            <w:vAlign w:val="bottom"/>
            <w:tcBorders>
              <w:right w:val="single" w:sz="8" w:color="B6B6B6"/>
            </w:tcBorders>
            <w:shd w:val="clear" w:color="auto" w:fill="DBDBDB"/>
          </w:tcPr>
          <w:p>
            <w:pPr>
              <w:spacing w:after="0"/>
              <w:rPr>
                <w:sz w:val="11"/>
                <w:szCs w:val="11"/>
                <w:color w:val="auto"/>
              </w:rPr>
            </w:pPr>
          </w:p>
        </w:tc>
        <w:tc>
          <w:tcPr>
            <w:tcW w:w="1020" w:type="dxa"/>
            <w:vAlign w:val="bottom"/>
            <w:tcBorders>
              <w:right w:val="single" w:sz="8" w:color="B6B6B6"/>
            </w:tcBorders>
            <w:shd w:val="clear" w:color="auto" w:fill="DBDBDB"/>
          </w:tcPr>
          <w:p>
            <w:pPr>
              <w:jc w:val="right"/>
              <w:ind w:right="16"/>
              <w:spacing w:after="0" w:line="129" w:lineRule="exact"/>
              <w:rPr>
                <w:sz w:val="20"/>
                <w:szCs w:val="20"/>
                <w:color w:val="auto"/>
              </w:rPr>
            </w:pPr>
            <w:r>
              <w:rPr>
                <w:rFonts w:ascii="Arial" w:cs="Arial" w:eastAsia="Arial" w:hAnsi="Arial"/>
                <w:sz w:val="13"/>
                <w:szCs w:val="13"/>
                <w:color w:val="auto"/>
                <w:highlight w:val="lightGray"/>
              </w:rPr>
              <w:t>505,000</w:t>
            </w:r>
          </w:p>
        </w:tc>
        <w:tc>
          <w:tcPr>
            <w:tcW w:w="620" w:type="dxa"/>
            <w:vAlign w:val="bottom"/>
            <w:shd w:val="clear" w:color="auto" w:fill="DBDBDB"/>
          </w:tcPr>
          <w:p>
            <w:pPr>
              <w:spacing w:after="0"/>
              <w:rPr>
                <w:sz w:val="11"/>
                <w:szCs w:val="11"/>
                <w:color w:val="auto"/>
              </w:rPr>
            </w:pPr>
          </w:p>
        </w:tc>
        <w:tc>
          <w:tcPr>
            <w:tcW w:w="200" w:type="dxa"/>
            <w:vAlign w:val="bottom"/>
            <w:tcBorders>
              <w:right w:val="single" w:sz="8" w:color="B6B6B6"/>
            </w:tcBorders>
            <w:shd w:val="clear" w:color="auto" w:fill="DBDBDB"/>
          </w:tcPr>
          <w:p>
            <w:pPr>
              <w:spacing w:after="0" w:line="129" w:lineRule="exact"/>
              <w:rPr>
                <w:sz w:val="20"/>
                <w:szCs w:val="20"/>
                <w:color w:val="auto"/>
              </w:rPr>
            </w:pPr>
            <w:r>
              <w:rPr>
                <w:rFonts w:ascii="Arial" w:cs="Arial" w:eastAsia="Arial" w:hAnsi="Arial"/>
                <w:sz w:val="13"/>
                <w:szCs w:val="13"/>
                <w:color w:val="auto"/>
                <w:highlight w:val="lightGray"/>
              </w:rPr>
              <w:t>—</w:t>
            </w:r>
          </w:p>
        </w:tc>
        <w:tc>
          <w:tcPr>
            <w:tcW w:w="1120" w:type="dxa"/>
            <w:vAlign w:val="bottom"/>
            <w:tcBorders>
              <w:right w:val="single" w:sz="8" w:color="B6B6B6"/>
            </w:tcBorders>
            <w:shd w:val="clear" w:color="auto" w:fill="DBDBDB"/>
          </w:tcPr>
          <w:p>
            <w:pPr>
              <w:jc w:val="right"/>
              <w:ind w:right="16"/>
              <w:spacing w:after="0" w:line="129" w:lineRule="exact"/>
              <w:rPr>
                <w:sz w:val="20"/>
                <w:szCs w:val="20"/>
                <w:color w:val="auto"/>
              </w:rPr>
            </w:pPr>
            <w:r>
              <w:rPr>
                <w:rFonts w:ascii="Arial" w:cs="Arial" w:eastAsia="Arial" w:hAnsi="Arial"/>
                <w:sz w:val="13"/>
                <w:szCs w:val="13"/>
                <w:color w:val="auto"/>
                <w:highlight w:val="lightGray"/>
              </w:rPr>
              <w:t>1,000,001</w:t>
            </w:r>
          </w:p>
        </w:tc>
        <w:tc>
          <w:tcPr>
            <w:tcW w:w="1420" w:type="dxa"/>
            <w:vAlign w:val="bottom"/>
            <w:tcBorders>
              <w:right w:val="single" w:sz="8" w:color="B6B6B6"/>
            </w:tcBorders>
            <w:shd w:val="clear" w:color="auto" w:fill="DBDBDB"/>
          </w:tcPr>
          <w:p>
            <w:pPr>
              <w:jc w:val="right"/>
              <w:ind w:right="15"/>
              <w:spacing w:after="0" w:line="129" w:lineRule="exact"/>
              <w:rPr>
                <w:sz w:val="20"/>
                <w:szCs w:val="20"/>
                <w:color w:val="auto"/>
              </w:rPr>
            </w:pPr>
            <w:r>
              <w:rPr>
                <w:rFonts w:ascii="Arial" w:cs="Arial" w:eastAsia="Arial" w:hAnsi="Arial"/>
                <w:sz w:val="13"/>
                <w:szCs w:val="13"/>
                <w:color w:val="auto"/>
                <w:highlight w:val="lightGray"/>
              </w:rPr>
              <w:t>—</w:t>
            </w:r>
          </w:p>
        </w:tc>
        <w:tc>
          <w:tcPr>
            <w:tcW w:w="940" w:type="dxa"/>
            <w:vAlign w:val="bottom"/>
            <w:shd w:val="clear" w:color="auto" w:fill="DBDBDB"/>
          </w:tcPr>
          <w:p>
            <w:pPr>
              <w:spacing w:after="0"/>
              <w:rPr>
                <w:sz w:val="11"/>
                <w:szCs w:val="11"/>
                <w:color w:val="auto"/>
              </w:rPr>
            </w:pPr>
          </w:p>
        </w:tc>
        <w:tc>
          <w:tcPr>
            <w:tcW w:w="200" w:type="dxa"/>
            <w:vAlign w:val="bottom"/>
            <w:tcBorders>
              <w:right w:val="single" w:sz="8" w:color="B6B6B6"/>
            </w:tcBorders>
            <w:shd w:val="clear" w:color="auto" w:fill="DBDBDB"/>
          </w:tcPr>
          <w:p>
            <w:pPr>
              <w:jc w:val="right"/>
              <w:ind w:right="17"/>
              <w:spacing w:after="0" w:line="129" w:lineRule="exact"/>
              <w:rPr>
                <w:sz w:val="20"/>
                <w:szCs w:val="20"/>
                <w:color w:val="auto"/>
              </w:rPr>
            </w:pPr>
            <w:r>
              <w:rPr>
                <w:rFonts w:ascii="Arial" w:cs="Arial" w:eastAsia="Arial" w:hAnsi="Arial"/>
                <w:sz w:val="13"/>
                <w:szCs w:val="13"/>
                <w:color w:val="auto"/>
                <w:highlight w:val="lightGray"/>
                <w:w w:val="76"/>
              </w:rPr>
              <w:t>—</w:t>
            </w:r>
          </w:p>
        </w:tc>
        <w:tc>
          <w:tcPr>
            <w:tcW w:w="1420" w:type="dxa"/>
            <w:vAlign w:val="bottom"/>
            <w:tcBorders>
              <w:right w:val="single" w:sz="8" w:color="B6B6B6"/>
            </w:tcBorders>
            <w:shd w:val="clear" w:color="auto" w:fill="DBDBDB"/>
          </w:tcPr>
          <w:p>
            <w:pPr>
              <w:jc w:val="right"/>
              <w:ind w:right="16"/>
              <w:spacing w:after="0" w:line="129" w:lineRule="exact"/>
              <w:rPr>
                <w:sz w:val="20"/>
                <w:szCs w:val="20"/>
                <w:color w:val="auto"/>
              </w:rPr>
            </w:pPr>
            <w:r>
              <w:rPr>
                <w:rFonts w:ascii="Arial" w:cs="Arial" w:eastAsia="Arial" w:hAnsi="Arial"/>
                <w:sz w:val="13"/>
                <w:szCs w:val="13"/>
                <w:color w:val="auto"/>
              </w:rPr>
              <w:t>17,168</w:t>
            </w:r>
          </w:p>
        </w:tc>
        <w:tc>
          <w:tcPr>
            <w:tcW w:w="1080" w:type="dxa"/>
            <w:vAlign w:val="bottom"/>
            <w:tcBorders>
              <w:right w:val="single" w:sz="8" w:color="DBDBDB"/>
            </w:tcBorders>
            <w:shd w:val="clear" w:color="auto" w:fill="DBDBDB"/>
          </w:tcPr>
          <w:p>
            <w:pPr>
              <w:jc w:val="right"/>
              <w:spacing w:after="0" w:line="129" w:lineRule="exact"/>
              <w:rPr>
                <w:sz w:val="20"/>
                <w:szCs w:val="20"/>
                <w:color w:val="auto"/>
              </w:rPr>
            </w:pPr>
            <w:r>
              <w:rPr>
                <w:rFonts w:ascii="Arial" w:cs="Arial" w:eastAsia="Arial" w:hAnsi="Arial"/>
                <w:sz w:val="13"/>
                <w:szCs w:val="13"/>
                <w:color w:val="auto"/>
              </w:rPr>
              <w:t>1,522,169</w:t>
            </w:r>
          </w:p>
        </w:tc>
        <w:tc>
          <w:tcPr>
            <w:tcW w:w="20" w:type="dxa"/>
            <w:vAlign w:val="bottom"/>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460" w:type="dxa"/>
            <w:vAlign w:val="bottom"/>
            <w:tcBorders>
              <w:left w:val="single" w:sz="8" w:color="B6B6B6"/>
            </w:tcBorders>
            <w:gridSpan w:val="8"/>
            <w:shd w:val="clear" w:color="auto" w:fill="DBDBDB"/>
          </w:tcPr>
          <w:p>
            <w:pPr>
              <w:ind w:left="40"/>
              <w:spacing w:after="0" w:line="117" w:lineRule="exact"/>
              <w:rPr>
                <w:sz w:val="20"/>
                <w:szCs w:val="20"/>
                <w:color w:val="auto"/>
              </w:rPr>
            </w:pPr>
            <w:r>
              <w:rPr>
                <w:rFonts w:ascii="Arial" w:cs="Arial" w:eastAsia="Arial" w:hAnsi="Arial"/>
                <w:sz w:val="13"/>
                <w:szCs w:val="13"/>
                <w:color w:val="auto"/>
                <w:highlight w:val="lightGray"/>
                <w:w w:val="94"/>
              </w:rPr>
              <w:t>Executive Vice President,</w:t>
            </w:r>
          </w:p>
        </w:tc>
        <w:tc>
          <w:tcPr>
            <w:tcW w:w="180" w:type="dxa"/>
            <w:vAlign w:val="bottom"/>
            <w:tcBorders>
              <w:right w:val="single" w:sz="8" w:color="B6B6B6"/>
            </w:tcBorders>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240" w:type="dxa"/>
            <w:vAlign w:val="bottom"/>
            <w:tcBorders>
              <w:right w:val="single" w:sz="8" w:color="B6B6B6"/>
            </w:tcBorders>
            <w:shd w:val="clear" w:color="auto" w:fill="DBDBDB"/>
          </w:tcPr>
          <w:p>
            <w:pPr>
              <w:spacing w:after="0"/>
              <w:rPr>
                <w:sz w:val="10"/>
                <w:szCs w:val="10"/>
                <w:color w:val="auto"/>
              </w:rPr>
            </w:pPr>
          </w:p>
        </w:tc>
        <w:tc>
          <w:tcPr>
            <w:tcW w:w="1020" w:type="dxa"/>
            <w:vAlign w:val="bottom"/>
            <w:tcBorders>
              <w:right w:val="single" w:sz="8" w:color="B6B6B6"/>
            </w:tcBorders>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200" w:type="dxa"/>
            <w:vAlign w:val="bottom"/>
            <w:tcBorders>
              <w:right w:val="single" w:sz="8" w:color="B6B6B6"/>
            </w:tcBorders>
            <w:shd w:val="clear" w:color="auto" w:fill="DBDBDB"/>
          </w:tcPr>
          <w:p>
            <w:pPr>
              <w:spacing w:after="0"/>
              <w:rPr>
                <w:sz w:val="10"/>
                <w:szCs w:val="10"/>
                <w:color w:val="auto"/>
              </w:rPr>
            </w:pPr>
          </w:p>
        </w:tc>
        <w:tc>
          <w:tcPr>
            <w:tcW w:w="1120" w:type="dxa"/>
            <w:vAlign w:val="bottom"/>
            <w:tcBorders>
              <w:right w:val="single" w:sz="8" w:color="B6B6B6"/>
            </w:tcBorders>
            <w:shd w:val="clear" w:color="auto" w:fill="DBDBDB"/>
          </w:tcPr>
          <w:p>
            <w:pPr>
              <w:spacing w:after="0"/>
              <w:rPr>
                <w:sz w:val="10"/>
                <w:szCs w:val="10"/>
                <w:color w:val="auto"/>
              </w:rPr>
            </w:pPr>
          </w:p>
        </w:tc>
        <w:tc>
          <w:tcPr>
            <w:tcW w:w="1420" w:type="dxa"/>
            <w:vAlign w:val="bottom"/>
            <w:tcBorders>
              <w:right w:val="single" w:sz="8" w:color="B6B6B6"/>
            </w:tcBorders>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200" w:type="dxa"/>
            <w:vAlign w:val="bottom"/>
            <w:tcBorders>
              <w:right w:val="single" w:sz="8" w:color="B6B6B6"/>
            </w:tcBorders>
            <w:shd w:val="clear" w:color="auto" w:fill="DBDBDB"/>
          </w:tcPr>
          <w:p>
            <w:pPr>
              <w:spacing w:after="0"/>
              <w:rPr>
                <w:sz w:val="10"/>
                <w:szCs w:val="10"/>
                <w:color w:val="auto"/>
              </w:rPr>
            </w:pPr>
          </w:p>
        </w:tc>
        <w:tc>
          <w:tcPr>
            <w:tcW w:w="1420" w:type="dxa"/>
            <w:vAlign w:val="bottom"/>
            <w:tcBorders>
              <w:right w:val="single" w:sz="8" w:color="B6B6B6"/>
            </w:tcBorders>
            <w:shd w:val="clear" w:color="auto" w:fill="DBDBDB"/>
          </w:tcPr>
          <w:p>
            <w:pPr>
              <w:spacing w:after="0"/>
              <w:rPr>
                <w:sz w:val="10"/>
                <w:szCs w:val="10"/>
                <w:color w:val="auto"/>
              </w:rPr>
            </w:pPr>
          </w:p>
        </w:tc>
        <w:tc>
          <w:tcPr>
            <w:tcW w:w="1080" w:type="dxa"/>
            <w:vAlign w:val="bottom"/>
            <w:tcBorders>
              <w:right w:val="single" w:sz="8" w:color="DBDBDB"/>
            </w:tcBorders>
            <w:shd w:val="clear" w:color="auto" w:fill="DBDBDB"/>
          </w:tcPr>
          <w:p>
            <w:pPr>
              <w:spacing w:after="0"/>
              <w:rPr>
                <w:sz w:val="10"/>
                <w:szCs w:val="10"/>
                <w:color w:val="auto"/>
              </w:rPr>
            </w:pP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340" w:type="dxa"/>
            <w:vAlign w:val="bottom"/>
            <w:tcBorders>
              <w:left w:val="single" w:sz="8" w:color="B6B6B6"/>
            </w:tcBorders>
            <w:gridSpan w:val="6"/>
            <w:shd w:val="clear" w:color="auto" w:fill="DBDBDB"/>
          </w:tcPr>
          <w:p>
            <w:pPr>
              <w:ind w:left="40"/>
              <w:spacing w:after="0" w:line="126" w:lineRule="exact"/>
              <w:rPr>
                <w:sz w:val="20"/>
                <w:szCs w:val="20"/>
                <w:color w:val="auto"/>
              </w:rPr>
            </w:pPr>
            <w:r>
              <w:rPr>
                <w:rFonts w:ascii="Arial" w:cs="Arial" w:eastAsia="Arial" w:hAnsi="Arial"/>
                <w:sz w:val="13"/>
                <w:szCs w:val="13"/>
                <w:color w:val="auto"/>
                <w:highlight w:val="lightGray"/>
                <w:w w:val="96"/>
              </w:rPr>
              <w:t>Chief Legal Officer and</w:t>
            </w:r>
          </w:p>
        </w:tc>
        <w:tc>
          <w:tcPr>
            <w:tcW w:w="4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80" w:type="dxa"/>
            <w:vAlign w:val="bottom"/>
            <w:tcBorders>
              <w:right w:val="single" w:sz="8" w:color="B6B6B6"/>
            </w:tcBorders>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280" w:type="dxa"/>
            <w:vAlign w:val="bottom"/>
            <w:shd w:val="clear" w:color="auto" w:fill="DBDBDB"/>
          </w:tcPr>
          <w:p>
            <w:pPr>
              <w:spacing w:after="0"/>
              <w:rPr>
                <w:sz w:val="10"/>
                <w:szCs w:val="10"/>
                <w:color w:val="auto"/>
              </w:rPr>
            </w:pPr>
          </w:p>
        </w:tc>
        <w:tc>
          <w:tcPr>
            <w:tcW w:w="240" w:type="dxa"/>
            <w:vAlign w:val="bottom"/>
            <w:tcBorders>
              <w:right w:val="single" w:sz="8" w:color="B6B6B6"/>
            </w:tcBorders>
            <w:shd w:val="clear" w:color="auto" w:fill="DBDBDB"/>
          </w:tcPr>
          <w:p>
            <w:pPr>
              <w:spacing w:after="0"/>
              <w:rPr>
                <w:sz w:val="10"/>
                <w:szCs w:val="10"/>
                <w:color w:val="auto"/>
              </w:rPr>
            </w:pPr>
          </w:p>
        </w:tc>
        <w:tc>
          <w:tcPr>
            <w:tcW w:w="1020" w:type="dxa"/>
            <w:vAlign w:val="bottom"/>
            <w:tcBorders>
              <w:right w:val="single" w:sz="8" w:color="B6B6B6"/>
            </w:tcBorders>
            <w:shd w:val="clear" w:color="auto" w:fill="DBDBDB"/>
          </w:tcPr>
          <w:p>
            <w:pPr>
              <w:spacing w:after="0"/>
              <w:rPr>
                <w:sz w:val="10"/>
                <w:szCs w:val="10"/>
                <w:color w:val="auto"/>
              </w:rPr>
            </w:pPr>
          </w:p>
        </w:tc>
        <w:tc>
          <w:tcPr>
            <w:tcW w:w="620" w:type="dxa"/>
            <w:vAlign w:val="bottom"/>
            <w:shd w:val="clear" w:color="auto" w:fill="DBDBDB"/>
          </w:tcPr>
          <w:p>
            <w:pPr>
              <w:spacing w:after="0"/>
              <w:rPr>
                <w:sz w:val="10"/>
                <w:szCs w:val="10"/>
                <w:color w:val="auto"/>
              </w:rPr>
            </w:pPr>
          </w:p>
        </w:tc>
        <w:tc>
          <w:tcPr>
            <w:tcW w:w="200" w:type="dxa"/>
            <w:vAlign w:val="bottom"/>
            <w:tcBorders>
              <w:right w:val="single" w:sz="8" w:color="B6B6B6"/>
            </w:tcBorders>
            <w:shd w:val="clear" w:color="auto" w:fill="DBDBDB"/>
          </w:tcPr>
          <w:p>
            <w:pPr>
              <w:spacing w:after="0"/>
              <w:rPr>
                <w:sz w:val="10"/>
                <w:szCs w:val="10"/>
                <w:color w:val="auto"/>
              </w:rPr>
            </w:pPr>
          </w:p>
        </w:tc>
        <w:tc>
          <w:tcPr>
            <w:tcW w:w="1120" w:type="dxa"/>
            <w:vAlign w:val="bottom"/>
            <w:tcBorders>
              <w:right w:val="single" w:sz="8" w:color="B6B6B6"/>
            </w:tcBorders>
            <w:shd w:val="clear" w:color="auto" w:fill="DBDBDB"/>
          </w:tcPr>
          <w:p>
            <w:pPr>
              <w:spacing w:after="0"/>
              <w:rPr>
                <w:sz w:val="10"/>
                <w:szCs w:val="10"/>
                <w:color w:val="auto"/>
              </w:rPr>
            </w:pPr>
          </w:p>
        </w:tc>
        <w:tc>
          <w:tcPr>
            <w:tcW w:w="1420" w:type="dxa"/>
            <w:vAlign w:val="bottom"/>
            <w:tcBorders>
              <w:right w:val="single" w:sz="8" w:color="B6B6B6"/>
            </w:tcBorders>
            <w:shd w:val="clear" w:color="auto" w:fill="DBDBDB"/>
          </w:tcPr>
          <w:p>
            <w:pPr>
              <w:spacing w:after="0"/>
              <w:rPr>
                <w:sz w:val="10"/>
                <w:szCs w:val="10"/>
                <w:color w:val="auto"/>
              </w:rPr>
            </w:pPr>
          </w:p>
        </w:tc>
        <w:tc>
          <w:tcPr>
            <w:tcW w:w="940" w:type="dxa"/>
            <w:vAlign w:val="bottom"/>
            <w:shd w:val="clear" w:color="auto" w:fill="DBDBDB"/>
          </w:tcPr>
          <w:p>
            <w:pPr>
              <w:spacing w:after="0"/>
              <w:rPr>
                <w:sz w:val="10"/>
                <w:szCs w:val="10"/>
                <w:color w:val="auto"/>
              </w:rPr>
            </w:pPr>
          </w:p>
        </w:tc>
        <w:tc>
          <w:tcPr>
            <w:tcW w:w="200" w:type="dxa"/>
            <w:vAlign w:val="bottom"/>
            <w:tcBorders>
              <w:right w:val="single" w:sz="8" w:color="B6B6B6"/>
            </w:tcBorders>
            <w:shd w:val="clear" w:color="auto" w:fill="DBDBDB"/>
          </w:tcPr>
          <w:p>
            <w:pPr>
              <w:spacing w:after="0"/>
              <w:rPr>
                <w:sz w:val="10"/>
                <w:szCs w:val="10"/>
                <w:color w:val="auto"/>
              </w:rPr>
            </w:pPr>
          </w:p>
        </w:tc>
        <w:tc>
          <w:tcPr>
            <w:tcW w:w="1420" w:type="dxa"/>
            <w:vAlign w:val="bottom"/>
            <w:tcBorders>
              <w:right w:val="single" w:sz="8" w:color="B6B6B6"/>
            </w:tcBorders>
            <w:shd w:val="clear" w:color="auto" w:fill="DBDBDB"/>
          </w:tcPr>
          <w:p>
            <w:pPr>
              <w:spacing w:after="0"/>
              <w:rPr>
                <w:sz w:val="10"/>
                <w:szCs w:val="10"/>
                <w:color w:val="auto"/>
              </w:rPr>
            </w:pPr>
          </w:p>
        </w:tc>
        <w:tc>
          <w:tcPr>
            <w:tcW w:w="1080" w:type="dxa"/>
            <w:vAlign w:val="bottom"/>
            <w:tcBorders>
              <w:right w:val="single" w:sz="8" w:color="DBDBDB"/>
            </w:tcBorders>
            <w:shd w:val="clear" w:color="auto" w:fill="DBDBDB"/>
          </w:tcPr>
          <w:p>
            <w:pPr>
              <w:spacing w:after="0"/>
              <w:rPr>
                <w:sz w:val="10"/>
                <w:szCs w:val="10"/>
                <w:color w:val="auto"/>
              </w:rPr>
            </w:pP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B6B6B6"/>
            </w:tcBorders>
            <w:gridSpan w:val="4"/>
            <w:vMerge w:val="restart"/>
            <w:shd w:val="clear" w:color="auto" w:fill="DBDBDB"/>
          </w:tcPr>
          <w:p>
            <w:pPr>
              <w:ind w:left="40"/>
              <w:spacing w:after="0"/>
              <w:rPr>
                <w:sz w:val="20"/>
                <w:szCs w:val="20"/>
                <w:color w:val="auto"/>
              </w:rPr>
            </w:pPr>
            <w:r>
              <w:rPr>
                <w:rFonts w:ascii="Arial" w:cs="Arial" w:eastAsia="Arial" w:hAnsi="Arial"/>
                <w:sz w:val="13"/>
                <w:szCs w:val="13"/>
                <w:color w:val="auto"/>
                <w:highlight w:val="lightGray"/>
                <w:w w:val="93"/>
              </w:rPr>
              <w:t>Corporate Secretary</w:t>
            </w:r>
          </w:p>
        </w:tc>
        <w:tc>
          <w:tcPr>
            <w:tcW w:w="120" w:type="dxa"/>
            <w:vAlign w:val="bottom"/>
            <w:shd w:val="clear" w:color="auto" w:fill="DBDBDB"/>
          </w:tcPr>
          <w:p>
            <w:pPr>
              <w:jc w:val="right"/>
              <w:spacing w:after="0"/>
              <w:rPr>
                <w:sz w:val="20"/>
                <w:szCs w:val="20"/>
                <w:color w:val="auto"/>
              </w:rPr>
            </w:pPr>
            <w:r>
              <w:rPr>
                <w:rFonts w:ascii="Arial" w:cs="Arial" w:eastAsia="Arial" w:hAnsi="Arial"/>
                <w:sz w:val="8"/>
                <w:szCs w:val="8"/>
                <w:color w:val="auto"/>
                <w:highlight w:val="lightGray"/>
              </w:rPr>
              <w:t>(4)</w:t>
            </w:r>
          </w:p>
        </w:tc>
        <w:tc>
          <w:tcPr>
            <w:tcW w:w="60" w:type="dxa"/>
            <w:vAlign w:val="bottom"/>
            <w:vMerge w:val="restart"/>
            <w:shd w:val="clear" w:color="auto" w:fill="DBDBDB"/>
          </w:tcPr>
          <w:p>
            <w:pPr>
              <w:spacing w:after="0"/>
              <w:rPr>
                <w:sz w:val="9"/>
                <w:szCs w:val="9"/>
                <w:color w:val="auto"/>
              </w:rPr>
            </w:pPr>
          </w:p>
        </w:tc>
        <w:tc>
          <w:tcPr>
            <w:tcW w:w="40" w:type="dxa"/>
            <w:vAlign w:val="bottom"/>
            <w:shd w:val="clear" w:color="auto" w:fill="DBDBDB"/>
          </w:tcPr>
          <w:p>
            <w:pPr>
              <w:spacing w:after="0"/>
              <w:rPr>
                <w:sz w:val="9"/>
                <w:szCs w:val="9"/>
                <w:color w:val="auto"/>
              </w:rPr>
            </w:pPr>
          </w:p>
        </w:tc>
        <w:tc>
          <w:tcPr>
            <w:tcW w:w="260" w:type="dxa"/>
            <w:vAlign w:val="bottom"/>
            <w:tcBorders>
              <w:right w:val="single" w:sz="8" w:color="B6B6B6"/>
            </w:tcBorders>
            <w:gridSpan w:val="2"/>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240" w:type="dxa"/>
            <w:vAlign w:val="bottom"/>
            <w:tcBorders>
              <w:right w:val="single" w:sz="8" w:color="B6B6B6"/>
            </w:tcBorders>
            <w:shd w:val="clear" w:color="auto" w:fill="DBDBDB"/>
          </w:tcPr>
          <w:p>
            <w:pPr>
              <w:spacing w:after="0"/>
              <w:rPr>
                <w:sz w:val="9"/>
                <w:szCs w:val="9"/>
                <w:color w:val="auto"/>
              </w:rPr>
            </w:pPr>
          </w:p>
        </w:tc>
        <w:tc>
          <w:tcPr>
            <w:tcW w:w="1020" w:type="dxa"/>
            <w:vAlign w:val="bottom"/>
            <w:tcBorders>
              <w:right w:val="single" w:sz="8" w:color="B6B6B6"/>
            </w:tcBorders>
            <w:shd w:val="clear" w:color="auto" w:fill="DBDBDB"/>
          </w:tcPr>
          <w:p>
            <w:pPr>
              <w:spacing w:after="0"/>
              <w:rPr>
                <w:sz w:val="9"/>
                <w:szCs w:val="9"/>
                <w:color w:val="auto"/>
              </w:rPr>
            </w:pPr>
          </w:p>
        </w:tc>
        <w:tc>
          <w:tcPr>
            <w:tcW w:w="620" w:type="dxa"/>
            <w:vAlign w:val="bottom"/>
            <w:shd w:val="clear" w:color="auto" w:fill="DBDBDB"/>
          </w:tcPr>
          <w:p>
            <w:pPr>
              <w:spacing w:after="0"/>
              <w:rPr>
                <w:sz w:val="9"/>
                <w:szCs w:val="9"/>
                <w:color w:val="auto"/>
              </w:rPr>
            </w:pPr>
          </w:p>
        </w:tc>
        <w:tc>
          <w:tcPr>
            <w:tcW w:w="200" w:type="dxa"/>
            <w:vAlign w:val="bottom"/>
            <w:tcBorders>
              <w:right w:val="single" w:sz="8" w:color="B6B6B6"/>
            </w:tcBorders>
            <w:shd w:val="clear" w:color="auto" w:fill="DBDBDB"/>
          </w:tcPr>
          <w:p>
            <w:pPr>
              <w:spacing w:after="0"/>
              <w:rPr>
                <w:sz w:val="9"/>
                <w:szCs w:val="9"/>
                <w:color w:val="auto"/>
              </w:rPr>
            </w:pPr>
          </w:p>
        </w:tc>
        <w:tc>
          <w:tcPr>
            <w:tcW w:w="1120" w:type="dxa"/>
            <w:vAlign w:val="bottom"/>
            <w:tcBorders>
              <w:right w:val="single" w:sz="8" w:color="B6B6B6"/>
            </w:tcBorders>
            <w:shd w:val="clear" w:color="auto" w:fill="DBDBDB"/>
          </w:tcPr>
          <w:p>
            <w:pPr>
              <w:spacing w:after="0"/>
              <w:rPr>
                <w:sz w:val="9"/>
                <w:szCs w:val="9"/>
                <w:color w:val="auto"/>
              </w:rPr>
            </w:pPr>
          </w:p>
        </w:tc>
        <w:tc>
          <w:tcPr>
            <w:tcW w:w="1420" w:type="dxa"/>
            <w:vAlign w:val="bottom"/>
            <w:tcBorders>
              <w:right w:val="single" w:sz="8" w:color="B6B6B6"/>
            </w:tcBorders>
            <w:shd w:val="clear" w:color="auto" w:fill="DBDBDB"/>
          </w:tcPr>
          <w:p>
            <w:pPr>
              <w:spacing w:after="0"/>
              <w:rPr>
                <w:sz w:val="9"/>
                <w:szCs w:val="9"/>
                <w:color w:val="auto"/>
              </w:rPr>
            </w:pPr>
          </w:p>
        </w:tc>
        <w:tc>
          <w:tcPr>
            <w:tcW w:w="940" w:type="dxa"/>
            <w:vAlign w:val="bottom"/>
            <w:shd w:val="clear" w:color="auto" w:fill="DBDBDB"/>
          </w:tcPr>
          <w:p>
            <w:pPr>
              <w:spacing w:after="0"/>
              <w:rPr>
                <w:sz w:val="9"/>
                <w:szCs w:val="9"/>
                <w:color w:val="auto"/>
              </w:rPr>
            </w:pPr>
          </w:p>
        </w:tc>
        <w:tc>
          <w:tcPr>
            <w:tcW w:w="200" w:type="dxa"/>
            <w:vAlign w:val="bottom"/>
            <w:tcBorders>
              <w:right w:val="single" w:sz="8" w:color="B6B6B6"/>
            </w:tcBorders>
            <w:shd w:val="clear" w:color="auto" w:fill="DBDBDB"/>
          </w:tcPr>
          <w:p>
            <w:pPr>
              <w:spacing w:after="0"/>
              <w:rPr>
                <w:sz w:val="9"/>
                <w:szCs w:val="9"/>
                <w:color w:val="auto"/>
              </w:rPr>
            </w:pPr>
          </w:p>
        </w:tc>
        <w:tc>
          <w:tcPr>
            <w:tcW w:w="1420" w:type="dxa"/>
            <w:vAlign w:val="bottom"/>
            <w:tcBorders>
              <w:right w:val="single" w:sz="8" w:color="B6B6B6"/>
            </w:tcBorders>
            <w:shd w:val="clear" w:color="auto" w:fill="DBDBDB"/>
          </w:tcPr>
          <w:p>
            <w:pPr>
              <w:spacing w:after="0"/>
              <w:rPr>
                <w:sz w:val="9"/>
                <w:szCs w:val="9"/>
                <w:color w:val="auto"/>
              </w:rPr>
            </w:pPr>
          </w:p>
        </w:tc>
        <w:tc>
          <w:tcPr>
            <w:tcW w:w="1080" w:type="dxa"/>
            <w:vAlign w:val="bottom"/>
            <w:tcBorders>
              <w:right w:val="single" w:sz="8" w:color="DBDBDB"/>
            </w:tcBorders>
            <w:shd w:val="clear" w:color="auto" w:fill="DBDBDB"/>
          </w:tcPr>
          <w:p>
            <w:pPr>
              <w:spacing w:after="0"/>
              <w:rPr>
                <w:sz w:val="9"/>
                <w:szCs w:val="9"/>
                <w:color w:val="auto"/>
              </w:rPr>
            </w:pPr>
          </w:p>
        </w:tc>
        <w:tc>
          <w:tcPr>
            <w:tcW w:w="20" w:type="dxa"/>
            <w:vAlign w:val="bottom"/>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160" w:type="dxa"/>
            <w:vAlign w:val="bottom"/>
            <w:tcBorders>
              <w:left w:val="single" w:sz="8" w:color="B6B6B6"/>
              <w:bottom w:val="single" w:sz="8" w:color="DBDBDB"/>
            </w:tcBorders>
            <w:gridSpan w:val="4"/>
            <w:vMerge w:val="continue"/>
            <w:shd w:val="clear" w:color="auto" w:fill="DBDBDB"/>
          </w:tcPr>
          <w:p>
            <w:pPr>
              <w:spacing w:after="0"/>
              <w:rPr>
                <w:sz w:val="5"/>
                <w:szCs w:val="5"/>
                <w:color w:val="auto"/>
              </w:rPr>
            </w:pPr>
          </w:p>
        </w:tc>
        <w:tc>
          <w:tcPr>
            <w:tcW w:w="120" w:type="dxa"/>
            <w:vAlign w:val="bottom"/>
            <w:tcBorders>
              <w:bottom w:val="single" w:sz="8" w:color="DBDBDB"/>
            </w:tcBorders>
            <w:shd w:val="clear" w:color="auto" w:fill="DBDBDB"/>
          </w:tcPr>
          <w:p>
            <w:pPr>
              <w:spacing w:after="0"/>
              <w:rPr>
                <w:sz w:val="5"/>
                <w:szCs w:val="5"/>
                <w:color w:val="auto"/>
              </w:rPr>
            </w:pPr>
          </w:p>
        </w:tc>
        <w:tc>
          <w:tcPr>
            <w:tcW w:w="60" w:type="dxa"/>
            <w:vAlign w:val="bottom"/>
            <w:tcBorders>
              <w:bottom w:val="single" w:sz="8" w:color="DBDBDB"/>
            </w:tcBorders>
            <w:vMerge w:val="continue"/>
            <w:shd w:val="clear" w:color="auto" w:fill="DBDBDB"/>
          </w:tcPr>
          <w:p>
            <w:pPr>
              <w:spacing w:after="0"/>
              <w:rPr>
                <w:sz w:val="5"/>
                <w:szCs w:val="5"/>
                <w:color w:val="auto"/>
              </w:rPr>
            </w:pPr>
          </w:p>
        </w:tc>
        <w:tc>
          <w:tcPr>
            <w:tcW w:w="40" w:type="dxa"/>
            <w:vAlign w:val="bottom"/>
            <w:tcBorders>
              <w:bottom w:val="single" w:sz="8" w:color="DBDBDB"/>
            </w:tcBorders>
            <w:shd w:val="clear" w:color="auto" w:fill="DBDBDB"/>
          </w:tcPr>
          <w:p>
            <w:pPr>
              <w:spacing w:after="0"/>
              <w:rPr>
                <w:sz w:val="5"/>
                <w:szCs w:val="5"/>
                <w:color w:val="auto"/>
              </w:rPr>
            </w:pPr>
          </w:p>
        </w:tc>
        <w:tc>
          <w:tcPr>
            <w:tcW w:w="80" w:type="dxa"/>
            <w:vAlign w:val="bottom"/>
            <w:tcBorders>
              <w:bottom w:val="single" w:sz="8" w:color="DBDBDB"/>
            </w:tcBorders>
            <w:shd w:val="clear" w:color="auto" w:fill="DBDBDB"/>
          </w:tcPr>
          <w:p>
            <w:pPr>
              <w:spacing w:after="0"/>
              <w:rPr>
                <w:sz w:val="5"/>
                <w:szCs w:val="5"/>
                <w:color w:val="auto"/>
              </w:rPr>
            </w:pPr>
          </w:p>
        </w:tc>
        <w:tc>
          <w:tcPr>
            <w:tcW w:w="180" w:type="dxa"/>
            <w:vAlign w:val="bottom"/>
            <w:tcBorders>
              <w:bottom w:val="single" w:sz="8" w:color="DBDBDB"/>
              <w:right w:val="single" w:sz="8" w:color="B6B6B6"/>
            </w:tcBorders>
            <w:shd w:val="clear" w:color="auto" w:fill="DBDBDB"/>
          </w:tcPr>
          <w:p>
            <w:pPr>
              <w:spacing w:after="0"/>
              <w:rPr>
                <w:sz w:val="5"/>
                <w:szCs w:val="5"/>
                <w:color w:val="auto"/>
              </w:rPr>
            </w:pPr>
          </w:p>
        </w:tc>
        <w:tc>
          <w:tcPr>
            <w:tcW w:w="200" w:type="dxa"/>
            <w:vAlign w:val="bottom"/>
            <w:tcBorders>
              <w:bottom w:val="single" w:sz="8" w:color="DBDBDB"/>
            </w:tcBorders>
            <w:shd w:val="clear" w:color="auto" w:fill="DBDBDB"/>
          </w:tcPr>
          <w:p>
            <w:pPr>
              <w:spacing w:after="0"/>
              <w:rPr>
                <w:sz w:val="5"/>
                <w:szCs w:val="5"/>
                <w:color w:val="auto"/>
              </w:rPr>
            </w:pPr>
          </w:p>
        </w:tc>
        <w:tc>
          <w:tcPr>
            <w:tcW w:w="280" w:type="dxa"/>
            <w:vAlign w:val="bottom"/>
            <w:tcBorders>
              <w:bottom w:val="single" w:sz="8" w:color="DBDBDB"/>
            </w:tcBorders>
            <w:shd w:val="clear" w:color="auto" w:fill="DBDBDB"/>
          </w:tcPr>
          <w:p>
            <w:pPr>
              <w:spacing w:after="0"/>
              <w:rPr>
                <w:sz w:val="5"/>
                <w:szCs w:val="5"/>
                <w:color w:val="auto"/>
              </w:rPr>
            </w:pPr>
          </w:p>
        </w:tc>
        <w:tc>
          <w:tcPr>
            <w:tcW w:w="240" w:type="dxa"/>
            <w:vAlign w:val="bottom"/>
            <w:tcBorders>
              <w:bottom w:val="single" w:sz="8" w:color="DBDBDB"/>
              <w:right w:val="single" w:sz="8" w:color="B6B6B6"/>
            </w:tcBorders>
            <w:shd w:val="clear" w:color="auto" w:fill="DBDBDB"/>
          </w:tcPr>
          <w:p>
            <w:pPr>
              <w:spacing w:after="0"/>
              <w:rPr>
                <w:sz w:val="5"/>
                <w:szCs w:val="5"/>
                <w:color w:val="auto"/>
              </w:rPr>
            </w:pPr>
          </w:p>
        </w:tc>
        <w:tc>
          <w:tcPr>
            <w:tcW w:w="1020" w:type="dxa"/>
            <w:vAlign w:val="bottom"/>
            <w:tcBorders>
              <w:bottom w:val="single" w:sz="8" w:color="DBDBDB"/>
              <w:right w:val="single" w:sz="8" w:color="B6B6B6"/>
            </w:tcBorders>
            <w:shd w:val="clear" w:color="auto" w:fill="DBDBDB"/>
          </w:tcPr>
          <w:p>
            <w:pPr>
              <w:spacing w:after="0"/>
              <w:rPr>
                <w:sz w:val="5"/>
                <w:szCs w:val="5"/>
                <w:color w:val="auto"/>
              </w:rPr>
            </w:pPr>
          </w:p>
        </w:tc>
        <w:tc>
          <w:tcPr>
            <w:tcW w:w="620" w:type="dxa"/>
            <w:vAlign w:val="bottom"/>
            <w:tcBorders>
              <w:bottom w:val="single" w:sz="8" w:color="DBDBDB"/>
            </w:tcBorders>
            <w:shd w:val="clear" w:color="auto" w:fill="DBDBDB"/>
          </w:tcPr>
          <w:p>
            <w:pPr>
              <w:spacing w:after="0"/>
              <w:rPr>
                <w:sz w:val="5"/>
                <w:szCs w:val="5"/>
                <w:color w:val="auto"/>
              </w:rPr>
            </w:pPr>
          </w:p>
        </w:tc>
        <w:tc>
          <w:tcPr>
            <w:tcW w:w="200" w:type="dxa"/>
            <w:vAlign w:val="bottom"/>
            <w:tcBorders>
              <w:bottom w:val="single" w:sz="8" w:color="DBDBDB"/>
              <w:right w:val="single" w:sz="8" w:color="B6B6B6"/>
            </w:tcBorders>
            <w:shd w:val="clear" w:color="auto" w:fill="DBDBDB"/>
          </w:tcPr>
          <w:p>
            <w:pPr>
              <w:spacing w:after="0"/>
              <w:rPr>
                <w:sz w:val="5"/>
                <w:szCs w:val="5"/>
                <w:color w:val="auto"/>
              </w:rPr>
            </w:pPr>
          </w:p>
        </w:tc>
        <w:tc>
          <w:tcPr>
            <w:tcW w:w="1120" w:type="dxa"/>
            <w:vAlign w:val="bottom"/>
            <w:tcBorders>
              <w:bottom w:val="single" w:sz="8" w:color="DBDBDB"/>
              <w:right w:val="single" w:sz="8" w:color="B6B6B6"/>
            </w:tcBorders>
            <w:shd w:val="clear" w:color="auto" w:fill="DBDBDB"/>
          </w:tcPr>
          <w:p>
            <w:pPr>
              <w:spacing w:after="0"/>
              <w:rPr>
                <w:sz w:val="5"/>
                <w:szCs w:val="5"/>
                <w:color w:val="auto"/>
              </w:rPr>
            </w:pPr>
          </w:p>
        </w:tc>
        <w:tc>
          <w:tcPr>
            <w:tcW w:w="1420" w:type="dxa"/>
            <w:vAlign w:val="bottom"/>
            <w:tcBorders>
              <w:bottom w:val="single" w:sz="8" w:color="DBDBDB"/>
              <w:right w:val="single" w:sz="8" w:color="B6B6B6"/>
            </w:tcBorders>
            <w:shd w:val="clear" w:color="auto" w:fill="DBDBDB"/>
          </w:tcPr>
          <w:p>
            <w:pPr>
              <w:spacing w:after="0"/>
              <w:rPr>
                <w:sz w:val="5"/>
                <w:szCs w:val="5"/>
                <w:color w:val="auto"/>
              </w:rPr>
            </w:pPr>
          </w:p>
        </w:tc>
        <w:tc>
          <w:tcPr>
            <w:tcW w:w="940" w:type="dxa"/>
            <w:vAlign w:val="bottom"/>
            <w:tcBorders>
              <w:bottom w:val="single" w:sz="8" w:color="DBDBDB"/>
            </w:tcBorders>
            <w:shd w:val="clear" w:color="auto" w:fill="DBDBDB"/>
          </w:tcPr>
          <w:p>
            <w:pPr>
              <w:spacing w:after="0"/>
              <w:rPr>
                <w:sz w:val="5"/>
                <w:szCs w:val="5"/>
                <w:color w:val="auto"/>
              </w:rPr>
            </w:pPr>
          </w:p>
        </w:tc>
        <w:tc>
          <w:tcPr>
            <w:tcW w:w="200" w:type="dxa"/>
            <w:vAlign w:val="bottom"/>
            <w:tcBorders>
              <w:bottom w:val="single" w:sz="8" w:color="DBDBDB"/>
              <w:right w:val="single" w:sz="8" w:color="B6B6B6"/>
            </w:tcBorders>
            <w:shd w:val="clear" w:color="auto" w:fill="DBDBDB"/>
          </w:tcPr>
          <w:p>
            <w:pPr>
              <w:spacing w:after="0"/>
              <w:rPr>
                <w:sz w:val="5"/>
                <w:szCs w:val="5"/>
                <w:color w:val="auto"/>
              </w:rPr>
            </w:pPr>
          </w:p>
        </w:tc>
        <w:tc>
          <w:tcPr>
            <w:tcW w:w="1420" w:type="dxa"/>
            <w:vAlign w:val="bottom"/>
            <w:tcBorders>
              <w:bottom w:val="single" w:sz="8" w:color="DBDBDB"/>
              <w:right w:val="single" w:sz="8" w:color="B6B6B6"/>
            </w:tcBorders>
            <w:shd w:val="clear" w:color="auto" w:fill="DBDBDB"/>
          </w:tcPr>
          <w:p>
            <w:pPr>
              <w:spacing w:after="0"/>
              <w:rPr>
                <w:sz w:val="5"/>
                <w:szCs w:val="5"/>
                <w:color w:val="auto"/>
              </w:rPr>
            </w:pPr>
          </w:p>
        </w:tc>
        <w:tc>
          <w:tcPr>
            <w:tcW w:w="1080" w:type="dxa"/>
            <w:vAlign w:val="bottom"/>
            <w:tcBorders>
              <w:bottom w:val="single" w:sz="8" w:color="DBDBDB"/>
              <w:right w:val="single" w:sz="8" w:color="DBDBDB"/>
            </w:tcBorders>
            <w:shd w:val="clear" w:color="auto" w:fill="DBDBDB"/>
          </w:tcPr>
          <w:p>
            <w:pPr>
              <w:spacing w:after="0"/>
              <w:rPr>
                <w:sz w:val="5"/>
                <w:szCs w:val="5"/>
                <w:color w:val="auto"/>
              </w:rPr>
            </w:pPr>
          </w:p>
        </w:tc>
        <w:tc>
          <w:tcPr>
            <w:tcW w:w="20" w:type="dxa"/>
            <w:vAlign w:val="bottom"/>
            <w:tcBorders>
              <w:bottom w:val="single" w:sz="8" w:color="B6B6B6"/>
            </w:tcBorders>
            <w:shd w:val="clear" w:color="auto" w:fill="B6B6B6"/>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640" w:type="dxa"/>
            <w:vAlign w:val="bottom"/>
            <w:tcBorders>
              <w:top w:val="single" w:sz="8" w:color="B6B6B6"/>
              <w:left w:val="single" w:sz="8" w:color="B6B6B6"/>
              <w:right w:val="single" w:sz="8" w:color="B6B6B6"/>
            </w:tcBorders>
            <w:gridSpan w:val="9"/>
          </w:tcPr>
          <w:p>
            <w:pPr>
              <w:ind w:left="40"/>
              <w:spacing w:after="0" w:line="115" w:lineRule="exact"/>
              <w:rPr>
                <w:sz w:val="20"/>
                <w:szCs w:val="20"/>
                <w:color w:val="auto"/>
              </w:rPr>
            </w:pPr>
            <w:r>
              <w:rPr>
                <w:rFonts w:ascii="Arial" w:cs="Arial" w:eastAsia="Arial" w:hAnsi="Arial"/>
                <w:sz w:val="13"/>
                <w:szCs w:val="13"/>
                <w:color w:val="auto"/>
              </w:rPr>
              <w:t>Mirlanda Gecaj</w:t>
            </w:r>
          </w:p>
        </w:tc>
        <w:tc>
          <w:tcPr>
            <w:tcW w:w="480" w:type="dxa"/>
            <w:vAlign w:val="bottom"/>
            <w:tcBorders>
              <w:top w:val="single" w:sz="8" w:color="B6B6B6"/>
            </w:tcBorders>
            <w:gridSpan w:val="2"/>
          </w:tcPr>
          <w:p>
            <w:pPr>
              <w:ind w:left="200"/>
              <w:spacing w:after="0" w:line="115" w:lineRule="exact"/>
              <w:rPr>
                <w:sz w:val="20"/>
                <w:szCs w:val="20"/>
                <w:color w:val="auto"/>
              </w:rPr>
            </w:pPr>
            <w:r>
              <w:rPr>
                <w:rFonts w:ascii="Arial" w:cs="Arial" w:eastAsia="Arial" w:hAnsi="Arial"/>
                <w:sz w:val="13"/>
                <w:szCs w:val="13"/>
                <w:color w:val="auto"/>
                <w:w w:val="89"/>
              </w:rPr>
              <w:t>2025</w:t>
            </w:r>
          </w:p>
        </w:tc>
        <w:tc>
          <w:tcPr>
            <w:tcW w:w="240" w:type="dxa"/>
            <w:vAlign w:val="bottom"/>
            <w:tcBorders>
              <w:top w:val="single" w:sz="8" w:color="B6B6B6"/>
              <w:right w:val="single" w:sz="8" w:color="B6B6B6"/>
            </w:tcBorders>
          </w:tcPr>
          <w:p>
            <w:pPr>
              <w:spacing w:after="0"/>
              <w:rPr>
                <w:sz w:val="10"/>
                <w:szCs w:val="10"/>
                <w:color w:val="auto"/>
              </w:rPr>
            </w:pPr>
          </w:p>
        </w:tc>
        <w:tc>
          <w:tcPr>
            <w:tcW w:w="1020" w:type="dxa"/>
            <w:vAlign w:val="bottom"/>
            <w:tcBorders>
              <w:top w:val="single" w:sz="8" w:color="B6B6B6"/>
              <w:right w:val="single" w:sz="8" w:color="B6B6B6"/>
            </w:tcBorders>
          </w:tcPr>
          <w:p>
            <w:pPr>
              <w:jc w:val="right"/>
              <w:ind w:right="16"/>
              <w:spacing w:after="0" w:line="115" w:lineRule="exact"/>
              <w:rPr>
                <w:sz w:val="20"/>
                <w:szCs w:val="20"/>
                <w:color w:val="auto"/>
              </w:rPr>
            </w:pPr>
            <w:r>
              <w:rPr>
                <w:rFonts w:ascii="Arial" w:cs="Arial" w:eastAsia="Arial" w:hAnsi="Arial"/>
                <w:sz w:val="13"/>
                <w:szCs w:val="13"/>
                <w:color w:val="auto"/>
              </w:rPr>
              <w:t>537,500</w:t>
            </w:r>
          </w:p>
        </w:tc>
        <w:tc>
          <w:tcPr>
            <w:tcW w:w="620" w:type="dxa"/>
            <w:vAlign w:val="bottom"/>
            <w:tcBorders>
              <w:top w:val="single" w:sz="8" w:color="B6B6B6"/>
            </w:tcBorders>
          </w:tcPr>
          <w:p>
            <w:pPr>
              <w:spacing w:after="0"/>
              <w:rPr>
                <w:sz w:val="10"/>
                <w:szCs w:val="10"/>
                <w:color w:val="auto"/>
              </w:rPr>
            </w:pPr>
          </w:p>
        </w:tc>
        <w:tc>
          <w:tcPr>
            <w:tcW w:w="200" w:type="dxa"/>
            <w:vAlign w:val="bottom"/>
            <w:tcBorders>
              <w:top w:val="single" w:sz="8" w:color="B6B6B6"/>
              <w:right w:val="single" w:sz="8" w:color="B6B6B6"/>
            </w:tcBorders>
          </w:tcPr>
          <w:p>
            <w:pPr>
              <w:spacing w:after="0" w:line="115" w:lineRule="exact"/>
              <w:rPr>
                <w:sz w:val="20"/>
                <w:szCs w:val="20"/>
                <w:color w:val="auto"/>
              </w:rPr>
            </w:pPr>
            <w:r>
              <w:rPr>
                <w:rFonts w:ascii="Arial" w:cs="Arial" w:eastAsia="Arial" w:hAnsi="Arial"/>
                <w:sz w:val="13"/>
                <w:szCs w:val="13"/>
                <w:color w:val="auto"/>
              </w:rPr>
              <w:t>—</w:t>
            </w:r>
          </w:p>
        </w:tc>
        <w:tc>
          <w:tcPr>
            <w:tcW w:w="1120" w:type="dxa"/>
            <w:vAlign w:val="bottom"/>
            <w:tcBorders>
              <w:top w:val="single" w:sz="8" w:color="B6B6B6"/>
              <w:right w:val="single" w:sz="8" w:color="B6B6B6"/>
            </w:tcBorders>
          </w:tcPr>
          <w:p>
            <w:pPr>
              <w:jc w:val="right"/>
              <w:ind w:right="16"/>
              <w:spacing w:after="0" w:line="115" w:lineRule="exact"/>
              <w:rPr>
                <w:sz w:val="20"/>
                <w:szCs w:val="20"/>
                <w:color w:val="auto"/>
              </w:rPr>
            </w:pPr>
            <w:r>
              <w:rPr>
                <w:rFonts w:ascii="Arial" w:cs="Arial" w:eastAsia="Arial" w:hAnsi="Arial"/>
                <w:sz w:val="13"/>
                <w:szCs w:val="13"/>
                <w:color w:val="auto"/>
              </w:rPr>
              <w:t>2,011,613</w:t>
            </w:r>
          </w:p>
        </w:tc>
        <w:tc>
          <w:tcPr>
            <w:tcW w:w="1420" w:type="dxa"/>
            <w:vAlign w:val="bottom"/>
            <w:tcBorders>
              <w:top w:val="single" w:sz="8" w:color="B6B6B6"/>
              <w:right w:val="single" w:sz="8" w:color="B6B6B6"/>
            </w:tcBorders>
          </w:tcPr>
          <w:p>
            <w:pPr>
              <w:jc w:val="right"/>
              <w:ind w:right="15"/>
              <w:spacing w:after="0" w:line="115" w:lineRule="exact"/>
              <w:rPr>
                <w:sz w:val="20"/>
                <w:szCs w:val="20"/>
                <w:color w:val="auto"/>
              </w:rPr>
            </w:pPr>
            <w:r>
              <w:rPr>
                <w:rFonts w:ascii="Arial" w:cs="Arial" w:eastAsia="Arial" w:hAnsi="Arial"/>
                <w:sz w:val="13"/>
                <w:szCs w:val="13"/>
                <w:color w:val="auto"/>
              </w:rPr>
              <w:t>—</w:t>
            </w:r>
          </w:p>
        </w:tc>
        <w:tc>
          <w:tcPr>
            <w:tcW w:w="940" w:type="dxa"/>
            <w:vAlign w:val="bottom"/>
            <w:tcBorders>
              <w:top w:val="single" w:sz="8" w:color="B6B6B6"/>
            </w:tcBorders>
          </w:tcPr>
          <w:p>
            <w:pPr>
              <w:spacing w:after="0"/>
              <w:rPr>
                <w:sz w:val="10"/>
                <w:szCs w:val="10"/>
                <w:color w:val="auto"/>
              </w:rPr>
            </w:pPr>
          </w:p>
        </w:tc>
        <w:tc>
          <w:tcPr>
            <w:tcW w:w="200" w:type="dxa"/>
            <w:vAlign w:val="bottom"/>
            <w:tcBorders>
              <w:top w:val="single" w:sz="8" w:color="B6B6B6"/>
              <w:right w:val="single" w:sz="8" w:color="B6B6B6"/>
            </w:tcBorders>
          </w:tcPr>
          <w:p>
            <w:pPr>
              <w:jc w:val="right"/>
              <w:ind w:right="17"/>
              <w:spacing w:after="0" w:line="115" w:lineRule="exact"/>
              <w:rPr>
                <w:sz w:val="20"/>
                <w:szCs w:val="20"/>
                <w:color w:val="auto"/>
              </w:rPr>
            </w:pPr>
            <w:r>
              <w:rPr>
                <w:rFonts w:ascii="Arial" w:cs="Arial" w:eastAsia="Arial" w:hAnsi="Arial"/>
                <w:sz w:val="13"/>
                <w:szCs w:val="13"/>
                <w:color w:val="auto"/>
                <w:w w:val="76"/>
              </w:rPr>
              <w:t>—</w:t>
            </w:r>
          </w:p>
        </w:tc>
        <w:tc>
          <w:tcPr>
            <w:tcW w:w="1420" w:type="dxa"/>
            <w:vAlign w:val="bottom"/>
            <w:tcBorders>
              <w:top w:val="single" w:sz="8" w:color="B6B6B6"/>
              <w:right w:val="single" w:sz="8" w:color="B6B6B6"/>
            </w:tcBorders>
          </w:tcPr>
          <w:p>
            <w:pPr>
              <w:jc w:val="right"/>
              <w:ind w:right="16"/>
              <w:spacing w:after="0" w:line="115" w:lineRule="exact"/>
              <w:rPr>
                <w:sz w:val="20"/>
                <w:szCs w:val="20"/>
                <w:color w:val="auto"/>
              </w:rPr>
            </w:pPr>
            <w:r>
              <w:rPr>
                <w:rFonts w:ascii="Arial" w:cs="Arial" w:eastAsia="Arial" w:hAnsi="Arial"/>
                <w:sz w:val="13"/>
                <w:szCs w:val="13"/>
                <w:color w:val="auto"/>
              </w:rPr>
              <w:t>40,238</w:t>
            </w:r>
          </w:p>
        </w:tc>
        <w:tc>
          <w:tcPr>
            <w:tcW w:w="1080" w:type="dxa"/>
            <w:vAlign w:val="bottom"/>
            <w:tcBorders>
              <w:top w:val="single" w:sz="8" w:color="B6B6B6"/>
            </w:tcBorders>
          </w:tcPr>
          <w:p>
            <w:pPr>
              <w:jc w:val="right"/>
              <w:spacing w:after="0" w:line="115" w:lineRule="exact"/>
              <w:rPr>
                <w:sz w:val="20"/>
                <w:szCs w:val="20"/>
                <w:color w:val="auto"/>
              </w:rPr>
            </w:pPr>
            <w:r>
              <w:rPr>
                <w:rFonts w:ascii="Arial" w:cs="Arial" w:eastAsia="Arial" w:hAnsi="Arial"/>
                <w:sz w:val="13"/>
                <w:szCs w:val="13"/>
                <w:color w:val="auto"/>
              </w:rPr>
              <w:t>2,589,351</w:t>
            </w:r>
          </w:p>
        </w:tc>
        <w:tc>
          <w:tcPr>
            <w:tcW w:w="20" w:type="dxa"/>
            <w:vAlign w:val="bottom"/>
            <w:tcBorders>
              <w:top w:val="single" w:sz="8" w:color="B6B6B6"/>
            </w:tcBorders>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Borders>
              <w:left w:val="single" w:sz="8" w:color="B6B6B6"/>
              <w:right w:val="single" w:sz="8" w:color="B6B6B6"/>
            </w:tcBorders>
            <w:gridSpan w:val="9"/>
          </w:tcPr>
          <w:p>
            <w:pPr>
              <w:ind w:left="40"/>
              <w:spacing w:after="0" w:line="122" w:lineRule="exact"/>
              <w:rPr>
                <w:sz w:val="20"/>
                <w:szCs w:val="20"/>
                <w:color w:val="auto"/>
              </w:rPr>
            </w:pPr>
            <w:r>
              <w:rPr>
                <w:rFonts w:ascii="Arial" w:cs="Arial" w:eastAsia="Arial" w:hAnsi="Arial"/>
                <w:sz w:val="13"/>
                <w:szCs w:val="13"/>
                <w:color w:val="auto"/>
              </w:rPr>
              <w:t>Executive Vice President,</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B6B6B6"/>
            </w:tcBorders>
          </w:tcPr>
          <w:p>
            <w:pPr>
              <w:spacing w:after="0"/>
              <w:rPr>
                <w:sz w:val="10"/>
                <w:szCs w:val="10"/>
                <w:color w:val="auto"/>
              </w:rPr>
            </w:pPr>
          </w:p>
        </w:tc>
        <w:tc>
          <w:tcPr>
            <w:tcW w:w="1020" w:type="dxa"/>
            <w:vAlign w:val="bottom"/>
            <w:tcBorders>
              <w:right w:val="single" w:sz="8" w:color="B6B6B6"/>
            </w:tcBorders>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Borders>
              <w:right w:val="single" w:sz="8" w:color="B6B6B6"/>
            </w:tcBorders>
          </w:tcPr>
          <w:p>
            <w:pPr>
              <w:spacing w:after="0"/>
              <w:rPr>
                <w:sz w:val="10"/>
                <w:szCs w:val="10"/>
                <w:color w:val="auto"/>
              </w:rPr>
            </w:pPr>
          </w:p>
        </w:tc>
        <w:tc>
          <w:tcPr>
            <w:tcW w:w="1120" w:type="dxa"/>
            <w:vAlign w:val="bottom"/>
            <w:tcBorders>
              <w:right w:val="single" w:sz="8" w:color="B6B6B6"/>
            </w:tcBorders>
          </w:tcPr>
          <w:p>
            <w:pPr>
              <w:spacing w:after="0"/>
              <w:rPr>
                <w:sz w:val="10"/>
                <w:szCs w:val="10"/>
                <w:color w:val="auto"/>
              </w:rPr>
            </w:pPr>
          </w:p>
        </w:tc>
        <w:tc>
          <w:tcPr>
            <w:tcW w:w="1420" w:type="dxa"/>
            <w:vAlign w:val="bottom"/>
            <w:tcBorders>
              <w:right w:val="single" w:sz="8" w:color="B6B6B6"/>
            </w:tcBorders>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Borders>
              <w:right w:val="single" w:sz="8" w:color="B6B6B6"/>
            </w:tcBorders>
          </w:tcPr>
          <w:p>
            <w:pPr>
              <w:spacing w:after="0"/>
              <w:rPr>
                <w:sz w:val="10"/>
                <w:szCs w:val="10"/>
                <w:color w:val="auto"/>
              </w:rPr>
            </w:pPr>
          </w:p>
        </w:tc>
        <w:tc>
          <w:tcPr>
            <w:tcW w:w="1420" w:type="dxa"/>
            <w:vAlign w:val="bottom"/>
            <w:tcBorders>
              <w:right w:val="single" w:sz="8" w:color="B6B6B6"/>
            </w:tcBorders>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40" w:type="dxa"/>
            <w:vAlign w:val="bottom"/>
            <w:tcBorders>
              <w:left w:val="single" w:sz="8" w:color="B6B6B6"/>
              <w:bottom w:val="single" w:sz="8" w:color="B6B6B6"/>
              <w:right w:val="single" w:sz="8" w:color="B6B6B6"/>
            </w:tcBorders>
            <w:gridSpan w:val="9"/>
          </w:tcPr>
          <w:p>
            <w:pPr>
              <w:ind w:left="40"/>
              <w:spacing w:after="0"/>
              <w:rPr>
                <w:sz w:val="20"/>
                <w:szCs w:val="20"/>
                <w:color w:val="auto"/>
              </w:rPr>
            </w:pPr>
            <w:r>
              <w:rPr>
                <w:rFonts w:ascii="Arial" w:cs="Arial" w:eastAsia="Arial" w:hAnsi="Arial"/>
                <w:sz w:val="13"/>
                <w:szCs w:val="13"/>
                <w:color w:val="auto"/>
                <w:w w:val="99"/>
              </w:rPr>
              <w:t>Chief Financial Officer</w:t>
            </w:r>
            <w:r>
              <w:rPr>
                <w:rFonts w:ascii="Arial" w:cs="Arial" w:eastAsia="Arial" w:hAnsi="Arial"/>
                <w:sz w:val="16"/>
                <w:szCs w:val="16"/>
                <w:color w:val="auto"/>
                <w:w w:val="99"/>
                <w:vertAlign w:val="superscript"/>
              </w:rPr>
              <w:t>(4) (5)</w:t>
            </w:r>
          </w:p>
        </w:tc>
        <w:tc>
          <w:tcPr>
            <w:tcW w:w="200" w:type="dxa"/>
            <w:vAlign w:val="bottom"/>
            <w:tcBorders>
              <w:bottom w:val="single" w:sz="8" w:color="B6B6B6"/>
            </w:tcBorders>
          </w:tcPr>
          <w:p>
            <w:pPr>
              <w:spacing w:after="0"/>
              <w:rPr>
                <w:sz w:val="16"/>
                <w:szCs w:val="16"/>
                <w:color w:val="auto"/>
              </w:rPr>
            </w:pPr>
          </w:p>
        </w:tc>
        <w:tc>
          <w:tcPr>
            <w:tcW w:w="28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right w:val="single" w:sz="8" w:color="B6B6B6"/>
            </w:tcBorders>
          </w:tcPr>
          <w:p>
            <w:pPr>
              <w:spacing w:after="0"/>
              <w:rPr>
                <w:sz w:val="16"/>
                <w:szCs w:val="16"/>
                <w:color w:val="auto"/>
              </w:rPr>
            </w:pPr>
          </w:p>
        </w:tc>
        <w:tc>
          <w:tcPr>
            <w:tcW w:w="1020" w:type="dxa"/>
            <w:vAlign w:val="bottom"/>
            <w:tcBorders>
              <w:bottom w:val="single" w:sz="8" w:color="B6B6B6"/>
              <w:right w:val="single" w:sz="8" w:color="B6B6B6"/>
            </w:tcBorders>
          </w:tcPr>
          <w:p>
            <w:pPr>
              <w:spacing w:after="0"/>
              <w:rPr>
                <w:sz w:val="16"/>
                <w:szCs w:val="16"/>
                <w:color w:val="auto"/>
              </w:rPr>
            </w:pPr>
          </w:p>
        </w:tc>
        <w:tc>
          <w:tcPr>
            <w:tcW w:w="62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right w:val="single" w:sz="8" w:color="B6B6B6"/>
            </w:tcBorders>
          </w:tcPr>
          <w:p>
            <w:pPr>
              <w:spacing w:after="0"/>
              <w:rPr>
                <w:sz w:val="16"/>
                <w:szCs w:val="16"/>
                <w:color w:val="auto"/>
              </w:rPr>
            </w:pPr>
          </w:p>
        </w:tc>
        <w:tc>
          <w:tcPr>
            <w:tcW w:w="1120" w:type="dxa"/>
            <w:vAlign w:val="bottom"/>
            <w:tcBorders>
              <w:bottom w:val="single" w:sz="8" w:color="B6B6B6"/>
              <w:right w:val="single" w:sz="8" w:color="B6B6B6"/>
            </w:tcBorders>
          </w:tcPr>
          <w:p>
            <w:pPr>
              <w:spacing w:after="0"/>
              <w:rPr>
                <w:sz w:val="16"/>
                <w:szCs w:val="16"/>
                <w:color w:val="auto"/>
              </w:rPr>
            </w:pPr>
          </w:p>
        </w:tc>
        <w:tc>
          <w:tcPr>
            <w:tcW w:w="1420" w:type="dxa"/>
            <w:vAlign w:val="bottom"/>
            <w:tcBorders>
              <w:bottom w:val="single" w:sz="8" w:color="B6B6B6"/>
              <w:right w:val="single" w:sz="8" w:color="B6B6B6"/>
            </w:tcBorders>
          </w:tcPr>
          <w:p>
            <w:pPr>
              <w:spacing w:after="0"/>
              <w:rPr>
                <w:sz w:val="16"/>
                <w:szCs w:val="16"/>
                <w:color w:val="auto"/>
              </w:rPr>
            </w:pPr>
          </w:p>
        </w:tc>
        <w:tc>
          <w:tcPr>
            <w:tcW w:w="94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right w:val="single" w:sz="8" w:color="B6B6B6"/>
            </w:tcBorders>
          </w:tcPr>
          <w:p>
            <w:pPr>
              <w:spacing w:after="0"/>
              <w:rPr>
                <w:sz w:val="16"/>
                <w:szCs w:val="16"/>
                <w:color w:val="auto"/>
              </w:rPr>
            </w:pPr>
          </w:p>
        </w:tc>
        <w:tc>
          <w:tcPr>
            <w:tcW w:w="1420" w:type="dxa"/>
            <w:vAlign w:val="bottom"/>
            <w:tcBorders>
              <w:bottom w:val="single" w:sz="8" w:color="B6B6B6"/>
              <w:right w:val="single" w:sz="8" w:color="B6B6B6"/>
            </w:tcBorders>
          </w:tcPr>
          <w:p>
            <w:pPr>
              <w:spacing w:after="0"/>
              <w:rPr>
                <w:sz w:val="16"/>
                <w:szCs w:val="16"/>
                <w:color w:val="auto"/>
              </w:rPr>
            </w:pPr>
          </w:p>
        </w:tc>
        <w:tc>
          <w:tcPr>
            <w:tcW w:w="1080" w:type="dxa"/>
            <w:vAlign w:val="bottom"/>
            <w:tcBorders>
              <w:bottom w:val="single" w:sz="8" w:color="B6B6B6"/>
            </w:tcBorders>
          </w:tcPr>
          <w:p>
            <w:pPr>
              <w:spacing w:after="0"/>
              <w:rPr>
                <w:sz w:val="16"/>
                <w:szCs w:val="16"/>
                <w:color w:val="auto"/>
              </w:rPr>
            </w:pPr>
          </w:p>
        </w:tc>
        <w:tc>
          <w:tcPr>
            <w:tcW w:w="2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Borders>
              <w:left w:val="single" w:sz="8" w:color="B6B6B6"/>
            </w:tcBorders>
            <w:shd w:val="clear" w:color="auto" w:fill="DBDBDB"/>
          </w:tcPr>
          <w:p>
            <w:pPr>
              <w:ind w:left="40"/>
              <w:spacing w:after="0" w:line="142" w:lineRule="exact"/>
              <w:rPr>
                <w:sz w:val="20"/>
                <w:szCs w:val="20"/>
                <w:color w:val="auto"/>
              </w:rPr>
            </w:pPr>
            <w:r>
              <w:rPr>
                <w:rFonts w:ascii="Arial" w:cs="Arial" w:eastAsia="Arial" w:hAnsi="Arial"/>
                <w:sz w:val="13"/>
                <w:szCs w:val="13"/>
                <w:color w:val="auto"/>
                <w:highlight w:val="lightGray"/>
              </w:rPr>
              <w:t>Xavier Heiss</w:t>
            </w:r>
          </w:p>
        </w:tc>
        <w:tc>
          <w:tcPr>
            <w:tcW w:w="260" w:type="dxa"/>
            <w:vAlign w:val="bottom"/>
            <w:gridSpan w:val="2"/>
            <w:shd w:val="clear" w:color="auto" w:fill="DBDBDB"/>
          </w:tcPr>
          <w:p>
            <w:pPr>
              <w:spacing w:after="0"/>
              <w:rPr>
                <w:sz w:val="12"/>
                <w:szCs w:val="12"/>
                <w:color w:val="auto"/>
              </w:rPr>
            </w:pPr>
          </w:p>
        </w:tc>
        <w:tc>
          <w:tcPr>
            <w:tcW w:w="280" w:type="dxa"/>
            <w:vAlign w:val="bottom"/>
            <w:gridSpan w:val="4"/>
            <w:shd w:val="clear" w:color="auto" w:fill="DBDBDB"/>
          </w:tcPr>
          <w:p>
            <w:pPr>
              <w:spacing w:after="0"/>
              <w:rPr>
                <w:sz w:val="12"/>
                <w:szCs w:val="12"/>
                <w:color w:val="auto"/>
              </w:rPr>
            </w:pPr>
          </w:p>
        </w:tc>
        <w:tc>
          <w:tcPr>
            <w:tcW w:w="260" w:type="dxa"/>
            <w:vAlign w:val="bottom"/>
            <w:tcBorders>
              <w:right w:val="single" w:sz="8" w:color="B6B6B6"/>
            </w:tcBorders>
            <w:gridSpan w:val="2"/>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line="142" w:lineRule="exact"/>
              <w:rPr>
                <w:sz w:val="20"/>
                <w:szCs w:val="20"/>
                <w:color w:val="auto"/>
              </w:rPr>
            </w:pPr>
            <w:r>
              <w:rPr>
                <w:rFonts w:ascii="Arial" w:cs="Arial" w:eastAsia="Arial" w:hAnsi="Arial"/>
                <w:sz w:val="13"/>
                <w:szCs w:val="13"/>
                <w:color w:val="auto"/>
                <w:highlight w:val="lightGray"/>
                <w:w w:val="89"/>
              </w:rPr>
              <w:t>2025</w:t>
            </w:r>
          </w:p>
        </w:tc>
        <w:tc>
          <w:tcPr>
            <w:tcW w:w="240" w:type="dxa"/>
            <w:vAlign w:val="bottom"/>
            <w:tcBorders>
              <w:right w:val="single" w:sz="8" w:color="B6B6B6"/>
            </w:tcBorders>
            <w:shd w:val="clear" w:color="auto" w:fill="DBDBDB"/>
          </w:tcPr>
          <w:p>
            <w:pPr>
              <w:spacing w:after="0"/>
              <w:rPr>
                <w:sz w:val="12"/>
                <w:szCs w:val="12"/>
                <w:color w:val="auto"/>
              </w:rPr>
            </w:pPr>
          </w:p>
        </w:tc>
        <w:tc>
          <w:tcPr>
            <w:tcW w:w="1020" w:type="dxa"/>
            <w:vAlign w:val="bottom"/>
            <w:tcBorders>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57,768</w:t>
            </w:r>
          </w:p>
        </w:tc>
        <w:tc>
          <w:tcPr>
            <w:tcW w:w="620" w:type="dxa"/>
            <w:vAlign w:val="bottom"/>
            <w:shd w:val="clear" w:color="auto" w:fill="DBDBDB"/>
          </w:tcPr>
          <w:p>
            <w:pPr>
              <w:spacing w:after="0"/>
              <w:rPr>
                <w:sz w:val="12"/>
                <w:szCs w:val="12"/>
                <w:color w:val="auto"/>
              </w:rPr>
            </w:pPr>
          </w:p>
        </w:tc>
        <w:tc>
          <w:tcPr>
            <w:tcW w:w="200" w:type="dxa"/>
            <w:vAlign w:val="bottom"/>
            <w:tcBorders>
              <w:right w:val="single" w:sz="8" w:color="B6B6B6"/>
            </w:tcBorders>
            <w:shd w:val="clear" w:color="auto" w:fill="DBDBDB"/>
          </w:tcPr>
          <w:p>
            <w:pPr>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w:t>
            </w:r>
          </w:p>
        </w:tc>
        <w:tc>
          <w:tcPr>
            <w:tcW w:w="1420" w:type="dxa"/>
            <w:vAlign w:val="bottom"/>
            <w:tcBorders>
              <w:right w:val="single" w:sz="8" w:color="B6B6B6"/>
            </w:tcBorders>
            <w:shd w:val="clear" w:color="auto" w:fill="DBDBDB"/>
          </w:tcPr>
          <w:p>
            <w:pPr>
              <w:jc w:val="right"/>
              <w:ind w:right="15"/>
              <w:spacing w:after="0" w:line="142" w:lineRule="exact"/>
              <w:rPr>
                <w:sz w:val="20"/>
                <w:szCs w:val="20"/>
                <w:color w:val="auto"/>
              </w:rPr>
            </w:pPr>
            <w:r>
              <w:rPr>
                <w:rFonts w:ascii="Arial" w:cs="Arial" w:eastAsia="Arial" w:hAnsi="Arial"/>
                <w:sz w:val="13"/>
                <w:szCs w:val="13"/>
                <w:color w:val="auto"/>
              </w:rPr>
              <w:t>—</w:t>
            </w:r>
          </w:p>
        </w:tc>
        <w:tc>
          <w:tcPr>
            <w:tcW w:w="940" w:type="dxa"/>
            <w:vAlign w:val="bottom"/>
            <w:shd w:val="clear" w:color="auto" w:fill="DBDBDB"/>
          </w:tcPr>
          <w:p>
            <w:pPr>
              <w:spacing w:after="0"/>
              <w:rPr>
                <w:sz w:val="12"/>
                <w:szCs w:val="12"/>
                <w:color w:val="auto"/>
              </w:rPr>
            </w:pPr>
          </w:p>
        </w:tc>
        <w:tc>
          <w:tcPr>
            <w:tcW w:w="200" w:type="dxa"/>
            <w:vAlign w:val="bottom"/>
            <w:tcBorders>
              <w:right w:val="single" w:sz="8" w:color="B6B6B6"/>
            </w:tcBorders>
            <w:shd w:val="clear" w:color="auto" w:fill="DBDBDB"/>
          </w:tcPr>
          <w:p>
            <w:pPr>
              <w:jc w:val="right"/>
              <w:ind w:right="17"/>
              <w:spacing w:after="0" w:line="142" w:lineRule="exact"/>
              <w:rPr>
                <w:sz w:val="20"/>
                <w:szCs w:val="20"/>
                <w:color w:val="auto"/>
              </w:rPr>
            </w:pPr>
            <w:r>
              <w:rPr>
                <w:rFonts w:ascii="Arial" w:cs="Arial" w:eastAsia="Arial" w:hAnsi="Arial"/>
                <w:sz w:val="13"/>
                <w:szCs w:val="13"/>
                <w:color w:val="auto"/>
                <w:w w:val="76"/>
              </w:rPr>
              <w:t>—</w:t>
            </w:r>
          </w:p>
        </w:tc>
        <w:tc>
          <w:tcPr>
            <w:tcW w:w="1420" w:type="dxa"/>
            <w:vAlign w:val="bottom"/>
            <w:tcBorders>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rPr>
              <w:t>557,053</w:t>
            </w:r>
          </w:p>
        </w:tc>
        <w:tc>
          <w:tcPr>
            <w:tcW w:w="1080" w:type="dxa"/>
            <w:vAlign w:val="bottom"/>
            <w:tcBorders>
              <w:right w:val="single" w:sz="8" w:color="DBDBDB"/>
            </w:tcBorders>
            <w:shd w:val="clear" w:color="auto" w:fill="DBDBDB"/>
          </w:tcPr>
          <w:p>
            <w:pPr>
              <w:jc w:val="right"/>
              <w:spacing w:after="0" w:line="142" w:lineRule="exact"/>
              <w:rPr>
                <w:sz w:val="20"/>
                <w:szCs w:val="20"/>
                <w:color w:val="auto"/>
              </w:rPr>
            </w:pPr>
            <w:r>
              <w:rPr>
                <w:rFonts w:ascii="Arial" w:cs="Arial" w:eastAsia="Arial" w:hAnsi="Arial"/>
                <w:sz w:val="13"/>
                <w:szCs w:val="13"/>
                <w:color w:val="auto"/>
                <w:highlight w:val="lightGray"/>
              </w:rPr>
              <w:t>614,821</w:t>
            </w:r>
          </w:p>
        </w:tc>
        <w:tc>
          <w:tcPr>
            <w:tcW w:w="2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B6B6B6"/>
            </w:tcBorders>
            <w:gridSpan w:val="8"/>
            <w:shd w:val="clear" w:color="auto" w:fill="DBDBDB"/>
          </w:tcPr>
          <w:p>
            <w:pPr>
              <w:ind w:left="40"/>
              <w:spacing w:after="0"/>
              <w:rPr>
                <w:sz w:val="20"/>
                <w:szCs w:val="20"/>
                <w:color w:val="auto"/>
              </w:rPr>
            </w:pPr>
            <w:r>
              <w:rPr>
                <w:rFonts w:ascii="Arial" w:cs="Arial" w:eastAsia="Arial" w:hAnsi="Arial"/>
                <w:sz w:val="13"/>
                <w:szCs w:val="13"/>
                <w:color w:val="auto"/>
                <w:highlight w:val="lightGray"/>
                <w:w w:val="94"/>
              </w:rPr>
              <w:t>Executive Vice President,</w:t>
            </w:r>
          </w:p>
        </w:tc>
        <w:tc>
          <w:tcPr>
            <w:tcW w:w="180" w:type="dxa"/>
            <w:vAlign w:val="bottom"/>
            <w:tcBorders>
              <w:right w:val="single" w:sz="8" w:color="B6B6B6"/>
            </w:tcBorders>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240" w:type="dxa"/>
            <w:vAlign w:val="bottom"/>
            <w:tcBorders>
              <w:right w:val="single" w:sz="8" w:color="B6B6B6"/>
            </w:tcBorders>
            <w:shd w:val="clear" w:color="auto" w:fill="DBDBDB"/>
          </w:tcPr>
          <w:p>
            <w:pPr>
              <w:spacing w:after="0"/>
              <w:rPr>
                <w:sz w:val="14"/>
                <w:szCs w:val="14"/>
                <w:color w:val="auto"/>
              </w:rPr>
            </w:pPr>
          </w:p>
        </w:tc>
        <w:tc>
          <w:tcPr>
            <w:tcW w:w="1020" w:type="dxa"/>
            <w:vAlign w:val="bottom"/>
            <w:tcBorders>
              <w:right w:val="single" w:sz="8" w:color="B6B6B6"/>
            </w:tcBorders>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200" w:type="dxa"/>
            <w:vAlign w:val="bottom"/>
            <w:tcBorders>
              <w:right w:val="single" w:sz="8" w:color="B6B6B6"/>
            </w:tcBorders>
            <w:shd w:val="clear" w:color="auto" w:fill="DBDBDB"/>
          </w:tcPr>
          <w:p>
            <w:pPr>
              <w:spacing w:after="0"/>
              <w:rPr>
                <w:sz w:val="14"/>
                <w:szCs w:val="14"/>
                <w:color w:val="auto"/>
              </w:rPr>
            </w:pPr>
          </w:p>
        </w:tc>
        <w:tc>
          <w:tcPr>
            <w:tcW w:w="1120" w:type="dxa"/>
            <w:vAlign w:val="bottom"/>
            <w:tcBorders>
              <w:right w:val="single" w:sz="8" w:color="B6B6B6"/>
            </w:tcBorders>
            <w:shd w:val="clear" w:color="auto" w:fill="DBDBDB"/>
          </w:tcPr>
          <w:p>
            <w:pPr>
              <w:spacing w:after="0"/>
              <w:rPr>
                <w:sz w:val="14"/>
                <w:szCs w:val="14"/>
                <w:color w:val="auto"/>
              </w:rPr>
            </w:pPr>
          </w:p>
        </w:tc>
        <w:tc>
          <w:tcPr>
            <w:tcW w:w="1420" w:type="dxa"/>
            <w:vAlign w:val="bottom"/>
            <w:tcBorders>
              <w:right w:val="single" w:sz="8" w:color="B6B6B6"/>
            </w:tcBorders>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200" w:type="dxa"/>
            <w:vAlign w:val="bottom"/>
            <w:tcBorders>
              <w:right w:val="single" w:sz="8" w:color="B6B6B6"/>
            </w:tcBorders>
            <w:shd w:val="clear" w:color="auto" w:fill="DBDBDB"/>
          </w:tcPr>
          <w:p>
            <w:pPr>
              <w:spacing w:after="0"/>
              <w:rPr>
                <w:sz w:val="14"/>
                <w:szCs w:val="14"/>
                <w:color w:val="auto"/>
              </w:rPr>
            </w:pPr>
          </w:p>
        </w:tc>
        <w:tc>
          <w:tcPr>
            <w:tcW w:w="1420" w:type="dxa"/>
            <w:vAlign w:val="bottom"/>
            <w:tcBorders>
              <w:right w:val="single" w:sz="8" w:color="B6B6B6"/>
            </w:tcBorders>
            <w:shd w:val="clear" w:color="auto" w:fill="DBDBDB"/>
          </w:tcPr>
          <w:p>
            <w:pPr>
              <w:spacing w:after="0"/>
              <w:rPr>
                <w:sz w:val="14"/>
                <w:szCs w:val="14"/>
                <w:color w:val="auto"/>
              </w:rPr>
            </w:pPr>
          </w:p>
        </w:tc>
        <w:tc>
          <w:tcPr>
            <w:tcW w:w="1080" w:type="dxa"/>
            <w:vAlign w:val="bottom"/>
            <w:tcBorders>
              <w:right w:val="single" w:sz="8" w:color="DBDBDB"/>
            </w:tcBorders>
            <w:shd w:val="clear" w:color="auto" w:fill="DBDBDB"/>
          </w:tcPr>
          <w:p>
            <w:pPr>
              <w:spacing w:after="0"/>
              <w:rPr>
                <w:sz w:val="14"/>
                <w:szCs w:val="14"/>
                <w:color w:val="auto"/>
              </w:rPr>
            </w:pPr>
          </w:p>
        </w:tc>
        <w:tc>
          <w:tcPr>
            <w:tcW w:w="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B6B6B6"/>
            </w:tcBorders>
            <w:gridSpan w:val="5"/>
            <w:vMerge w:val="restart"/>
            <w:shd w:val="clear" w:color="auto" w:fill="DBDBDB"/>
          </w:tcPr>
          <w:p>
            <w:pPr>
              <w:ind w:left="40"/>
              <w:spacing w:after="0"/>
              <w:rPr>
                <w:sz w:val="20"/>
                <w:szCs w:val="20"/>
                <w:color w:val="auto"/>
              </w:rPr>
            </w:pPr>
            <w:r>
              <w:rPr>
                <w:rFonts w:ascii="Arial" w:cs="Arial" w:eastAsia="Arial" w:hAnsi="Arial"/>
                <w:sz w:val="13"/>
                <w:szCs w:val="13"/>
                <w:color w:val="auto"/>
                <w:highlight w:val="lightGray"/>
                <w:w w:val="95"/>
              </w:rPr>
              <w:t>Chief Financial Officer</w:t>
            </w:r>
          </w:p>
        </w:tc>
        <w:tc>
          <w:tcPr>
            <w:tcW w:w="100" w:type="dxa"/>
            <w:vAlign w:val="bottom"/>
            <w:gridSpan w:val="2"/>
            <w:shd w:val="clear" w:color="auto" w:fill="DBDBDB"/>
          </w:tcPr>
          <w:p>
            <w:pPr>
              <w:jc w:val="right"/>
              <w:spacing w:after="0"/>
              <w:rPr>
                <w:sz w:val="20"/>
                <w:szCs w:val="20"/>
                <w:color w:val="auto"/>
              </w:rPr>
            </w:pPr>
            <w:r>
              <w:rPr>
                <w:rFonts w:ascii="Arial" w:cs="Arial" w:eastAsia="Arial" w:hAnsi="Arial"/>
                <w:sz w:val="8"/>
                <w:szCs w:val="8"/>
                <w:color w:val="auto"/>
                <w:highlight w:val="lightGray"/>
                <w:w w:val="81"/>
              </w:rPr>
              <w:t>(6)</w:t>
            </w:r>
          </w:p>
        </w:tc>
        <w:tc>
          <w:tcPr>
            <w:tcW w:w="80" w:type="dxa"/>
            <w:vAlign w:val="bottom"/>
            <w:vMerge w:val="restart"/>
            <w:shd w:val="clear" w:color="auto" w:fill="DBDBDB"/>
          </w:tcPr>
          <w:p>
            <w:pPr>
              <w:spacing w:after="0"/>
              <w:rPr>
                <w:sz w:val="9"/>
                <w:szCs w:val="9"/>
                <w:color w:val="auto"/>
              </w:rPr>
            </w:pPr>
          </w:p>
        </w:tc>
        <w:tc>
          <w:tcPr>
            <w:tcW w:w="180" w:type="dxa"/>
            <w:vAlign w:val="bottom"/>
            <w:tcBorders>
              <w:right w:val="single" w:sz="8" w:color="B6B6B6"/>
            </w:tcBorders>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240" w:type="dxa"/>
            <w:vAlign w:val="bottom"/>
            <w:tcBorders>
              <w:right w:val="single" w:sz="8" w:color="B6B6B6"/>
            </w:tcBorders>
            <w:shd w:val="clear" w:color="auto" w:fill="DBDBDB"/>
          </w:tcPr>
          <w:p>
            <w:pPr>
              <w:spacing w:after="0"/>
              <w:rPr>
                <w:sz w:val="9"/>
                <w:szCs w:val="9"/>
                <w:color w:val="auto"/>
              </w:rPr>
            </w:pPr>
          </w:p>
        </w:tc>
        <w:tc>
          <w:tcPr>
            <w:tcW w:w="1020" w:type="dxa"/>
            <w:vAlign w:val="bottom"/>
            <w:tcBorders>
              <w:right w:val="single" w:sz="8" w:color="B6B6B6"/>
            </w:tcBorders>
            <w:shd w:val="clear" w:color="auto" w:fill="DBDBDB"/>
          </w:tcPr>
          <w:p>
            <w:pPr>
              <w:spacing w:after="0"/>
              <w:rPr>
                <w:sz w:val="9"/>
                <w:szCs w:val="9"/>
                <w:color w:val="auto"/>
              </w:rPr>
            </w:pPr>
          </w:p>
        </w:tc>
        <w:tc>
          <w:tcPr>
            <w:tcW w:w="620" w:type="dxa"/>
            <w:vAlign w:val="bottom"/>
            <w:shd w:val="clear" w:color="auto" w:fill="DBDBDB"/>
          </w:tcPr>
          <w:p>
            <w:pPr>
              <w:spacing w:after="0"/>
              <w:rPr>
                <w:sz w:val="9"/>
                <w:szCs w:val="9"/>
                <w:color w:val="auto"/>
              </w:rPr>
            </w:pPr>
          </w:p>
        </w:tc>
        <w:tc>
          <w:tcPr>
            <w:tcW w:w="200" w:type="dxa"/>
            <w:vAlign w:val="bottom"/>
            <w:tcBorders>
              <w:right w:val="single" w:sz="8" w:color="B6B6B6"/>
            </w:tcBorders>
            <w:shd w:val="clear" w:color="auto" w:fill="DBDBDB"/>
          </w:tcPr>
          <w:p>
            <w:pPr>
              <w:spacing w:after="0"/>
              <w:rPr>
                <w:sz w:val="9"/>
                <w:szCs w:val="9"/>
                <w:color w:val="auto"/>
              </w:rPr>
            </w:pPr>
          </w:p>
        </w:tc>
        <w:tc>
          <w:tcPr>
            <w:tcW w:w="1120" w:type="dxa"/>
            <w:vAlign w:val="bottom"/>
            <w:tcBorders>
              <w:right w:val="single" w:sz="8" w:color="B6B6B6"/>
            </w:tcBorders>
            <w:shd w:val="clear" w:color="auto" w:fill="DBDBDB"/>
          </w:tcPr>
          <w:p>
            <w:pPr>
              <w:spacing w:after="0"/>
              <w:rPr>
                <w:sz w:val="9"/>
                <w:szCs w:val="9"/>
                <w:color w:val="auto"/>
              </w:rPr>
            </w:pPr>
          </w:p>
        </w:tc>
        <w:tc>
          <w:tcPr>
            <w:tcW w:w="1420" w:type="dxa"/>
            <w:vAlign w:val="bottom"/>
            <w:tcBorders>
              <w:right w:val="single" w:sz="8" w:color="B6B6B6"/>
            </w:tcBorders>
            <w:shd w:val="clear" w:color="auto" w:fill="DBDBDB"/>
          </w:tcPr>
          <w:p>
            <w:pPr>
              <w:spacing w:after="0"/>
              <w:rPr>
                <w:sz w:val="9"/>
                <w:szCs w:val="9"/>
                <w:color w:val="auto"/>
              </w:rPr>
            </w:pPr>
          </w:p>
        </w:tc>
        <w:tc>
          <w:tcPr>
            <w:tcW w:w="940" w:type="dxa"/>
            <w:vAlign w:val="bottom"/>
            <w:shd w:val="clear" w:color="auto" w:fill="DBDBDB"/>
          </w:tcPr>
          <w:p>
            <w:pPr>
              <w:spacing w:after="0"/>
              <w:rPr>
                <w:sz w:val="9"/>
                <w:szCs w:val="9"/>
                <w:color w:val="auto"/>
              </w:rPr>
            </w:pPr>
          </w:p>
        </w:tc>
        <w:tc>
          <w:tcPr>
            <w:tcW w:w="200" w:type="dxa"/>
            <w:vAlign w:val="bottom"/>
            <w:tcBorders>
              <w:right w:val="single" w:sz="8" w:color="B6B6B6"/>
            </w:tcBorders>
            <w:shd w:val="clear" w:color="auto" w:fill="DBDBDB"/>
          </w:tcPr>
          <w:p>
            <w:pPr>
              <w:spacing w:after="0"/>
              <w:rPr>
                <w:sz w:val="9"/>
                <w:szCs w:val="9"/>
                <w:color w:val="auto"/>
              </w:rPr>
            </w:pPr>
          </w:p>
        </w:tc>
        <w:tc>
          <w:tcPr>
            <w:tcW w:w="1420" w:type="dxa"/>
            <w:vAlign w:val="bottom"/>
            <w:tcBorders>
              <w:right w:val="single" w:sz="8" w:color="B6B6B6"/>
            </w:tcBorders>
            <w:shd w:val="clear" w:color="auto" w:fill="DBDBDB"/>
          </w:tcPr>
          <w:p>
            <w:pPr>
              <w:spacing w:after="0"/>
              <w:rPr>
                <w:sz w:val="9"/>
                <w:szCs w:val="9"/>
                <w:color w:val="auto"/>
              </w:rPr>
            </w:pPr>
          </w:p>
        </w:tc>
        <w:tc>
          <w:tcPr>
            <w:tcW w:w="1080" w:type="dxa"/>
            <w:vAlign w:val="bottom"/>
            <w:tcBorders>
              <w:right w:val="single" w:sz="8" w:color="DBDBDB"/>
            </w:tcBorders>
            <w:shd w:val="clear" w:color="auto" w:fill="DBDBDB"/>
          </w:tcPr>
          <w:p>
            <w:pPr>
              <w:spacing w:after="0"/>
              <w:rPr>
                <w:sz w:val="9"/>
                <w:szCs w:val="9"/>
                <w:color w:val="auto"/>
              </w:rPr>
            </w:pPr>
          </w:p>
        </w:tc>
        <w:tc>
          <w:tcPr>
            <w:tcW w:w="20" w:type="dxa"/>
            <w:vAlign w:val="bottom"/>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280" w:type="dxa"/>
            <w:vAlign w:val="bottom"/>
            <w:tcBorders>
              <w:left w:val="single" w:sz="8" w:color="B6B6B6"/>
            </w:tcBorders>
            <w:gridSpan w:val="5"/>
            <w:vMerge w:val="continue"/>
            <w:shd w:val="clear" w:color="auto" w:fill="DBDBDB"/>
          </w:tcPr>
          <w:p>
            <w:pPr>
              <w:spacing w:after="0"/>
              <w:rPr>
                <w:sz w:val="3"/>
                <w:szCs w:val="3"/>
                <w:color w:val="auto"/>
              </w:rPr>
            </w:pPr>
          </w:p>
        </w:tc>
        <w:tc>
          <w:tcPr>
            <w:tcW w:w="100" w:type="dxa"/>
            <w:vAlign w:val="bottom"/>
            <w:gridSpan w:val="2"/>
            <w:shd w:val="clear" w:color="auto" w:fill="DBDBDB"/>
          </w:tcPr>
          <w:p>
            <w:pPr>
              <w:spacing w:after="0"/>
              <w:rPr>
                <w:sz w:val="3"/>
                <w:szCs w:val="3"/>
                <w:color w:val="auto"/>
              </w:rPr>
            </w:pPr>
          </w:p>
        </w:tc>
        <w:tc>
          <w:tcPr>
            <w:tcW w:w="80" w:type="dxa"/>
            <w:vAlign w:val="bottom"/>
            <w:vMerge w:val="continue"/>
            <w:shd w:val="clear" w:color="auto" w:fill="DBDBDB"/>
          </w:tcPr>
          <w:p>
            <w:pPr>
              <w:spacing w:after="0"/>
              <w:rPr>
                <w:sz w:val="3"/>
                <w:szCs w:val="3"/>
                <w:color w:val="auto"/>
              </w:rPr>
            </w:pPr>
          </w:p>
        </w:tc>
        <w:tc>
          <w:tcPr>
            <w:tcW w:w="180" w:type="dxa"/>
            <w:vAlign w:val="bottom"/>
            <w:tcBorders>
              <w:right w:val="single" w:sz="8" w:color="B6B6B6"/>
            </w:tcBorders>
            <w:shd w:val="clear" w:color="auto" w:fill="DBDBDB"/>
          </w:tcPr>
          <w:p>
            <w:pPr>
              <w:spacing w:after="0"/>
              <w:rPr>
                <w:sz w:val="3"/>
                <w:szCs w:val="3"/>
                <w:color w:val="auto"/>
              </w:rPr>
            </w:pPr>
          </w:p>
        </w:tc>
        <w:tc>
          <w:tcPr>
            <w:tcW w:w="200" w:type="dxa"/>
            <w:vAlign w:val="bottom"/>
            <w:shd w:val="clear" w:color="auto" w:fill="DBDBDB"/>
          </w:tcPr>
          <w:p>
            <w:pPr>
              <w:spacing w:after="0"/>
              <w:rPr>
                <w:sz w:val="3"/>
                <w:szCs w:val="3"/>
                <w:color w:val="auto"/>
              </w:rPr>
            </w:pPr>
          </w:p>
        </w:tc>
        <w:tc>
          <w:tcPr>
            <w:tcW w:w="280" w:type="dxa"/>
            <w:vAlign w:val="bottom"/>
            <w:shd w:val="clear" w:color="auto" w:fill="DBDBDB"/>
          </w:tcPr>
          <w:p>
            <w:pPr>
              <w:spacing w:after="0"/>
              <w:rPr>
                <w:sz w:val="3"/>
                <w:szCs w:val="3"/>
                <w:color w:val="auto"/>
              </w:rPr>
            </w:pPr>
          </w:p>
        </w:tc>
        <w:tc>
          <w:tcPr>
            <w:tcW w:w="240" w:type="dxa"/>
            <w:vAlign w:val="bottom"/>
            <w:tcBorders>
              <w:right w:val="single" w:sz="8" w:color="B6B6B6"/>
            </w:tcBorders>
            <w:shd w:val="clear" w:color="auto" w:fill="DBDBDB"/>
          </w:tcPr>
          <w:p>
            <w:pPr>
              <w:spacing w:after="0"/>
              <w:rPr>
                <w:sz w:val="3"/>
                <w:szCs w:val="3"/>
                <w:color w:val="auto"/>
              </w:rPr>
            </w:pPr>
          </w:p>
        </w:tc>
        <w:tc>
          <w:tcPr>
            <w:tcW w:w="1020" w:type="dxa"/>
            <w:vAlign w:val="bottom"/>
            <w:tcBorders>
              <w:right w:val="single" w:sz="8" w:color="B6B6B6"/>
            </w:tcBorders>
            <w:shd w:val="clear" w:color="auto" w:fill="DBDBDB"/>
          </w:tcPr>
          <w:p>
            <w:pPr>
              <w:spacing w:after="0"/>
              <w:rPr>
                <w:sz w:val="3"/>
                <w:szCs w:val="3"/>
                <w:color w:val="auto"/>
              </w:rPr>
            </w:pPr>
          </w:p>
        </w:tc>
        <w:tc>
          <w:tcPr>
            <w:tcW w:w="620" w:type="dxa"/>
            <w:vAlign w:val="bottom"/>
            <w:shd w:val="clear" w:color="auto" w:fill="DBDBDB"/>
          </w:tcPr>
          <w:p>
            <w:pPr>
              <w:spacing w:after="0"/>
              <w:rPr>
                <w:sz w:val="3"/>
                <w:szCs w:val="3"/>
                <w:color w:val="auto"/>
              </w:rPr>
            </w:pPr>
          </w:p>
        </w:tc>
        <w:tc>
          <w:tcPr>
            <w:tcW w:w="200" w:type="dxa"/>
            <w:vAlign w:val="bottom"/>
            <w:tcBorders>
              <w:right w:val="single" w:sz="8" w:color="B6B6B6"/>
            </w:tcBorders>
            <w:shd w:val="clear" w:color="auto" w:fill="DBDBDB"/>
          </w:tcPr>
          <w:p>
            <w:pPr>
              <w:spacing w:after="0"/>
              <w:rPr>
                <w:sz w:val="3"/>
                <w:szCs w:val="3"/>
                <w:color w:val="auto"/>
              </w:rPr>
            </w:pPr>
          </w:p>
        </w:tc>
        <w:tc>
          <w:tcPr>
            <w:tcW w:w="1120" w:type="dxa"/>
            <w:vAlign w:val="bottom"/>
            <w:tcBorders>
              <w:right w:val="single" w:sz="8" w:color="B6B6B6"/>
            </w:tcBorders>
            <w:shd w:val="clear" w:color="auto" w:fill="DBDBDB"/>
          </w:tcPr>
          <w:p>
            <w:pPr>
              <w:spacing w:after="0"/>
              <w:rPr>
                <w:sz w:val="3"/>
                <w:szCs w:val="3"/>
                <w:color w:val="auto"/>
              </w:rPr>
            </w:pPr>
          </w:p>
        </w:tc>
        <w:tc>
          <w:tcPr>
            <w:tcW w:w="1420" w:type="dxa"/>
            <w:vAlign w:val="bottom"/>
            <w:tcBorders>
              <w:right w:val="single" w:sz="8" w:color="B6B6B6"/>
            </w:tcBorders>
            <w:shd w:val="clear" w:color="auto" w:fill="DBDBDB"/>
          </w:tcPr>
          <w:p>
            <w:pPr>
              <w:spacing w:after="0"/>
              <w:rPr>
                <w:sz w:val="3"/>
                <w:szCs w:val="3"/>
                <w:color w:val="auto"/>
              </w:rPr>
            </w:pPr>
          </w:p>
        </w:tc>
        <w:tc>
          <w:tcPr>
            <w:tcW w:w="940" w:type="dxa"/>
            <w:vAlign w:val="bottom"/>
            <w:shd w:val="clear" w:color="auto" w:fill="DBDBDB"/>
          </w:tcPr>
          <w:p>
            <w:pPr>
              <w:spacing w:after="0"/>
              <w:rPr>
                <w:sz w:val="3"/>
                <w:szCs w:val="3"/>
                <w:color w:val="auto"/>
              </w:rPr>
            </w:pPr>
          </w:p>
        </w:tc>
        <w:tc>
          <w:tcPr>
            <w:tcW w:w="200" w:type="dxa"/>
            <w:vAlign w:val="bottom"/>
            <w:tcBorders>
              <w:right w:val="single" w:sz="8" w:color="B6B6B6"/>
            </w:tcBorders>
            <w:shd w:val="clear" w:color="auto" w:fill="DBDBDB"/>
          </w:tcPr>
          <w:p>
            <w:pPr>
              <w:spacing w:after="0"/>
              <w:rPr>
                <w:sz w:val="3"/>
                <w:szCs w:val="3"/>
                <w:color w:val="auto"/>
              </w:rPr>
            </w:pPr>
          </w:p>
        </w:tc>
        <w:tc>
          <w:tcPr>
            <w:tcW w:w="1420" w:type="dxa"/>
            <w:vAlign w:val="bottom"/>
            <w:tcBorders>
              <w:right w:val="single" w:sz="8" w:color="B6B6B6"/>
            </w:tcBorders>
            <w:shd w:val="clear" w:color="auto" w:fill="DBDBDB"/>
          </w:tcPr>
          <w:p>
            <w:pPr>
              <w:spacing w:after="0"/>
              <w:rPr>
                <w:sz w:val="3"/>
                <w:szCs w:val="3"/>
                <w:color w:val="auto"/>
              </w:rPr>
            </w:pPr>
          </w:p>
        </w:tc>
        <w:tc>
          <w:tcPr>
            <w:tcW w:w="1080" w:type="dxa"/>
            <w:vAlign w:val="bottom"/>
            <w:tcBorders>
              <w:right w:val="single" w:sz="8" w:color="DBDBDB"/>
            </w:tcBorders>
            <w:shd w:val="clear" w:color="auto" w:fill="DBDBDB"/>
          </w:tcPr>
          <w:p>
            <w:pPr>
              <w:spacing w:after="0"/>
              <w:rPr>
                <w:sz w:val="3"/>
                <w:szCs w:val="3"/>
                <w:color w:val="auto"/>
              </w:rPr>
            </w:pPr>
          </w:p>
        </w:tc>
        <w:tc>
          <w:tcPr>
            <w:tcW w:w="20" w:type="dxa"/>
            <w:vAlign w:val="bottom"/>
            <w:shd w:val="clear" w:color="auto" w:fill="B6B6B6"/>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B6B6B6"/>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right w:val="single" w:sz="8" w:color="B6B6B6"/>
            </w:tcBorders>
            <w:shd w:val="clear" w:color="auto" w:fill="DBDBDB"/>
          </w:tcPr>
          <w:p>
            <w:pPr>
              <w:spacing w:after="0"/>
              <w:rPr>
                <w:sz w:val="18"/>
                <w:szCs w:val="18"/>
                <w:color w:val="auto"/>
              </w:rPr>
            </w:pPr>
          </w:p>
        </w:tc>
        <w:tc>
          <w:tcPr>
            <w:tcW w:w="200" w:type="dxa"/>
            <w:vAlign w:val="bottom"/>
            <w:tcBorders>
              <w:bottom w:val="single" w:sz="8" w:color="B6B6B6"/>
            </w:tcBorders>
            <w:shd w:val="clear" w:color="auto" w:fill="DBDBDB"/>
          </w:tcPr>
          <w:p>
            <w:pPr>
              <w:spacing w:after="0"/>
              <w:rPr>
                <w:sz w:val="18"/>
                <w:szCs w:val="18"/>
                <w:color w:val="auto"/>
              </w:rPr>
            </w:pPr>
          </w:p>
        </w:tc>
        <w:tc>
          <w:tcPr>
            <w:tcW w:w="280" w:type="dxa"/>
            <w:vAlign w:val="bottom"/>
            <w:tcBorders>
              <w:bottom w:val="single" w:sz="8" w:color="B6B6B6"/>
            </w:tcBorders>
            <w:shd w:val="clear" w:color="auto" w:fill="DBDBDB"/>
          </w:tcPr>
          <w:p>
            <w:pPr>
              <w:spacing w:after="0"/>
              <w:rPr>
                <w:sz w:val="18"/>
                <w:szCs w:val="18"/>
                <w:color w:val="auto"/>
              </w:rPr>
            </w:pPr>
          </w:p>
        </w:tc>
        <w:tc>
          <w:tcPr>
            <w:tcW w:w="240" w:type="dxa"/>
            <w:vAlign w:val="bottom"/>
            <w:tcBorders>
              <w:bottom w:val="single" w:sz="8" w:color="B6B6B6"/>
              <w:right w:val="single" w:sz="8" w:color="B6B6B6"/>
            </w:tcBorders>
            <w:shd w:val="clear" w:color="auto" w:fill="DBDBDB"/>
          </w:tcPr>
          <w:p>
            <w:pPr>
              <w:spacing w:after="0"/>
              <w:rPr>
                <w:sz w:val="18"/>
                <w:szCs w:val="18"/>
                <w:color w:val="auto"/>
              </w:rPr>
            </w:pPr>
          </w:p>
        </w:tc>
        <w:tc>
          <w:tcPr>
            <w:tcW w:w="1020" w:type="dxa"/>
            <w:vAlign w:val="bottom"/>
            <w:tcBorders>
              <w:bottom w:val="single" w:sz="8" w:color="B6B6B6"/>
              <w:right w:val="single" w:sz="8" w:color="B6B6B6"/>
            </w:tcBorders>
            <w:shd w:val="clear" w:color="auto" w:fill="DBDBDB"/>
          </w:tcPr>
          <w:p>
            <w:pPr>
              <w:spacing w:after="0"/>
              <w:rPr>
                <w:sz w:val="18"/>
                <w:szCs w:val="18"/>
                <w:color w:val="auto"/>
              </w:rPr>
            </w:pPr>
          </w:p>
        </w:tc>
        <w:tc>
          <w:tcPr>
            <w:tcW w:w="620" w:type="dxa"/>
            <w:vAlign w:val="bottom"/>
            <w:tcBorders>
              <w:bottom w:val="single" w:sz="8" w:color="B6B6B6"/>
            </w:tcBorders>
            <w:shd w:val="clear" w:color="auto" w:fill="DBDBDB"/>
          </w:tcPr>
          <w:p>
            <w:pPr>
              <w:spacing w:after="0"/>
              <w:rPr>
                <w:sz w:val="18"/>
                <w:szCs w:val="18"/>
                <w:color w:val="auto"/>
              </w:rPr>
            </w:pPr>
          </w:p>
        </w:tc>
        <w:tc>
          <w:tcPr>
            <w:tcW w:w="200" w:type="dxa"/>
            <w:vAlign w:val="bottom"/>
            <w:tcBorders>
              <w:bottom w:val="single" w:sz="8" w:color="B6B6B6"/>
              <w:right w:val="single" w:sz="8" w:color="B6B6B6"/>
            </w:tcBorders>
            <w:shd w:val="clear" w:color="auto" w:fill="DBDBDB"/>
          </w:tcPr>
          <w:p>
            <w:pPr>
              <w:spacing w:after="0"/>
              <w:rPr>
                <w:sz w:val="18"/>
                <w:szCs w:val="18"/>
                <w:color w:val="auto"/>
              </w:rPr>
            </w:pPr>
          </w:p>
        </w:tc>
        <w:tc>
          <w:tcPr>
            <w:tcW w:w="1120" w:type="dxa"/>
            <w:vAlign w:val="bottom"/>
            <w:tcBorders>
              <w:bottom w:val="single" w:sz="8" w:color="B6B6B6"/>
              <w:right w:val="single" w:sz="8" w:color="B6B6B6"/>
            </w:tcBorders>
            <w:shd w:val="clear" w:color="auto" w:fill="DBDBDB"/>
          </w:tcPr>
          <w:p>
            <w:pPr>
              <w:spacing w:after="0"/>
              <w:rPr>
                <w:sz w:val="18"/>
                <w:szCs w:val="18"/>
                <w:color w:val="auto"/>
              </w:rPr>
            </w:pPr>
          </w:p>
        </w:tc>
        <w:tc>
          <w:tcPr>
            <w:tcW w:w="1420" w:type="dxa"/>
            <w:vAlign w:val="bottom"/>
            <w:tcBorders>
              <w:bottom w:val="single" w:sz="8" w:color="B6B6B6"/>
              <w:right w:val="single" w:sz="8" w:color="B6B6B6"/>
            </w:tcBorders>
            <w:shd w:val="clear" w:color="auto" w:fill="DBDBDB"/>
          </w:tcPr>
          <w:p>
            <w:pPr>
              <w:spacing w:after="0"/>
              <w:rPr>
                <w:sz w:val="18"/>
                <w:szCs w:val="18"/>
                <w:color w:val="auto"/>
              </w:rPr>
            </w:pPr>
          </w:p>
        </w:tc>
        <w:tc>
          <w:tcPr>
            <w:tcW w:w="940" w:type="dxa"/>
            <w:vAlign w:val="bottom"/>
            <w:tcBorders>
              <w:bottom w:val="single" w:sz="8" w:color="B6B6B6"/>
            </w:tcBorders>
            <w:shd w:val="clear" w:color="auto" w:fill="DBDBDB"/>
          </w:tcPr>
          <w:p>
            <w:pPr>
              <w:spacing w:after="0"/>
              <w:rPr>
                <w:sz w:val="18"/>
                <w:szCs w:val="18"/>
                <w:color w:val="auto"/>
              </w:rPr>
            </w:pPr>
          </w:p>
        </w:tc>
        <w:tc>
          <w:tcPr>
            <w:tcW w:w="200" w:type="dxa"/>
            <w:vAlign w:val="bottom"/>
            <w:tcBorders>
              <w:bottom w:val="single" w:sz="8" w:color="B6B6B6"/>
              <w:right w:val="single" w:sz="8" w:color="B6B6B6"/>
            </w:tcBorders>
            <w:shd w:val="clear" w:color="auto" w:fill="DBDBDB"/>
          </w:tcPr>
          <w:p>
            <w:pPr>
              <w:spacing w:after="0"/>
              <w:rPr>
                <w:sz w:val="18"/>
                <w:szCs w:val="18"/>
                <w:color w:val="auto"/>
              </w:rPr>
            </w:pPr>
          </w:p>
        </w:tc>
        <w:tc>
          <w:tcPr>
            <w:tcW w:w="1420" w:type="dxa"/>
            <w:vAlign w:val="bottom"/>
            <w:tcBorders>
              <w:bottom w:val="single" w:sz="8" w:color="B6B6B6"/>
              <w:right w:val="single" w:sz="8" w:color="B6B6B6"/>
            </w:tcBorders>
            <w:shd w:val="clear" w:color="auto" w:fill="DBDBDB"/>
          </w:tcPr>
          <w:p>
            <w:pPr>
              <w:spacing w:after="0"/>
              <w:rPr>
                <w:sz w:val="18"/>
                <w:szCs w:val="18"/>
                <w:color w:val="auto"/>
              </w:rPr>
            </w:pPr>
          </w:p>
        </w:tc>
        <w:tc>
          <w:tcPr>
            <w:tcW w:w="1080" w:type="dxa"/>
            <w:vAlign w:val="bottom"/>
            <w:tcBorders>
              <w:bottom w:val="single" w:sz="8" w:color="B6B6B6"/>
              <w:right w:val="single" w:sz="8" w:color="DBDBDB"/>
            </w:tcBorders>
            <w:shd w:val="clear" w:color="auto" w:fill="DBDBDB"/>
          </w:tcPr>
          <w:p>
            <w:pPr>
              <w:spacing w:after="0"/>
              <w:rPr>
                <w:sz w:val="18"/>
                <w:szCs w:val="18"/>
                <w:color w:val="auto"/>
              </w:rPr>
            </w:pPr>
          </w:p>
        </w:tc>
        <w:tc>
          <w:tcPr>
            <w:tcW w:w="2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0" w:type="dxa"/>
            <w:vAlign w:val="bottom"/>
            <w:tcBorders>
              <w:left w:val="single" w:sz="8" w:color="B6B6B6"/>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right w:val="single" w:sz="8" w:color="B6B6B6"/>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line="142" w:lineRule="exact"/>
              <w:rPr>
                <w:sz w:val="20"/>
                <w:szCs w:val="20"/>
                <w:color w:val="auto"/>
              </w:rPr>
            </w:pPr>
            <w:r>
              <w:rPr>
                <w:rFonts w:ascii="Arial" w:cs="Arial" w:eastAsia="Arial" w:hAnsi="Arial"/>
                <w:sz w:val="13"/>
                <w:szCs w:val="13"/>
                <w:color w:val="auto"/>
                <w:highlight w:val="lightGray"/>
                <w:w w:val="89"/>
              </w:rPr>
              <w:t>2024</w:t>
            </w:r>
          </w:p>
        </w:tc>
        <w:tc>
          <w:tcPr>
            <w:tcW w:w="240" w:type="dxa"/>
            <w:vAlign w:val="bottom"/>
            <w:tcBorders>
              <w:bottom w:val="single" w:sz="8" w:color="DBDBDB"/>
              <w:right w:val="single" w:sz="8" w:color="B6B6B6"/>
            </w:tcBorders>
            <w:shd w:val="clear" w:color="auto" w:fill="DBDBDB"/>
          </w:tcPr>
          <w:p>
            <w:pPr>
              <w:spacing w:after="0"/>
              <w:rPr>
                <w:sz w:val="15"/>
                <w:szCs w:val="15"/>
                <w:color w:val="auto"/>
              </w:rPr>
            </w:pPr>
          </w:p>
        </w:tc>
        <w:tc>
          <w:tcPr>
            <w:tcW w:w="1020" w:type="dxa"/>
            <w:vAlign w:val="bottom"/>
            <w:tcBorders>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highlight w:val="lightGray"/>
              </w:rPr>
              <w:t>640,953</w:t>
            </w:r>
          </w:p>
        </w:tc>
        <w:tc>
          <w:tcPr>
            <w:tcW w:w="62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right w:val="single" w:sz="8" w:color="B6B6B6"/>
            </w:tcBorders>
            <w:shd w:val="clear" w:color="auto" w:fill="DBDBDB"/>
          </w:tcPr>
          <w:p>
            <w:pPr>
              <w:spacing w:after="0" w:line="142" w:lineRule="exact"/>
              <w:rPr>
                <w:sz w:val="20"/>
                <w:szCs w:val="20"/>
                <w:color w:val="auto"/>
              </w:rPr>
            </w:pPr>
            <w:r>
              <w:rPr>
                <w:rFonts w:ascii="Arial" w:cs="Arial" w:eastAsia="Arial" w:hAnsi="Arial"/>
                <w:sz w:val="13"/>
                <w:szCs w:val="13"/>
                <w:color w:val="auto"/>
                <w:highlight w:val="lightGray"/>
              </w:rPr>
              <w:t>—</w:t>
            </w:r>
          </w:p>
        </w:tc>
        <w:tc>
          <w:tcPr>
            <w:tcW w:w="1120" w:type="dxa"/>
            <w:vAlign w:val="bottom"/>
            <w:tcBorders>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highlight w:val="lightGray"/>
              </w:rPr>
              <w:t>3,751,537</w:t>
            </w:r>
          </w:p>
        </w:tc>
        <w:tc>
          <w:tcPr>
            <w:tcW w:w="1420" w:type="dxa"/>
            <w:vAlign w:val="bottom"/>
            <w:tcBorders>
              <w:bottom w:val="single" w:sz="8" w:color="DBDBDB"/>
              <w:right w:val="single" w:sz="8" w:color="B6B6B6"/>
            </w:tcBorders>
            <w:shd w:val="clear" w:color="auto" w:fill="DBDBDB"/>
          </w:tcPr>
          <w:p>
            <w:pPr>
              <w:jc w:val="right"/>
              <w:ind w:right="15"/>
              <w:spacing w:after="0" w:line="142" w:lineRule="exact"/>
              <w:rPr>
                <w:sz w:val="20"/>
                <w:szCs w:val="20"/>
                <w:color w:val="auto"/>
              </w:rPr>
            </w:pPr>
            <w:r>
              <w:rPr>
                <w:rFonts w:ascii="Arial" w:cs="Arial" w:eastAsia="Arial" w:hAnsi="Arial"/>
                <w:sz w:val="13"/>
                <w:szCs w:val="13"/>
                <w:color w:val="auto"/>
                <w:highlight w:val="lightGray"/>
              </w:rPr>
              <w:t>446,785</w:t>
            </w:r>
          </w:p>
        </w:tc>
        <w:tc>
          <w:tcPr>
            <w:tcW w:w="1140" w:type="dxa"/>
            <w:vAlign w:val="bottom"/>
            <w:tcBorders>
              <w:bottom w:val="single" w:sz="8" w:color="DBDBDB"/>
              <w:right w:val="single" w:sz="8" w:color="B6B6B6"/>
            </w:tcBorders>
            <w:gridSpan w:val="2"/>
            <w:shd w:val="clear" w:color="auto" w:fill="DBDBDB"/>
          </w:tcPr>
          <w:p>
            <w:pPr>
              <w:jc w:val="right"/>
              <w:ind w:right="17"/>
              <w:spacing w:after="0" w:line="142" w:lineRule="exact"/>
              <w:rPr>
                <w:sz w:val="20"/>
                <w:szCs w:val="20"/>
                <w:color w:val="auto"/>
              </w:rPr>
            </w:pPr>
            <w:r>
              <w:rPr>
                <w:rFonts w:ascii="Arial" w:cs="Arial" w:eastAsia="Arial" w:hAnsi="Arial"/>
                <w:sz w:val="13"/>
                <w:szCs w:val="13"/>
                <w:color w:val="auto"/>
                <w:highlight w:val="lightGray"/>
              </w:rPr>
              <w:t>1,073,675</w:t>
            </w:r>
          </w:p>
        </w:tc>
        <w:tc>
          <w:tcPr>
            <w:tcW w:w="1420" w:type="dxa"/>
            <w:vAlign w:val="bottom"/>
            <w:tcBorders>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highlight w:val="lightGray"/>
              </w:rPr>
              <w:t>290,225</w:t>
            </w:r>
          </w:p>
        </w:tc>
        <w:tc>
          <w:tcPr>
            <w:tcW w:w="1080" w:type="dxa"/>
            <w:vAlign w:val="bottom"/>
            <w:tcBorders>
              <w:bottom w:val="single" w:sz="8" w:color="DBDBDB"/>
              <w:right w:val="single" w:sz="8" w:color="DBDBDB"/>
            </w:tcBorders>
            <w:shd w:val="clear" w:color="auto" w:fill="DBDBDB"/>
          </w:tcPr>
          <w:p>
            <w:pPr>
              <w:jc w:val="right"/>
              <w:spacing w:after="0" w:line="142" w:lineRule="exact"/>
              <w:rPr>
                <w:sz w:val="20"/>
                <w:szCs w:val="20"/>
                <w:color w:val="auto"/>
              </w:rPr>
            </w:pPr>
            <w:r>
              <w:rPr>
                <w:rFonts w:ascii="Arial" w:cs="Arial" w:eastAsia="Arial" w:hAnsi="Arial"/>
                <w:sz w:val="13"/>
                <w:szCs w:val="13"/>
                <w:color w:val="auto"/>
                <w:highlight w:val="lightGray"/>
              </w:rPr>
              <w:t>6,203,175</w:t>
            </w:r>
          </w:p>
        </w:tc>
        <w:tc>
          <w:tcPr>
            <w:tcW w:w="20" w:type="dxa"/>
            <w:vAlign w:val="bottom"/>
            <w:tcBorders>
              <w:bottom w:val="single" w:sz="8" w:color="B6B6B6"/>
            </w:tcBorders>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40" w:type="dxa"/>
            <w:vAlign w:val="bottom"/>
            <w:tcBorders>
              <w:top w:val="single" w:sz="8" w:color="DBDBDB"/>
              <w:left w:val="single" w:sz="8" w:color="B6B6B6"/>
              <w:bottom w:val="single" w:sz="8" w:color="DBDBDB"/>
            </w:tcBorders>
            <w:shd w:val="clear" w:color="auto" w:fill="DBDBDB"/>
          </w:tcPr>
          <w:p>
            <w:pPr>
              <w:spacing w:after="0"/>
              <w:rPr>
                <w:sz w:val="14"/>
                <w:szCs w:val="14"/>
                <w:color w:val="auto"/>
              </w:rPr>
            </w:pPr>
          </w:p>
        </w:tc>
        <w:tc>
          <w:tcPr>
            <w:tcW w:w="160" w:type="dxa"/>
            <w:vAlign w:val="bottom"/>
            <w:tcBorders>
              <w:top w:val="single" w:sz="8" w:color="DBDBDB"/>
              <w:bottom w:val="single" w:sz="8" w:color="DBDBDB"/>
            </w:tcBorders>
            <w:shd w:val="clear" w:color="auto" w:fill="DBDBDB"/>
          </w:tcPr>
          <w:p>
            <w:pPr>
              <w:spacing w:after="0"/>
              <w:rPr>
                <w:sz w:val="14"/>
                <w:szCs w:val="14"/>
                <w:color w:val="auto"/>
              </w:rPr>
            </w:pP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c>
          <w:tcPr>
            <w:tcW w:w="120" w:type="dxa"/>
            <w:vAlign w:val="bottom"/>
            <w:tcBorders>
              <w:top w:val="single" w:sz="8" w:color="DBDBDB"/>
              <w:bottom w:val="single" w:sz="8" w:color="DBDBDB"/>
            </w:tcBorders>
            <w:shd w:val="clear" w:color="auto" w:fill="DBDBDB"/>
          </w:tcPr>
          <w:p>
            <w:pPr>
              <w:spacing w:after="0"/>
              <w:rPr>
                <w:sz w:val="14"/>
                <w:szCs w:val="14"/>
                <w:color w:val="auto"/>
              </w:rPr>
            </w:pPr>
          </w:p>
        </w:tc>
        <w:tc>
          <w:tcPr>
            <w:tcW w:w="60" w:type="dxa"/>
            <w:vAlign w:val="bottom"/>
            <w:tcBorders>
              <w:top w:val="single" w:sz="8" w:color="DBDBDB"/>
              <w:bottom w:val="single" w:sz="8" w:color="DBDBDB"/>
            </w:tcBorders>
            <w:shd w:val="clear" w:color="auto" w:fill="DBDBDB"/>
          </w:tcPr>
          <w:p>
            <w:pPr>
              <w:spacing w:after="0"/>
              <w:rPr>
                <w:sz w:val="14"/>
                <w:szCs w:val="14"/>
                <w:color w:val="auto"/>
              </w:rPr>
            </w:pPr>
          </w:p>
        </w:tc>
        <w:tc>
          <w:tcPr>
            <w:tcW w:w="40" w:type="dxa"/>
            <w:vAlign w:val="bottom"/>
            <w:tcBorders>
              <w:top w:val="single" w:sz="8" w:color="DBDBDB"/>
              <w:bottom w:val="single" w:sz="8" w:color="DBDBDB"/>
            </w:tcBorders>
            <w:shd w:val="clear" w:color="auto" w:fill="DBDBDB"/>
          </w:tcPr>
          <w:p>
            <w:pPr>
              <w:spacing w:after="0"/>
              <w:rPr>
                <w:sz w:val="14"/>
                <w:szCs w:val="14"/>
                <w:color w:val="auto"/>
              </w:rPr>
            </w:pPr>
          </w:p>
        </w:tc>
        <w:tc>
          <w:tcPr>
            <w:tcW w:w="80" w:type="dxa"/>
            <w:vAlign w:val="bottom"/>
            <w:tcBorders>
              <w:top w:val="single" w:sz="8" w:color="DBDBDB"/>
              <w:bottom w:val="single" w:sz="8" w:color="DBDBDB"/>
            </w:tcBorders>
            <w:shd w:val="clear" w:color="auto" w:fill="DBDBDB"/>
          </w:tcPr>
          <w:p>
            <w:pPr>
              <w:spacing w:after="0"/>
              <w:rPr>
                <w:sz w:val="14"/>
                <w:szCs w:val="14"/>
                <w:color w:val="auto"/>
              </w:rPr>
            </w:pPr>
          </w:p>
        </w:tc>
        <w:tc>
          <w:tcPr>
            <w:tcW w:w="180" w:type="dxa"/>
            <w:vAlign w:val="bottom"/>
            <w:tcBorders>
              <w:top w:val="single" w:sz="8" w:color="DBDBDB"/>
              <w:bottom w:val="single" w:sz="8" w:color="DBDBDB"/>
              <w:right w:val="single" w:sz="8" w:color="B6B6B6"/>
            </w:tcBorders>
            <w:shd w:val="clear" w:color="auto" w:fill="DBDBDB"/>
          </w:tcPr>
          <w:p>
            <w:pPr>
              <w:spacing w:after="0"/>
              <w:rPr>
                <w:sz w:val="14"/>
                <w:szCs w:val="14"/>
                <w:color w:val="auto"/>
              </w:rPr>
            </w:pPr>
          </w:p>
        </w:tc>
        <w:tc>
          <w:tcPr>
            <w:tcW w:w="200" w:type="dxa"/>
            <w:vAlign w:val="bottom"/>
            <w:tcBorders>
              <w:top w:val="single" w:sz="8" w:color="B6B6B6"/>
              <w:bottom w:val="single" w:sz="8" w:color="DBDBDB"/>
            </w:tcBorders>
            <w:shd w:val="clear" w:color="auto" w:fill="DBDBDB"/>
          </w:tcPr>
          <w:p>
            <w:pPr>
              <w:spacing w:after="0"/>
              <w:rPr>
                <w:sz w:val="14"/>
                <w:szCs w:val="14"/>
                <w:color w:val="auto"/>
              </w:rPr>
            </w:pPr>
          </w:p>
        </w:tc>
        <w:tc>
          <w:tcPr>
            <w:tcW w:w="280" w:type="dxa"/>
            <w:vAlign w:val="bottom"/>
            <w:tcBorders>
              <w:top w:val="single" w:sz="8" w:color="B6B6B6"/>
              <w:bottom w:val="single" w:sz="8" w:color="DBDBDB"/>
            </w:tcBorders>
            <w:shd w:val="clear" w:color="auto" w:fill="DBDBDB"/>
          </w:tcPr>
          <w:p>
            <w:pPr>
              <w:spacing w:after="0" w:line="142" w:lineRule="exact"/>
              <w:rPr>
                <w:sz w:val="20"/>
                <w:szCs w:val="20"/>
                <w:color w:val="auto"/>
              </w:rPr>
            </w:pPr>
            <w:r>
              <w:rPr>
                <w:rFonts w:ascii="Arial" w:cs="Arial" w:eastAsia="Arial" w:hAnsi="Arial"/>
                <w:sz w:val="13"/>
                <w:szCs w:val="13"/>
                <w:color w:val="auto"/>
                <w:highlight w:val="lightGray"/>
                <w:w w:val="89"/>
              </w:rPr>
              <w:t>2023</w:t>
            </w:r>
          </w:p>
        </w:tc>
        <w:tc>
          <w:tcPr>
            <w:tcW w:w="240" w:type="dxa"/>
            <w:vAlign w:val="bottom"/>
            <w:tcBorders>
              <w:top w:val="single" w:sz="8" w:color="B6B6B6"/>
              <w:bottom w:val="single" w:sz="8" w:color="DBDBDB"/>
              <w:right w:val="single" w:sz="8" w:color="B6B6B6"/>
            </w:tcBorders>
            <w:shd w:val="clear" w:color="auto" w:fill="DBDBDB"/>
          </w:tcPr>
          <w:p>
            <w:pPr>
              <w:spacing w:after="0"/>
              <w:rPr>
                <w:sz w:val="14"/>
                <w:szCs w:val="14"/>
                <w:color w:val="auto"/>
              </w:rPr>
            </w:pPr>
          </w:p>
        </w:tc>
        <w:tc>
          <w:tcPr>
            <w:tcW w:w="1020" w:type="dxa"/>
            <w:vAlign w:val="bottom"/>
            <w:tcBorders>
              <w:top w:val="single" w:sz="8" w:color="B6B6B6"/>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highlight w:val="lightGray"/>
              </w:rPr>
              <w:t>576,258</w:t>
            </w:r>
          </w:p>
        </w:tc>
        <w:tc>
          <w:tcPr>
            <w:tcW w:w="620" w:type="dxa"/>
            <w:vAlign w:val="bottom"/>
            <w:tcBorders>
              <w:top w:val="single" w:sz="8" w:color="B6B6B6"/>
              <w:bottom w:val="single" w:sz="8" w:color="DBDBDB"/>
            </w:tcBorders>
            <w:shd w:val="clear" w:color="auto" w:fill="DBDBDB"/>
          </w:tcPr>
          <w:p>
            <w:pPr>
              <w:spacing w:after="0"/>
              <w:rPr>
                <w:sz w:val="14"/>
                <w:szCs w:val="14"/>
                <w:color w:val="auto"/>
              </w:rPr>
            </w:pPr>
          </w:p>
        </w:tc>
        <w:tc>
          <w:tcPr>
            <w:tcW w:w="200" w:type="dxa"/>
            <w:vAlign w:val="bottom"/>
            <w:tcBorders>
              <w:top w:val="single" w:sz="8" w:color="B6B6B6"/>
              <w:bottom w:val="single" w:sz="8" w:color="DBDBDB"/>
              <w:right w:val="single" w:sz="8" w:color="B6B6B6"/>
            </w:tcBorders>
            <w:shd w:val="clear" w:color="auto" w:fill="DBDBDB"/>
          </w:tcPr>
          <w:p>
            <w:pPr>
              <w:spacing w:after="0" w:line="142" w:lineRule="exact"/>
              <w:rPr>
                <w:sz w:val="20"/>
                <w:szCs w:val="20"/>
                <w:color w:val="auto"/>
              </w:rPr>
            </w:pPr>
            <w:r>
              <w:rPr>
                <w:rFonts w:ascii="Arial" w:cs="Arial" w:eastAsia="Arial" w:hAnsi="Arial"/>
                <w:sz w:val="13"/>
                <w:szCs w:val="13"/>
                <w:color w:val="auto"/>
                <w:highlight w:val="lightGray"/>
              </w:rPr>
              <w:t>—</w:t>
            </w:r>
          </w:p>
        </w:tc>
        <w:tc>
          <w:tcPr>
            <w:tcW w:w="1120" w:type="dxa"/>
            <w:vAlign w:val="bottom"/>
            <w:tcBorders>
              <w:top w:val="single" w:sz="8" w:color="B6B6B6"/>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highlight w:val="lightGray"/>
              </w:rPr>
              <w:t>3,178,745</w:t>
            </w:r>
          </w:p>
        </w:tc>
        <w:tc>
          <w:tcPr>
            <w:tcW w:w="1420" w:type="dxa"/>
            <w:vAlign w:val="bottom"/>
            <w:tcBorders>
              <w:top w:val="single" w:sz="8" w:color="B6B6B6"/>
              <w:bottom w:val="single" w:sz="8" w:color="DBDBDB"/>
              <w:right w:val="single" w:sz="8" w:color="B6B6B6"/>
            </w:tcBorders>
            <w:shd w:val="clear" w:color="auto" w:fill="DBDBDB"/>
          </w:tcPr>
          <w:p>
            <w:pPr>
              <w:jc w:val="right"/>
              <w:ind w:right="15"/>
              <w:spacing w:after="0" w:line="142" w:lineRule="exact"/>
              <w:rPr>
                <w:sz w:val="20"/>
                <w:szCs w:val="20"/>
                <w:color w:val="auto"/>
              </w:rPr>
            </w:pPr>
            <w:r>
              <w:rPr>
                <w:rFonts w:ascii="Arial" w:cs="Arial" w:eastAsia="Arial" w:hAnsi="Arial"/>
                <w:sz w:val="13"/>
                <w:szCs w:val="13"/>
                <w:color w:val="auto"/>
                <w:highlight w:val="lightGray"/>
              </w:rPr>
              <w:t>1,266,464</w:t>
            </w:r>
          </w:p>
        </w:tc>
        <w:tc>
          <w:tcPr>
            <w:tcW w:w="1140" w:type="dxa"/>
            <w:vAlign w:val="bottom"/>
            <w:tcBorders>
              <w:top w:val="single" w:sz="8" w:color="B6B6B6"/>
              <w:bottom w:val="single" w:sz="8" w:color="DBDBDB"/>
              <w:right w:val="single" w:sz="8" w:color="B6B6B6"/>
            </w:tcBorders>
            <w:gridSpan w:val="2"/>
            <w:shd w:val="clear" w:color="auto" w:fill="DBDBDB"/>
          </w:tcPr>
          <w:p>
            <w:pPr>
              <w:jc w:val="right"/>
              <w:ind w:right="17"/>
              <w:spacing w:after="0" w:line="142" w:lineRule="exact"/>
              <w:rPr>
                <w:sz w:val="20"/>
                <w:szCs w:val="20"/>
                <w:color w:val="auto"/>
              </w:rPr>
            </w:pPr>
            <w:r>
              <w:rPr>
                <w:rFonts w:ascii="Arial" w:cs="Arial" w:eastAsia="Arial" w:hAnsi="Arial"/>
                <w:sz w:val="13"/>
                <w:szCs w:val="13"/>
                <w:color w:val="auto"/>
                <w:highlight w:val="lightGray"/>
              </w:rPr>
              <w:t>197,405</w:t>
            </w:r>
          </w:p>
        </w:tc>
        <w:tc>
          <w:tcPr>
            <w:tcW w:w="1420" w:type="dxa"/>
            <w:vAlign w:val="bottom"/>
            <w:tcBorders>
              <w:top w:val="single" w:sz="8" w:color="B6B6B6"/>
              <w:bottom w:val="single" w:sz="8" w:color="DBDBDB"/>
              <w:right w:val="single" w:sz="8" w:color="B6B6B6"/>
            </w:tcBorders>
            <w:shd w:val="clear" w:color="auto" w:fill="DBDBDB"/>
          </w:tcPr>
          <w:p>
            <w:pPr>
              <w:jc w:val="right"/>
              <w:ind w:right="16"/>
              <w:spacing w:after="0" w:line="142" w:lineRule="exact"/>
              <w:rPr>
                <w:sz w:val="20"/>
                <w:szCs w:val="20"/>
                <w:color w:val="auto"/>
              </w:rPr>
            </w:pPr>
            <w:r>
              <w:rPr>
                <w:rFonts w:ascii="Arial" w:cs="Arial" w:eastAsia="Arial" w:hAnsi="Arial"/>
                <w:sz w:val="13"/>
                <w:szCs w:val="13"/>
                <w:color w:val="auto"/>
                <w:highlight w:val="lightGray"/>
              </w:rPr>
              <w:t>208,923</w:t>
            </w:r>
          </w:p>
        </w:tc>
        <w:tc>
          <w:tcPr>
            <w:tcW w:w="1080" w:type="dxa"/>
            <w:vAlign w:val="bottom"/>
            <w:tcBorders>
              <w:top w:val="single" w:sz="8" w:color="B6B6B6"/>
              <w:bottom w:val="single" w:sz="8" w:color="DBDBDB"/>
              <w:right w:val="single" w:sz="8" w:color="DBDBDB"/>
            </w:tcBorders>
            <w:shd w:val="clear" w:color="auto" w:fill="DBDBDB"/>
          </w:tcPr>
          <w:p>
            <w:pPr>
              <w:jc w:val="right"/>
              <w:spacing w:after="0" w:line="142" w:lineRule="exact"/>
              <w:rPr>
                <w:sz w:val="20"/>
                <w:szCs w:val="20"/>
                <w:color w:val="auto"/>
              </w:rPr>
            </w:pPr>
            <w:r>
              <w:rPr>
                <w:rFonts w:ascii="Arial" w:cs="Arial" w:eastAsia="Arial" w:hAnsi="Arial"/>
                <w:sz w:val="13"/>
                <w:szCs w:val="13"/>
                <w:color w:val="auto"/>
                <w:highlight w:val="lightGray"/>
              </w:rPr>
              <w:t>5,427,795</w:t>
            </w:r>
          </w:p>
        </w:tc>
        <w:tc>
          <w:tcPr>
            <w:tcW w:w="20" w:type="dxa"/>
            <w:vAlign w:val="bottom"/>
            <w:tcBorders>
              <w:top w:val="single" w:sz="8" w:color="B6B6B6"/>
              <w:bottom w:val="single" w:sz="8" w:color="B6B6B6"/>
            </w:tcBorders>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Borders>
              <w:left w:val="single" w:sz="8" w:color="B6B6B6"/>
            </w:tcBorders>
            <w:shd w:val="clear" w:color="auto" w:fill="B6B6B6"/>
          </w:tcPr>
          <w:p>
            <w:pPr>
              <w:spacing w:after="0" w:line="20" w:lineRule="exact"/>
              <w:rPr>
                <w:sz w:val="1"/>
                <w:szCs w:val="1"/>
                <w:color w:val="auto"/>
              </w:rPr>
            </w:pPr>
          </w:p>
        </w:tc>
        <w:tc>
          <w:tcPr>
            <w:tcW w:w="160" w:type="dxa"/>
            <w:vAlign w:val="bottom"/>
            <w:shd w:val="clear" w:color="auto" w:fill="B6B6B6"/>
          </w:tcPr>
          <w:p>
            <w:pPr>
              <w:spacing w:after="0" w:line="20" w:lineRule="exact"/>
              <w:rPr>
                <w:sz w:val="1"/>
                <w:szCs w:val="1"/>
                <w:color w:val="auto"/>
              </w:rPr>
            </w:pPr>
          </w:p>
        </w:tc>
        <w:tc>
          <w:tcPr>
            <w:tcW w:w="100" w:type="dxa"/>
            <w:vAlign w:val="bottom"/>
            <w:shd w:val="clear" w:color="auto" w:fill="B6B6B6"/>
          </w:tcPr>
          <w:p>
            <w:pPr>
              <w:spacing w:after="0" w:line="20" w:lineRule="exact"/>
              <w:rPr>
                <w:sz w:val="1"/>
                <w:szCs w:val="1"/>
                <w:color w:val="auto"/>
              </w:rPr>
            </w:pPr>
          </w:p>
        </w:tc>
        <w:tc>
          <w:tcPr>
            <w:tcW w:w="60" w:type="dxa"/>
            <w:vAlign w:val="bottom"/>
            <w:shd w:val="clear" w:color="auto" w:fill="B6B6B6"/>
          </w:tcPr>
          <w:p>
            <w:pPr>
              <w:spacing w:after="0" w:line="20" w:lineRule="exact"/>
              <w:rPr>
                <w:sz w:val="1"/>
                <w:szCs w:val="1"/>
                <w:color w:val="auto"/>
              </w:rPr>
            </w:pPr>
          </w:p>
        </w:tc>
        <w:tc>
          <w:tcPr>
            <w:tcW w:w="120" w:type="dxa"/>
            <w:vAlign w:val="bottom"/>
            <w:shd w:val="clear" w:color="auto" w:fill="B6B6B6"/>
          </w:tcPr>
          <w:p>
            <w:pPr>
              <w:spacing w:after="0" w:line="20" w:lineRule="exact"/>
              <w:rPr>
                <w:sz w:val="1"/>
                <w:szCs w:val="1"/>
                <w:color w:val="auto"/>
              </w:rPr>
            </w:pPr>
          </w:p>
        </w:tc>
        <w:tc>
          <w:tcPr>
            <w:tcW w:w="60" w:type="dxa"/>
            <w:vAlign w:val="bottom"/>
            <w:shd w:val="clear" w:color="auto" w:fill="B6B6B6"/>
          </w:tcPr>
          <w:p>
            <w:pPr>
              <w:spacing w:after="0" w:line="20" w:lineRule="exact"/>
              <w:rPr>
                <w:sz w:val="1"/>
                <w:szCs w:val="1"/>
                <w:color w:val="auto"/>
              </w:rPr>
            </w:pPr>
          </w:p>
        </w:tc>
        <w:tc>
          <w:tcPr>
            <w:tcW w:w="40" w:type="dxa"/>
            <w:vAlign w:val="bottom"/>
            <w:shd w:val="clear" w:color="auto" w:fill="B6B6B6"/>
          </w:tcPr>
          <w:p>
            <w:pPr>
              <w:spacing w:after="0" w:line="20" w:lineRule="exact"/>
              <w:rPr>
                <w:sz w:val="1"/>
                <w:szCs w:val="1"/>
                <w:color w:val="auto"/>
              </w:rPr>
            </w:pPr>
          </w:p>
        </w:tc>
        <w:tc>
          <w:tcPr>
            <w:tcW w:w="80" w:type="dxa"/>
            <w:vAlign w:val="bottom"/>
            <w:shd w:val="clear" w:color="auto" w:fill="B6B6B6"/>
          </w:tcPr>
          <w:p>
            <w:pPr>
              <w:spacing w:after="0" w:line="20" w:lineRule="exact"/>
              <w:rPr>
                <w:sz w:val="1"/>
                <w:szCs w:val="1"/>
                <w:color w:val="auto"/>
              </w:rPr>
            </w:pPr>
          </w:p>
        </w:tc>
        <w:tc>
          <w:tcPr>
            <w:tcW w:w="180" w:type="dxa"/>
            <w:vAlign w:val="bottom"/>
            <w:tcBorders>
              <w:right w:val="single" w:sz="8" w:color="B6B6B6"/>
            </w:tcBorders>
            <w:shd w:val="clear" w:color="auto" w:fill="B6B6B6"/>
          </w:tcPr>
          <w:p>
            <w:pPr>
              <w:spacing w:after="0" w:line="20" w:lineRule="exact"/>
              <w:rPr>
                <w:sz w:val="1"/>
                <w:szCs w:val="1"/>
                <w:color w:val="auto"/>
              </w:rPr>
            </w:pPr>
          </w:p>
        </w:tc>
        <w:tc>
          <w:tcPr>
            <w:tcW w:w="200" w:type="dxa"/>
            <w:vAlign w:val="bottom"/>
            <w:shd w:val="clear" w:color="auto" w:fill="B6B6B6"/>
          </w:tcPr>
          <w:p>
            <w:pPr>
              <w:spacing w:after="0" w:line="20" w:lineRule="exact"/>
              <w:rPr>
                <w:sz w:val="1"/>
                <w:szCs w:val="1"/>
                <w:color w:val="auto"/>
              </w:rPr>
            </w:pPr>
          </w:p>
        </w:tc>
        <w:tc>
          <w:tcPr>
            <w:tcW w:w="280" w:type="dxa"/>
            <w:vAlign w:val="bottom"/>
            <w:shd w:val="clear" w:color="auto" w:fill="B6B6B6"/>
          </w:tcPr>
          <w:p>
            <w:pPr>
              <w:spacing w:after="0" w:line="20" w:lineRule="exact"/>
              <w:rPr>
                <w:sz w:val="1"/>
                <w:szCs w:val="1"/>
                <w:color w:val="auto"/>
              </w:rPr>
            </w:pPr>
          </w:p>
        </w:tc>
        <w:tc>
          <w:tcPr>
            <w:tcW w:w="240" w:type="dxa"/>
            <w:vAlign w:val="bottom"/>
            <w:tcBorders>
              <w:right w:val="single" w:sz="8" w:color="B6B6B6"/>
            </w:tcBorders>
            <w:shd w:val="clear" w:color="auto" w:fill="B6B6B6"/>
          </w:tcPr>
          <w:p>
            <w:pPr>
              <w:spacing w:after="0" w:line="20" w:lineRule="exact"/>
              <w:rPr>
                <w:sz w:val="1"/>
                <w:szCs w:val="1"/>
                <w:color w:val="auto"/>
              </w:rPr>
            </w:pPr>
          </w:p>
        </w:tc>
        <w:tc>
          <w:tcPr>
            <w:tcW w:w="1020" w:type="dxa"/>
            <w:vAlign w:val="bottom"/>
            <w:tcBorders>
              <w:right w:val="single" w:sz="8" w:color="B6B6B6"/>
            </w:tcBorders>
            <w:shd w:val="clear" w:color="auto" w:fill="B6B6B6"/>
          </w:tcPr>
          <w:p>
            <w:pPr>
              <w:spacing w:after="0" w:line="20" w:lineRule="exact"/>
              <w:rPr>
                <w:sz w:val="1"/>
                <w:szCs w:val="1"/>
                <w:color w:val="auto"/>
              </w:rPr>
            </w:pPr>
          </w:p>
        </w:tc>
        <w:tc>
          <w:tcPr>
            <w:tcW w:w="620" w:type="dxa"/>
            <w:vAlign w:val="bottom"/>
            <w:shd w:val="clear" w:color="auto" w:fill="B6B6B6"/>
          </w:tcPr>
          <w:p>
            <w:pPr>
              <w:spacing w:after="0" w:line="20" w:lineRule="exact"/>
              <w:rPr>
                <w:sz w:val="1"/>
                <w:szCs w:val="1"/>
                <w:color w:val="auto"/>
              </w:rPr>
            </w:pPr>
          </w:p>
        </w:tc>
        <w:tc>
          <w:tcPr>
            <w:tcW w:w="200" w:type="dxa"/>
            <w:vAlign w:val="bottom"/>
            <w:tcBorders>
              <w:right w:val="single" w:sz="8" w:color="B6B6B6"/>
            </w:tcBorders>
            <w:shd w:val="clear" w:color="auto" w:fill="B6B6B6"/>
          </w:tcPr>
          <w:p>
            <w:pPr>
              <w:spacing w:after="0" w:line="20" w:lineRule="exact"/>
              <w:rPr>
                <w:sz w:val="1"/>
                <w:szCs w:val="1"/>
                <w:color w:val="auto"/>
              </w:rPr>
            </w:pPr>
          </w:p>
        </w:tc>
        <w:tc>
          <w:tcPr>
            <w:tcW w:w="1120" w:type="dxa"/>
            <w:vAlign w:val="bottom"/>
            <w:tcBorders>
              <w:right w:val="single" w:sz="8" w:color="B6B6B6"/>
            </w:tcBorders>
            <w:shd w:val="clear" w:color="auto" w:fill="B6B6B6"/>
          </w:tcPr>
          <w:p>
            <w:pPr>
              <w:spacing w:after="0" w:line="20" w:lineRule="exact"/>
              <w:rPr>
                <w:sz w:val="1"/>
                <w:szCs w:val="1"/>
                <w:color w:val="auto"/>
              </w:rPr>
            </w:pPr>
          </w:p>
        </w:tc>
        <w:tc>
          <w:tcPr>
            <w:tcW w:w="1420" w:type="dxa"/>
            <w:vAlign w:val="bottom"/>
            <w:tcBorders>
              <w:right w:val="single" w:sz="8" w:color="B6B6B6"/>
            </w:tcBorders>
            <w:shd w:val="clear" w:color="auto" w:fill="B6B6B6"/>
          </w:tcPr>
          <w:p>
            <w:pPr>
              <w:spacing w:after="0" w:line="20" w:lineRule="exact"/>
              <w:rPr>
                <w:sz w:val="1"/>
                <w:szCs w:val="1"/>
                <w:color w:val="auto"/>
              </w:rPr>
            </w:pPr>
          </w:p>
        </w:tc>
        <w:tc>
          <w:tcPr>
            <w:tcW w:w="940" w:type="dxa"/>
            <w:vAlign w:val="bottom"/>
            <w:shd w:val="clear" w:color="auto" w:fill="B6B6B6"/>
          </w:tcPr>
          <w:p>
            <w:pPr>
              <w:spacing w:after="0" w:line="20" w:lineRule="exact"/>
              <w:rPr>
                <w:sz w:val="1"/>
                <w:szCs w:val="1"/>
                <w:color w:val="auto"/>
              </w:rPr>
            </w:pPr>
          </w:p>
        </w:tc>
        <w:tc>
          <w:tcPr>
            <w:tcW w:w="200" w:type="dxa"/>
            <w:vAlign w:val="bottom"/>
            <w:tcBorders>
              <w:right w:val="single" w:sz="8" w:color="B6B6B6"/>
            </w:tcBorders>
            <w:shd w:val="clear" w:color="auto" w:fill="B6B6B6"/>
          </w:tcPr>
          <w:p>
            <w:pPr>
              <w:spacing w:after="0" w:line="20" w:lineRule="exact"/>
              <w:rPr>
                <w:sz w:val="1"/>
                <w:szCs w:val="1"/>
                <w:color w:val="auto"/>
              </w:rPr>
            </w:pPr>
          </w:p>
        </w:tc>
        <w:tc>
          <w:tcPr>
            <w:tcW w:w="1420" w:type="dxa"/>
            <w:vAlign w:val="bottom"/>
            <w:tcBorders>
              <w:right w:val="single" w:sz="8" w:color="B6B6B6"/>
            </w:tcBorders>
            <w:shd w:val="clear" w:color="auto" w:fill="B6B6B6"/>
          </w:tcPr>
          <w:p>
            <w:pPr>
              <w:spacing w:after="0" w:line="20" w:lineRule="exact"/>
              <w:rPr>
                <w:sz w:val="1"/>
                <w:szCs w:val="1"/>
                <w:color w:val="auto"/>
              </w:rPr>
            </w:pPr>
          </w:p>
        </w:tc>
        <w:tc>
          <w:tcPr>
            <w:tcW w:w="1080" w:type="dxa"/>
            <w:vAlign w:val="bottom"/>
            <w:tcBorders>
              <w:right w:val="single" w:sz="8" w:color="B6B6B6"/>
            </w:tcBorders>
            <w:shd w:val="clear" w:color="auto" w:fill="B6B6B6"/>
          </w:tcPr>
          <w:p>
            <w:pPr>
              <w:spacing w:after="0" w:line="20" w:lineRule="exact"/>
              <w:rPr>
                <w:sz w:val="1"/>
                <w:szCs w:val="1"/>
                <w:color w:val="auto"/>
              </w:rPr>
            </w:pPr>
          </w:p>
        </w:tc>
        <w:tc>
          <w:tcPr>
            <w:tcW w:w="20" w:type="dxa"/>
            <w:vAlign w:val="bottom"/>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Mr. Bandrowczak ceased serving as the Chief Executive Officer effective March 31, 2026.</w:t>
      </w:r>
    </w:p>
    <w:p>
      <w:pPr>
        <w:ind w:left="180" w:hanging="172"/>
        <w:spacing w:after="0" w:line="214" w:lineRule="auto"/>
        <w:tabs>
          <w:tab w:leader="none" w:pos="18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Mr. Bruno resigned from his position with the Company on August 31, 2025, but continues to serve on the Board.</w:t>
      </w:r>
    </w:p>
    <w:p>
      <w:pPr>
        <w:ind w:left="180" w:right="200" w:hanging="172"/>
        <w:spacing w:after="0" w:line="231" w:lineRule="auto"/>
        <w:tabs>
          <w:tab w:leader="none" w:pos="193" w:val="left"/>
        </w:tabs>
        <w:numPr>
          <w:ilvl w:val="0"/>
          <w:numId w:val="65"/>
        </w:numPr>
        <w:rPr>
          <w:rFonts w:ascii="Arial" w:cs="Arial" w:eastAsia="Arial" w:hAnsi="Arial"/>
          <w:sz w:val="22"/>
          <w:szCs w:val="22"/>
          <w:color w:val="auto"/>
          <w:vertAlign w:val="superscript"/>
        </w:rPr>
      </w:pPr>
      <w:r>
        <w:rPr>
          <w:rFonts w:ascii="Arial" w:cs="Arial" w:eastAsia="Arial" w:hAnsi="Arial"/>
          <w:sz w:val="17"/>
          <w:szCs w:val="17"/>
          <w:color w:val="auto"/>
        </w:rPr>
        <w:t>Mr. Pastor was appointed Chief Executive Officer effective March 31, 2026. He was previously appointed President and Chief Operating Officer effective September 1, 2025, and prior to that served as the Chief Administrative Officer and Global Head of Operations.</w:t>
      </w:r>
    </w:p>
    <w:p>
      <w:pPr>
        <w:ind w:left="180" w:hanging="172"/>
        <w:spacing w:after="0" w:line="214" w:lineRule="auto"/>
        <w:tabs>
          <w:tab w:leader="none" w:pos="18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Mr. Butler and Mses. Colón and Gecaj were not NEOs prior to 2025.</w:t>
      </w:r>
    </w:p>
    <w:p>
      <w:pPr>
        <w:ind w:left="180" w:hanging="172"/>
        <w:spacing w:after="0" w:line="214" w:lineRule="auto"/>
        <w:tabs>
          <w:tab w:leader="none" w:pos="18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Ms. Gecaj's employment with the Company ended on December 2, 2025.</w:t>
      </w:r>
    </w:p>
    <w:p>
      <w:pPr>
        <w:ind w:left="180" w:hanging="172"/>
        <w:spacing w:after="0" w:line="219" w:lineRule="auto"/>
        <w:tabs>
          <w:tab w:leader="none" w:pos="180" w:val="left"/>
        </w:tabs>
        <w:numPr>
          <w:ilvl w:val="0"/>
          <w:numId w:val="65"/>
        </w:numPr>
        <w:rPr>
          <w:rFonts w:ascii="Arial" w:cs="Arial" w:eastAsia="Arial" w:hAnsi="Arial"/>
          <w:sz w:val="21"/>
          <w:szCs w:val="21"/>
          <w:color w:val="231F20"/>
          <w:vertAlign w:val="superscript"/>
        </w:rPr>
      </w:pPr>
      <w:r>
        <w:rPr>
          <w:rFonts w:ascii="Arial" w:cs="Arial" w:eastAsia="Arial" w:hAnsi="Arial"/>
          <w:sz w:val="16"/>
          <w:szCs w:val="16"/>
          <w:color w:val="231F20"/>
        </w:rPr>
        <w:t>Mr. Heiss retired from his position with the Company on January 31, 2025.</w:t>
      </w:r>
    </w:p>
    <w:p>
      <w:pPr>
        <w:spacing w:after="0" w:line="86"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Salaries are in USD.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Annual MIP awards appear as “Non-Equity Incentive Plan Compensation” in column D.</w:t>
      </w:r>
    </w:p>
    <w:p>
      <w:pPr>
        <w:spacing w:after="0" w:line="117" w:lineRule="exact"/>
        <w:rPr>
          <w:rFonts w:ascii="Arial" w:cs="Arial" w:eastAsia="Arial" w:hAnsi="Arial"/>
          <w:sz w:val="18"/>
          <w:szCs w:val="18"/>
          <w:color w:val="auto"/>
        </w:rPr>
      </w:pPr>
    </w:p>
    <w:p>
      <w:pPr>
        <w:ind w:left="340" w:hanging="332"/>
        <w:spacing w:after="0" w:line="255" w:lineRule="auto"/>
        <w:tabs>
          <w:tab w:leader="none" w:pos="3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shown in this column represent the aggregate grant date fair values of equity awards in the form of PSUs and RSUs granted to our NEOs for each respective year, computed in accordance with FASB ASC Topic 718, Compensation — Stock Compensation. A discussion of the assumptions used in calculating the fair value of such awards may be found in Note 23 (Stock-Based Compensation) to our 2025 audited financial statements of our Annual Report on Form 10-K filed with the SEC on March 17, 2026. The grant date fair value reported in this column with respect to PSU awards, granted on March 11, 2025, is based on the number of shares granted at target and the fair value, comprised of the average closing market price of our common stock over the 15 trading days preceding the grant date ($6.89) plus the fair value of the rTSR component ($0.08), as calculated using a Monte Carlo valuation model. The grant-date fair value of these PSU awards at maximum performance would be as follows: Mr. Bandrowczak — $11,532,367; Mr. Bruno — $7,587,096 Mr. Pastor — $3,287,749; Mr. Gueden — $2,225,549; and Ms. Gecaj — $2,023,224. The value</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5" w:right="399" w:bottom="1440" w:gutter="0" w:footer="0" w:header="0"/>
        </w:sectPr>
      </w:pPr>
    </w:p>
    <w:bookmarkStart w:id="61" w:name="page62"/>
    <w:bookmarkEnd w:id="61"/>
    <w:p>
      <w:pPr>
        <w:ind w:left="340" w:right="160"/>
        <w:spacing w:after="0" w:line="287" w:lineRule="auto"/>
        <w:rPr>
          <w:sz w:val="20"/>
          <w:szCs w:val="20"/>
          <w:color w:val="auto"/>
        </w:rPr>
      </w:pPr>
      <w:r>
        <w:rPr>
          <w:rFonts w:ascii="Arial" w:cs="Arial" w:eastAsia="Arial" w:hAnsi="Arial"/>
          <w:sz w:val="18"/>
          <w:szCs w:val="18"/>
          <w:color w:val="auto"/>
        </w:rPr>
        <w:t>reported in this column with respect to RSU awards is based on the number of shares granted at target and the average closing market price of our common stock over the 15 trading days preceding the grant date ($6.89).</w:t>
      </w:r>
    </w:p>
    <w:p>
      <w:pPr>
        <w:spacing w:after="0" w:line="45" w:lineRule="exact"/>
        <w:rPr>
          <w:sz w:val="20"/>
          <w:szCs w:val="20"/>
          <w:color w:val="auto"/>
        </w:rPr>
      </w:pPr>
    </w:p>
    <w:p>
      <w:pPr>
        <w:ind w:left="340" w:right="20" w:hanging="332"/>
        <w:spacing w:after="0" w:line="259" w:lineRule="auto"/>
        <w:tabs>
          <w:tab w:leader="none" w:pos="333"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Non-Equity Incentive Plan payments, the Committee determined, based on 2025 performance, that no payouts would be made to our Named Executive Officers under the 2025 MIP. For more information, see the Performance Metrics, Results and Payout: 2025 MIP section in the CD&amp;A. In contrast, the amount shown for Mr. Butler represents (i) a lump sum cash payment for the consummation of a change in control equal to $950,000 and (ii) forfeiture of the legacy change-in-control agreement with Lexmark equal to $1,000,000. In consideration for this payment, Mr. Butler waived all remaining rights under such agreement, which was terminated in full.</w:t>
      </w:r>
    </w:p>
    <w:p>
      <w:pPr>
        <w:spacing w:after="0" w:line="71" w:lineRule="exact"/>
        <w:rPr>
          <w:rFonts w:ascii="Arial" w:cs="Arial" w:eastAsia="Arial" w:hAnsi="Arial"/>
          <w:sz w:val="18"/>
          <w:szCs w:val="18"/>
          <w:color w:val="auto"/>
        </w:rPr>
      </w:pPr>
    </w:p>
    <w:p>
      <w:pPr>
        <w:ind w:left="340" w:hanging="332"/>
        <w:spacing w:after="0" w:line="255" w:lineRule="auto"/>
        <w:tabs>
          <w:tab w:leader="none" w:pos="3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Messrs. Gueden and Heiss participate in the Retirement Indemnities Plan, a French pension plan that we are required to maintain under a collective agreement with our employees in France. Mr. Butler had participated in the Lexmark Retirement Growth Account Plan which was frozen as of April 3, 2006. Ms. Colón participated in the Xerox Corporation Retirement Income Guarantee Plan and Xerox Corporation Unfunded Retirement Income Guarantee Plan which were both frozen as of December 31, 2012. The change in pension value shown in this column is calculated by determining the change in the present value of the benefits from December 31, 2024 to December 31, 2025 (but if the change in the present value of the benefit is negative, then it is not shown). The present value is computed using the FASB ASC Topic 715 assumptions in effect for the corresponding fiscal year end, and assuming the benefit is paid at the earliest retirement date at which unreduced benefits are payable upon eligible retirement age. See the </w:t>
      </w:r>
      <w:r>
        <w:rPr>
          <w:rFonts w:ascii="Arial" w:cs="Arial" w:eastAsia="Arial" w:hAnsi="Arial"/>
          <w:sz w:val="18"/>
          <w:szCs w:val="18"/>
          <w:i w:val="1"/>
          <w:iCs w:val="1"/>
          <w:color w:val="auto"/>
        </w:rPr>
        <w:t>Pension Benefits for the 2025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Fiscal Year </w:t>
      </w:r>
      <w:r>
        <w:rPr>
          <w:rFonts w:ascii="Arial" w:cs="Arial" w:eastAsia="Arial" w:hAnsi="Arial"/>
          <w:sz w:val="18"/>
          <w:szCs w:val="18"/>
          <w:color w:val="auto"/>
        </w:rPr>
        <w:t>section for more detail.</w:t>
      </w:r>
    </w:p>
    <w:p>
      <w:pPr>
        <w:spacing w:after="0" w:line="86" w:lineRule="exact"/>
        <w:rPr>
          <w:rFonts w:ascii="Arial" w:cs="Arial" w:eastAsia="Arial" w:hAnsi="Arial"/>
          <w:sz w:val="18"/>
          <w:szCs w:val="18"/>
          <w:color w:val="auto"/>
        </w:rPr>
      </w:pPr>
    </w:p>
    <w:p>
      <w:pPr>
        <w:ind w:left="820" w:right="120" w:hanging="326"/>
        <w:spacing w:after="0" w:line="239" w:lineRule="auto"/>
        <w:tabs>
          <w:tab w:leader="none" w:pos="781" w:val="left"/>
        </w:tabs>
        <w:numPr>
          <w:ilvl w:val="1"/>
          <w:numId w:val="67"/>
        </w:numPr>
        <w:rPr>
          <w:rFonts w:ascii="Arial" w:cs="Arial" w:eastAsia="Arial" w:hAnsi="Arial"/>
          <w:sz w:val="20"/>
          <w:szCs w:val="20"/>
          <w:color w:val="auto"/>
        </w:rPr>
      </w:pPr>
      <w:r>
        <w:rPr>
          <w:rFonts w:ascii="Arial" w:cs="Arial" w:eastAsia="Arial" w:hAnsi="Arial"/>
          <w:sz w:val="18"/>
          <w:szCs w:val="18"/>
          <w:color w:val="auto"/>
        </w:rPr>
        <w:t>For Messrs. Heiss and Gueden in 2025 — these assumptions include a discount rate of 3.0% for the Retirement Indemnities Plan, and a social charge rate of 47.5%. The Retirement Indemnities Plan does not pay any benefits to a participant who terminates employment before eligible retirement age.</w:t>
      </w:r>
    </w:p>
    <w:p>
      <w:pPr>
        <w:spacing w:after="0" w:line="101" w:lineRule="exact"/>
        <w:rPr>
          <w:rFonts w:ascii="Arial" w:cs="Arial" w:eastAsia="Arial" w:hAnsi="Arial"/>
          <w:sz w:val="20"/>
          <w:szCs w:val="20"/>
          <w:color w:val="auto"/>
        </w:rPr>
      </w:pPr>
    </w:p>
    <w:p>
      <w:pPr>
        <w:ind w:left="820" w:right="320" w:hanging="326"/>
        <w:spacing w:after="0" w:line="239" w:lineRule="auto"/>
        <w:tabs>
          <w:tab w:leader="none" w:pos="781" w:val="left"/>
        </w:tabs>
        <w:numPr>
          <w:ilvl w:val="1"/>
          <w:numId w:val="67"/>
        </w:numPr>
        <w:rPr>
          <w:rFonts w:ascii="Arial" w:cs="Arial" w:eastAsia="Arial" w:hAnsi="Arial"/>
          <w:sz w:val="20"/>
          <w:szCs w:val="20"/>
          <w:color w:val="auto"/>
        </w:rPr>
      </w:pPr>
      <w:r>
        <w:rPr>
          <w:rFonts w:ascii="Arial" w:cs="Arial" w:eastAsia="Arial" w:hAnsi="Arial"/>
          <w:sz w:val="18"/>
          <w:szCs w:val="18"/>
          <w:color w:val="auto"/>
        </w:rPr>
        <w:t>For Mr. Butler in 2025 — these assumptions include a discount rate of 5.40% for the Lexmark Retirement Growth Account Plan, and a cash balance interest crediting rate of 5.33%. The Lexmark Retirement Growth Account Plan will pay benefits upon termination of employment and after the participant elects a distribution.</w:t>
      </w:r>
    </w:p>
    <w:p>
      <w:pPr>
        <w:spacing w:after="0" w:line="74" w:lineRule="exact"/>
        <w:rPr>
          <w:rFonts w:ascii="Arial" w:cs="Arial" w:eastAsia="Arial" w:hAnsi="Arial"/>
          <w:sz w:val="20"/>
          <w:szCs w:val="20"/>
          <w:color w:val="auto"/>
        </w:rPr>
      </w:pPr>
    </w:p>
    <w:p>
      <w:pPr>
        <w:ind w:left="820" w:right="60" w:hanging="326"/>
        <w:spacing w:after="0"/>
        <w:tabs>
          <w:tab w:leader="none" w:pos="815"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Ms. Colón in 2025 – these assumptions include a discount rate of 5.30% for the Xerox Corporation Retirement Income Guarantee Plan and 5.15% for the Xerox Corporation Unfunded Retirement Income Guarantee Plan and a weighted average cash balance crediting rate of 4.50%. The Xerox Corporation Retirement Income Guarantee Plan will pay benefits upon termination of employment/retirement and after the participant elects a distribution. The Xerox Corporation Unfunded Retirement Income Guarantee Plan pays benefits upon retirement subject to a 6-month delay.</w:t>
      </w:r>
    </w:p>
    <w:p>
      <w:pPr>
        <w:spacing w:after="0" w:line="85" w:lineRule="exact"/>
        <w:rPr>
          <w:rFonts w:ascii="Arial" w:cs="Arial" w:eastAsia="Arial" w:hAnsi="Arial"/>
          <w:sz w:val="18"/>
          <w:szCs w:val="18"/>
          <w:color w:val="auto"/>
        </w:rPr>
      </w:pPr>
    </w:p>
    <w:p>
      <w:pPr>
        <w:ind w:left="340" w:right="920" w:hanging="332"/>
        <w:spacing w:after="0" w:line="287" w:lineRule="auto"/>
        <w:tabs>
          <w:tab w:leader="none" w:pos="2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table below entitled “All Other Compensation Table” provides additional data on the amounts included under the “All Other Compensation” column.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Table</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140" w:type="dxa"/>
            <w:vAlign w:val="bottom"/>
            <w:tcBorders>
              <w:left w:val="single" w:sz="8" w:color="B6B6B6"/>
              <w:right w:val="single" w:sz="8" w:color="B6B6B6"/>
            </w:tcBorders>
            <w:shd w:val="clear" w:color="auto" w:fill="D92231"/>
          </w:tcPr>
          <w:p>
            <w:pPr>
              <w:spacing w:after="0"/>
              <w:rPr>
                <w:sz w:val="12"/>
                <w:szCs w:val="12"/>
                <w:color w:val="auto"/>
              </w:rPr>
            </w:pPr>
          </w:p>
        </w:tc>
        <w:tc>
          <w:tcPr>
            <w:tcW w:w="180" w:type="dxa"/>
            <w:vAlign w:val="bottom"/>
            <w:shd w:val="clear" w:color="auto" w:fill="D92231"/>
          </w:tcPr>
          <w:p>
            <w:pPr>
              <w:spacing w:after="0"/>
              <w:rPr>
                <w:sz w:val="12"/>
                <w:szCs w:val="12"/>
                <w:color w:val="auto"/>
              </w:rPr>
            </w:pPr>
          </w:p>
        </w:tc>
        <w:tc>
          <w:tcPr>
            <w:tcW w:w="480" w:type="dxa"/>
            <w:vAlign w:val="bottom"/>
            <w:tcBorders>
              <w:right w:val="single" w:sz="8" w:color="B6B6B6"/>
            </w:tcBorders>
            <w:shd w:val="clear" w:color="auto" w:fill="D92231"/>
          </w:tcPr>
          <w:p>
            <w:pPr>
              <w:spacing w:after="0"/>
              <w:rPr>
                <w:sz w:val="12"/>
                <w:szCs w:val="12"/>
                <w:color w:val="auto"/>
              </w:rPr>
            </w:pPr>
          </w:p>
        </w:tc>
        <w:tc>
          <w:tcPr>
            <w:tcW w:w="1080" w:type="dxa"/>
            <w:vAlign w:val="bottom"/>
            <w:tcBorders>
              <w:right w:val="single" w:sz="8" w:color="B6B6B6"/>
            </w:tcBorders>
            <w:gridSpan w:val="2"/>
            <w:vMerge w:val="restart"/>
            <w:shd w:val="clear" w:color="auto" w:fill="D92231"/>
          </w:tcPr>
          <w:p>
            <w:pPr>
              <w:jc w:val="center"/>
              <w:spacing w:after="0"/>
              <w:rPr>
                <w:sz w:val="20"/>
                <w:szCs w:val="20"/>
                <w:color w:val="auto"/>
              </w:rPr>
            </w:pPr>
            <w:r>
              <w:rPr>
                <w:rFonts w:ascii="Arial" w:cs="Arial" w:eastAsia="Arial" w:hAnsi="Arial"/>
                <w:sz w:val="13"/>
                <w:szCs w:val="13"/>
                <w:b w:val="1"/>
                <w:bCs w:val="1"/>
                <w:color w:val="FFFFFF"/>
                <w:w w:val="94"/>
              </w:rPr>
              <w:t>International</w:t>
            </w:r>
          </w:p>
        </w:tc>
        <w:tc>
          <w:tcPr>
            <w:tcW w:w="1020" w:type="dxa"/>
            <w:vAlign w:val="bottom"/>
            <w:shd w:val="clear" w:color="auto" w:fill="D92231"/>
          </w:tcPr>
          <w:p>
            <w:pPr>
              <w:spacing w:after="0"/>
              <w:rPr>
                <w:sz w:val="12"/>
                <w:szCs w:val="12"/>
                <w:color w:val="auto"/>
              </w:rPr>
            </w:pPr>
          </w:p>
        </w:tc>
        <w:tc>
          <w:tcPr>
            <w:tcW w:w="200" w:type="dxa"/>
            <w:vAlign w:val="bottom"/>
            <w:tcBorders>
              <w:right w:val="single" w:sz="8" w:color="B6B6B6"/>
            </w:tcBorders>
            <w:shd w:val="clear" w:color="auto" w:fill="D92231"/>
          </w:tcPr>
          <w:p>
            <w:pPr>
              <w:spacing w:after="0"/>
              <w:rPr>
                <w:sz w:val="12"/>
                <w:szCs w:val="12"/>
                <w:color w:val="auto"/>
              </w:rPr>
            </w:pPr>
          </w:p>
        </w:tc>
        <w:tc>
          <w:tcPr>
            <w:tcW w:w="1220" w:type="dxa"/>
            <w:vAlign w:val="bottom"/>
            <w:shd w:val="clear" w:color="auto" w:fill="D92231"/>
          </w:tcPr>
          <w:p>
            <w:pPr>
              <w:spacing w:after="0"/>
              <w:rPr>
                <w:sz w:val="12"/>
                <w:szCs w:val="12"/>
                <w:color w:val="auto"/>
              </w:rPr>
            </w:pPr>
          </w:p>
        </w:tc>
        <w:tc>
          <w:tcPr>
            <w:tcW w:w="220" w:type="dxa"/>
            <w:vAlign w:val="bottom"/>
            <w:tcBorders>
              <w:right w:val="single" w:sz="8" w:color="B6B6B6"/>
            </w:tcBorders>
            <w:shd w:val="clear" w:color="auto" w:fill="D92231"/>
          </w:tcPr>
          <w:p>
            <w:pPr>
              <w:spacing w:after="0"/>
              <w:rPr>
                <w:sz w:val="12"/>
                <w:szCs w:val="12"/>
                <w:color w:val="auto"/>
              </w:rPr>
            </w:pPr>
          </w:p>
        </w:tc>
        <w:tc>
          <w:tcPr>
            <w:tcW w:w="1060" w:type="dxa"/>
            <w:vAlign w:val="bottom"/>
            <w:tcBorders>
              <w:right w:val="single" w:sz="8" w:color="B6B6B6"/>
            </w:tcBorders>
            <w:gridSpan w:val="2"/>
            <w:shd w:val="clear" w:color="auto" w:fill="D92231"/>
          </w:tcPr>
          <w:p>
            <w:pPr>
              <w:jc w:val="center"/>
              <w:spacing w:after="0"/>
              <w:rPr>
                <w:sz w:val="20"/>
                <w:szCs w:val="20"/>
                <w:color w:val="auto"/>
              </w:rPr>
            </w:pPr>
            <w:r>
              <w:rPr>
                <w:rFonts w:ascii="Arial" w:cs="Arial" w:eastAsia="Arial" w:hAnsi="Arial"/>
                <w:sz w:val="13"/>
                <w:szCs w:val="13"/>
                <w:b w:val="1"/>
                <w:bCs w:val="1"/>
                <w:color w:val="FFFFFF"/>
                <w:w w:val="93"/>
              </w:rPr>
              <w:t>401(k), SSP,</w:t>
            </w:r>
          </w:p>
        </w:tc>
        <w:tc>
          <w:tcPr>
            <w:tcW w:w="1640" w:type="dxa"/>
            <w:vAlign w:val="bottom"/>
            <w:tcBorders>
              <w:right w:val="single" w:sz="8" w:color="B6B6B6"/>
            </w:tcBorders>
            <w:shd w:val="clear" w:color="auto" w:fill="D92231"/>
          </w:tcPr>
          <w:p>
            <w:pPr>
              <w:spacing w:after="0"/>
              <w:rPr>
                <w:sz w:val="12"/>
                <w:szCs w:val="12"/>
                <w:color w:val="auto"/>
              </w:rPr>
            </w:pPr>
          </w:p>
        </w:tc>
        <w:tc>
          <w:tcPr>
            <w:tcW w:w="1260" w:type="dxa"/>
            <w:vAlign w:val="bottom"/>
            <w:tcBorders>
              <w:right w:val="single" w:sz="8" w:color="B6B6B6"/>
            </w:tcBorders>
            <w:shd w:val="clear" w:color="auto" w:fill="D92231"/>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tcBorders>
              <w:left w:val="single" w:sz="8" w:color="B6B6B6"/>
              <w:right w:val="single" w:sz="8" w:color="B6B6B6"/>
            </w:tcBorders>
            <w:shd w:val="clear" w:color="auto" w:fill="D92231"/>
          </w:tcPr>
          <w:p>
            <w:pPr>
              <w:spacing w:after="0"/>
              <w:rPr>
                <w:sz w:val="11"/>
                <w:szCs w:val="11"/>
                <w:color w:val="auto"/>
              </w:rPr>
            </w:pPr>
          </w:p>
        </w:tc>
        <w:tc>
          <w:tcPr>
            <w:tcW w:w="180" w:type="dxa"/>
            <w:vAlign w:val="bottom"/>
            <w:shd w:val="clear" w:color="auto" w:fill="D92231"/>
          </w:tcPr>
          <w:p>
            <w:pPr>
              <w:spacing w:after="0"/>
              <w:rPr>
                <w:sz w:val="11"/>
                <w:szCs w:val="11"/>
                <w:color w:val="auto"/>
              </w:rPr>
            </w:pPr>
          </w:p>
        </w:tc>
        <w:tc>
          <w:tcPr>
            <w:tcW w:w="480" w:type="dxa"/>
            <w:vAlign w:val="bottom"/>
            <w:tcBorders>
              <w:right w:val="single" w:sz="8" w:color="B6B6B6"/>
            </w:tcBorders>
            <w:shd w:val="clear" w:color="auto" w:fill="D92231"/>
          </w:tcPr>
          <w:p>
            <w:pPr>
              <w:spacing w:after="0"/>
              <w:rPr>
                <w:sz w:val="11"/>
                <w:szCs w:val="11"/>
                <w:color w:val="auto"/>
              </w:rPr>
            </w:pPr>
          </w:p>
        </w:tc>
        <w:tc>
          <w:tcPr>
            <w:tcW w:w="1080" w:type="dxa"/>
            <w:vAlign w:val="bottom"/>
            <w:tcBorders>
              <w:right w:val="single" w:sz="8" w:color="B6B6B6"/>
            </w:tcBorders>
            <w:gridSpan w:val="2"/>
            <w:vMerge w:val="continue"/>
            <w:shd w:val="clear" w:color="auto" w:fill="D92231"/>
          </w:tcPr>
          <w:p>
            <w:pPr>
              <w:spacing w:after="0"/>
              <w:rPr>
                <w:sz w:val="11"/>
                <w:szCs w:val="11"/>
                <w:color w:val="auto"/>
              </w:rPr>
            </w:pPr>
          </w:p>
        </w:tc>
        <w:tc>
          <w:tcPr>
            <w:tcW w:w="1020" w:type="dxa"/>
            <w:vAlign w:val="bottom"/>
            <w:vMerge w:val="restart"/>
            <w:shd w:val="clear" w:color="auto" w:fill="D92231"/>
          </w:tcPr>
          <w:p>
            <w:pPr>
              <w:jc w:val="center"/>
              <w:ind w:left="117"/>
              <w:spacing w:after="0"/>
              <w:rPr>
                <w:sz w:val="20"/>
                <w:szCs w:val="20"/>
                <w:color w:val="auto"/>
              </w:rPr>
            </w:pPr>
            <w:r>
              <w:rPr>
                <w:rFonts w:ascii="Arial" w:cs="Arial" w:eastAsia="Arial" w:hAnsi="Arial"/>
                <w:sz w:val="13"/>
                <w:szCs w:val="13"/>
                <w:b w:val="1"/>
                <w:bCs w:val="1"/>
                <w:color w:val="FFFFFF"/>
                <w:w w:val="97"/>
              </w:rPr>
              <w:t>Relocations</w:t>
            </w:r>
          </w:p>
        </w:tc>
        <w:tc>
          <w:tcPr>
            <w:tcW w:w="200" w:type="dxa"/>
            <w:vAlign w:val="bottom"/>
            <w:tcBorders>
              <w:right w:val="single" w:sz="8" w:color="B6B6B6"/>
            </w:tcBorders>
            <w:shd w:val="clear" w:color="auto" w:fill="D92231"/>
          </w:tcPr>
          <w:p>
            <w:pPr>
              <w:spacing w:after="0"/>
              <w:rPr>
                <w:sz w:val="11"/>
                <w:szCs w:val="11"/>
                <w:color w:val="auto"/>
              </w:rPr>
            </w:pPr>
          </w:p>
        </w:tc>
        <w:tc>
          <w:tcPr>
            <w:tcW w:w="1220" w:type="dxa"/>
            <w:vAlign w:val="bottom"/>
            <w:vMerge w:val="restart"/>
            <w:shd w:val="clear" w:color="auto" w:fill="D92231"/>
          </w:tcPr>
          <w:p>
            <w:pPr>
              <w:jc w:val="center"/>
              <w:ind w:left="137"/>
              <w:spacing w:after="0"/>
              <w:rPr>
                <w:sz w:val="20"/>
                <w:szCs w:val="20"/>
                <w:color w:val="auto"/>
              </w:rPr>
            </w:pPr>
            <w:r>
              <w:rPr>
                <w:rFonts w:ascii="Arial" w:cs="Arial" w:eastAsia="Arial" w:hAnsi="Arial"/>
                <w:sz w:val="13"/>
                <w:szCs w:val="13"/>
                <w:b w:val="1"/>
                <w:bCs w:val="1"/>
                <w:color w:val="FFFFFF"/>
                <w:w w:val="95"/>
              </w:rPr>
              <w:t>Tax Related</w:t>
            </w:r>
          </w:p>
        </w:tc>
        <w:tc>
          <w:tcPr>
            <w:tcW w:w="220" w:type="dxa"/>
            <w:vAlign w:val="bottom"/>
            <w:tcBorders>
              <w:right w:val="single" w:sz="8" w:color="B6B6B6"/>
            </w:tcBorders>
            <w:shd w:val="clear" w:color="auto" w:fill="D92231"/>
          </w:tcPr>
          <w:p>
            <w:pPr>
              <w:spacing w:after="0"/>
              <w:rPr>
                <w:sz w:val="11"/>
                <w:szCs w:val="11"/>
                <w:color w:val="auto"/>
              </w:rPr>
            </w:pPr>
          </w:p>
        </w:tc>
        <w:tc>
          <w:tcPr>
            <w:tcW w:w="1060" w:type="dxa"/>
            <w:vAlign w:val="bottom"/>
            <w:tcBorders>
              <w:right w:val="single" w:sz="8" w:color="B6B6B6"/>
            </w:tcBorders>
            <w:gridSpan w:val="2"/>
            <w:shd w:val="clear" w:color="auto" w:fill="D92231"/>
          </w:tcPr>
          <w:p>
            <w:pPr>
              <w:jc w:val="center"/>
              <w:spacing w:after="0" w:line="135" w:lineRule="exact"/>
              <w:rPr>
                <w:sz w:val="20"/>
                <w:szCs w:val="20"/>
                <w:color w:val="auto"/>
              </w:rPr>
            </w:pPr>
            <w:r>
              <w:rPr>
                <w:rFonts w:ascii="Arial" w:cs="Arial" w:eastAsia="Arial" w:hAnsi="Arial"/>
                <w:sz w:val="13"/>
                <w:szCs w:val="13"/>
                <w:b w:val="1"/>
                <w:bCs w:val="1"/>
                <w:color w:val="FFFFFF"/>
                <w:w w:val="94"/>
              </w:rPr>
              <w:t>&amp; DC</w:t>
            </w:r>
          </w:p>
        </w:tc>
        <w:tc>
          <w:tcPr>
            <w:tcW w:w="1640" w:type="dxa"/>
            <w:vAlign w:val="bottom"/>
            <w:tcBorders>
              <w:right w:val="single" w:sz="8" w:color="B6B6B6"/>
            </w:tcBorders>
            <w:shd w:val="clear" w:color="auto" w:fill="D92231"/>
          </w:tcPr>
          <w:p>
            <w:pPr>
              <w:spacing w:after="0"/>
              <w:rPr>
                <w:sz w:val="11"/>
                <w:szCs w:val="11"/>
                <w:color w:val="auto"/>
              </w:rPr>
            </w:pPr>
          </w:p>
        </w:tc>
        <w:tc>
          <w:tcPr>
            <w:tcW w:w="1260" w:type="dxa"/>
            <w:vAlign w:val="bottom"/>
            <w:tcBorders>
              <w:right w:val="single" w:sz="8" w:color="B6B6B6"/>
            </w:tcBorders>
            <w:vMerge w:val="restart"/>
            <w:shd w:val="clear" w:color="auto" w:fill="D92231"/>
          </w:tcPr>
          <w:p>
            <w:pPr>
              <w:jc w:val="center"/>
              <w:spacing w:after="0"/>
              <w:rPr>
                <w:sz w:val="20"/>
                <w:szCs w:val="20"/>
                <w:color w:val="auto"/>
              </w:rPr>
            </w:pPr>
            <w:r>
              <w:rPr>
                <w:rFonts w:ascii="Arial" w:cs="Arial" w:eastAsia="Arial" w:hAnsi="Arial"/>
                <w:sz w:val="13"/>
                <w:szCs w:val="13"/>
                <w:b w:val="1"/>
                <w:bCs w:val="1"/>
                <w:color w:val="FFFFFF"/>
                <w:w w:val="95"/>
              </w:rPr>
              <w:t>Total All Other</w:t>
            </w:r>
          </w:p>
        </w:tc>
        <w:tc>
          <w:tcPr>
            <w:tcW w:w="0" w:type="dxa"/>
            <w:vAlign w:val="bottom"/>
          </w:tcPr>
          <w:p>
            <w:pPr>
              <w:spacing w:after="0"/>
              <w:rPr>
                <w:sz w:val="1"/>
                <w:szCs w:val="1"/>
                <w:color w:val="auto"/>
              </w:rPr>
            </w:pPr>
          </w:p>
        </w:tc>
      </w:tr>
      <w:tr>
        <w:trPr>
          <w:trHeight w:val="121"/>
        </w:trPr>
        <w:tc>
          <w:tcPr>
            <w:tcW w:w="2140" w:type="dxa"/>
            <w:vAlign w:val="bottom"/>
            <w:tcBorders>
              <w:left w:val="single" w:sz="8" w:color="B6B6B6"/>
              <w:right w:val="single" w:sz="8" w:color="B6B6B6"/>
            </w:tcBorders>
            <w:shd w:val="clear" w:color="auto" w:fill="D92231"/>
          </w:tcPr>
          <w:p>
            <w:pPr>
              <w:spacing w:after="0"/>
              <w:rPr>
                <w:sz w:val="10"/>
                <w:szCs w:val="10"/>
                <w:color w:val="auto"/>
              </w:rPr>
            </w:pPr>
          </w:p>
        </w:tc>
        <w:tc>
          <w:tcPr>
            <w:tcW w:w="180" w:type="dxa"/>
            <w:vAlign w:val="bottom"/>
            <w:shd w:val="clear" w:color="auto" w:fill="D92231"/>
          </w:tcPr>
          <w:p>
            <w:pPr>
              <w:spacing w:after="0"/>
              <w:rPr>
                <w:sz w:val="10"/>
                <w:szCs w:val="10"/>
                <w:color w:val="auto"/>
              </w:rPr>
            </w:pPr>
          </w:p>
        </w:tc>
        <w:tc>
          <w:tcPr>
            <w:tcW w:w="480" w:type="dxa"/>
            <w:vAlign w:val="bottom"/>
            <w:tcBorders>
              <w:right w:val="single" w:sz="8" w:color="B6B6B6"/>
            </w:tcBorders>
            <w:shd w:val="clear" w:color="auto" w:fill="D92231"/>
          </w:tcPr>
          <w:p>
            <w:pPr>
              <w:spacing w:after="0"/>
              <w:rPr>
                <w:sz w:val="10"/>
                <w:szCs w:val="10"/>
                <w:color w:val="auto"/>
              </w:rPr>
            </w:pPr>
          </w:p>
        </w:tc>
        <w:tc>
          <w:tcPr>
            <w:tcW w:w="1080" w:type="dxa"/>
            <w:vAlign w:val="bottom"/>
            <w:tcBorders>
              <w:right w:val="single" w:sz="8" w:color="B6B6B6"/>
            </w:tcBorders>
            <w:gridSpan w:val="2"/>
            <w:shd w:val="clear" w:color="auto" w:fill="D92231"/>
          </w:tcPr>
          <w:p>
            <w:pPr>
              <w:jc w:val="center"/>
              <w:spacing w:after="0" w:line="122" w:lineRule="exact"/>
              <w:rPr>
                <w:sz w:val="20"/>
                <w:szCs w:val="20"/>
                <w:color w:val="auto"/>
              </w:rPr>
            </w:pPr>
            <w:r>
              <w:rPr>
                <w:rFonts w:ascii="Arial" w:cs="Arial" w:eastAsia="Arial" w:hAnsi="Arial"/>
                <w:sz w:val="13"/>
                <w:szCs w:val="13"/>
                <w:b w:val="1"/>
                <w:bCs w:val="1"/>
                <w:color w:val="FFFFFF"/>
                <w:w w:val="96"/>
              </w:rPr>
              <w:t>Assignment</w:t>
            </w:r>
          </w:p>
        </w:tc>
        <w:tc>
          <w:tcPr>
            <w:tcW w:w="1020" w:type="dxa"/>
            <w:vAlign w:val="bottom"/>
            <w:vMerge w:val="continue"/>
            <w:shd w:val="clear" w:color="auto" w:fill="D92231"/>
          </w:tcPr>
          <w:p>
            <w:pPr>
              <w:spacing w:after="0"/>
              <w:rPr>
                <w:sz w:val="10"/>
                <w:szCs w:val="10"/>
                <w:color w:val="auto"/>
              </w:rPr>
            </w:pPr>
          </w:p>
        </w:tc>
        <w:tc>
          <w:tcPr>
            <w:tcW w:w="200" w:type="dxa"/>
            <w:vAlign w:val="bottom"/>
            <w:tcBorders>
              <w:right w:val="single" w:sz="8" w:color="B6B6B6"/>
            </w:tcBorders>
            <w:shd w:val="clear" w:color="auto" w:fill="D92231"/>
          </w:tcPr>
          <w:p>
            <w:pPr>
              <w:spacing w:after="0"/>
              <w:rPr>
                <w:sz w:val="10"/>
                <w:szCs w:val="10"/>
                <w:color w:val="auto"/>
              </w:rPr>
            </w:pPr>
          </w:p>
        </w:tc>
        <w:tc>
          <w:tcPr>
            <w:tcW w:w="1220" w:type="dxa"/>
            <w:vAlign w:val="bottom"/>
            <w:vMerge w:val="continue"/>
            <w:shd w:val="clear" w:color="auto" w:fill="D92231"/>
          </w:tcPr>
          <w:p>
            <w:pPr>
              <w:spacing w:after="0"/>
              <w:rPr>
                <w:sz w:val="10"/>
                <w:szCs w:val="10"/>
                <w:color w:val="auto"/>
              </w:rPr>
            </w:pPr>
          </w:p>
        </w:tc>
        <w:tc>
          <w:tcPr>
            <w:tcW w:w="220" w:type="dxa"/>
            <w:vAlign w:val="bottom"/>
            <w:tcBorders>
              <w:right w:val="single" w:sz="8" w:color="B6B6B6"/>
            </w:tcBorders>
            <w:shd w:val="clear" w:color="auto" w:fill="D92231"/>
          </w:tcPr>
          <w:p>
            <w:pPr>
              <w:spacing w:after="0"/>
              <w:rPr>
                <w:sz w:val="10"/>
                <w:szCs w:val="10"/>
                <w:color w:val="auto"/>
              </w:rPr>
            </w:pPr>
          </w:p>
        </w:tc>
        <w:tc>
          <w:tcPr>
            <w:tcW w:w="1060" w:type="dxa"/>
            <w:vAlign w:val="bottom"/>
            <w:tcBorders>
              <w:right w:val="single" w:sz="8" w:color="B6B6B6"/>
            </w:tcBorders>
            <w:gridSpan w:val="2"/>
            <w:shd w:val="clear" w:color="auto" w:fill="D92231"/>
          </w:tcPr>
          <w:p>
            <w:pPr>
              <w:jc w:val="center"/>
              <w:spacing w:after="0" w:line="122" w:lineRule="exact"/>
              <w:rPr>
                <w:sz w:val="20"/>
                <w:szCs w:val="20"/>
                <w:color w:val="auto"/>
              </w:rPr>
            </w:pPr>
            <w:r>
              <w:rPr>
                <w:rFonts w:ascii="Arial" w:cs="Arial" w:eastAsia="Arial" w:hAnsi="Arial"/>
                <w:sz w:val="13"/>
                <w:szCs w:val="13"/>
                <w:b w:val="1"/>
                <w:bCs w:val="1"/>
                <w:color w:val="FFFFFF"/>
                <w:w w:val="97"/>
              </w:rPr>
              <w:t>Employer</w:t>
            </w:r>
          </w:p>
        </w:tc>
        <w:tc>
          <w:tcPr>
            <w:tcW w:w="1640" w:type="dxa"/>
            <w:vAlign w:val="bottom"/>
            <w:tcBorders>
              <w:right w:val="single" w:sz="8" w:color="B6B6B6"/>
            </w:tcBorders>
            <w:vMerge w:val="restart"/>
            <w:shd w:val="clear" w:color="auto" w:fill="D92231"/>
          </w:tcPr>
          <w:p>
            <w:pPr>
              <w:jc w:val="center"/>
              <w:spacing w:after="0"/>
              <w:rPr>
                <w:sz w:val="20"/>
                <w:szCs w:val="20"/>
                <w:color w:val="auto"/>
              </w:rPr>
            </w:pPr>
            <w:r>
              <w:rPr>
                <w:rFonts w:ascii="Arial" w:cs="Arial" w:eastAsia="Arial" w:hAnsi="Arial"/>
                <w:sz w:val="13"/>
                <w:szCs w:val="13"/>
                <w:b w:val="1"/>
                <w:bCs w:val="1"/>
                <w:color w:val="FFFFFF"/>
                <w:w w:val="96"/>
              </w:rPr>
              <w:t>Miscellaneous</w:t>
            </w:r>
          </w:p>
        </w:tc>
        <w:tc>
          <w:tcPr>
            <w:tcW w:w="1260" w:type="dxa"/>
            <w:vAlign w:val="bottom"/>
            <w:tcBorders>
              <w:right w:val="single" w:sz="8" w:color="B6B6B6"/>
            </w:tcBorders>
            <w:vMerge w:val="continue"/>
            <w:shd w:val="clear" w:color="auto" w:fill="D92231"/>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140" w:type="dxa"/>
            <w:vAlign w:val="bottom"/>
            <w:tcBorders>
              <w:left w:val="single" w:sz="8" w:color="B6B6B6"/>
              <w:right w:val="single" w:sz="8" w:color="B6B6B6"/>
            </w:tcBorders>
            <w:vMerge w:val="restart"/>
            <w:shd w:val="clear" w:color="auto" w:fill="D92231"/>
          </w:tcPr>
          <w:p>
            <w:pPr>
              <w:ind w:left="40"/>
              <w:spacing w:after="0"/>
              <w:rPr>
                <w:sz w:val="20"/>
                <w:szCs w:val="20"/>
                <w:color w:val="auto"/>
              </w:rPr>
            </w:pPr>
            <w:r>
              <w:rPr>
                <w:rFonts w:ascii="Arial" w:cs="Arial" w:eastAsia="Arial" w:hAnsi="Arial"/>
                <w:sz w:val="13"/>
                <w:szCs w:val="13"/>
                <w:b w:val="1"/>
                <w:bCs w:val="1"/>
                <w:color w:val="FFFFFF"/>
              </w:rPr>
              <w:t>Name</w:t>
            </w:r>
          </w:p>
        </w:tc>
        <w:tc>
          <w:tcPr>
            <w:tcW w:w="180" w:type="dxa"/>
            <w:vAlign w:val="bottom"/>
            <w:shd w:val="clear" w:color="auto" w:fill="D92231"/>
          </w:tcPr>
          <w:p>
            <w:pPr>
              <w:spacing w:after="0"/>
              <w:rPr>
                <w:sz w:val="11"/>
                <w:szCs w:val="11"/>
                <w:color w:val="auto"/>
              </w:rPr>
            </w:pPr>
          </w:p>
        </w:tc>
        <w:tc>
          <w:tcPr>
            <w:tcW w:w="480" w:type="dxa"/>
            <w:vAlign w:val="bottom"/>
            <w:tcBorders>
              <w:right w:val="single" w:sz="8" w:color="B6B6B6"/>
            </w:tcBorders>
            <w:vMerge w:val="restart"/>
            <w:shd w:val="clear" w:color="auto" w:fill="D92231"/>
          </w:tcPr>
          <w:p>
            <w:pPr>
              <w:spacing w:after="0"/>
              <w:rPr>
                <w:sz w:val="20"/>
                <w:szCs w:val="20"/>
                <w:color w:val="auto"/>
              </w:rPr>
            </w:pPr>
            <w:r>
              <w:rPr>
                <w:rFonts w:ascii="Arial" w:cs="Arial" w:eastAsia="Arial" w:hAnsi="Arial"/>
                <w:sz w:val="13"/>
                <w:szCs w:val="13"/>
                <w:b w:val="1"/>
                <w:bCs w:val="1"/>
                <w:color w:val="FFFFFF"/>
              </w:rPr>
              <w:t>Year</w:t>
            </w:r>
          </w:p>
        </w:tc>
        <w:tc>
          <w:tcPr>
            <w:tcW w:w="1080" w:type="dxa"/>
            <w:vAlign w:val="bottom"/>
            <w:tcBorders>
              <w:right w:val="single" w:sz="8" w:color="B6B6B6"/>
            </w:tcBorders>
            <w:gridSpan w:val="2"/>
            <w:shd w:val="clear" w:color="auto" w:fill="D92231"/>
          </w:tcPr>
          <w:p>
            <w:pPr>
              <w:jc w:val="center"/>
              <w:spacing w:after="0" w:line="129" w:lineRule="exact"/>
              <w:rPr>
                <w:sz w:val="20"/>
                <w:szCs w:val="20"/>
                <w:color w:val="auto"/>
              </w:rPr>
            </w:pPr>
            <w:r>
              <w:rPr>
                <w:rFonts w:ascii="Arial" w:cs="Arial" w:eastAsia="Arial" w:hAnsi="Arial"/>
                <w:sz w:val="13"/>
                <w:szCs w:val="13"/>
                <w:b w:val="1"/>
                <w:bCs w:val="1"/>
                <w:color w:val="FFFFFF"/>
                <w:w w:val="97"/>
              </w:rPr>
              <w:t>Allowances</w:t>
            </w:r>
          </w:p>
        </w:tc>
        <w:tc>
          <w:tcPr>
            <w:tcW w:w="1020" w:type="dxa"/>
            <w:vAlign w:val="bottom"/>
            <w:shd w:val="clear" w:color="auto" w:fill="D92231"/>
          </w:tcPr>
          <w:p>
            <w:pPr>
              <w:jc w:val="center"/>
              <w:ind w:left="77"/>
              <w:spacing w:after="0" w:line="129" w:lineRule="exact"/>
              <w:rPr>
                <w:sz w:val="20"/>
                <w:szCs w:val="20"/>
                <w:color w:val="auto"/>
              </w:rPr>
            </w:pPr>
            <w:r>
              <w:rPr>
                <w:rFonts w:ascii="Arial" w:cs="Arial" w:eastAsia="Arial" w:hAnsi="Arial"/>
                <w:sz w:val="13"/>
                <w:szCs w:val="13"/>
                <w:b w:val="1"/>
                <w:bCs w:val="1"/>
                <w:color w:val="FFFFFF"/>
                <w:w w:val="98"/>
              </w:rPr>
              <w:t>Expenses</w:t>
            </w:r>
          </w:p>
        </w:tc>
        <w:tc>
          <w:tcPr>
            <w:tcW w:w="200" w:type="dxa"/>
            <w:vAlign w:val="bottom"/>
            <w:tcBorders>
              <w:right w:val="single" w:sz="8" w:color="B6B6B6"/>
            </w:tcBorders>
            <w:shd w:val="clear" w:color="auto" w:fill="D92231"/>
          </w:tcPr>
          <w:p>
            <w:pPr>
              <w:spacing w:after="0"/>
              <w:rPr>
                <w:sz w:val="11"/>
                <w:szCs w:val="11"/>
                <w:color w:val="auto"/>
              </w:rPr>
            </w:pPr>
          </w:p>
        </w:tc>
        <w:tc>
          <w:tcPr>
            <w:tcW w:w="1220" w:type="dxa"/>
            <w:vAlign w:val="bottom"/>
            <w:shd w:val="clear" w:color="auto" w:fill="D92231"/>
          </w:tcPr>
          <w:p>
            <w:pPr>
              <w:jc w:val="center"/>
              <w:ind w:left="137"/>
              <w:spacing w:after="0" w:line="129" w:lineRule="exact"/>
              <w:rPr>
                <w:sz w:val="20"/>
                <w:szCs w:val="20"/>
                <w:color w:val="auto"/>
              </w:rPr>
            </w:pPr>
            <w:r>
              <w:rPr>
                <w:rFonts w:ascii="Arial" w:cs="Arial" w:eastAsia="Arial" w:hAnsi="Arial"/>
                <w:sz w:val="13"/>
                <w:szCs w:val="13"/>
                <w:b w:val="1"/>
                <w:bCs w:val="1"/>
                <w:color w:val="FFFFFF"/>
                <w:w w:val="96"/>
              </w:rPr>
              <w:t>Reimbursements</w:t>
            </w:r>
          </w:p>
        </w:tc>
        <w:tc>
          <w:tcPr>
            <w:tcW w:w="220" w:type="dxa"/>
            <w:vAlign w:val="bottom"/>
            <w:tcBorders>
              <w:right w:val="single" w:sz="8" w:color="B6B6B6"/>
            </w:tcBorders>
            <w:shd w:val="clear" w:color="auto" w:fill="D92231"/>
          </w:tcPr>
          <w:p>
            <w:pPr>
              <w:spacing w:after="0"/>
              <w:rPr>
                <w:sz w:val="11"/>
                <w:szCs w:val="11"/>
                <w:color w:val="auto"/>
              </w:rPr>
            </w:pPr>
          </w:p>
        </w:tc>
        <w:tc>
          <w:tcPr>
            <w:tcW w:w="1060" w:type="dxa"/>
            <w:vAlign w:val="bottom"/>
            <w:tcBorders>
              <w:right w:val="single" w:sz="8" w:color="B6B6B6"/>
            </w:tcBorders>
            <w:gridSpan w:val="2"/>
            <w:shd w:val="clear" w:color="auto" w:fill="D92231"/>
          </w:tcPr>
          <w:p>
            <w:pPr>
              <w:jc w:val="center"/>
              <w:spacing w:after="0" w:line="129" w:lineRule="exact"/>
              <w:rPr>
                <w:sz w:val="20"/>
                <w:szCs w:val="20"/>
                <w:color w:val="auto"/>
              </w:rPr>
            </w:pPr>
            <w:r>
              <w:rPr>
                <w:rFonts w:ascii="Arial" w:cs="Arial" w:eastAsia="Arial" w:hAnsi="Arial"/>
                <w:sz w:val="13"/>
                <w:szCs w:val="13"/>
                <w:b w:val="1"/>
                <w:bCs w:val="1"/>
                <w:color w:val="FFFFFF"/>
                <w:w w:val="97"/>
              </w:rPr>
              <w:t>Contribution</w:t>
            </w:r>
          </w:p>
        </w:tc>
        <w:tc>
          <w:tcPr>
            <w:tcW w:w="1640" w:type="dxa"/>
            <w:vAlign w:val="bottom"/>
            <w:tcBorders>
              <w:right w:val="single" w:sz="8" w:color="B6B6B6"/>
            </w:tcBorders>
            <w:vMerge w:val="continue"/>
            <w:shd w:val="clear" w:color="auto" w:fill="D92231"/>
          </w:tcPr>
          <w:p>
            <w:pPr>
              <w:spacing w:after="0"/>
              <w:rPr>
                <w:sz w:val="11"/>
                <w:szCs w:val="11"/>
                <w:color w:val="auto"/>
              </w:rPr>
            </w:pPr>
          </w:p>
        </w:tc>
        <w:tc>
          <w:tcPr>
            <w:tcW w:w="1260" w:type="dxa"/>
            <w:vAlign w:val="bottom"/>
            <w:tcBorders>
              <w:right w:val="single" w:sz="8" w:color="B6B6B6"/>
            </w:tcBorders>
            <w:shd w:val="clear" w:color="auto" w:fill="D92231"/>
          </w:tcPr>
          <w:p>
            <w:pPr>
              <w:jc w:val="center"/>
              <w:spacing w:after="0" w:line="129" w:lineRule="exact"/>
              <w:rPr>
                <w:sz w:val="20"/>
                <w:szCs w:val="20"/>
                <w:color w:val="auto"/>
              </w:rPr>
            </w:pPr>
            <w:r>
              <w:rPr>
                <w:rFonts w:ascii="Arial" w:cs="Arial" w:eastAsia="Arial" w:hAnsi="Arial"/>
                <w:sz w:val="13"/>
                <w:szCs w:val="13"/>
                <w:b w:val="1"/>
                <w:bCs w:val="1"/>
                <w:color w:val="FFFFFF"/>
                <w:w w:val="97"/>
              </w:rPr>
              <w:t>Compensation</w:t>
            </w:r>
          </w:p>
        </w:tc>
        <w:tc>
          <w:tcPr>
            <w:tcW w:w="0" w:type="dxa"/>
            <w:vAlign w:val="bottom"/>
          </w:tcPr>
          <w:p>
            <w:pPr>
              <w:spacing w:after="0"/>
              <w:rPr>
                <w:sz w:val="1"/>
                <w:szCs w:val="1"/>
                <w:color w:val="auto"/>
              </w:rPr>
            </w:pPr>
          </w:p>
        </w:tc>
      </w:tr>
      <w:tr>
        <w:trPr>
          <w:trHeight w:val="195"/>
        </w:trPr>
        <w:tc>
          <w:tcPr>
            <w:tcW w:w="2140" w:type="dxa"/>
            <w:vAlign w:val="bottom"/>
            <w:tcBorders>
              <w:left w:val="single" w:sz="8" w:color="B6B6B6"/>
              <w:right w:val="single" w:sz="8" w:color="B6B6B6"/>
            </w:tcBorders>
            <w:vMerge w:val="continue"/>
            <w:shd w:val="clear" w:color="auto" w:fill="D92231"/>
          </w:tcPr>
          <w:p>
            <w:pPr>
              <w:spacing w:after="0"/>
              <w:rPr>
                <w:sz w:val="16"/>
                <w:szCs w:val="16"/>
                <w:color w:val="auto"/>
              </w:rPr>
            </w:pPr>
          </w:p>
        </w:tc>
        <w:tc>
          <w:tcPr>
            <w:tcW w:w="180" w:type="dxa"/>
            <w:vAlign w:val="bottom"/>
            <w:shd w:val="clear" w:color="auto" w:fill="D92231"/>
          </w:tcPr>
          <w:p>
            <w:pPr>
              <w:spacing w:after="0"/>
              <w:rPr>
                <w:sz w:val="16"/>
                <w:szCs w:val="16"/>
                <w:color w:val="auto"/>
              </w:rPr>
            </w:pPr>
          </w:p>
        </w:tc>
        <w:tc>
          <w:tcPr>
            <w:tcW w:w="480" w:type="dxa"/>
            <w:vAlign w:val="bottom"/>
            <w:tcBorders>
              <w:right w:val="single" w:sz="8" w:color="B6B6B6"/>
            </w:tcBorders>
            <w:vMerge w:val="continue"/>
            <w:shd w:val="clear" w:color="auto" w:fill="D92231"/>
          </w:tcPr>
          <w:p>
            <w:pPr>
              <w:spacing w:after="0"/>
              <w:rPr>
                <w:sz w:val="16"/>
                <w:szCs w:val="16"/>
                <w:color w:val="auto"/>
              </w:rPr>
            </w:pPr>
          </w:p>
        </w:tc>
        <w:tc>
          <w:tcPr>
            <w:tcW w:w="1080" w:type="dxa"/>
            <w:vAlign w:val="bottom"/>
            <w:tcBorders>
              <w:right w:val="single" w:sz="8" w:color="B6B6B6"/>
            </w:tcBorders>
            <w:gridSpan w:val="2"/>
            <w:shd w:val="clear" w:color="auto" w:fill="D92231"/>
          </w:tcPr>
          <w:p>
            <w:pPr>
              <w:jc w:val="center"/>
              <w:spacing w:after="0"/>
              <w:rPr>
                <w:sz w:val="20"/>
                <w:szCs w:val="20"/>
                <w:color w:val="auto"/>
              </w:rPr>
            </w:pPr>
            <w:r>
              <w:rPr>
                <w:rFonts w:ascii="Arial" w:cs="Arial" w:eastAsia="Arial" w:hAnsi="Arial"/>
                <w:sz w:val="13"/>
                <w:szCs w:val="13"/>
                <w:b w:val="1"/>
                <w:bCs w:val="1"/>
                <w:color w:val="FFFFFF"/>
              </w:rPr>
              <w:t>($) (A)</w:t>
            </w:r>
          </w:p>
        </w:tc>
        <w:tc>
          <w:tcPr>
            <w:tcW w:w="1020" w:type="dxa"/>
            <w:vAlign w:val="bottom"/>
            <w:shd w:val="clear" w:color="auto" w:fill="D92231"/>
          </w:tcPr>
          <w:p>
            <w:pPr>
              <w:jc w:val="center"/>
              <w:ind w:left="117"/>
              <w:spacing w:after="0"/>
              <w:rPr>
                <w:sz w:val="20"/>
                <w:szCs w:val="20"/>
                <w:color w:val="auto"/>
              </w:rPr>
            </w:pPr>
            <w:r>
              <w:rPr>
                <w:rFonts w:ascii="Arial" w:cs="Arial" w:eastAsia="Arial" w:hAnsi="Arial"/>
                <w:sz w:val="13"/>
                <w:szCs w:val="13"/>
                <w:b w:val="1"/>
                <w:bCs w:val="1"/>
                <w:color w:val="FFFFFF"/>
                <w:w w:val="95"/>
              </w:rPr>
              <w:t>($) (B)</w:t>
            </w:r>
          </w:p>
        </w:tc>
        <w:tc>
          <w:tcPr>
            <w:tcW w:w="200" w:type="dxa"/>
            <w:vAlign w:val="bottom"/>
            <w:tcBorders>
              <w:right w:val="single" w:sz="8" w:color="B6B6B6"/>
            </w:tcBorders>
            <w:shd w:val="clear" w:color="auto" w:fill="D92231"/>
          </w:tcPr>
          <w:p>
            <w:pPr>
              <w:spacing w:after="0"/>
              <w:rPr>
                <w:sz w:val="16"/>
                <w:szCs w:val="16"/>
                <w:color w:val="auto"/>
              </w:rPr>
            </w:pPr>
          </w:p>
        </w:tc>
        <w:tc>
          <w:tcPr>
            <w:tcW w:w="1220" w:type="dxa"/>
            <w:vAlign w:val="bottom"/>
            <w:shd w:val="clear" w:color="auto" w:fill="D92231"/>
          </w:tcPr>
          <w:p>
            <w:pPr>
              <w:jc w:val="center"/>
              <w:ind w:left="117"/>
              <w:spacing w:after="0"/>
              <w:rPr>
                <w:sz w:val="20"/>
                <w:szCs w:val="20"/>
                <w:color w:val="auto"/>
              </w:rPr>
            </w:pPr>
            <w:r>
              <w:rPr>
                <w:rFonts w:ascii="Arial" w:cs="Arial" w:eastAsia="Arial" w:hAnsi="Arial"/>
                <w:sz w:val="13"/>
                <w:szCs w:val="13"/>
                <w:b w:val="1"/>
                <w:bCs w:val="1"/>
                <w:color w:val="FFFFFF"/>
                <w:w w:val="95"/>
              </w:rPr>
              <w:t>($) (C)</w:t>
            </w:r>
          </w:p>
        </w:tc>
        <w:tc>
          <w:tcPr>
            <w:tcW w:w="220" w:type="dxa"/>
            <w:vAlign w:val="bottom"/>
            <w:tcBorders>
              <w:right w:val="single" w:sz="8" w:color="B6B6B6"/>
            </w:tcBorders>
            <w:shd w:val="clear" w:color="auto" w:fill="D92231"/>
          </w:tcPr>
          <w:p>
            <w:pPr>
              <w:spacing w:after="0"/>
              <w:rPr>
                <w:sz w:val="16"/>
                <w:szCs w:val="16"/>
                <w:color w:val="auto"/>
              </w:rPr>
            </w:pPr>
          </w:p>
        </w:tc>
        <w:tc>
          <w:tcPr>
            <w:tcW w:w="1060" w:type="dxa"/>
            <w:vAlign w:val="bottom"/>
            <w:tcBorders>
              <w:right w:val="single" w:sz="8" w:color="B6B6B6"/>
            </w:tcBorders>
            <w:gridSpan w:val="2"/>
            <w:shd w:val="clear" w:color="auto" w:fill="D92231"/>
          </w:tcPr>
          <w:p>
            <w:pPr>
              <w:jc w:val="center"/>
              <w:spacing w:after="0"/>
              <w:rPr>
                <w:sz w:val="20"/>
                <w:szCs w:val="20"/>
                <w:color w:val="auto"/>
              </w:rPr>
            </w:pPr>
            <w:r>
              <w:rPr>
                <w:rFonts w:ascii="Arial" w:cs="Arial" w:eastAsia="Arial" w:hAnsi="Arial"/>
                <w:sz w:val="13"/>
                <w:szCs w:val="13"/>
                <w:b w:val="1"/>
                <w:bCs w:val="1"/>
                <w:color w:val="FFFFFF"/>
                <w:w w:val="95"/>
              </w:rPr>
              <w:t>($) (D)</w:t>
            </w:r>
          </w:p>
        </w:tc>
        <w:tc>
          <w:tcPr>
            <w:tcW w:w="1640" w:type="dxa"/>
            <w:vAlign w:val="bottom"/>
            <w:tcBorders>
              <w:right w:val="single" w:sz="8" w:color="B6B6B6"/>
            </w:tcBorders>
            <w:shd w:val="clear" w:color="auto" w:fill="D92231"/>
          </w:tcPr>
          <w:p>
            <w:pPr>
              <w:jc w:val="center"/>
              <w:spacing w:after="0"/>
              <w:rPr>
                <w:sz w:val="20"/>
                <w:szCs w:val="20"/>
                <w:color w:val="auto"/>
              </w:rPr>
            </w:pPr>
            <w:r>
              <w:rPr>
                <w:rFonts w:ascii="Arial" w:cs="Arial" w:eastAsia="Arial" w:hAnsi="Arial"/>
                <w:sz w:val="13"/>
                <w:szCs w:val="13"/>
                <w:b w:val="1"/>
                <w:bCs w:val="1"/>
                <w:color w:val="FFFFFF"/>
                <w:w w:val="97"/>
              </w:rPr>
              <w:t>($) (E)</w:t>
            </w:r>
          </w:p>
        </w:tc>
        <w:tc>
          <w:tcPr>
            <w:tcW w:w="1260" w:type="dxa"/>
            <w:vAlign w:val="bottom"/>
            <w:tcBorders>
              <w:right w:val="single" w:sz="8" w:color="B6B6B6"/>
            </w:tcBorders>
            <w:shd w:val="clear" w:color="auto" w:fill="D92231"/>
          </w:tcPr>
          <w:p>
            <w:pPr>
              <w:jc w:val="center"/>
              <w:spacing w:after="0"/>
              <w:rPr>
                <w:sz w:val="20"/>
                <w:szCs w:val="20"/>
                <w:color w:val="auto"/>
              </w:rPr>
            </w:pPr>
            <w:r>
              <w:rPr>
                <w:rFonts w:ascii="Arial" w:cs="Arial" w:eastAsia="Arial" w:hAnsi="Arial"/>
                <w:sz w:val="13"/>
                <w:szCs w:val="13"/>
                <w:b w:val="1"/>
                <w:bCs w:val="1"/>
                <w:color w:val="FFFFFF"/>
                <w:w w:val="99"/>
              </w:rPr>
              <w:t>($) (F)</w:t>
            </w:r>
          </w:p>
        </w:tc>
        <w:tc>
          <w:tcPr>
            <w:tcW w:w="0" w:type="dxa"/>
            <w:vAlign w:val="bottom"/>
          </w:tcPr>
          <w:p>
            <w:pPr>
              <w:spacing w:after="0"/>
              <w:rPr>
                <w:sz w:val="1"/>
                <w:szCs w:val="1"/>
                <w:color w:val="auto"/>
              </w:rPr>
            </w:pPr>
          </w:p>
        </w:tc>
      </w:tr>
      <w:tr>
        <w:trPr>
          <w:trHeight w:val="171"/>
        </w:trPr>
        <w:tc>
          <w:tcPr>
            <w:tcW w:w="214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3"/>
                <w:szCs w:val="13"/>
                <w:color w:val="auto"/>
              </w:rPr>
              <w:t>Steven J. Bandrowczak</w:t>
            </w:r>
          </w:p>
        </w:tc>
        <w:tc>
          <w:tcPr>
            <w:tcW w:w="660" w:type="dxa"/>
            <w:vAlign w:val="bottom"/>
            <w:tcBorders>
              <w:bottom w:val="single" w:sz="8" w:color="B6B6B6"/>
              <w:right w:val="single" w:sz="8" w:color="B6B6B6"/>
            </w:tcBorders>
            <w:gridSpan w:val="2"/>
          </w:tcPr>
          <w:p>
            <w:pPr>
              <w:ind w:left="180"/>
              <w:spacing w:after="0"/>
              <w:rPr>
                <w:sz w:val="20"/>
                <w:szCs w:val="20"/>
                <w:color w:val="auto"/>
              </w:rPr>
            </w:pPr>
            <w:r>
              <w:rPr>
                <w:rFonts w:ascii="Arial" w:cs="Arial" w:eastAsia="Arial" w:hAnsi="Arial"/>
                <w:sz w:val="13"/>
                <w:szCs w:val="13"/>
                <w:color w:val="auto"/>
              </w:rPr>
              <w:t>2025</w:t>
            </w:r>
          </w:p>
        </w:tc>
        <w:tc>
          <w:tcPr>
            <w:tcW w:w="720" w:type="dxa"/>
            <w:vAlign w:val="bottom"/>
            <w:tcBorders>
              <w:bottom w:val="single" w:sz="8" w:color="B6B6B6"/>
            </w:tcBorders>
          </w:tcPr>
          <w:p>
            <w:pPr>
              <w:spacing w:after="0"/>
              <w:rPr>
                <w:sz w:val="14"/>
                <w:szCs w:val="14"/>
                <w:color w:val="auto"/>
              </w:rPr>
            </w:pPr>
          </w:p>
        </w:tc>
        <w:tc>
          <w:tcPr>
            <w:tcW w:w="36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6B6B6"/>
            </w:tcBorders>
          </w:tcPr>
          <w:p>
            <w:pPr>
              <w:spacing w:after="0"/>
              <w:rPr>
                <w:sz w:val="14"/>
                <w:szCs w:val="14"/>
                <w:color w:val="auto"/>
              </w:rPr>
            </w:pPr>
          </w:p>
        </w:tc>
        <w:tc>
          <w:tcPr>
            <w:tcW w:w="20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B6B6B6"/>
            </w:tcBorders>
          </w:tcPr>
          <w:p>
            <w:pPr>
              <w:spacing w:after="0"/>
              <w:rPr>
                <w:sz w:val="14"/>
                <w:szCs w:val="14"/>
                <w:color w:val="auto"/>
              </w:rPr>
            </w:pPr>
          </w:p>
        </w:tc>
        <w:tc>
          <w:tcPr>
            <w:tcW w:w="22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6B6B6"/>
            </w:tcBorders>
          </w:tcPr>
          <w:p>
            <w:pPr>
              <w:spacing w:after="0"/>
              <w:rPr>
                <w:sz w:val="14"/>
                <w:szCs w:val="14"/>
                <w:color w:val="auto"/>
              </w:rPr>
            </w:pPr>
          </w:p>
        </w:tc>
        <w:tc>
          <w:tcPr>
            <w:tcW w:w="20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3"/>
                <w:szCs w:val="13"/>
                <w:color w:val="auto"/>
                <w:w w:val="95"/>
              </w:rPr>
              <w:t>15,642</w:t>
            </w:r>
          </w:p>
        </w:tc>
        <w:tc>
          <w:tcPr>
            <w:tcW w:w="12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3"/>
                <w:szCs w:val="13"/>
                <w:color w:val="auto"/>
                <w:w w:val="95"/>
              </w:rPr>
              <w:t>15,642</w:t>
            </w:r>
          </w:p>
        </w:tc>
        <w:tc>
          <w:tcPr>
            <w:tcW w:w="0" w:type="dxa"/>
            <w:vAlign w:val="bottom"/>
          </w:tcPr>
          <w:p>
            <w:pPr>
              <w:spacing w:after="0"/>
              <w:rPr>
                <w:sz w:val="1"/>
                <w:szCs w:val="1"/>
                <w:color w:val="auto"/>
              </w:rPr>
            </w:pPr>
          </w:p>
        </w:tc>
      </w:tr>
      <w:tr>
        <w:trPr>
          <w:trHeight w:val="179"/>
        </w:trPr>
        <w:tc>
          <w:tcPr>
            <w:tcW w:w="2140" w:type="dxa"/>
            <w:vAlign w:val="bottom"/>
            <w:tcBorders>
              <w:left w:val="single" w:sz="8" w:color="B6B6B6"/>
              <w:bottom w:val="single" w:sz="8" w:color="DBDBDB"/>
              <w:right w:val="single" w:sz="8" w:color="B6B6B6"/>
            </w:tcBorders>
            <w:shd w:val="clear" w:color="auto" w:fill="DBDBDB"/>
          </w:tcPr>
          <w:p>
            <w:pPr>
              <w:ind w:left="40"/>
              <w:spacing w:after="0" w:line="147" w:lineRule="exact"/>
              <w:rPr>
                <w:sz w:val="20"/>
                <w:szCs w:val="20"/>
                <w:color w:val="auto"/>
              </w:rPr>
            </w:pPr>
            <w:r>
              <w:rPr>
                <w:rFonts w:ascii="Arial" w:cs="Arial" w:eastAsia="Arial" w:hAnsi="Arial"/>
                <w:sz w:val="13"/>
                <w:szCs w:val="13"/>
                <w:color w:val="auto"/>
              </w:rPr>
              <w:t>John Bruno</w:t>
            </w:r>
          </w:p>
        </w:tc>
        <w:tc>
          <w:tcPr>
            <w:tcW w:w="660" w:type="dxa"/>
            <w:vAlign w:val="bottom"/>
            <w:tcBorders>
              <w:bottom w:val="single" w:sz="8" w:color="DBDBDB"/>
              <w:right w:val="single" w:sz="8" w:color="B6B6B6"/>
            </w:tcBorders>
            <w:gridSpan w:val="2"/>
            <w:shd w:val="clear" w:color="auto" w:fill="DBDBDB"/>
          </w:tcPr>
          <w:p>
            <w:pPr>
              <w:ind w:left="180"/>
              <w:spacing w:after="0" w:line="147" w:lineRule="exact"/>
              <w:rPr>
                <w:sz w:val="20"/>
                <w:szCs w:val="20"/>
                <w:color w:val="auto"/>
              </w:rPr>
            </w:pPr>
            <w:r>
              <w:rPr>
                <w:rFonts w:ascii="Arial" w:cs="Arial" w:eastAsia="Arial" w:hAnsi="Arial"/>
                <w:sz w:val="13"/>
                <w:szCs w:val="13"/>
                <w:color w:val="auto"/>
              </w:rPr>
              <w:t>2025</w:t>
            </w:r>
          </w:p>
        </w:tc>
        <w:tc>
          <w:tcPr>
            <w:tcW w:w="72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DBDBDB"/>
              <w:right w:val="single" w:sz="8" w:color="B6B6B6"/>
            </w:tcBorders>
            <w:shd w:val="clear" w:color="auto" w:fill="DBDBDB"/>
          </w:tcPr>
          <w:p>
            <w:pPr>
              <w:ind w:left="140"/>
              <w:spacing w:after="0" w:line="147"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DBDBDB"/>
            </w:tcBorders>
            <w:shd w:val="clear" w:color="auto" w:fill="DBDBDB"/>
          </w:tcPr>
          <w:p>
            <w:pPr>
              <w:jc w:val="center"/>
              <w:ind w:left="97"/>
              <w:spacing w:after="0" w:line="147" w:lineRule="exact"/>
              <w:rPr>
                <w:sz w:val="20"/>
                <w:szCs w:val="20"/>
                <w:color w:val="auto"/>
              </w:rPr>
            </w:pPr>
            <w:r>
              <w:rPr>
                <w:rFonts w:ascii="Arial" w:cs="Arial" w:eastAsia="Arial" w:hAnsi="Arial"/>
                <w:sz w:val="13"/>
                <w:szCs w:val="13"/>
                <w:color w:val="auto"/>
                <w:highlight w:val="lightGray"/>
                <w:w w:val="95"/>
              </w:rPr>
              <w:t>11,774</w:t>
            </w:r>
          </w:p>
        </w:tc>
        <w:tc>
          <w:tcPr>
            <w:tcW w:w="200" w:type="dxa"/>
            <w:vAlign w:val="bottom"/>
            <w:tcBorders>
              <w:bottom w:val="single" w:sz="8" w:color="DBDBDB"/>
              <w:right w:val="single" w:sz="8" w:color="B6B6B6"/>
            </w:tcBorders>
            <w:shd w:val="clear" w:color="auto" w:fill="DBDBDB"/>
          </w:tcPr>
          <w:p>
            <w:pPr>
              <w:spacing w:after="0"/>
              <w:rPr>
                <w:sz w:val="15"/>
                <w:szCs w:val="15"/>
                <w:color w:val="auto"/>
              </w:rPr>
            </w:pPr>
          </w:p>
        </w:tc>
        <w:tc>
          <w:tcPr>
            <w:tcW w:w="1220" w:type="dxa"/>
            <w:vAlign w:val="bottom"/>
            <w:tcBorders>
              <w:bottom w:val="single" w:sz="8" w:color="DBDBDB"/>
            </w:tcBorders>
            <w:shd w:val="clear" w:color="auto" w:fill="DBDBDB"/>
          </w:tcPr>
          <w:p>
            <w:pPr>
              <w:ind w:left="480"/>
              <w:spacing w:after="0" w:line="147" w:lineRule="exact"/>
              <w:rPr>
                <w:sz w:val="20"/>
                <w:szCs w:val="20"/>
                <w:color w:val="auto"/>
              </w:rPr>
            </w:pPr>
            <w:r>
              <w:rPr>
                <w:rFonts w:ascii="Arial" w:cs="Arial" w:eastAsia="Arial" w:hAnsi="Arial"/>
                <w:sz w:val="13"/>
                <w:szCs w:val="13"/>
                <w:color w:val="auto"/>
                <w:highlight w:val="lightGray"/>
              </w:rPr>
              <w:t>467,917</w:t>
            </w:r>
          </w:p>
        </w:tc>
        <w:tc>
          <w:tcPr>
            <w:tcW w:w="220" w:type="dxa"/>
            <w:vAlign w:val="bottom"/>
            <w:tcBorders>
              <w:bottom w:val="single" w:sz="8" w:color="DBDBDB"/>
              <w:right w:val="single" w:sz="8" w:color="B6B6B6"/>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right w:val="single" w:sz="8" w:color="B6B6B6"/>
            </w:tcBorders>
            <w:shd w:val="clear" w:color="auto" w:fill="DBDBDB"/>
          </w:tcPr>
          <w:p>
            <w:pPr>
              <w:spacing w:after="0" w:line="147" w:lineRule="exact"/>
              <w:rPr>
                <w:sz w:val="20"/>
                <w:szCs w:val="20"/>
                <w:color w:val="auto"/>
              </w:rPr>
            </w:pPr>
            <w:r>
              <w:rPr>
                <w:rFonts w:ascii="Arial" w:cs="Arial" w:eastAsia="Arial" w:hAnsi="Arial"/>
                <w:sz w:val="13"/>
                <w:szCs w:val="13"/>
                <w:color w:val="auto"/>
                <w:highlight w:val="lightGray"/>
              </w:rPr>
              <w:t>—</w:t>
            </w:r>
          </w:p>
        </w:tc>
        <w:tc>
          <w:tcPr>
            <w:tcW w:w="1640" w:type="dxa"/>
            <w:vAlign w:val="bottom"/>
            <w:tcBorders>
              <w:bottom w:val="single" w:sz="8" w:color="DBDBDB"/>
              <w:right w:val="single" w:sz="8" w:color="B6B6B6"/>
            </w:tcBorders>
            <w:shd w:val="clear" w:color="auto" w:fill="DBDBDB"/>
          </w:tcPr>
          <w:p>
            <w:pPr>
              <w:jc w:val="center"/>
              <w:spacing w:after="0" w:line="147" w:lineRule="exact"/>
              <w:rPr>
                <w:sz w:val="20"/>
                <w:szCs w:val="20"/>
                <w:color w:val="auto"/>
              </w:rPr>
            </w:pPr>
            <w:r>
              <w:rPr>
                <w:rFonts w:ascii="Arial" w:cs="Arial" w:eastAsia="Arial" w:hAnsi="Arial"/>
                <w:sz w:val="13"/>
                <w:szCs w:val="13"/>
                <w:color w:val="auto"/>
                <w:highlight w:val="lightGray"/>
                <w:w w:val="95"/>
              </w:rPr>
              <w:t>43,727</w:t>
            </w:r>
          </w:p>
        </w:tc>
        <w:tc>
          <w:tcPr>
            <w:tcW w:w="1260" w:type="dxa"/>
            <w:vAlign w:val="bottom"/>
            <w:tcBorders>
              <w:bottom w:val="single" w:sz="8" w:color="DBDBDB"/>
              <w:right w:val="single" w:sz="8" w:color="B6B6B6"/>
            </w:tcBorders>
            <w:shd w:val="clear" w:color="auto" w:fill="DBDBDB"/>
          </w:tcPr>
          <w:p>
            <w:pPr>
              <w:jc w:val="center"/>
              <w:spacing w:after="0" w:line="147" w:lineRule="exact"/>
              <w:rPr>
                <w:sz w:val="20"/>
                <w:szCs w:val="20"/>
                <w:color w:val="auto"/>
              </w:rPr>
            </w:pPr>
            <w:r>
              <w:rPr>
                <w:rFonts w:ascii="Arial" w:cs="Arial" w:eastAsia="Arial" w:hAnsi="Arial"/>
                <w:sz w:val="13"/>
                <w:szCs w:val="13"/>
                <w:color w:val="auto"/>
                <w:w w:val="97"/>
              </w:rPr>
              <w:t>523,418</w:t>
            </w:r>
          </w:p>
        </w:tc>
        <w:tc>
          <w:tcPr>
            <w:tcW w:w="0" w:type="dxa"/>
            <w:vAlign w:val="bottom"/>
          </w:tcPr>
          <w:p>
            <w:pPr>
              <w:spacing w:after="0"/>
              <w:rPr>
                <w:sz w:val="1"/>
                <w:szCs w:val="1"/>
                <w:color w:val="auto"/>
              </w:rPr>
            </w:pPr>
          </w:p>
        </w:tc>
      </w:tr>
      <w:tr>
        <w:trPr>
          <w:trHeight w:val="164"/>
        </w:trPr>
        <w:tc>
          <w:tcPr>
            <w:tcW w:w="2140" w:type="dxa"/>
            <w:vAlign w:val="bottom"/>
            <w:tcBorders>
              <w:top w:val="single" w:sz="8" w:color="B6B6B6"/>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3"/>
                <w:szCs w:val="13"/>
                <w:color w:val="auto"/>
              </w:rPr>
              <w:t>Louis J. Pastor</w:t>
            </w:r>
          </w:p>
        </w:tc>
        <w:tc>
          <w:tcPr>
            <w:tcW w:w="660" w:type="dxa"/>
            <w:vAlign w:val="bottom"/>
            <w:tcBorders>
              <w:top w:val="single" w:sz="8" w:color="B6B6B6"/>
              <w:bottom w:val="single" w:sz="8" w:color="B6B6B6"/>
              <w:right w:val="single" w:sz="8" w:color="B6B6B6"/>
            </w:tcBorders>
            <w:gridSpan w:val="2"/>
          </w:tcPr>
          <w:p>
            <w:pPr>
              <w:ind w:left="180"/>
              <w:spacing w:after="0"/>
              <w:rPr>
                <w:sz w:val="20"/>
                <w:szCs w:val="20"/>
                <w:color w:val="auto"/>
              </w:rPr>
            </w:pPr>
            <w:r>
              <w:rPr>
                <w:rFonts w:ascii="Arial" w:cs="Arial" w:eastAsia="Arial" w:hAnsi="Arial"/>
                <w:sz w:val="13"/>
                <w:szCs w:val="13"/>
                <w:color w:val="auto"/>
              </w:rPr>
              <w:t>2025</w:t>
            </w:r>
          </w:p>
        </w:tc>
        <w:tc>
          <w:tcPr>
            <w:tcW w:w="720" w:type="dxa"/>
            <w:vAlign w:val="bottom"/>
            <w:tcBorders>
              <w:top w:val="single" w:sz="8" w:color="B6B6B6"/>
              <w:bottom w:val="single" w:sz="8" w:color="B6B6B6"/>
            </w:tcBorders>
          </w:tcPr>
          <w:p>
            <w:pPr>
              <w:spacing w:after="0"/>
              <w:rPr>
                <w:sz w:val="14"/>
                <w:szCs w:val="14"/>
                <w:color w:val="auto"/>
              </w:rPr>
            </w:pPr>
          </w:p>
        </w:tc>
        <w:tc>
          <w:tcPr>
            <w:tcW w:w="360" w:type="dxa"/>
            <w:vAlign w:val="bottom"/>
            <w:tcBorders>
              <w:top w:val="single" w:sz="8" w:color="B6B6B6"/>
              <w:bottom w:val="single" w:sz="8" w:color="B6B6B6"/>
              <w:right w:val="single" w:sz="8" w:color="B6B6B6"/>
            </w:tcBorders>
          </w:tcPr>
          <w:p>
            <w:pPr>
              <w:ind w:left="14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B6B6B6"/>
              <w:bottom w:val="single" w:sz="8" w:color="B6B6B6"/>
            </w:tcBorders>
          </w:tcPr>
          <w:p>
            <w:pPr>
              <w:spacing w:after="0"/>
              <w:rPr>
                <w:sz w:val="14"/>
                <w:szCs w:val="14"/>
                <w:color w:val="auto"/>
              </w:rPr>
            </w:pPr>
          </w:p>
        </w:tc>
        <w:tc>
          <w:tcPr>
            <w:tcW w:w="200" w:type="dxa"/>
            <w:vAlign w:val="bottom"/>
            <w:tcBorders>
              <w:top w:val="single" w:sz="8" w:color="B6B6B6"/>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B6B6B6"/>
              <w:bottom w:val="single" w:sz="8" w:color="B6B6B6"/>
            </w:tcBorders>
          </w:tcPr>
          <w:p>
            <w:pPr>
              <w:spacing w:after="0"/>
              <w:rPr>
                <w:sz w:val="14"/>
                <w:szCs w:val="14"/>
                <w:color w:val="auto"/>
              </w:rPr>
            </w:pPr>
          </w:p>
        </w:tc>
        <w:tc>
          <w:tcPr>
            <w:tcW w:w="220" w:type="dxa"/>
            <w:vAlign w:val="bottom"/>
            <w:tcBorders>
              <w:top w:val="single" w:sz="8" w:color="B6B6B6"/>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B6B6B6"/>
              <w:bottom w:val="single" w:sz="8" w:color="B6B6B6"/>
            </w:tcBorders>
          </w:tcPr>
          <w:p>
            <w:pPr>
              <w:spacing w:after="0"/>
              <w:rPr>
                <w:sz w:val="14"/>
                <w:szCs w:val="14"/>
                <w:color w:val="auto"/>
              </w:rPr>
            </w:pPr>
          </w:p>
        </w:tc>
        <w:tc>
          <w:tcPr>
            <w:tcW w:w="200" w:type="dxa"/>
            <w:vAlign w:val="bottom"/>
            <w:tcBorders>
              <w:top w:val="single" w:sz="8" w:color="B6B6B6"/>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640" w:type="dxa"/>
            <w:vAlign w:val="bottom"/>
            <w:tcBorders>
              <w:top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3"/>
                <w:szCs w:val="13"/>
                <w:color w:val="auto"/>
                <w:w w:val="95"/>
              </w:rPr>
              <w:t>15,000</w:t>
            </w:r>
          </w:p>
        </w:tc>
        <w:tc>
          <w:tcPr>
            <w:tcW w:w="1260" w:type="dxa"/>
            <w:vAlign w:val="bottom"/>
            <w:tcBorders>
              <w:top w:val="single" w:sz="8" w:color="B6B6B6"/>
              <w:bottom w:val="single" w:sz="8" w:color="B6B6B6"/>
              <w:right w:val="single" w:sz="8" w:color="B6B6B6"/>
            </w:tcBorders>
          </w:tcPr>
          <w:p>
            <w:pPr>
              <w:jc w:val="center"/>
              <w:spacing w:after="0"/>
              <w:rPr>
                <w:sz w:val="20"/>
                <w:szCs w:val="20"/>
                <w:color w:val="auto"/>
              </w:rPr>
            </w:pPr>
            <w:r>
              <w:rPr>
                <w:rFonts w:ascii="Arial" w:cs="Arial" w:eastAsia="Arial" w:hAnsi="Arial"/>
                <w:sz w:val="13"/>
                <w:szCs w:val="13"/>
                <w:color w:val="auto"/>
                <w:w w:val="95"/>
              </w:rPr>
              <w:t>15,000</w:t>
            </w:r>
          </w:p>
        </w:tc>
        <w:tc>
          <w:tcPr>
            <w:tcW w:w="0" w:type="dxa"/>
            <w:vAlign w:val="bottom"/>
          </w:tcPr>
          <w:p>
            <w:pPr>
              <w:spacing w:after="0"/>
              <w:rPr>
                <w:sz w:val="1"/>
                <w:szCs w:val="1"/>
                <w:color w:val="auto"/>
              </w:rPr>
            </w:pPr>
          </w:p>
        </w:tc>
      </w:tr>
      <w:tr>
        <w:trPr>
          <w:trHeight w:val="169"/>
        </w:trPr>
        <w:tc>
          <w:tcPr>
            <w:tcW w:w="214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3"/>
                <w:szCs w:val="13"/>
                <w:color w:val="auto"/>
              </w:rPr>
              <w:t>Charles Butler</w:t>
            </w:r>
          </w:p>
        </w:tc>
        <w:tc>
          <w:tcPr>
            <w:tcW w:w="660" w:type="dxa"/>
            <w:vAlign w:val="bottom"/>
            <w:tcBorders>
              <w:bottom w:val="single" w:sz="8" w:color="B6B6B6"/>
              <w:right w:val="single" w:sz="8" w:color="B6B6B6"/>
            </w:tcBorders>
            <w:gridSpan w:val="2"/>
            <w:shd w:val="clear" w:color="auto" w:fill="DBDBDB"/>
          </w:tcPr>
          <w:p>
            <w:pPr>
              <w:ind w:left="180"/>
              <w:spacing w:after="0"/>
              <w:rPr>
                <w:sz w:val="20"/>
                <w:szCs w:val="20"/>
                <w:color w:val="auto"/>
              </w:rPr>
            </w:pPr>
            <w:r>
              <w:rPr>
                <w:rFonts w:ascii="Arial" w:cs="Arial" w:eastAsia="Arial" w:hAnsi="Arial"/>
                <w:sz w:val="13"/>
                <w:szCs w:val="13"/>
                <w:color w:val="auto"/>
              </w:rPr>
              <w:t>2025</w:t>
            </w:r>
          </w:p>
        </w:tc>
        <w:tc>
          <w:tcPr>
            <w:tcW w:w="720" w:type="dxa"/>
            <w:vAlign w:val="bottom"/>
            <w:tcBorders>
              <w:bottom w:val="single" w:sz="8" w:color="B6B6B6"/>
            </w:tcBorders>
            <w:shd w:val="clear" w:color="auto" w:fill="DBDBDB"/>
          </w:tcPr>
          <w:p>
            <w:pPr>
              <w:spacing w:after="0"/>
              <w:rPr>
                <w:sz w:val="14"/>
                <w:szCs w:val="14"/>
                <w:color w:val="auto"/>
              </w:rPr>
            </w:pPr>
          </w:p>
        </w:tc>
        <w:tc>
          <w:tcPr>
            <w:tcW w:w="360" w:type="dxa"/>
            <w:vAlign w:val="bottom"/>
            <w:tcBorders>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6B6B6"/>
            </w:tcBorders>
            <w:shd w:val="clear" w:color="auto" w:fill="DBDBDB"/>
          </w:tcPr>
          <w:p>
            <w:pPr>
              <w:spacing w:after="0"/>
              <w:rPr>
                <w:sz w:val="14"/>
                <w:szCs w:val="14"/>
                <w:color w:val="auto"/>
              </w:rPr>
            </w:pPr>
          </w:p>
        </w:tc>
        <w:tc>
          <w:tcPr>
            <w:tcW w:w="200" w:type="dxa"/>
            <w:vAlign w:val="bottom"/>
            <w:tcBorders>
              <w:bottom w:val="single" w:sz="8" w:color="B6B6B6"/>
              <w:right w:val="single" w:sz="8" w:color="B6B6B6"/>
            </w:tcBorders>
            <w:shd w:val="clear" w:color="auto" w:fill="DBDBDB"/>
          </w:tcPr>
          <w:p>
            <w:pPr>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B6B6B6"/>
            </w:tcBorders>
            <w:shd w:val="clear" w:color="auto" w:fill="DBDBDB"/>
          </w:tcPr>
          <w:p>
            <w:pPr>
              <w:spacing w:after="0"/>
              <w:rPr>
                <w:sz w:val="14"/>
                <w:szCs w:val="14"/>
                <w:color w:val="auto"/>
              </w:rPr>
            </w:pPr>
          </w:p>
        </w:tc>
        <w:tc>
          <w:tcPr>
            <w:tcW w:w="220" w:type="dxa"/>
            <w:vAlign w:val="bottom"/>
            <w:tcBorders>
              <w:bottom w:val="single" w:sz="8" w:color="B6B6B6"/>
              <w:right w:val="single" w:sz="8" w:color="B6B6B6"/>
            </w:tcBorders>
            <w:shd w:val="clear" w:color="auto" w:fill="DBDBDB"/>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6B6B6"/>
            </w:tcBorders>
            <w:shd w:val="clear" w:color="auto" w:fill="DBDBDB"/>
          </w:tcPr>
          <w:p>
            <w:pPr>
              <w:jc w:val="center"/>
              <w:ind w:left="97"/>
              <w:spacing w:after="0"/>
              <w:rPr>
                <w:sz w:val="20"/>
                <w:szCs w:val="20"/>
                <w:color w:val="auto"/>
              </w:rPr>
            </w:pPr>
            <w:r>
              <w:rPr>
                <w:rFonts w:ascii="Arial" w:cs="Arial" w:eastAsia="Arial" w:hAnsi="Arial"/>
                <w:sz w:val="13"/>
                <w:szCs w:val="13"/>
                <w:color w:val="auto"/>
                <w:w w:val="95"/>
              </w:rPr>
              <w:t>14,000</w:t>
            </w:r>
          </w:p>
        </w:tc>
        <w:tc>
          <w:tcPr>
            <w:tcW w:w="200" w:type="dxa"/>
            <w:vAlign w:val="bottom"/>
            <w:tcBorders>
              <w:bottom w:val="single" w:sz="8" w:color="B6B6B6"/>
              <w:right w:val="single" w:sz="8" w:color="B6B6B6"/>
            </w:tcBorders>
            <w:shd w:val="clear" w:color="auto" w:fill="DBDBDB"/>
          </w:tcPr>
          <w:p>
            <w:pPr>
              <w:spacing w:after="0"/>
              <w:rPr>
                <w:sz w:val="14"/>
                <w:szCs w:val="14"/>
                <w:color w:val="auto"/>
              </w:rPr>
            </w:pPr>
          </w:p>
        </w:tc>
        <w:tc>
          <w:tcPr>
            <w:tcW w:w="164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5"/>
              </w:rPr>
              <w:t>10,972</w:t>
            </w:r>
          </w:p>
        </w:tc>
        <w:tc>
          <w:tcPr>
            <w:tcW w:w="126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5"/>
              </w:rPr>
              <w:t>24,972</w:t>
            </w:r>
          </w:p>
        </w:tc>
        <w:tc>
          <w:tcPr>
            <w:tcW w:w="0" w:type="dxa"/>
            <w:vAlign w:val="bottom"/>
          </w:tcPr>
          <w:p>
            <w:pPr>
              <w:spacing w:after="0"/>
              <w:rPr>
                <w:sz w:val="1"/>
                <w:szCs w:val="1"/>
                <w:color w:val="auto"/>
              </w:rPr>
            </w:pPr>
          </w:p>
        </w:tc>
      </w:tr>
      <w:tr>
        <w:trPr>
          <w:trHeight w:val="169"/>
        </w:trPr>
        <w:tc>
          <w:tcPr>
            <w:tcW w:w="214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3"/>
                <w:szCs w:val="13"/>
                <w:color w:val="auto"/>
              </w:rPr>
              <w:t>Jacques-Edouard Gueden</w:t>
            </w:r>
          </w:p>
        </w:tc>
        <w:tc>
          <w:tcPr>
            <w:tcW w:w="660" w:type="dxa"/>
            <w:vAlign w:val="bottom"/>
            <w:tcBorders>
              <w:bottom w:val="single" w:sz="8" w:color="B6B6B6"/>
              <w:right w:val="single" w:sz="8" w:color="B6B6B6"/>
            </w:tcBorders>
            <w:gridSpan w:val="2"/>
          </w:tcPr>
          <w:p>
            <w:pPr>
              <w:ind w:left="180"/>
              <w:spacing w:after="0"/>
              <w:rPr>
                <w:sz w:val="20"/>
                <w:szCs w:val="20"/>
                <w:color w:val="auto"/>
              </w:rPr>
            </w:pPr>
            <w:r>
              <w:rPr>
                <w:rFonts w:ascii="Arial" w:cs="Arial" w:eastAsia="Arial" w:hAnsi="Arial"/>
                <w:sz w:val="13"/>
                <w:szCs w:val="13"/>
                <w:color w:val="auto"/>
              </w:rPr>
              <w:t>2025</w:t>
            </w:r>
          </w:p>
        </w:tc>
        <w:tc>
          <w:tcPr>
            <w:tcW w:w="1080" w:type="dxa"/>
            <w:vAlign w:val="bottom"/>
            <w:tcBorders>
              <w:bottom w:val="single" w:sz="8" w:color="B6B6B6"/>
              <w:right w:val="single" w:sz="8" w:color="B6B6B6"/>
            </w:tcBorders>
            <w:gridSpan w:val="2"/>
          </w:tcPr>
          <w:p>
            <w:pPr>
              <w:jc w:val="right"/>
              <w:ind w:right="257"/>
              <w:spacing w:after="0"/>
              <w:rPr>
                <w:sz w:val="20"/>
                <w:szCs w:val="20"/>
                <w:color w:val="auto"/>
              </w:rPr>
            </w:pPr>
            <w:r>
              <w:rPr>
                <w:rFonts w:ascii="Arial" w:cs="Arial" w:eastAsia="Arial" w:hAnsi="Arial"/>
                <w:sz w:val="13"/>
                <w:szCs w:val="13"/>
                <w:color w:val="auto"/>
              </w:rPr>
              <w:t>136,758</w:t>
            </w:r>
          </w:p>
        </w:tc>
        <w:tc>
          <w:tcPr>
            <w:tcW w:w="1020" w:type="dxa"/>
            <w:vAlign w:val="bottom"/>
            <w:tcBorders>
              <w:bottom w:val="single" w:sz="8" w:color="B6B6B6"/>
            </w:tcBorders>
          </w:tcPr>
          <w:p>
            <w:pPr>
              <w:spacing w:after="0"/>
              <w:rPr>
                <w:sz w:val="14"/>
                <w:szCs w:val="14"/>
                <w:color w:val="auto"/>
              </w:rPr>
            </w:pPr>
          </w:p>
        </w:tc>
        <w:tc>
          <w:tcPr>
            <w:tcW w:w="20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B6B6B6"/>
            </w:tcBorders>
          </w:tcPr>
          <w:p>
            <w:pPr>
              <w:ind w:left="480"/>
              <w:spacing w:after="0"/>
              <w:rPr>
                <w:sz w:val="20"/>
                <w:szCs w:val="20"/>
                <w:color w:val="auto"/>
              </w:rPr>
            </w:pPr>
            <w:r>
              <w:rPr>
                <w:rFonts w:ascii="Arial" w:cs="Arial" w:eastAsia="Arial" w:hAnsi="Arial"/>
                <w:sz w:val="13"/>
                <w:szCs w:val="13"/>
                <w:color w:val="auto"/>
              </w:rPr>
              <w:t>508,199</w:t>
            </w:r>
          </w:p>
        </w:tc>
        <w:tc>
          <w:tcPr>
            <w:tcW w:w="220" w:type="dxa"/>
            <w:vAlign w:val="bottom"/>
            <w:tcBorders>
              <w:bottom w:val="single" w:sz="8" w:color="B6B6B6"/>
              <w:right w:val="single" w:sz="8" w:color="B6B6B6"/>
            </w:tcBorders>
          </w:tcPr>
          <w:p>
            <w:pPr>
              <w:spacing w:after="0"/>
              <w:rPr>
                <w:sz w:val="14"/>
                <w:szCs w:val="14"/>
                <w:color w:val="auto"/>
              </w:rPr>
            </w:pPr>
          </w:p>
        </w:tc>
        <w:tc>
          <w:tcPr>
            <w:tcW w:w="860" w:type="dxa"/>
            <w:vAlign w:val="bottom"/>
            <w:tcBorders>
              <w:bottom w:val="single" w:sz="8" w:color="B6B6B6"/>
            </w:tcBorders>
          </w:tcPr>
          <w:p>
            <w:pPr>
              <w:spacing w:after="0"/>
              <w:rPr>
                <w:sz w:val="14"/>
                <w:szCs w:val="14"/>
                <w:color w:val="auto"/>
              </w:rPr>
            </w:pPr>
          </w:p>
        </w:tc>
        <w:tc>
          <w:tcPr>
            <w:tcW w:w="20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3"/>
                <w:szCs w:val="13"/>
                <w:color w:val="auto"/>
                <w:w w:val="92"/>
              </w:rPr>
              <w:t>8,573</w:t>
            </w:r>
          </w:p>
        </w:tc>
        <w:tc>
          <w:tcPr>
            <w:tcW w:w="12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3"/>
                <w:szCs w:val="13"/>
                <w:color w:val="auto"/>
                <w:w w:val="97"/>
              </w:rPr>
              <w:t>653,531</w:t>
            </w:r>
          </w:p>
        </w:tc>
        <w:tc>
          <w:tcPr>
            <w:tcW w:w="0" w:type="dxa"/>
            <w:vAlign w:val="bottom"/>
          </w:tcPr>
          <w:p>
            <w:pPr>
              <w:spacing w:after="0"/>
              <w:rPr>
                <w:sz w:val="1"/>
                <w:szCs w:val="1"/>
                <w:color w:val="auto"/>
              </w:rPr>
            </w:pPr>
          </w:p>
        </w:tc>
      </w:tr>
      <w:tr>
        <w:trPr>
          <w:trHeight w:val="169"/>
        </w:trPr>
        <w:tc>
          <w:tcPr>
            <w:tcW w:w="214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3"/>
                <w:szCs w:val="13"/>
                <w:color w:val="auto"/>
              </w:rPr>
              <w:t>Flor M. Colón</w:t>
            </w:r>
          </w:p>
        </w:tc>
        <w:tc>
          <w:tcPr>
            <w:tcW w:w="660" w:type="dxa"/>
            <w:vAlign w:val="bottom"/>
            <w:tcBorders>
              <w:bottom w:val="single" w:sz="8" w:color="B6B6B6"/>
              <w:right w:val="single" w:sz="8" w:color="B6B6B6"/>
            </w:tcBorders>
            <w:gridSpan w:val="2"/>
            <w:shd w:val="clear" w:color="auto" w:fill="DBDBDB"/>
          </w:tcPr>
          <w:p>
            <w:pPr>
              <w:ind w:left="180"/>
              <w:spacing w:after="0"/>
              <w:rPr>
                <w:sz w:val="20"/>
                <w:szCs w:val="20"/>
                <w:color w:val="auto"/>
              </w:rPr>
            </w:pPr>
            <w:r>
              <w:rPr>
                <w:rFonts w:ascii="Arial" w:cs="Arial" w:eastAsia="Arial" w:hAnsi="Arial"/>
                <w:sz w:val="13"/>
                <w:szCs w:val="13"/>
                <w:color w:val="auto"/>
              </w:rPr>
              <w:t>2025</w:t>
            </w:r>
          </w:p>
        </w:tc>
        <w:tc>
          <w:tcPr>
            <w:tcW w:w="720" w:type="dxa"/>
            <w:vAlign w:val="bottom"/>
            <w:tcBorders>
              <w:bottom w:val="single" w:sz="8" w:color="B6B6B6"/>
            </w:tcBorders>
            <w:shd w:val="clear" w:color="auto" w:fill="DBDBDB"/>
          </w:tcPr>
          <w:p>
            <w:pPr>
              <w:spacing w:after="0"/>
              <w:rPr>
                <w:sz w:val="14"/>
                <w:szCs w:val="14"/>
                <w:color w:val="auto"/>
              </w:rPr>
            </w:pPr>
          </w:p>
        </w:tc>
        <w:tc>
          <w:tcPr>
            <w:tcW w:w="360" w:type="dxa"/>
            <w:vAlign w:val="bottom"/>
            <w:tcBorders>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6B6B6"/>
            </w:tcBorders>
            <w:shd w:val="clear" w:color="auto" w:fill="DBDBDB"/>
          </w:tcPr>
          <w:p>
            <w:pPr>
              <w:spacing w:after="0"/>
              <w:rPr>
                <w:sz w:val="14"/>
                <w:szCs w:val="14"/>
                <w:color w:val="auto"/>
              </w:rPr>
            </w:pPr>
          </w:p>
        </w:tc>
        <w:tc>
          <w:tcPr>
            <w:tcW w:w="200" w:type="dxa"/>
            <w:vAlign w:val="bottom"/>
            <w:tcBorders>
              <w:bottom w:val="single" w:sz="8" w:color="B6B6B6"/>
              <w:right w:val="single" w:sz="8" w:color="B6B6B6"/>
            </w:tcBorders>
            <w:shd w:val="clear" w:color="auto" w:fill="DBDBDB"/>
          </w:tcPr>
          <w:p>
            <w:pPr>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B6B6B6"/>
            </w:tcBorders>
            <w:shd w:val="clear" w:color="auto" w:fill="DBDBDB"/>
          </w:tcPr>
          <w:p>
            <w:pPr>
              <w:spacing w:after="0"/>
              <w:rPr>
                <w:sz w:val="14"/>
                <w:szCs w:val="14"/>
                <w:color w:val="auto"/>
              </w:rPr>
            </w:pPr>
          </w:p>
        </w:tc>
        <w:tc>
          <w:tcPr>
            <w:tcW w:w="220" w:type="dxa"/>
            <w:vAlign w:val="bottom"/>
            <w:tcBorders>
              <w:bottom w:val="single" w:sz="8" w:color="B6B6B6"/>
              <w:right w:val="single" w:sz="8" w:color="B6B6B6"/>
            </w:tcBorders>
            <w:shd w:val="clear" w:color="auto" w:fill="DBDBDB"/>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6B6B6"/>
            </w:tcBorders>
            <w:shd w:val="clear" w:color="auto" w:fill="DBDBDB"/>
          </w:tcPr>
          <w:p>
            <w:pPr>
              <w:spacing w:after="0"/>
              <w:rPr>
                <w:sz w:val="14"/>
                <w:szCs w:val="14"/>
                <w:color w:val="auto"/>
              </w:rPr>
            </w:pPr>
          </w:p>
        </w:tc>
        <w:tc>
          <w:tcPr>
            <w:tcW w:w="200" w:type="dxa"/>
            <w:vAlign w:val="bottom"/>
            <w:tcBorders>
              <w:bottom w:val="single" w:sz="8" w:color="B6B6B6"/>
              <w:right w:val="single" w:sz="8" w:color="B6B6B6"/>
            </w:tcBorders>
            <w:shd w:val="clear" w:color="auto" w:fill="DBDBDB"/>
          </w:tcPr>
          <w:p>
            <w:pPr>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5"/>
              </w:rPr>
              <w:t>17,168</w:t>
            </w:r>
          </w:p>
        </w:tc>
        <w:tc>
          <w:tcPr>
            <w:tcW w:w="126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5"/>
              </w:rPr>
              <w:t>17,168</w:t>
            </w:r>
          </w:p>
        </w:tc>
        <w:tc>
          <w:tcPr>
            <w:tcW w:w="0" w:type="dxa"/>
            <w:vAlign w:val="bottom"/>
          </w:tcPr>
          <w:p>
            <w:pPr>
              <w:spacing w:after="0"/>
              <w:rPr>
                <w:sz w:val="1"/>
                <w:szCs w:val="1"/>
                <w:color w:val="auto"/>
              </w:rPr>
            </w:pPr>
          </w:p>
        </w:tc>
      </w:tr>
      <w:tr>
        <w:trPr>
          <w:trHeight w:val="169"/>
        </w:trPr>
        <w:tc>
          <w:tcPr>
            <w:tcW w:w="214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3"/>
                <w:szCs w:val="13"/>
                <w:color w:val="auto"/>
              </w:rPr>
              <w:t>Mirlanda Gecaj</w:t>
            </w:r>
          </w:p>
        </w:tc>
        <w:tc>
          <w:tcPr>
            <w:tcW w:w="660" w:type="dxa"/>
            <w:vAlign w:val="bottom"/>
            <w:tcBorders>
              <w:bottom w:val="single" w:sz="8" w:color="B6B6B6"/>
              <w:right w:val="single" w:sz="8" w:color="B6B6B6"/>
            </w:tcBorders>
            <w:gridSpan w:val="2"/>
          </w:tcPr>
          <w:p>
            <w:pPr>
              <w:ind w:left="180"/>
              <w:spacing w:after="0"/>
              <w:rPr>
                <w:sz w:val="20"/>
                <w:szCs w:val="20"/>
                <w:color w:val="auto"/>
              </w:rPr>
            </w:pPr>
            <w:r>
              <w:rPr>
                <w:rFonts w:ascii="Arial" w:cs="Arial" w:eastAsia="Arial" w:hAnsi="Arial"/>
                <w:sz w:val="13"/>
                <w:szCs w:val="13"/>
                <w:color w:val="auto"/>
              </w:rPr>
              <w:t>2025</w:t>
            </w:r>
          </w:p>
        </w:tc>
        <w:tc>
          <w:tcPr>
            <w:tcW w:w="720" w:type="dxa"/>
            <w:vAlign w:val="bottom"/>
            <w:tcBorders>
              <w:bottom w:val="single" w:sz="8" w:color="B6B6B6"/>
            </w:tcBorders>
          </w:tcPr>
          <w:p>
            <w:pPr>
              <w:spacing w:after="0"/>
              <w:rPr>
                <w:sz w:val="14"/>
                <w:szCs w:val="14"/>
                <w:color w:val="auto"/>
              </w:rPr>
            </w:pPr>
          </w:p>
        </w:tc>
        <w:tc>
          <w:tcPr>
            <w:tcW w:w="36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6B6B6"/>
            </w:tcBorders>
          </w:tcPr>
          <w:p>
            <w:pPr>
              <w:spacing w:after="0"/>
              <w:rPr>
                <w:sz w:val="14"/>
                <w:szCs w:val="14"/>
                <w:color w:val="auto"/>
              </w:rPr>
            </w:pPr>
          </w:p>
        </w:tc>
        <w:tc>
          <w:tcPr>
            <w:tcW w:w="20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B6B6B6"/>
            </w:tcBorders>
          </w:tcPr>
          <w:p>
            <w:pPr>
              <w:spacing w:after="0"/>
              <w:rPr>
                <w:sz w:val="14"/>
                <w:szCs w:val="14"/>
                <w:color w:val="auto"/>
              </w:rPr>
            </w:pPr>
          </w:p>
        </w:tc>
        <w:tc>
          <w:tcPr>
            <w:tcW w:w="22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6B6B6"/>
            </w:tcBorders>
          </w:tcPr>
          <w:p>
            <w:pPr>
              <w:spacing w:after="0"/>
              <w:rPr>
                <w:sz w:val="14"/>
                <w:szCs w:val="14"/>
                <w:color w:val="auto"/>
              </w:rPr>
            </w:pPr>
          </w:p>
        </w:tc>
        <w:tc>
          <w:tcPr>
            <w:tcW w:w="200" w:type="dxa"/>
            <w:vAlign w:val="bottom"/>
            <w:tcBorders>
              <w:bottom w:val="single" w:sz="8" w:color="B6B6B6"/>
              <w:right w:val="single" w:sz="8" w:color="B6B6B6"/>
            </w:tcBorders>
          </w:tcPr>
          <w:p>
            <w:pPr>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3"/>
                <w:szCs w:val="13"/>
                <w:color w:val="auto"/>
                <w:w w:val="95"/>
              </w:rPr>
              <w:t>40,238</w:t>
            </w:r>
          </w:p>
        </w:tc>
        <w:tc>
          <w:tcPr>
            <w:tcW w:w="126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3"/>
                <w:szCs w:val="13"/>
                <w:color w:val="auto"/>
                <w:w w:val="95"/>
              </w:rPr>
              <w:t>40,238</w:t>
            </w:r>
          </w:p>
        </w:tc>
        <w:tc>
          <w:tcPr>
            <w:tcW w:w="0" w:type="dxa"/>
            <w:vAlign w:val="bottom"/>
          </w:tcPr>
          <w:p>
            <w:pPr>
              <w:spacing w:after="0"/>
              <w:rPr>
                <w:sz w:val="1"/>
                <w:szCs w:val="1"/>
                <w:color w:val="auto"/>
              </w:rPr>
            </w:pPr>
          </w:p>
        </w:tc>
      </w:tr>
      <w:tr>
        <w:trPr>
          <w:trHeight w:val="154"/>
        </w:trPr>
        <w:tc>
          <w:tcPr>
            <w:tcW w:w="2140" w:type="dxa"/>
            <w:vAlign w:val="bottom"/>
            <w:tcBorders>
              <w:left w:val="single" w:sz="8" w:color="B6B6B6"/>
              <w:bottom w:val="single" w:sz="8" w:color="DBDBDB"/>
              <w:right w:val="single" w:sz="8" w:color="B6B6B6"/>
            </w:tcBorders>
            <w:shd w:val="clear" w:color="auto" w:fill="DBDBDB"/>
          </w:tcPr>
          <w:p>
            <w:pPr>
              <w:ind w:left="40"/>
              <w:spacing w:after="0" w:line="147" w:lineRule="exact"/>
              <w:rPr>
                <w:sz w:val="20"/>
                <w:szCs w:val="20"/>
                <w:color w:val="auto"/>
              </w:rPr>
            </w:pPr>
            <w:r>
              <w:rPr>
                <w:rFonts w:ascii="Arial" w:cs="Arial" w:eastAsia="Arial" w:hAnsi="Arial"/>
                <w:sz w:val="13"/>
                <w:szCs w:val="13"/>
                <w:color w:val="auto"/>
              </w:rPr>
              <w:t>Xavier Heiss</w:t>
            </w:r>
          </w:p>
        </w:tc>
        <w:tc>
          <w:tcPr>
            <w:tcW w:w="180" w:type="dxa"/>
            <w:vAlign w:val="bottom"/>
            <w:tcBorders>
              <w:bottom w:val="single" w:sz="8" w:color="DBDBDB"/>
            </w:tcBorders>
            <w:shd w:val="clear" w:color="auto" w:fill="DBDBDB"/>
          </w:tcPr>
          <w:p>
            <w:pPr>
              <w:spacing w:after="0"/>
              <w:rPr>
                <w:sz w:val="13"/>
                <w:szCs w:val="13"/>
                <w:color w:val="auto"/>
              </w:rPr>
            </w:pPr>
          </w:p>
        </w:tc>
        <w:tc>
          <w:tcPr>
            <w:tcW w:w="480" w:type="dxa"/>
            <w:vAlign w:val="bottom"/>
            <w:tcBorders>
              <w:bottom w:val="single" w:sz="8" w:color="DBDBDB"/>
              <w:right w:val="single" w:sz="8" w:color="B6B6B6"/>
            </w:tcBorders>
            <w:shd w:val="clear" w:color="auto" w:fill="DBDBDB"/>
          </w:tcPr>
          <w:p>
            <w:pPr>
              <w:spacing w:after="0" w:line="147" w:lineRule="exact"/>
              <w:rPr>
                <w:sz w:val="20"/>
                <w:szCs w:val="20"/>
                <w:color w:val="auto"/>
              </w:rPr>
            </w:pPr>
            <w:r>
              <w:rPr>
                <w:rFonts w:ascii="Arial" w:cs="Arial" w:eastAsia="Arial" w:hAnsi="Arial"/>
                <w:sz w:val="13"/>
                <w:szCs w:val="13"/>
                <w:color w:val="auto"/>
                <w:highlight w:val="lightGray"/>
              </w:rPr>
              <w:t>2025</w:t>
            </w:r>
          </w:p>
        </w:tc>
        <w:tc>
          <w:tcPr>
            <w:tcW w:w="720" w:type="dxa"/>
            <w:vAlign w:val="bottom"/>
            <w:tcBorders>
              <w:bottom w:val="single" w:sz="8" w:color="DBDBDB"/>
            </w:tcBorders>
            <w:shd w:val="clear" w:color="auto" w:fill="DBDBDB"/>
          </w:tcPr>
          <w:p>
            <w:pPr>
              <w:jc w:val="right"/>
              <w:spacing w:after="0" w:line="147" w:lineRule="exact"/>
              <w:rPr>
                <w:sz w:val="20"/>
                <w:szCs w:val="20"/>
                <w:color w:val="auto"/>
              </w:rPr>
            </w:pPr>
            <w:r>
              <w:rPr>
                <w:rFonts w:ascii="Arial" w:cs="Arial" w:eastAsia="Arial" w:hAnsi="Arial"/>
                <w:sz w:val="13"/>
                <w:szCs w:val="13"/>
                <w:color w:val="auto"/>
                <w:highlight w:val="lightGray"/>
              </w:rPr>
              <w:t>31,871</w:t>
            </w:r>
          </w:p>
        </w:tc>
        <w:tc>
          <w:tcPr>
            <w:tcW w:w="360" w:type="dxa"/>
            <w:vAlign w:val="bottom"/>
            <w:tcBorders>
              <w:bottom w:val="single" w:sz="8" w:color="DBDBDB"/>
              <w:right w:val="single" w:sz="8" w:color="B6B6B6"/>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DBDBDB"/>
              <w:right w:val="single" w:sz="8" w:color="B6B6B6"/>
            </w:tcBorders>
            <w:shd w:val="clear" w:color="auto" w:fill="DBDBDB"/>
          </w:tcPr>
          <w:p>
            <w:pPr>
              <w:spacing w:after="0" w:line="147" w:lineRule="exact"/>
              <w:rPr>
                <w:sz w:val="20"/>
                <w:szCs w:val="20"/>
                <w:color w:val="auto"/>
              </w:rPr>
            </w:pPr>
            <w:r>
              <w:rPr>
                <w:rFonts w:ascii="Arial" w:cs="Arial" w:eastAsia="Arial" w:hAnsi="Arial"/>
                <w:sz w:val="13"/>
                <w:szCs w:val="13"/>
                <w:color w:val="auto"/>
                <w:highlight w:val="lightGray"/>
              </w:rPr>
              <w:t>—</w:t>
            </w:r>
          </w:p>
        </w:tc>
        <w:tc>
          <w:tcPr>
            <w:tcW w:w="1220" w:type="dxa"/>
            <w:vAlign w:val="bottom"/>
            <w:tcBorders>
              <w:bottom w:val="single" w:sz="8" w:color="DBDBDB"/>
            </w:tcBorders>
            <w:shd w:val="clear" w:color="auto" w:fill="DBDBDB"/>
          </w:tcPr>
          <w:p>
            <w:pPr>
              <w:ind w:left="480"/>
              <w:spacing w:after="0" w:line="147" w:lineRule="exact"/>
              <w:rPr>
                <w:sz w:val="20"/>
                <w:szCs w:val="20"/>
                <w:color w:val="auto"/>
              </w:rPr>
            </w:pPr>
            <w:r>
              <w:rPr>
                <w:rFonts w:ascii="Arial" w:cs="Arial" w:eastAsia="Arial" w:hAnsi="Arial"/>
                <w:sz w:val="13"/>
                <w:szCs w:val="13"/>
                <w:color w:val="auto"/>
                <w:highlight w:val="lightGray"/>
              </w:rPr>
              <w:t>376,188</w:t>
            </w:r>
          </w:p>
        </w:tc>
        <w:tc>
          <w:tcPr>
            <w:tcW w:w="220" w:type="dxa"/>
            <w:vAlign w:val="bottom"/>
            <w:tcBorders>
              <w:bottom w:val="single" w:sz="8" w:color="DBDBDB"/>
              <w:right w:val="single" w:sz="8" w:color="B6B6B6"/>
            </w:tcBorders>
            <w:shd w:val="clear" w:color="auto" w:fill="DBDBDB"/>
          </w:tcPr>
          <w:p>
            <w:pPr>
              <w:spacing w:after="0"/>
              <w:rPr>
                <w:sz w:val="13"/>
                <w:szCs w:val="13"/>
                <w:color w:val="auto"/>
              </w:rPr>
            </w:pPr>
          </w:p>
        </w:tc>
        <w:tc>
          <w:tcPr>
            <w:tcW w:w="86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DBDBDB"/>
              <w:right w:val="single" w:sz="8" w:color="B6B6B6"/>
            </w:tcBorders>
            <w:shd w:val="clear" w:color="auto" w:fill="DBDBDB"/>
          </w:tcPr>
          <w:p>
            <w:pPr>
              <w:spacing w:after="0" w:line="147" w:lineRule="exact"/>
              <w:rPr>
                <w:sz w:val="20"/>
                <w:szCs w:val="20"/>
                <w:color w:val="auto"/>
              </w:rPr>
            </w:pPr>
            <w:r>
              <w:rPr>
                <w:rFonts w:ascii="Arial" w:cs="Arial" w:eastAsia="Arial" w:hAnsi="Arial"/>
                <w:sz w:val="13"/>
                <w:szCs w:val="13"/>
                <w:color w:val="auto"/>
                <w:highlight w:val="lightGray"/>
              </w:rPr>
              <w:t>—</w:t>
            </w:r>
          </w:p>
        </w:tc>
        <w:tc>
          <w:tcPr>
            <w:tcW w:w="1640" w:type="dxa"/>
            <w:vAlign w:val="bottom"/>
            <w:tcBorders>
              <w:bottom w:val="single" w:sz="8" w:color="DBDBDB"/>
              <w:right w:val="single" w:sz="8" w:color="B6B6B6"/>
            </w:tcBorders>
            <w:shd w:val="clear" w:color="auto" w:fill="DBDBDB"/>
          </w:tcPr>
          <w:p>
            <w:pPr>
              <w:jc w:val="center"/>
              <w:spacing w:after="0" w:line="147" w:lineRule="exact"/>
              <w:rPr>
                <w:sz w:val="20"/>
                <w:szCs w:val="20"/>
                <w:color w:val="auto"/>
              </w:rPr>
            </w:pPr>
            <w:r>
              <w:rPr>
                <w:rFonts w:ascii="Arial" w:cs="Arial" w:eastAsia="Arial" w:hAnsi="Arial"/>
                <w:sz w:val="13"/>
                <w:szCs w:val="13"/>
                <w:color w:val="auto"/>
                <w:highlight w:val="lightGray"/>
                <w:w w:val="97"/>
              </w:rPr>
              <w:t>148,994</w:t>
            </w:r>
          </w:p>
        </w:tc>
        <w:tc>
          <w:tcPr>
            <w:tcW w:w="1260" w:type="dxa"/>
            <w:vAlign w:val="bottom"/>
            <w:tcBorders>
              <w:bottom w:val="single" w:sz="8" w:color="DBDBDB"/>
              <w:right w:val="single" w:sz="8" w:color="B6B6B6"/>
            </w:tcBorders>
            <w:shd w:val="clear" w:color="auto" w:fill="DBDBDB"/>
          </w:tcPr>
          <w:p>
            <w:pPr>
              <w:jc w:val="center"/>
              <w:spacing w:after="0" w:line="147" w:lineRule="exact"/>
              <w:rPr>
                <w:sz w:val="20"/>
                <w:szCs w:val="20"/>
                <w:color w:val="auto"/>
              </w:rPr>
            </w:pPr>
            <w:r>
              <w:rPr>
                <w:rFonts w:ascii="Arial" w:cs="Arial" w:eastAsia="Arial" w:hAnsi="Arial"/>
                <w:sz w:val="13"/>
                <w:szCs w:val="13"/>
                <w:color w:val="auto"/>
                <w:highlight w:val="lightGray"/>
                <w:w w:val="93"/>
              </w:rPr>
              <w:t>557,053</w:t>
            </w:r>
          </w:p>
        </w:tc>
        <w:tc>
          <w:tcPr>
            <w:tcW w:w="0" w:type="dxa"/>
            <w:vAlign w:val="bottom"/>
          </w:tcPr>
          <w:p>
            <w:pPr>
              <w:spacing w:after="0"/>
              <w:rPr>
                <w:sz w:val="1"/>
                <w:szCs w:val="1"/>
                <w:color w:val="auto"/>
              </w:rPr>
            </w:pPr>
          </w:p>
        </w:tc>
      </w:tr>
      <w:tr>
        <w:trPr>
          <w:trHeight w:val="20"/>
        </w:trPr>
        <w:tc>
          <w:tcPr>
            <w:tcW w:w="2140" w:type="dxa"/>
            <w:vAlign w:val="bottom"/>
            <w:tcBorders>
              <w:left w:val="single" w:sz="8" w:color="B6B6B6"/>
              <w:right w:val="single" w:sz="8" w:color="B6B6B6"/>
            </w:tcBorders>
            <w:shd w:val="clear" w:color="auto" w:fill="B6B6B6"/>
          </w:tcPr>
          <w:p>
            <w:pPr>
              <w:spacing w:after="0" w:line="20" w:lineRule="exact"/>
              <w:rPr>
                <w:sz w:val="1"/>
                <w:szCs w:val="1"/>
                <w:color w:val="auto"/>
              </w:rPr>
            </w:pPr>
          </w:p>
        </w:tc>
        <w:tc>
          <w:tcPr>
            <w:tcW w:w="180" w:type="dxa"/>
            <w:vAlign w:val="bottom"/>
            <w:shd w:val="clear" w:color="auto" w:fill="B6B6B6"/>
          </w:tcPr>
          <w:p>
            <w:pPr>
              <w:spacing w:after="0" w:line="20" w:lineRule="exact"/>
              <w:rPr>
                <w:sz w:val="1"/>
                <w:szCs w:val="1"/>
                <w:color w:val="auto"/>
              </w:rPr>
            </w:pPr>
          </w:p>
        </w:tc>
        <w:tc>
          <w:tcPr>
            <w:tcW w:w="480" w:type="dxa"/>
            <w:vAlign w:val="bottom"/>
            <w:tcBorders>
              <w:right w:val="single" w:sz="8" w:color="B6B6B6"/>
            </w:tcBorders>
            <w:shd w:val="clear" w:color="auto" w:fill="B6B6B6"/>
          </w:tcPr>
          <w:p>
            <w:pPr>
              <w:spacing w:after="0" w:line="20" w:lineRule="exact"/>
              <w:rPr>
                <w:sz w:val="1"/>
                <w:szCs w:val="1"/>
                <w:color w:val="auto"/>
              </w:rPr>
            </w:pPr>
          </w:p>
        </w:tc>
        <w:tc>
          <w:tcPr>
            <w:tcW w:w="720" w:type="dxa"/>
            <w:vAlign w:val="bottom"/>
            <w:shd w:val="clear" w:color="auto" w:fill="B6B6B6"/>
          </w:tcPr>
          <w:p>
            <w:pPr>
              <w:spacing w:after="0" w:line="20" w:lineRule="exact"/>
              <w:rPr>
                <w:sz w:val="1"/>
                <w:szCs w:val="1"/>
                <w:color w:val="auto"/>
              </w:rPr>
            </w:pPr>
          </w:p>
        </w:tc>
        <w:tc>
          <w:tcPr>
            <w:tcW w:w="360" w:type="dxa"/>
            <w:vAlign w:val="bottom"/>
            <w:tcBorders>
              <w:right w:val="single" w:sz="8" w:color="B6B6B6"/>
            </w:tcBorders>
            <w:shd w:val="clear" w:color="auto" w:fill="B6B6B6"/>
          </w:tcPr>
          <w:p>
            <w:pPr>
              <w:spacing w:after="0" w:line="20" w:lineRule="exact"/>
              <w:rPr>
                <w:sz w:val="1"/>
                <w:szCs w:val="1"/>
                <w:color w:val="auto"/>
              </w:rPr>
            </w:pPr>
          </w:p>
        </w:tc>
        <w:tc>
          <w:tcPr>
            <w:tcW w:w="1020" w:type="dxa"/>
            <w:vAlign w:val="bottom"/>
            <w:shd w:val="clear" w:color="auto" w:fill="B6B6B6"/>
          </w:tcPr>
          <w:p>
            <w:pPr>
              <w:spacing w:after="0" w:line="20" w:lineRule="exact"/>
              <w:rPr>
                <w:sz w:val="1"/>
                <w:szCs w:val="1"/>
                <w:color w:val="auto"/>
              </w:rPr>
            </w:pPr>
          </w:p>
        </w:tc>
        <w:tc>
          <w:tcPr>
            <w:tcW w:w="200" w:type="dxa"/>
            <w:vAlign w:val="bottom"/>
            <w:tcBorders>
              <w:right w:val="single" w:sz="8" w:color="B6B6B6"/>
            </w:tcBorders>
            <w:shd w:val="clear" w:color="auto" w:fill="B6B6B6"/>
          </w:tcPr>
          <w:p>
            <w:pPr>
              <w:spacing w:after="0" w:line="20" w:lineRule="exact"/>
              <w:rPr>
                <w:sz w:val="1"/>
                <w:szCs w:val="1"/>
                <w:color w:val="auto"/>
              </w:rPr>
            </w:pPr>
          </w:p>
        </w:tc>
        <w:tc>
          <w:tcPr>
            <w:tcW w:w="1220" w:type="dxa"/>
            <w:vAlign w:val="bottom"/>
            <w:shd w:val="clear" w:color="auto" w:fill="B6B6B6"/>
          </w:tcPr>
          <w:p>
            <w:pPr>
              <w:spacing w:after="0" w:line="20" w:lineRule="exact"/>
              <w:rPr>
                <w:sz w:val="1"/>
                <w:szCs w:val="1"/>
                <w:color w:val="auto"/>
              </w:rPr>
            </w:pPr>
          </w:p>
        </w:tc>
        <w:tc>
          <w:tcPr>
            <w:tcW w:w="220" w:type="dxa"/>
            <w:vAlign w:val="bottom"/>
            <w:tcBorders>
              <w:right w:val="single" w:sz="8" w:color="B6B6B6"/>
            </w:tcBorders>
            <w:shd w:val="clear" w:color="auto" w:fill="B6B6B6"/>
          </w:tcPr>
          <w:p>
            <w:pPr>
              <w:spacing w:after="0" w:line="20" w:lineRule="exact"/>
              <w:rPr>
                <w:sz w:val="1"/>
                <w:szCs w:val="1"/>
                <w:color w:val="auto"/>
              </w:rPr>
            </w:pPr>
          </w:p>
        </w:tc>
        <w:tc>
          <w:tcPr>
            <w:tcW w:w="860" w:type="dxa"/>
            <w:vAlign w:val="bottom"/>
            <w:shd w:val="clear" w:color="auto" w:fill="B6B6B6"/>
          </w:tcPr>
          <w:p>
            <w:pPr>
              <w:spacing w:after="0" w:line="20" w:lineRule="exact"/>
              <w:rPr>
                <w:sz w:val="1"/>
                <w:szCs w:val="1"/>
                <w:color w:val="auto"/>
              </w:rPr>
            </w:pPr>
          </w:p>
        </w:tc>
        <w:tc>
          <w:tcPr>
            <w:tcW w:w="200" w:type="dxa"/>
            <w:vAlign w:val="bottom"/>
            <w:tcBorders>
              <w:right w:val="single" w:sz="8" w:color="B6B6B6"/>
            </w:tcBorders>
            <w:shd w:val="clear" w:color="auto" w:fill="B6B6B6"/>
          </w:tcPr>
          <w:p>
            <w:pPr>
              <w:spacing w:after="0" w:line="20" w:lineRule="exact"/>
              <w:rPr>
                <w:sz w:val="1"/>
                <w:szCs w:val="1"/>
                <w:color w:val="auto"/>
              </w:rPr>
            </w:pPr>
          </w:p>
        </w:tc>
        <w:tc>
          <w:tcPr>
            <w:tcW w:w="1640" w:type="dxa"/>
            <w:vAlign w:val="bottom"/>
            <w:tcBorders>
              <w:right w:val="single" w:sz="8" w:color="B6B6B6"/>
            </w:tcBorders>
            <w:shd w:val="clear" w:color="auto" w:fill="B6B6B6"/>
          </w:tcPr>
          <w:p>
            <w:pPr>
              <w:spacing w:after="0" w:line="20" w:lineRule="exact"/>
              <w:rPr>
                <w:sz w:val="1"/>
                <w:szCs w:val="1"/>
                <w:color w:val="auto"/>
              </w:rPr>
            </w:pPr>
          </w:p>
        </w:tc>
        <w:tc>
          <w:tcPr>
            <w:tcW w:w="1260" w:type="dxa"/>
            <w:vAlign w:val="bottom"/>
            <w:tcBorders>
              <w:right w:val="single" w:sz="8" w:color="B6B6B6"/>
            </w:tcBorders>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2" w:name="page63"/>
    <w:bookmarkEnd w:id="62"/>
    <w:p>
      <w:pPr>
        <w:ind w:right="300"/>
        <w:spacing w:after="0" w:line="268" w:lineRule="auto"/>
        <w:rPr>
          <w:sz w:val="20"/>
          <w:szCs w:val="20"/>
          <w:color w:val="auto"/>
        </w:rPr>
      </w:pPr>
      <w:r>
        <w:rPr>
          <w:rFonts w:ascii="Arial" w:cs="Arial" w:eastAsia="Arial" w:hAnsi="Arial"/>
          <w:sz w:val="18"/>
          <w:szCs w:val="18"/>
          <w:color w:val="auto"/>
        </w:rPr>
        <w:t>Compensation reported in this table is in U.S. dollars and rounded to the nearest dollar. Mr. Heiss' and Mr. Gueden's compensation is denominated and paid in euros; the amount shown in U.S. dollars reflects the December 2025 average exchange rate of 1.1697 EUR per USD.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4" w:lineRule="exact"/>
        <w:rPr>
          <w:sz w:val="20"/>
          <w:szCs w:val="20"/>
          <w:color w:val="auto"/>
        </w:rPr>
      </w:pPr>
    </w:p>
    <w:p>
      <w:pPr>
        <w:ind w:left="340" w:right="300" w:hanging="332"/>
        <w:spacing w:after="0" w:line="239" w:lineRule="auto"/>
        <w:tabs>
          <w:tab w:leader="none" w:pos="3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Gueden, a citizen of France, received certain benefits in connection with his international assignment in the U.S. Included in this column are Mr. Gueden's automobile allowance of €34,381 ($40,302), assignment allowance of €27,317 ($32,021), and the cost of incremental housing allowance €54,970 ($64,435). Mr. Heiss, also a citizen of France, received certain benefits in connection with his international assignment in the U.S. Included in this column are Mr. Heiss’ automobile allowance €369 ($433), assignment allowance €4,479 ($5,250), pension inclusion €56,859 ($66,650), and the cost of incremental housing allowance €22,342 ($26,189).</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2025, the amount shown for Mr. Bruno, reflects a relocation expense of $11,774.</w:t>
      </w:r>
    </w:p>
    <w:p>
      <w:pPr>
        <w:spacing w:after="0" w:line="117" w:lineRule="exact"/>
        <w:rPr>
          <w:rFonts w:ascii="Arial" w:cs="Arial" w:eastAsia="Arial" w:hAnsi="Arial"/>
          <w:sz w:val="18"/>
          <w:szCs w:val="18"/>
          <w:color w:val="auto"/>
        </w:rPr>
      </w:pPr>
    </w:p>
    <w:p>
      <w:pPr>
        <w:ind w:left="340" w:right="60" w:hanging="332"/>
        <w:spacing w:after="0" w:line="259" w:lineRule="auto"/>
        <w:tabs>
          <w:tab w:leader="none" w:pos="3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2025, the amount shown for Mr. Bruno reflects (i) tax equalization payments equal to $467,810 and (ii) a non-taxable expense equal to $107. The amounts shown for Messrs. Gueden and Heiss reflect tax preparation fees under Xerox's international assignment policy in the amount of €41,318 ($48,433), and €36,923 ($43,281), respectively. The amounts shown for Messrs. Gueden and Heiss reflects total tax assistance fees in the amount of €35,769 ($41,929) and €203,642 ($238,709), respectively. The amounts for Messrs. Gueden and Heiss also reflect tax equalization fees in the amount of €356,456 ($417,838) and €80,360 ($94,198), respectively.</w:t>
      </w:r>
    </w:p>
    <w:p>
      <w:pPr>
        <w:spacing w:after="0" w:line="71" w:lineRule="exact"/>
        <w:rPr>
          <w:rFonts w:ascii="Arial" w:cs="Arial" w:eastAsia="Arial" w:hAnsi="Arial"/>
          <w:sz w:val="18"/>
          <w:szCs w:val="18"/>
          <w:color w:val="auto"/>
        </w:rPr>
      </w:pPr>
    </w:p>
    <w:p>
      <w:pPr>
        <w:ind w:left="340" w:right="340" w:hanging="332"/>
        <w:spacing w:after="0" w:line="268" w:lineRule="auto"/>
        <w:tabs>
          <w:tab w:leader="none" w:pos="3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For Mr. Butler, this column includes the employer contributions, if any, under the 401(k) Savings Plan for Lexmark. For Mr. Heiss, this column includes the employer contribution under the Defined Contribution Pension Plan for Directors of Xerox SAS France. See the </w:t>
      </w:r>
      <w:r>
        <w:rPr>
          <w:rFonts w:ascii="Arial" w:cs="Arial" w:eastAsia="Arial" w:hAnsi="Arial"/>
          <w:sz w:val="18"/>
          <w:szCs w:val="18"/>
          <w:i w:val="1"/>
          <w:iCs w:val="1"/>
          <w:color w:val="auto"/>
        </w:rPr>
        <w:t xml:space="preserve">Pension and Savings Plans </w:t>
      </w:r>
      <w:r>
        <w:rPr>
          <w:rFonts w:ascii="Arial" w:cs="Arial" w:eastAsia="Arial" w:hAnsi="Arial"/>
          <w:sz w:val="18"/>
          <w:szCs w:val="18"/>
          <w:color w:val="auto"/>
        </w:rPr>
        <w:t>section for more information.</w:t>
      </w:r>
    </w:p>
    <w:p>
      <w:pPr>
        <w:spacing w:after="0" w:line="62" w:lineRule="exact"/>
        <w:rPr>
          <w:rFonts w:ascii="Arial" w:cs="Arial" w:eastAsia="Arial" w:hAnsi="Arial"/>
          <w:sz w:val="18"/>
          <w:szCs w:val="18"/>
          <w:color w:val="auto"/>
        </w:rPr>
      </w:pPr>
    </w:p>
    <w:p>
      <w:pPr>
        <w:ind w:left="340" w:hanging="332"/>
        <w:spacing w:after="0" w:line="255" w:lineRule="auto"/>
        <w:tabs>
          <w:tab w:leader="none" w:pos="3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Bandrowczak's compensation reflects a financial planning perquisite of $15,000 and a security service perquisite of $642. Mr. Bruno's compensation reflects a vacation payout of $43,727. Mr. Pastor's compensation reflects a financial planning perquisite of $15,000. Ms. Colón's compensation reflects (i) a financial planning perquisite equal to $15,000 and (ii) a refund of a social security payment from a restricted stock release equal to $2,168. Ms. Gecaj's compensation reflects (i) a financial planning perquisite equal to $3,699 and (ii) a severance payout of $36,539. The financial planning perquisite is offered to our executives with up to $15,000 on an annual basis. Mr. Gueden's compensation reflects a seniority bonus of €7,330 ($8,573), a customary annual payment in France. Mr. Butler's compensation reflects (i) a temporary housing allowance provided for up to twelve months in connection with his appointment as EVP, Chief Financial Officer and his dual-location responsibilities between the Company’s Norwalk, Connecticut headquarters and Lexmark’s Lexington, Kentucky headquarters equal to $10,722 and (ii) a reimbursement of cellular phone services equal to $250.</w:t>
      </w:r>
    </w:p>
    <w:p>
      <w:pPr>
        <w:spacing w:after="0" w:line="72" w:lineRule="exact"/>
        <w:rPr>
          <w:rFonts w:ascii="Arial" w:cs="Arial" w:eastAsia="Arial" w:hAnsi="Arial"/>
          <w:sz w:val="18"/>
          <w:szCs w:val="18"/>
          <w:color w:val="auto"/>
        </w:rPr>
      </w:pPr>
    </w:p>
    <w:p>
      <w:pPr>
        <w:ind w:left="340" w:right="960" w:hanging="332"/>
        <w:spacing w:after="0" w:line="287" w:lineRule="auto"/>
        <w:tabs>
          <w:tab w:leader="none" w:pos="32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accordance with applicable SEC rules, dividend equivalents paid in 2025 on PSUs and RSUs are not included in “All Other Compensation” because those amounts were factored into the grant date fair values of the PSUs and RSUs.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D92231"/>
        </w:rPr>
        <w:t>GRANTS OF PLAN-BASED AWARDS IN 2025</w:t>
      </w:r>
    </w:p>
    <w:p>
      <w:pPr>
        <w:spacing w:after="0" w:line="117"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The following table provides additional detail regarding RSUs and PSUs granted to each of the NEOs under the 2025 LTIP and potential amounts payable under the 2025 MIP. Threshold, target, and maximum award opportunities are provided for PSUs and the MIP, as applicable. 2025 LTIP awards were made under the Xerox Holdings Corporation 2024 Equity and Performance Incentive Plan (EPIP).</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Borders>
              <w:left w:val="single" w:sz="8" w:color="D92231"/>
              <w:right w:val="single" w:sz="8" w:color="D92231"/>
            </w:tcBorders>
            <w:shd w:val="clear" w:color="auto" w:fill="D92231"/>
          </w:tcPr>
          <w:p>
            <w:pPr>
              <w:spacing w:after="0"/>
              <w:rPr>
                <w:sz w:val="14"/>
                <w:szCs w:val="14"/>
                <w:color w:val="auto"/>
              </w:rPr>
            </w:pPr>
          </w:p>
        </w:tc>
        <w:tc>
          <w:tcPr>
            <w:tcW w:w="320" w:type="dxa"/>
            <w:vAlign w:val="bottom"/>
            <w:shd w:val="clear" w:color="auto" w:fill="D92231"/>
          </w:tcPr>
          <w:p>
            <w:pPr>
              <w:spacing w:after="0"/>
              <w:rPr>
                <w:sz w:val="14"/>
                <w:szCs w:val="14"/>
                <w:color w:val="auto"/>
              </w:rPr>
            </w:pPr>
          </w:p>
        </w:tc>
        <w:tc>
          <w:tcPr>
            <w:tcW w:w="620" w:type="dxa"/>
            <w:vAlign w:val="bottom"/>
            <w:tcBorders>
              <w:right w:val="single" w:sz="8" w:color="D92231"/>
            </w:tcBorders>
            <w:shd w:val="clear" w:color="auto" w:fill="D92231"/>
          </w:tcPr>
          <w:p>
            <w:pPr>
              <w:spacing w:after="0"/>
              <w:rPr>
                <w:sz w:val="14"/>
                <w:szCs w:val="14"/>
                <w:color w:val="auto"/>
              </w:rPr>
            </w:pPr>
          </w:p>
        </w:tc>
        <w:tc>
          <w:tcPr>
            <w:tcW w:w="940" w:type="dxa"/>
            <w:vAlign w:val="bottom"/>
            <w:tcBorders>
              <w:right w:val="single" w:sz="8" w:color="D92231"/>
            </w:tcBorders>
            <w:shd w:val="clear" w:color="auto" w:fill="D92231"/>
          </w:tcPr>
          <w:p>
            <w:pPr>
              <w:spacing w:after="0"/>
              <w:rPr>
                <w:sz w:val="14"/>
                <w:szCs w:val="14"/>
                <w:color w:val="auto"/>
              </w:rPr>
            </w:pPr>
          </w:p>
        </w:tc>
        <w:tc>
          <w:tcPr>
            <w:tcW w:w="920" w:type="dxa"/>
            <w:vAlign w:val="bottom"/>
            <w:tcBorders>
              <w:right w:val="single" w:sz="8" w:color="DA2031"/>
            </w:tcBorders>
            <w:shd w:val="clear" w:color="auto" w:fill="D92231"/>
          </w:tcPr>
          <w:p>
            <w:pPr>
              <w:spacing w:after="0"/>
              <w:rPr>
                <w:sz w:val="14"/>
                <w:szCs w:val="14"/>
                <w:color w:val="auto"/>
              </w:rPr>
            </w:pPr>
          </w:p>
        </w:tc>
        <w:tc>
          <w:tcPr>
            <w:tcW w:w="940" w:type="dxa"/>
            <w:vAlign w:val="bottom"/>
            <w:tcBorders>
              <w:right w:val="single" w:sz="8" w:color="DA2031"/>
            </w:tcBorders>
            <w:shd w:val="clear" w:color="auto" w:fill="DA2031"/>
          </w:tcPr>
          <w:p>
            <w:pPr>
              <w:spacing w:after="0"/>
              <w:rPr>
                <w:sz w:val="14"/>
                <w:szCs w:val="14"/>
                <w:color w:val="auto"/>
              </w:rPr>
            </w:pPr>
          </w:p>
        </w:tc>
        <w:tc>
          <w:tcPr>
            <w:tcW w:w="940" w:type="dxa"/>
            <w:vAlign w:val="bottom"/>
            <w:tcBorders>
              <w:right w:val="single" w:sz="8" w:color="DA2031"/>
            </w:tcBorders>
            <w:shd w:val="clear" w:color="auto" w:fill="DA2031"/>
          </w:tcPr>
          <w:p>
            <w:pPr>
              <w:spacing w:after="0"/>
              <w:rPr>
                <w:sz w:val="14"/>
                <w:szCs w:val="14"/>
                <w:color w:val="auto"/>
              </w:rPr>
            </w:pPr>
          </w:p>
        </w:tc>
        <w:tc>
          <w:tcPr>
            <w:tcW w:w="940" w:type="dxa"/>
            <w:vAlign w:val="bottom"/>
            <w:tcBorders>
              <w:right w:val="single" w:sz="8" w:color="DA2031"/>
            </w:tcBorders>
            <w:shd w:val="clear" w:color="auto" w:fill="DA2031"/>
          </w:tcPr>
          <w:p>
            <w:pPr>
              <w:spacing w:after="0"/>
              <w:rPr>
                <w:sz w:val="14"/>
                <w:szCs w:val="14"/>
                <w:color w:val="auto"/>
              </w:rPr>
            </w:pPr>
          </w:p>
        </w:tc>
        <w:tc>
          <w:tcPr>
            <w:tcW w:w="820" w:type="dxa"/>
            <w:vAlign w:val="bottom"/>
            <w:tcBorders>
              <w:right w:val="single" w:sz="8" w:color="DA2031"/>
            </w:tcBorders>
            <w:shd w:val="clear" w:color="auto" w:fill="DA2031"/>
          </w:tcPr>
          <w:p>
            <w:pPr>
              <w:spacing w:after="0"/>
              <w:rPr>
                <w:sz w:val="14"/>
                <w:szCs w:val="14"/>
                <w:color w:val="auto"/>
              </w:rPr>
            </w:pPr>
          </w:p>
        </w:tc>
        <w:tc>
          <w:tcPr>
            <w:tcW w:w="940" w:type="dxa"/>
            <w:vAlign w:val="bottom"/>
            <w:tcBorders>
              <w:right w:val="single" w:sz="8" w:color="DA2031"/>
            </w:tcBorders>
            <w:shd w:val="clear" w:color="auto" w:fill="DA2031"/>
          </w:tcPr>
          <w:p>
            <w:pPr>
              <w:spacing w:after="0"/>
              <w:rPr>
                <w:sz w:val="14"/>
                <w:szCs w:val="14"/>
                <w:color w:val="auto"/>
              </w:rPr>
            </w:pPr>
          </w:p>
        </w:tc>
        <w:tc>
          <w:tcPr>
            <w:tcW w:w="120" w:type="dxa"/>
            <w:vAlign w:val="bottom"/>
            <w:shd w:val="clear" w:color="auto" w:fill="DA2031"/>
          </w:tcPr>
          <w:p>
            <w:pPr>
              <w:spacing w:after="0"/>
              <w:rPr>
                <w:sz w:val="14"/>
                <w:szCs w:val="14"/>
                <w:color w:val="auto"/>
              </w:rPr>
            </w:pPr>
          </w:p>
        </w:tc>
        <w:tc>
          <w:tcPr>
            <w:tcW w:w="760" w:type="dxa"/>
            <w:vAlign w:val="bottom"/>
            <w:tcBorders>
              <w:right w:val="single" w:sz="8" w:color="DA2031"/>
            </w:tcBorders>
            <w:shd w:val="clear" w:color="auto" w:fill="DA2031"/>
          </w:tcPr>
          <w:p>
            <w:pPr>
              <w:spacing w:after="0"/>
              <w:rPr>
                <w:sz w:val="14"/>
                <w:szCs w:val="14"/>
                <w:color w:val="auto"/>
              </w:rPr>
            </w:pPr>
          </w:p>
        </w:tc>
        <w:tc>
          <w:tcPr>
            <w:tcW w:w="88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All Other</w:t>
            </w:r>
          </w:p>
        </w:tc>
        <w:tc>
          <w:tcPr>
            <w:tcW w:w="900" w:type="dxa"/>
            <w:vAlign w:val="bottom"/>
            <w:tcBorders>
              <w:right w:val="single" w:sz="8" w:color="DA2031"/>
            </w:tcBorders>
            <w:shd w:val="clear" w:color="auto" w:fill="DA2031"/>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20" w:type="dxa"/>
            <w:vAlign w:val="bottom"/>
            <w:tcBorders>
              <w:left w:val="single" w:sz="8" w:color="D92231"/>
              <w:right w:val="single" w:sz="8" w:color="D92231"/>
            </w:tcBorders>
            <w:shd w:val="clear" w:color="auto" w:fill="D92231"/>
          </w:tcPr>
          <w:p>
            <w:pPr>
              <w:spacing w:after="0"/>
              <w:rPr>
                <w:sz w:val="12"/>
                <w:szCs w:val="12"/>
                <w:color w:val="auto"/>
              </w:rPr>
            </w:pPr>
          </w:p>
        </w:tc>
        <w:tc>
          <w:tcPr>
            <w:tcW w:w="320" w:type="dxa"/>
            <w:vAlign w:val="bottom"/>
            <w:shd w:val="clear" w:color="auto" w:fill="D92231"/>
          </w:tcPr>
          <w:p>
            <w:pPr>
              <w:spacing w:after="0"/>
              <w:rPr>
                <w:sz w:val="12"/>
                <w:szCs w:val="12"/>
                <w:color w:val="auto"/>
              </w:rPr>
            </w:pPr>
          </w:p>
        </w:tc>
        <w:tc>
          <w:tcPr>
            <w:tcW w:w="620" w:type="dxa"/>
            <w:vAlign w:val="bottom"/>
            <w:tcBorders>
              <w:right w:val="single" w:sz="8" w:color="D92231"/>
            </w:tcBorders>
            <w:shd w:val="clear" w:color="auto" w:fill="D92231"/>
          </w:tcPr>
          <w:p>
            <w:pPr>
              <w:spacing w:after="0"/>
              <w:rPr>
                <w:sz w:val="12"/>
                <w:szCs w:val="12"/>
                <w:color w:val="auto"/>
              </w:rPr>
            </w:pPr>
          </w:p>
        </w:tc>
        <w:tc>
          <w:tcPr>
            <w:tcW w:w="940" w:type="dxa"/>
            <w:vAlign w:val="bottom"/>
            <w:tcBorders>
              <w:right w:val="single" w:sz="8" w:color="D92231"/>
            </w:tcBorders>
            <w:shd w:val="clear" w:color="auto" w:fill="D92231"/>
          </w:tcPr>
          <w:p>
            <w:pPr>
              <w:spacing w:after="0"/>
              <w:rPr>
                <w:sz w:val="12"/>
                <w:szCs w:val="12"/>
                <w:color w:val="auto"/>
              </w:rPr>
            </w:pPr>
          </w:p>
        </w:tc>
        <w:tc>
          <w:tcPr>
            <w:tcW w:w="920" w:type="dxa"/>
            <w:vAlign w:val="bottom"/>
            <w:tcBorders>
              <w:right w:val="single" w:sz="8" w:color="DA2031"/>
            </w:tcBorders>
            <w:shd w:val="clear" w:color="auto" w:fill="D922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820" w:type="dxa"/>
            <w:vAlign w:val="bottom"/>
            <w:tcBorders>
              <w:right w:val="single" w:sz="8" w:color="DA2031"/>
            </w:tcBorders>
            <w:shd w:val="clear" w:color="auto" w:fill="DA20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120" w:type="dxa"/>
            <w:vAlign w:val="bottom"/>
            <w:shd w:val="clear" w:color="auto" w:fill="DA2031"/>
          </w:tcPr>
          <w:p>
            <w:pPr>
              <w:spacing w:after="0"/>
              <w:rPr>
                <w:sz w:val="12"/>
                <w:szCs w:val="12"/>
                <w:color w:val="auto"/>
              </w:rPr>
            </w:pPr>
          </w:p>
        </w:tc>
        <w:tc>
          <w:tcPr>
            <w:tcW w:w="760" w:type="dxa"/>
            <w:vAlign w:val="bottom"/>
            <w:tcBorders>
              <w:right w:val="single" w:sz="8" w:color="DA2031"/>
            </w:tcBorders>
            <w:shd w:val="clear" w:color="auto" w:fill="DA2031"/>
          </w:tcPr>
          <w:p>
            <w:pPr>
              <w:spacing w:after="0"/>
              <w:rPr>
                <w:sz w:val="12"/>
                <w:szCs w:val="12"/>
                <w:color w:val="auto"/>
              </w:rPr>
            </w:pPr>
          </w:p>
        </w:tc>
        <w:tc>
          <w:tcPr>
            <w:tcW w:w="880" w:type="dxa"/>
            <w:vAlign w:val="bottom"/>
            <w:tcBorders>
              <w:right w:val="single" w:sz="8" w:color="DA2031"/>
            </w:tcBorders>
            <w:shd w:val="clear" w:color="auto" w:fill="DA2031"/>
          </w:tcPr>
          <w:p>
            <w:pPr>
              <w:jc w:val="center"/>
              <w:spacing w:after="0" w:line="145" w:lineRule="exact"/>
              <w:rPr>
                <w:sz w:val="20"/>
                <w:szCs w:val="20"/>
                <w:color w:val="auto"/>
              </w:rPr>
            </w:pPr>
            <w:r>
              <w:rPr>
                <w:rFonts w:ascii="Arial" w:cs="Arial" w:eastAsia="Arial" w:hAnsi="Arial"/>
                <w:sz w:val="14"/>
                <w:szCs w:val="14"/>
                <w:b w:val="1"/>
                <w:bCs w:val="1"/>
                <w:color w:val="FFFFFF"/>
              </w:rPr>
              <w:t>Stock</w:t>
            </w:r>
          </w:p>
        </w:tc>
        <w:tc>
          <w:tcPr>
            <w:tcW w:w="900" w:type="dxa"/>
            <w:vAlign w:val="bottom"/>
            <w:tcBorders>
              <w:right w:val="single" w:sz="8" w:color="DA2031"/>
            </w:tcBorders>
            <w:shd w:val="clear" w:color="auto" w:fill="DA2031"/>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20" w:type="dxa"/>
            <w:vAlign w:val="bottom"/>
            <w:tcBorders>
              <w:left w:val="single" w:sz="8" w:color="D92231"/>
              <w:right w:val="single" w:sz="8" w:color="D92231"/>
            </w:tcBorders>
            <w:shd w:val="clear" w:color="auto" w:fill="D92231"/>
          </w:tcPr>
          <w:p>
            <w:pPr>
              <w:spacing w:after="0"/>
              <w:rPr>
                <w:sz w:val="12"/>
                <w:szCs w:val="12"/>
                <w:color w:val="auto"/>
              </w:rPr>
            </w:pPr>
          </w:p>
        </w:tc>
        <w:tc>
          <w:tcPr>
            <w:tcW w:w="320" w:type="dxa"/>
            <w:vAlign w:val="bottom"/>
            <w:shd w:val="clear" w:color="auto" w:fill="D92231"/>
          </w:tcPr>
          <w:p>
            <w:pPr>
              <w:spacing w:after="0"/>
              <w:rPr>
                <w:sz w:val="12"/>
                <w:szCs w:val="12"/>
                <w:color w:val="auto"/>
              </w:rPr>
            </w:pPr>
          </w:p>
        </w:tc>
        <w:tc>
          <w:tcPr>
            <w:tcW w:w="620" w:type="dxa"/>
            <w:vAlign w:val="bottom"/>
            <w:tcBorders>
              <w:right w:val="single" w:sz="8" w:color="D92231"/>
            </w:tcBorders>
            <w:shd w:val="clear" w:color="auto" w:fill="D92231"/>
          </w:tcPr>
          <w:p>
            <w:pPr>
              <w:spacing w:after="0"/>
              <w:rPr>
                <w:sz w:val="12"/>
                <w:szCs w:val="12"/>
                <w:color w:val="auto"/>
              </w:rPr>
            </w:pPr>
          </w:p>
        </w:tc>
        <w:tc>
          <w:tcPr>
            <w:tcW w:w="940" w:type="dxa"/>
            <w:vAlign w:val="bottom"/>
            <w:tcBorders>
              <w:right w:val="single" w:sz="8" w:color="D92231"/>
            </w:tcBorders>
            <w:shd w:val="clear" w:color="auto" w:fill="D92231"/>
          </w:tcPr>
          <w:p>
            <w:pPr>
              <w:spacing w:after="0"/>
              <w:rPr>
                <w:sz w:val="12"/>
                <w:szCs w:val="12"/>
                <w:color w:val="auto"/>
              </w:rPr>
            </w:pPr>
          </w:p>
        </w:tc>
        <w:tc>
          <w:tcPr>
            <w:tcW w:w="920" w:type="dxa"/>
            <w:vAlign w:val="bottom"/>
            <w:tcBorders>
              <w:right w:val="single" w:sz="8" w:color="DA2031"/>
            </w:tcBorders>
            <w:shd w:val="clear" w:color="auto" w:fill="D922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820" w:type="dxa"/>
            <w:vAlign w:val="bottom"/>
            <w:tcBorders>
              <w:right w:val="single" w:sz="8" w:color="DA2031"/>
            </w:tcBorders>
            <w:shd w:val="clear" w:color="auto" w:fill="DA20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120" w:type="dxa"/>
            <w:vAlign w:val="bottom"/>
            <w:shd w:val="clear" w:color="auto" w:fill="DA2031"/>
          </w:tcPr>
          <w:p>
            <w:pPr>
              <w:spacing w:after="0"/>
              <w:rPr>
                <w:sz w:val="12"/>
                <w:szCs w:val="12"/>
                <w:color w:val="auto"/>
              </w:rPr>
            </w:pPr>
          </w:p>
        </w:tc>
        <w:tc>
          <w:tcPr>
            <w:tcW w:w="760" w:type="dxa"/>
            <w:vAlign w:val="bottom"/>
            <w:tcBorders>
              <w:right w:val="single" w:sz="8" w:color="DA2031"/>
            </w:tcBorders>
            <w:shd w:val="clear" w:color="auto" w:fill="DA2031"/>
          </w:tcPr>
          <w:p>
            <w:pPr>
              <w:spacing w:after="0"/>
              <w:rPr>
                <w:sz w:val="12"/>
                <w:szCs w:val="12"/>
                <w:color w:val="auto"/>
              </w:rPr>
            </w:pPr>
          </w:p>
        </w:tc>
        <w:tc>
          <w:tcPr>
            <w:tcW w:w="880" w:type="dxa"/>
            <w:vAlign w:val="bottom"/>
            <w:tcBorders>
              <w:right w:val="single" w:sz="8" w:color="DA2031"/>
            </w:tcBorders>
            <w:shd w:val="clear" w:color="auto" w:fill="DA2031"/>
          </w:tcPr>
          <w:p>
            <w:pPr>
              <w:jc w:val="center"/>
              <w:spacing w:after="0" w:line="139" w:lineRule="exact"/>
              <w:rPr>
                <w:sz w:val="20"/>
                <w:szCs w:val="20"/>
                <w:color w:val="auto"/>
              </w:rPr>
            </w:pPr>
            <w:r>
              <w:rPr>
                <w:rFonts w:ascii="Arial" w:cs="Arial" w:eastAsia="Arial" w:hAnsi="Arial"/>
                <w:sz w:val="14"/>
                <w:szCs w:val="14"/>
                <w:b w:val="1"/>
                <w:bCs w:val="1"/>
                <w:color w:val="FFFFFF"/>
              </w:rPr>
              <w:t>Awards:</w:t>
            </w:r>
          </w:p>
        </w:tc>
        <w:tc>
          <w:tcPr>
            <w:tcW w:w="90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48"/>
        </w:trPr>
        <w:tc>
          <w:tcPr>
            <w:tcW w:w="1220" w:type="dxa"/>
            <w:vAlign w:val="bottom"/>
            <w:tcBorders>
              <w:left w:val="single" w:sz="8" w:color="D92231"/>
              <w:right w:val="single" w:sz="8" w:color="D92231"/>
            </w:tcBorders>
            <w:shd w:val="clear" w:color="auto" w:fill="D92231"/>
          </w:tcPr>
          <w:p>
            <w:pPr>
              <w:spacing w:after="0"/>
              <w:rPr>
                <w:sz w:val="12"/>
                <w:szCs w:val="12"/>
                <w:color w:val="auto"/>
              </w:rPr>
            </w:pPr>
          </w:p>
        </w:tc>
        <w:tc>
          <w:tcPr>
            <w:tcW w:w="320" w:type="dxa"/>
            <w:vAlign w:val="bottom"/>
            <w:shd w:val="clear" w:color="auto" w:fill="D92231"/>
          </w:tcPr>
          <w:p>
            <w:pPr>
              <w:spacing w:after="0"/>
              <w:rPr>
                <w:sz w:val="12"/>
                <w:szCs w:val="12"/>
                <w:color w:val="auto"/>
              </w:rPr>
            </w:pPr>
          </w:p>
        </w:tc>
        <w:tc>
          <w:tcPr>
            <w:tcW w:w="620" w:type="dxa"/>
            <w:vAlign w:val="bottom"/>
            <w:tcBorders>
              <w:right w:val="single" w:sz="8" w:color="D92231"/>
            </w:tcBorders>
            <w:shd w:val="clear" w:color="auto" w:fill="D92231"/>
          </w:tcPr>
          <w:p>
            <w:pPr>
              <w:spacing w:after="0"/>
              <w:rPr>
                <w:sz w:val="12"/>
                <w:szCs w:val="12"/>
                <w:color w:val="auto"/>
              </w:rPr>
            </w:pPr>
          </w:p>
        </w:tc>
        <w:tc>
          <w:tcPr>
            <w:tcW w:w="940" w:type="dxa"/>
            <w:vAlign w:val="bottom"/>
            <w:tcBorders>
              <w:right w:val="single" w:sz="8" w:color="D92231"/>
            </w:tcBorders>
            <w:shd w:val="clear" w:color="auto" w:fill="D92231"/>
          </w:tcPr>
          <w:p>
            <w:pPr>
              <w:spacing w:after="0"/>
              <w:rPr>
                <w:sz w:val="12"/>
                <w:szCs w:val="12"/>
                <w:color w:val="auto"/>
              </w:rPr>
            </w:pPr>
          </w:p>
        </w:tc>
        <w:tc>
          <w:tcPr>
            <w:tcW w:w="920" w:type="dxa"/>
            <w:vAlign w:val="bottom"/>
            <w:tcBorders>
              <w:right w:val="single" w:sz="8" w:color="DA2031"/>
            </w:tcBorders>
            <w:shd w:val="clear" w:color="auto" w:fill="D92231"/>
          </w:tcPr>
          <w:p>
            <w:pPr>
              <w:spacing w:after="0"/>
              <w:rPr>
                <w:sz w:val="12"/>
                <w:szCs w:val="12"/>
                <w:color w:val="auto"/>
              </w:rPr>
            </w:pPr>
          </w:p>
        </w:tc>
        <w:tc>
          <w:tcPr>
            <w:tcW w:w="2820" w:type="dxa"/>
            <w:vAlign w:val="bottom"/>
            <w:tcBorders>
              <w:right w:val="single" w:sz="8" w:color="DA2031"/>
            </w:tcBorders>
            <w:gridSpan w:val="3"/>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Estimated Future Payout</w:t>
            </w:r>
          </w:p>
        </w:tc>
        <w:tc>
          <w:tcPr>
            <w:tcW w:w="2640" w:type="dxa"/>
            <w:vAlign w:val="bottom"/>
            <w:tcBorders>
              <w:right w:val="single" w:sz="8" w:color="DA2031"/>
            </w:tcBorders>
            <w:gridSpan w:val="4"/>
            <w:vMerge w:val="restart"/>
            <w:shd w:val="clear" w:color="auto" w:fill="DA2031"/>
          </w:tcPr>
          <w:p>
            <w:pPr>
              <w:jc w:val="center"/>
              <w:ind w:right="11"/>
              <w:spacing w:after="0"/>
              <w:rPr>
                <w:sz w:val="20"/>
                <w:szCs w:val="20"/>
                <w:color w:val="auto"/>
              </w:rPr>
            </w:pPr>
            <w:r>
              <w:rPr>
                <w:rFonts w:ascii="Arial" w:cs="Arial" w:eastAsia="Arial" w:hAnsi="Arial"/>
                <w:sz w:val="14"/>
                <w:szCs w:val="14"/>
                <w:b w:val="1"/>
                <w:bCs w:val="1"/>
                <w:color w:val="FFFFFF"/>
              </w:rPr>
              <w:t>Estimated Future Payout</w:t>
            </w:r>
          </w:p>
        </w:tc>
        <w:tc>
          <w:tcPr>
            <w:tcW w:w="88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Number</w:t>
            </w:r>
          </w:p>
        </w:tc>
        <w:tc>
          <w:tcPr>
            <w:tcW w:w="900" w:type="dxa"/>
            <w:vAlign w:val="bottom"/>
            <w:tcBorders>
              <w:right w:val="single" w:sz="8" w:color="DA2031"/>
            </w:tcBorders>
            <w:vMerge w:val="continue"/>
            <w:shd w:val="clear" w:color="auto" w:fill="DA2031"/>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220" w:type="dxa"/>
            <w:vAlign w:val="bottom"/>
            <w:tcBorders>
              <w:left w:val="single" w:sz="8" w:color="D92231"/>
              <w:right w:val="single" w:sz="8" w:color="D92231"/>
            </w:tcBorders>
            <w:shd w:val="clear" w:color="auto" w:fill="D92231"/>
          </w:tcPr>
          <w:p>
            <w:pPr>
              <w:spacing w:after="0"/>
              <w:rPr>
                <w:sz w:val="8"/>
                <w:szCs w:val="8"/>
                <w:color w:val="auto"/>
              </w:rPr>
            </w:pPr>
          </w:p>
        </w:tc>
        <w:tc>
          <w:tcPr>
            <w:tcW w:w="320" w:type="dxa"/>
            <w:vAlign w:val="bottom"/>
            <w:shd w:val="clear" w:color="auto" w:fill="D92231"/>
          </w:tcPr>
          <w:p>
            <w:pPr>
              <w:spacing w:after="0"/>
              <w:rPr>
                <w:sz w:val="8"/>
                <w:szCs w:val="8"/>
                <w:color w:val="auto"/>
              </w:rPr>
            </w:pPr>
          </w:p>
        </w:tc>
        <w:tc>
          <w:tcPr>
            <w:tcW w:w="620" w:type="dxa"/>
            <w:vAlign w:val="bottom"/>
            <w:tcBorders>
              <w:right w:val="single" w:sz="8" w:color="D92231"/>
            </w:tcBorders>
            <w:shd w:val="clear" w:color="auto" w:fill="D92231"/>
          </w:tcPr>
          <w:p>
            <w:pPr>
              <w:spacing w:after="0"/>
              <w:rPr>
                <w:sz w:val="8"/>
                <w:szCs w:val="8"/>
                <w:color w:val="auto"/>
              </w:rPr>
            </w:pPr>
          </w:p>
        </w:tc>
        <w:tc>
          <w:tcPr>
            <w:tcW w:w="940" w:type="dxa"/>
            <w:vAlign w:val="bottom"/>
            <w:tcBorders>
              <w:right w:val="single" w:sz="8" w:color="D92231"/>
            </w:tcBorders>
            <w:shd w:val="clear" w:color="auto" w:fill="D92231"/>
          </w:tcPr>
          <w:p>
            <w:pPr>
              <w:spacing w:after="0"/>
              <w:rPr>
                <w:sz w:val="8"/>
                <w:szCs w:val="8"/>
                <w:color w:val="auto"/>
              </w:rPr>
            </w:pPr>
          </w:p>
        </w:tc>
        <w:tc>
          <w:tcPr>
            <w:tcW w:w="920" w:type="dxa"/>
            <w:vAlign w:val="bottom"/>
            <w:tcBorders>
              <w:right w:val="single" w:sz="8" w:color="DA2031"/>
            </w:tcBorders>
            <w:shd w:val="clear" w:color="auto" w:fill="D92231"/>
          </w:tcPr>
          <w:p>
            <w:pPr>
              <w:spacing w:after="0"/>
              <w:rPr>
                <w:sz w:val="8"/>
                <w:szCs w:val="8"/>
                <w:color w:val="auto"/>
              </w:rPr>
            </w:pPr>
          </w:p>
        </w:tc>
        <w:tc>
          <w:tcPr>
            <w:tcW w:w="2820" w:type="dxa"/>
            <w:vAlign w:val="bottom"/>
            <w:tcBorders>
              <w:right w:val="single" w:sz="8" w:color="DA2031"/>
            </w:tcBorders>
            <w:gridSpan w:val="3"/>
            <w:vMerge w:val="continue"/>
            <w:shd w:val="clear" w:color="auto" w:fill="DA2031"/>
          </w:tcPr>
          <w:p>
            <w:pPr>
              <w:spacing w:after="0"/>
              <w:rPr>
                <w:sz w:val="8"/>
                <w:szCs w:val="8"/>
                <w:color w:val="auto"/>
              </w:rPr>
            </w:pPr>
          </w:p>
        </w:tc>
        <w:tc>
          <w:tcPr>
            <w:tcW w:w="2640" w:type="dxa"/>
            <w:vAlign w:val="bottom"/>
            <w:tcBorders>
              <w:right w:val="single" w:sz="8" w:color="DA2031"/>
            </w:tcBorders>
            <w:gridSpan w:val="4"/>
            <w:vMerge w:val="continue"/>
            <w:shd w:val="clear" w:color="auto" w:fill="DA2031"/>
          </w:tcPr>
          <w:p>
            <w:pPr>
              <w:spacing w:after="0"/>
              <w:rPr>
                <w:sz w:val="8"/>
                <w:szCs w:val="8"/>
                <w:color w:val="auto"/>
              </w:rPr>
            </w:pPr>
          </w:p>
        </w:tc>
        <w:tc>
          <w:tcPr>
            <w:tcW w:w="880" w:type="dxa"/>
            <w:vAlign w:val="bottom"/>
            <w:tcBorders>
              <w:right w:val="single" w:sz="8" w:color="DA2031"/>
            </w:tcBorders>
            <w:vMerge w:val="restart"/>
            <w:shd w:val="clear" w:color="auto" w:fill="DA2031"/>
          </w:tcPr>
          <w:p>
            <w:pPr>
              <w:jc w:val="center"/>
              <w:spacing w:after="0" w:line="145" w:lineRule="exact"/>
              <w:rPr>
                <w:sz w:val="20"/>
                <w:szCs w:val="20"/>
                <w:color w:val="auto"/>
              </w:rPr>
            </w:pPr>
            <w:r>
              <w:rPr>
                <w:rFonts w:ascii="Arial" w:cs="Arial" w:eastAsia="Arial" w:hAnsi="Arial"/>
                <w:sz w:val="14"/>
                <w:szCs w:val="14"/>
                <w:b w:val="1"/>
                <w:bCs w:val="1"/>
                <w:color w:val="FFFFFF"/>
              </w:rPr>
              <w:t>of</w:t>
            </w:r>
          </w:p>
        </w:tc>
        <w:tc>
          <w:tcPr>
            <w:tcW w:w="900" w:type="dxa"/>
            <w:vAlign w:val="bottom"/>
            <w:tcBorders>
              <w:right w:val="single" w:sz="8" w:color="DA2031"/>
            </w:tcBorders>
            <w:vMerge w:val="restart"/>
            <w:shd w:val="clear" w:color="auto" w:fill="DA2031"/>
          </w:tcPr>
          <w:p>
            <w:pPr>
              <w:jc w:val="center"/>
              <w:spacing w:after="0" w:line="145" w:lineRule="exact"/>
              <w:rPr>
                <w:sz w:val="20"/>
                <w:szCs w:val="20"/>
                <w:color w:val="auto"/>
              </w:rPr>
            </w:pPr>
            <w:r>
              <w:rPr>
                <w:rFonts w:ascii="Arial" w:cs="Arial" w:eastAsia="Arial" w:hAnsi="Arial"/>
                <w:sz w:val="14"/>
                <w:szCs w:val="14"/>
                <w:b w:val="1"/>
                <w:bCs w:val="1"/>
                <w:color w:val="FFFFFF"/>
              </w:rPr>
              <w:t>Date</w:t>
            </w:r>
          </w:p>
        </w:tc>
        <w:tc>
          <w:tcPr>
            <w:tcW w:w="0" w:type="dxa"/>
            <w:vAlign w:val="bottom"/>
          </w:tcPr>
          <w:p>
            <w:pPr>
              <w:spacing w:after="0"/>
              <w:rPr>
                <w:sz w:val="1"/>
                <w:szCs w:val="1"/>
                <w:color w:val="auto"/>
              </w:rPr>
            </w:pPr>
          </w:p>
        </w:tc>
      </w:tr>
      <w:tr>
        <w:trPr>
          <w:trHeight w:val="50"/>
        </w:trPr>
        <w:tc>
          <w:tcPr>
            <w:tcW w:w="1220" w:type="dxa"/>
            <w:vAlign w:val="bottom"/>
            <w:tcBorders>
              <w:left w:val="single" w:sz="8" w:color="D92231"/>
              <w:right w:val="single" w:sz="8" w:color="D92231"/>
            </w:tcBorders>
            <w:shd w:val="clear" w:color="auto" w:fill="D92231"/>
          </w:tcPr>
          <w:p>
            <w:pPr>
              <w:spacing w:after="0"/>
              <w:rPr>
                <w:sz w:val="4"/>
                <w:szCs w:val="4"/>
                <w:color w:val="auto"/>
              </w:rPr>
            </w:pPr>
          </w:p>
        </w:tc>
        <w:tc>
          <w:tcPr>
            <w:tcW w:w="320" w:type="dxa"/>
            <w:vAlign w:val="bottom"/>
            <w:shd w:val="clear" w:color="auto" w:fill="D92231"/>
          </w:tcPr>
          <w:p>
            <w:pPr>
              <w:spacing w:after="0"/>
              <w:rPr>
                <w:sz w:val="4"/>
                <w:szCs w:val="4"/>
                <w:color w:val="auto"/>
              </w:rPr>
            </w:pPr>
          </w:p>
        </w:tc>
        <w:tc>
          <w:tcPr>
            <w:tcW w:w="620" w:type="dxa"/>
            <w:vAlign w:val="bottom"/>
            <w:tcBorders>
              <w:right w:val="single" w:sz="8" w:color="D92231"/>
            </w:tcBorders>
            <w:shd w:val="clear" w:color="auto" w:fill="D92231"/>
          </w:tcPr>
          <w:p>
            <w:pPr>
              <w:spacing w:after="0"/>
              <w:rPr>
                <w:sz w:val="4"/>
                <w:szCs w:val="4"/>
                <w:color w:val="auto"/>
              </w:rPr>
            </w:pPr>
          </w:p>
        </w:tc>
        <w:tc>
          <w:tcPr>
            <w:tcW w:w="940" w:type="dxa"/>
            <w:vAlign w:val="bottom"/>
            <w:tcBorders>
              <w:right w:val="single" w:sz="8" w:color="D92231"/>
            </w:tcBorders>
            <w:shd w:val="clear" w:color="auto" w:fill="D92231"/>
          </w:tcPr>
          <w:p>
            <w:pPr>
              <w:spacing w:after="0"/>
              <w:rPr>
                <w:sz w:val="4"/>
                <w:szCs w:val="4"/>
                <w:color w:val="auto"/>
              </w:rPr>
            </w:pPr>
          </w:p>
        </w:tc>
        <w:tc>
          <w:tcPr>
            <w:tcW w:w="920" w:type="dxa"/>
            <w:vAlign w:val="bottom"/>
            <w:tcBorders>
              <w:right w:val="single" w:sz="8" w:color="DA2031"/>
            </w:tcBorders>
            <w:shd w:val="clear" w:color="auto" w:fill="D92231"/>
          </w:tcPr>
          <w:p>
            <w:pPr>
              <w:spacing w:after="0"/>
              <w:rPr>
                <w:sz w:val="4"/>
                <w:szCs w:val="4"/>
                <w:color w:val="auto"/>
              </w:rPr>
            </w:pPr>
          </w:p>
        </w:tc>
        <w:tc>
          <w:tcPr>
            <w:tcW w:w="2820" w:type="dxa"/>
            <w:vAlign w:val="bottom"/>
            <w:tcBorders>
              <w:right w:val="single" w:sz="8" w:color="DA2031"/>
            </w:tcBorders>
            <w:gridSpan w:val="3"/>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Under Non-Equity Incentive Awards</w:t>
            </w:r>
          </w:p>
        </w:tc>
        <w:tc>
          <w:tcPr>
            <w:tcW w:w="2640" w:type="dxa"/>
            <w:vAlign w:val="bottom"/>
            <w:tcBorders>
              <w:right w:val="single" w:sz="8" w:color="DA2031"/>
            </w:tcBorders>
            <w:gridSpan w:val="4"/>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Under Equity Incentive</w:t>
            </w:r>
          </w:p>
        </w:tc>
        <w:tc>
          <w:tcPr>
            <w:tcW w:w="880" w:type="dxa"/>
            <w:vAlign w:val="bottom"/>
            <w:tcBorders>
              <w:right w:val="single" w:sz="8" w:color="DA2031"/>
            </w:tcBorders>
            <w:vMerge w:val="continue"/>
            <w:shd w:val="clear" w:color="auto" w:fill="DA2031"/>
          </w:tcPr>
          <w:p>
            <w:pPr>
              <w:spacing w:after="0"/>
              <w:rPr>
                <w:sz w:val="4"/>
                <w:szCs w:val="4"/>
                <w:color w:val="auto"/>
              </w:rPr>
            </w:pPr>
          </w:p>
        </w:tc>
        <w:tc>
          <w:tcPr>
            <w:tcW w:w="900" w:type="dxa"/>
            <w:vAlign w:val="bottom"/>
            <w:tcBorders>
              <w:right w:val="single" w:sz="8" w:color="DA2031"/>
            </w:tcBorders>
            <w:vMerge w:val="continue"/>
            <w:shd w:val="clear" w:color="auto" w:fill="DA2031"/>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D92231"/>
              <w:right w:val="single" w:sz="8" w:color="D92231"/>
            </w:tcBorders>
            <w:shd w:val="clear" w:color="auto" w:fill="D92231"/>
          </w:tcPr>
          <w:p>
            <w:pPr>
              <w:spacing w:after="0"/>
              <w:rPr>
                <w:sz w:val="11"/>
                <w:szCs w:val="11"/>
                <w:color w:val="auto"/>
              </w:rPr>
            </w:pPr>
          </w:p>
        </w:tc>
        <w:tc>
          <w:tcPr>
            <w:tcW w:w="320" w:type="dxa"/>
            <w:vAlign w:val="bottom"/>
            <w:shd w:val="clear" w:color="auto" w:fill="D92231"/>
          </w:tcPr>
          <w:p>
            <w:pPr>
              <w:spacing w:after="0"/>
              <w:rPr>
                <w:sz w:val="11"/>
                <w:szCs w:val="11"/>
                <w:color w:val="auto"/>
              </w:rPr>
            </w:pPr>
          </w:p>
        </w:tc>
        <w:tc>
          <w:tcPr>
            <w:tcW w:w="620" w:type="dxa"/>
            <w:vAlign w:val="bottom"/>
            <w:tcBorders>
              <w:right w:val="single" w:sz="8" w:color="D92231"/>
            </w:tcBorders>
            <w:shd w:val="clear" w:color="auto" w:fill="D92231"/>
          </w:tcPr>
          <w:p>
            <w:pPr>
              <w:spacing w:after="0"/>
              <w:rPr>
                <w:sz w:val="11"/>
                <w:szCs w:val="11"/>
                <w:color w:val="auto"/>
              </w:rPr>
            </w:pPr>
          </w:p>
        </w:tc>
        <w:tc>
          <w:tcPr>
            <w:tcW w:w="940" w:type="dxa"/>
            <w:vAlign w:val="bottom"/>
            <w:tcBorders>
              <w:right w:val="single" w:sz="8" w:color="D92231"/>
            </w:tcBorders>
            <w:shd w:val="clear" w:color="auto" w:fill="D92231"/>
          </w:tcPr>
          <w:p>
            <w:pPr>
              <w:spacing w:after="0"/>
              <w:rPr>
                <w:sz w:val="11"/>
                <w:szCs w:val="11"/>
                <w:color w:val="auto"/>
              </w:rPr>
            </w:pPr>
          </w:p>
        </w:tc>
        <w:tc>
          <w:tcPr>
            <w:tcW w:w="920" w:type="dxa"/>
            <w:vAlign w:val="bottom"/>
            <w:tcBorders>
              <w:right w:val="single" w:sz="8" w:color="DA2031"/>
            </w:tcBorders>
            <w:shd w:val="clear" w:color="auto" w:fill="D92231"/>
          </w:tcPr>
          <w:p>
            <w:pPr>
              <w:spacing w:after="0"/>
              <w:rPr>
                <w:sz w:val="11"/>
                <w:szCs w:val="11"/>
                <w:color w:val="auto"/>
              </w:rPr>
            </w:pPr>
          </w:p>
        </w:tc>
        <w:tc>
          <w:tcPr>
            <w:tcW w:w="2820" w:type="dxa"/>
            <w:vAlign w:val="bottom"/>
            <w:tcBorders>
              <w:right w:val="single" w:sz="8" w:color="DA2031"/>
            </w:tcBorders>
            <w:gridSpan w:val="3"/>
            <w:vMerge w:val="continue"/>
            <w:shd w:val="clear" w:color="auto" w:fill="DA2031"/>
          </w:tcPr>
          <w:p>
            <w:pPr>
              <w:spacing w:after="0"/>
              <w:rPr>
                <w:sz w:val="11"/>
                <w:szCs w:val="11"/>
                <w:color w:val="auto"/>
              </w:rPr>
            </w:pPr>
          </w:p>
        </w:tc>
        <w:tc>
          <w:tcPr>
            <w:tcW w:w="2640" w:type="dxa"/>
            <w:vAlign w:val="bottom"/>
            <w:tcBorders>
              <w:right w:val="single" w:sz="8" w:color="DA2031"/>
            </w:tcBorders>
            <w:gridSpan w:val="4"/>
            <w:vMerge w:val="continue"/>
            <w:shd w:val="clear" w:color="auto" w:fill="DA2031"/>
          </w:tcPr>
          <w:p>
            <w:pPr>
              <w:spacing w:after="0"/>
              <w:rPr>
                <w:sz w:val="11"/>
                <w:szCs w:val="11"/>
                <w:color w:val="auto"/>
              </w:rPr>
            </w:pPr>
          </w:p>
        </w:tc>
        <w:tc>
          <w:tcPr>
            <w:tcW w:w="880" w:type="dxa"/>
            <w:vAlign w:val="bottom"/>
            <w:tcBorders>
              <w:right w:val="single" w:sz="8" w:color="DA2031"/>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Shares</w:t>
            </w:r>
          </w:p>
        </w:tc>
        <w:tc>
          <w:tcPr>
            <w:tcW w:w="900" w:type="dxa"/>
            <w:vAlign w:val="bottom"/>
            <w:tcBorders>
              <w:right w:val="single" w:sz="8" w:color="DA2031"/>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Fair</w:t>
            </w:r>
          </w:p>
        </w:tc>
        <w:tc>
          <w:tcPr>
            <w:tcW w:w="0" w:type="dxa"/>
            <w:vAlign w:val="bottom"/>
          </w:tcPr>
          <w:p>
            <w:pPr>
              <w:spacing w:after="0"/>
              <w:rPr>
                <w:sz w:val="1"/>
                <w:szCs w:val="1"/>
                <w:color w:val="auto"/>
              </w:rPr>
            </w:pPr>
          </w:p>
        </w:tc>
      </w:tr>
      <w:tr>
        <w:trPr>
          <w:trHeight w:val="149"/>
        </w:trPr>
        <w:tc>
          <w:tcPr>
            <w:tcW w:w="1220" w:type="dxa"/>
            <w:vAlign w:val="bottom"/>
            <w:tcBorders>
              <w:left w:val="single" w:sz="8" w:color="D92231"/>
              <w:right w:val="single" w:sz="8" w:color="D92231"/>
            </w:tcBorders>
            <w:shd w:val="clear" w:color="auto" w:fill="D92231"/>
          </w:tcPr>
          <w:p>
            <w:pPr>
              <w:spacing w:after="0"/>
              <w:rPr>
                <w:sz w:val="12"/>
                <w:szCs w:val="12"/>
                <w:color w:val="auto"/>
              </w:rPr>
            </w:pPr>
          </w:p>
        </w:tc>
        <w:tc>
          <w:tcPr>
            <w:tcW w:w="320" w:type="dxa"/>
            <w:vAlign w:val="bottom"/>
            <w:shd w:val="clear" w:color="auto" w:fill="D92231"/>
          </w:tcPr>
          <w:p>
            <w:pPr>
              <w:spacing w:after="0"/>
              <w:rPr>
                <w:sz w:val="12"/>
                <w:szCs w:val="12"/>
                <w:color w:val="auto"/>
              </w:rPr>
            </w:pPr>
          </w:p>
        </w:tc>
        <w:tc>
          <w:tcPr>
            <w:tcW w:w="620" w:type="dxa"/>
            <w:vAlign w:val="bottom"/>
            <w:tcBorders>
              <w:right w:val="single" w:sz="8" w:color="D92231"/>
            </w:tcBorders>
            <w:shd w:val="clear" w:color="auto" w:fill="D92231"/>
          </w:tcPr>
          <w:p>
            <w:pPr>
              <w:spacing w:after="0"/>
              <w:rPr>
                <w:sz w:val="12"/>
                <w:szCs w:val="12"/>
                <w:color w:val="auto"/>
              </w:rPr>
            </w:pPr>
          </w:p>
        </w:tc>
        <w:tc>
          <w:tcPr>
            <w:tcW w:w="940" w:type="dxa"/>
            <w:vAlign w:val="bottom"/>
            <w:tcBorders>
              <w:right w:val="single" w:sz="8" w:color="D92231"/>
            </w:tcBorders>
            <w:shd w:val="clear" w:color="auto" w:fill="D92231"/>
          </w:tcPr>
          <w:p>
            <w:pPr>
              <w:spacing w:after="0"/>
              <w:rPr>
                <w:sz w:val="12"/>
                <w:szCs w:val="12"/>
                <w:color w:val="auto"/>
              </w:rPr>
            </w:pPr>
          </w:p>
        </w:tc>
        <w:tc>
          <w:tcPr>
            <w:tcW w:w="920" w:type="dxa"/>
            <w:vAlign w:val="bottom"/>
            <w:tcBorders>
              <w:right w:val="single" w:sz="8" w:color="DA2031"/>
            </w:tcBorders>
            <w:shd w:val="clear" w:color="auto" w:fill="D92231"/>
          </w:tcPr>
          <w:p>
            <w:pPr>
              <w:spacing w:after="0"/>
              <w:rPr>
                <w:sz w:val="12"/>
                <w:szCs w:val="12"/>
                <w:color w:val="auto"/>
              </w:rPr>
            </w:pPr>
          </w:p>
        </w:tc>
        <w:tc>
          <w:tcPr>
            <w:tcW w:w="940" w:type="dxa"/>
            <w:vAlign w:val="bottom"/>
            <w:tcBorders>
              <w:right w:val="single" w:sz="8" w:color="DA2031"/>
            </w:tcBorders>
            <w:shd w:val="clear" w:color="auto" w:fill="DA2031"/>
          </w:tcPr>
          <w:p>
            <w:pPr>
              <w:spacing w:after="0"/>
              <w:rPr>
                <w:sz w:val="12"/>
                <w:szCs w:val="12"/>
                <w:color w:val="auto"/>
              </w:rPr>
            </w:pPr>
          </w:p>
        </w:tc>
        <w:tc>
          <w:tcPr>
            <w:tcW w:w="940" w:type="dxa"/>
            <w:vAlign w:val="bottom"/>
            <w:tcBorders>
              <w:right w:val="single" w:sz="8" w:color="DA2031"/>
            </w:tcBorders>
            <w:shd w:val="clear" w:color="auto" w:fill="DA2031"/>
          </w:tcPr>
          <w:p>
            <w:pPr>
              <w:jc w:val="center"/>
              <w:spacing w:after="0" w:line="129" w:lineRule="exact"/>
              <w:rPr>
                <w:sz w:val="20"/>
                <w:szCs w:val="20"/>
                <w:color w:val="auto"/>
              </w:rPr>
            </w:pPr>
            <w:r>
              <w:rPr>
                <w:rFonts w:ascii="Arial" w:cs="Arial" w:eastAsia="Arial" w:hAnsi="Arial"/>
                <w:sz w:val="14"/>
                <w:szCs w:val="14"/>
                <w:b w:val="1"/>
                <w:bCs w:val="1"/>
                <w:color w:val="FFFFFF"/>
              </w:rPr>
              <w:t>(B)</w:t>
            </w:r>
          </w:p>
        </w:tc>
        <w:tc>
          <w:tcPr>
            <w:tcW w:w="940" w:type="dxa"/>
            <w:vAlign w:val="bottom"/>
            <w:tcBorders>
              <w:right w:val="single" w:sz="8" w:color="DA2031"/>
            </w:tcBorders>
            <w:shd w:val="clear" w:color="auto" w:fill="DA2031"/>
          </w:tcPr>
          <w:p>
            <w:pPr>
              <w:spacing w:after="0"/>
              <w:rPr>
                <w:sz w:val="12"/>
                <w:szCs w:val="12"/>
                <w:color w:val="auto"/>
              </w:rPr>
            </w:pPr>
          </w:p>
        </w:tc>
        <w:tc>
          <w:tcPr>
            <w:tcW w:w="820" w:type="dxa"/>
            <w:vAlign w:val="bottom"/>
            <w:tcBorders>
              <w:right w:val="single" w:sz="8" w:color="DA2031"/>
            </w:tcBorders>
            <w:shd w:val="clear" w:color="auto" w:fill="DA2031"/>
          </w:tcPr>
          <w:p>
            <w:pPr>
              <w:spacing w:after="0"/>
              <w:rPr>
                <w:sz w:val="12"/>
                <w:szCs w:val="12"/>
                <w:color w:val="auto"/>
              </w:rPr>
            </w:pPr>
          </w:p>
        </w:tc>
        <w:tc>
          <w:tcPr>
            <w:tcW w:w="1060" w:type="dxa"/>
            <w:vAlign w:val="bottom"/>
            <w:gridSpan w:val="2"/>
            <w:shd w:val="clear" w:color="auto" w:fill="DA2031"/>
          </w:tcPr>
          <w:p>
            <w:pPr>
              <w:jc w:val="center"/>
              <w:ind w:right="100"/>
              <w:spacing w:after="0" w:line="129" w:lineRule="exact"/>
              <w:rPr>
                <w:sz w:val="20"/>
                <w:szCs w:val="20"/>
                <w:color w:val="auto"/>
              </w:rPr>
            </w:pPr>
            <w:r>
              <w:rPr>
                <w:rFonts w:ascii="Arial" w:cs="Arial" w:eastAsia="Arial" w:hAnsi="Arial"/>
                <w:sz w:val="14"/>
                <w:szCs w:val="14"/>
                <w:b w:val="1"/>
                <w:bCs w:val="1"/>
                <w:color w:val="FFFFFF"/>
              </w:rPr>
              <w:t>Awards (C)</w:t>
            </w:r>
          </w:p>
        </w:tc>
        <w:tc>
          <w:tcPr>
            <w:tcW w:w="760" w:type="dxa"/>
            <w:vAlign w:val="bottom"/>
            <w:tcBorders>
              <w:right w:val="single" w:sz="8" w:color="DA2031"/>
            </w:tcBorders>
            <w:shd w:val="clear" w:color="auto" w:fill="DA2031"/>
          </w:tcPr>
          <w:p>
            <w:pPr>
              <w:spacing w:after="0"/>
              <w:rPr>
                <w:sz w:val="12"/>
                <w:szCs w:val="12"/>
                <w:color w:val="auto"/>
              </w:rPr>
            </w:pPr>
          </w:p>
        </w:tc>
        <w:tc>
          <w:tcPr>
            <w:tcW w:w="880" w:type="dxa"/>
            <w:vAlign w:val="bottom"/>
            <w:tcBorders>
              <w:right w:val="single" w:sz="8" w:color="DA2031"/>
            </w:tcBorders>
            <w:shd w:val="clear" w:color="auto" w:fill="DA2031"/>
          </w:tcPr>
          <w:p>
            <w:pPr>
              <w:jc w:val="center"/>
              <w:spacing w:after="0" w:line="129" w:lineRule="exact"/>
              <w:rPr>
                <w:sz w:val="20"/>
                <w:szCs w:val="20"/>
                <w:color w:val="auto"/>
              </w:rPr>
            </w:pPr>
            <w:r>
              <w:rPr>
                <w:rFonts w:ascii="Arial" w:cs="Arial" w:eastAsia="Arial" w:hAnsi="Arial"/>
                <w:sz w:val="14"/>
                <w:szCs w:val="14"/>
                <w:b w:val="1"/>
                <w:bCs w:val="1"/>
                <w:color w:val="FFFFFF"/>
                <w:w w:val="99"/>
              </w:rPr>
              <w:t>or</w:t>
            </w:r>
          </w:p>
        </w:tc>
        <w:tc>
          <w:tcPr>
            <w:tcW w:w="900" w:type="dxa"/>
            <w:vAlign w:val="bottom"/>
            <w:tcBorders>
              <w:right w:val="single" w:sz="8" w:color="DA2031"/>
            </w:tcBorders>
            <w:shd w:val="clear" w:color="auto" w:fill="DA2031"/>
          </w:tcPr>
          <w:p>
            <w:pPr>
              <w:jc w:val="center"/>
              <w:spacing w:after="0" w:line="129" w:lineRule="exact"/>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48"/>
        </w:trPr>
        <w:tc>
          <w:tcPr>
            <w:tcW w:w="1220" w:type="dxa"/>
            <w:vAlign w:val="bottom"/>
            <w:tcBorders>
              <w:left w:val="single" w:sz="8" w:color="DA2031"/>
              <w:right w:val="single" w:sz="8" w:color="DA2031"/>
            </w:tcBorders>
            <w:shd w:val="clear" w:color="auto" w:fill="DA2031"/>
          </w:tcPr>
          <w:p>
            <w:pPr>
              <w:spacing w:after="0"/>
              <w:rPr>
                <w:sz w:val="12"/>
                <w:szCs w:val="12"/>
                <w:color w:val="auto"/>
              </w:rPr>
            </w:pPr>
          </w:p>
        </w:tc>
        <w:tc>
          <w:tcPr>
            <w:tcW w:w="320" w:type="dxa"/>
            <w:vAlign w:val="bottom"/>
            <w:shd w:val="clear" w:color="auto" w:fill="DA2031"/>
          </w:tcPr>
          <w:p>
            <w:pPr>
              <w:spacing w:after="0"/>
              <w:rPr>
                <w:sz w:val="12"/>
                <w:szCs w:val="12"/>
                <w:color w:val="auto"/>
              </w:rPr>
            </w:pPr>
          </w:p>
        </w:tc>
        <w:tc>
          <w:tcPr>
            <w:tcW w:w="620" w:type="dxa"/>
            <w:vAlign w:val="bottom"/>
            <w:tcBorders>
              <w:right w:val="single" w:sz="8" w:color="DA2031"/>
            </w:tcBorders>
            <w:shd w:val="clear" w:color="auto" w:fill="DA2031"/>
          </w:tcPr>
          <w:p>
            <w:pPr>
              <w:spacing w:after="0"/>
              <w:rPr>
                <w:sz w:val="12"/>
                <w:szCs w:val="12"/>
                <w:color w:val="auto"/>
              </w:rPr>
            </w:pPr>
          </w:p>
        </w:tc>
        <w:tc>
          <w:tcPr>
            <w:tcW w:w="94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Grant</w:t>
            </w:r>
          </w:p>
        </w:tc>
        <w:tc>
          <w:tcPr>
            <w:tcW w:w="92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Date of</w:t>
            </w:r>
          </w:p>
        </w:tc>
        <w:tc>
          <w:tcPr>
            <w:tcW w:w="940" w:type="dxa"/>
            <w:vAlign w:val="bottom"/>
            <w:tcBorders>
              <w:right w:val="single" w:sz="8" w:color="DA2031"/>
            </w:tcBorders>
            <w:vMerge w:val="restart"/>
            <w:shd w:val="clear" w:color="auto" w:fill="DA2031"/>
          </w:tcPr>
          <w:p>
            <w:pPr>
              <w:jc w:val="right"/>
              <w:ind w:right="174"/>
              <w:spacing w:after="0"/>
              <w:rPr>
                <w:sz w:val="20"/>
                <w:szCs w:val="20"/>
                <w:color w:val="auto"/>
              </w:rPr>
            </w:pPr>
            <w:r>
              <w:rPr>
                <w:rFonts w:ascii="Arial" w:cs="Arial" w:eastAsia="Arial" w:hAnsi="Arial"/>
                <w:sz w:val="14"/>
                <w:szCs w:val="14"/>
                <w:b w:val="1"/>
                <w:bCs w:val="1"/>
                <w:color w:val="FFFFFF"/>
              </w:rPr>
              <w:t>Thresh.</w:t>
            </w:r>
          </w:p>
        </w:tc>
        <w:tc>
          <w:tcPr>
            <w:tcW w:w="94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940" w:type="dxa"/>
            <w:vAlign w:val="bottom"/>
            <w:tcBorders>
              <w:right w:val="single" w:sz="8" w:color="DA2031"/>
            </w:tcBorders>
            <w:vMerge w:val="restart"/>
            <w:shd w:val="clear" w:color="auto" w:fill="DA2031"/>
          </w:tcPr>
          <w:p>
            <w:pPr>
              <w:jc w:val="right"/>
              <w:ind w:right="275"/>
              <w:spacing w:after="0"/>
              <w:rPr>
                <w:sz w:val="20"/>
                <w:szCs w:val="20"/>
                <w:color w:val="auto"/>
              </w:rPr>
            </w:pPr>
            <w:r>
              <w:rPr>
                <w:rFonts w:ascii="Arial" w:cs="Arial" w:eastAsia="Arial" w:hAnsi="Arial"/>
                <w:sz w:val="14"/>
                <w:szCs w:val="14"/>
                <w:b w:val="1"/>
                <w:bCs w:val="1"/>
                <w:color w:val="FFFFFF"/>
              </w:rPr>
              <w:t>Max</w:t>
            </w:r>
          </w:p>
        </w:tc>
        <w:tc>
          <w:tcPr>
            <w:tcW w:w="820" w:type="dxa"/>
            <w:vAlign w:val="bottom"/>
            <w:tcBorders>
              <w:right w:val="single" w:sz="8" w:color="DA2031"/>
            </w:tcBorders>
            <w:vMerge w:val="restart"/>
            <w:shd w:val="clear" w:color="auto" w:fill="DA2031"/>
          </w:tcPr>
          <w:p>
            <w:pPr>
              <w:jc w:val="right"/>
              <w:ind w:right="93"/>
              <w:spacing w:after="0"/>
              <w:rPr>
                <w:sz w:val="20"/>
                <w:szCs w:val="20"/>
                <w:color w:val="auto"/>
              </w:rPr>
            </w:pPr>
            <w:r>
              <w:rPr>
                <w:rFonts w:ascii="Arial" w:cs="Arial" w:eastAsia="Arial" w:hAnsi="Arial"/>
                <w:sz w:val="14"/>
                <w:szCs w:val="14"/>
                <w:b w:val="1"/>
                <w:bCs w:val="1"/>
                <w:color w:val="FFFFFF"/>
              </w:rPr>
              <w:t>Thresh.</w:t>
            </w:r>
          </w:p>
        </w:tc>
        <w:tc>
          <w:tcPr>
            <w:tcW w:w="1060" w:type="dxa"/>
            <w:vAlign w:val="bottom"/>
            <w:gridSpan w:val="2"/>
            <w:vMerge w:val="restart"/>
            <w:shd w:val="clear" w:color="auto" w:fill="DA2031"/>
          </w:tcPr>
          <w:p>
            <w:pPr>
              <w:jc w:val="center"/>
              <w:ind w:right="160"/>
              <w:spacing w:after="0"/>
              <w:rPr>
                <w:sz w:val="20"/>
                <w:szCs w:val="20"/>
                <w:color w:val="auto"/>
              </w:rPr>
            </w:pPr>
            <w:r>
              <w:rPr>
                <w:rFonts w:ascii="Arial" w:cs="Arial" w:eastAsia="Arial" w:hAnsi="Arial"/>
                <w:sz w:val="14"/>
                <w:szCs w:val="14"/>
                <w:b w:val="1"/>
                <w:bCs w:val="1"/>
                <w:color w:val="FFFFFF"/>
                <w:w w:val="98"/>
              </w:rPr>
              <w:t>Target</w:t>
            </w:r>
          </w:p>
        </w:tc>
        <w:tc>
          <w:tcPr>
            <w:tcW w:w="760" w:type="dxa"/>
            <w:vAlign w:val="bottom"/>
            <w:tcBorders>
              <w:right w:val="single" w:sz="8" w:color="DA2031"/>
            </w:tcBorders>
            <w:vMerge w:val="restart"/>
            <w:shd w:val="clear" w:color="auto" w:fill="DA2031"/>
          </w:tcPr>
          <w:p>
            <w:pPr>
              <w:jc w:val="right"/>
              <w:ind w:right="251"/>
              <w:spacing w:after="0"/>
              <w:rPr>
                <w:sz w:val="20"/>
                <w:szCs w:val="20"/>
                <w:color w:val="auto"/>
              </w:rPr>
            </w:pPr>
            <w:r>
              <w:rPr>
                <w:rFonts w:ascii="Arial" w:cs="Arial" w:eastAsia="Arial" w:hAnsi="Arial"/>
                <w:sz w:val="14"/>
                <w:szCs w:val="14"/>
                <w:b w:val="1"/>
                <w:bCs w:val="1"/>
                <w:color w:val="FFFFFF"/>
              </w:rPr>
              <w:t>Max</w:t>
            </w:r>
          </w:p>
        </w:tc>
        <w:tc>
          <w:tcPr>
            <w:tcW w:w="88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Stock</w:t>
            </w:r>
          </w:p>
        </w:tc>
        <w:tc>
          <w:tcPr>
            <w:tcW w:w="90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of Stock</w:t>
            </w:r>
          </w:p>
        </w:tc>
        <w:tc>
          <w:tcPr>
            <w:tcW w:w="0" w:type="dxa"/>
            <w:vAlign w:val="bottom"/>
          </w:tcPr>
          <w:p>
            <w:pPr>
              <w:spacing w:after="0"/>
              <w:rPr>
                <w:sz w:val="1"/>
                <w:szCs w:val="1"/>
                <w:color w:val="auto"/>
              </w:rPr>
            </w:pPr>
          </w:p>
        </w:tc>
      </w:tr>
      <w:tr>
        <w:trPr>
          <w:trHeight w:val="148"/>
        </w:trPr>
        <w:tc>
          <w:tcPr>
            <w:tcW w:w="1220" w:type="dxa"/>
            <w:vAlign w:val="bottom"/>
            <w:tcBorders>
              <w:left w:val="single" w:sz="8" w:color="DA2031"/>
              <w:right w:val="single" w:sz="8" w:color="DA2031"/>
            </w:tcBorders>
            <w:vMerge w:val="restart"/>
            <w:shd w:val="clear" w:color="auto" w:fill="DA2031"/>
          </w:tcPr>
          <w:p>
            <w:pPr>
              <w:ind w:left="20"/>
              <w:spacing w:after="0"/>
              <w:rPr>
                <w:sz w:val="20"/>
                <w:szCs w:val="20"/>
                <w:color w:val="auto"/>
              </w:rPr>
            </w:pPr>
            <w:r>
              <w:rPr>
                <w:rFonts w:ascii="Arial" w:cs="Arial" w:eastAsia="Arial" w:hAnsi="Arial"/>
                <w:sz w:val="14"/>
                <w:szCs w:val="14"/>
                <w:b w:val="1"/>
                <w:bCs w:val="1"/>
                <w:color w:val="FFFFFF"/>
              </w:rPr>
              <w:t>Name</w:t>
            </w:r>
          </w:p>
        </w:tc>
        <w:tc>
          <w:tcPr>
            <w:tcW w:w="940" w:type="dxa"/>
            <w:vAlign w:val="bottom"/>
            <w:tcBorders>
              <w:right w:val="single" w:sz="8" w:color="DA2031"/>
            </w:tcBorders>
            <w:gridSpan w:val="2"/>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Award</w:t>
            </w:r>
          </w:p>
        </w:tc>
        <w:tc>
          <w:tcPr>
            <w:tcW w:w="94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w w:val="98"/>
              </w:rPr>
              <w:t>Date</w:t>
            </w:r>
          </w:p>
        </w:tc>
        <w:tc>
          <w:tcPr>
            <w:tcW w:w="92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Action</w:t>
            </w:r>
          </w:p>
        </w:tc>
        <w:tc>
          <w:tcPr>
            <w:tcW w:w="940" w:type="dxa"/>
            <w:vAlign w:val="bottom"/>
            <w:tcBorders>
              <w:right w:val="single" w:sz="8" w:color="DA2031"/>
            </w:tcBorders>
            <w:vMerge w:val="continue"/>
            <w:shd w:val="clear" w:color="auto" w:fill="DA2031"/>
          </w:tcPr>
          <w:p>
            <w:pPr>
              <w:spacing w:after="0"/>
              <w:rPr>
                <w:sz w:val="12"/>
                <w:szCs w:val="12"/>
                <w:color w:val="auto"/>
              </w:rPr>
            </w:pPr>
          </w:p>
        </w:tc>
        <w:tc>
          <w:tcPr>
            <w:tcW w:w="940" w:type="dxa"/>
            <w:vAlign w:val="bottom"/>
            <w:tcBorders>
              <w:right w:val="single" w:sz="8" w:color="DA2031"/>
            </w:tcBorders>
            <w:vMerge w:val="continue"/>
            <w:shd w:val="clear" w:color="auto" w:fill="DA2031"/>
          </w:tcPr>
          <w:p>
            <w:pPr>
              <w:spacing w:after="0"/>
              <w:rPr>
                <w:sz w:val="12"/>
                <w:szCs w:val="12"/>
                <w:color w:val="auto"/>
              </w:rPr>
            </w:pPr>
          </w:p>
        </w:tc>
        <w:tc>
          <w:tcPr>
            <w:tcW w:w="940" w:type="dxa"/>
            <w:vAlign w:val="bottom"/>
            <w:tcBorders>
              <w:right w:val="single" w:sz="8" w:color="DA2031"/>
            </w:tcBorders>
            <w:vMerge w:val="continue"/>
            <w:shd w:val="clear" w:color="auto" w:fill="DA2031"/>
          </w:tcPr>
          <w:p>
            <w:pPr>
              <w:spacing w:after="0"/>
              <w:rPr>
                <w:sz w:val="12"/>
                <w:szCs w:val="12"/>
                <w:color w:val="auto"/>
              </w:rPr>
            </w:pPr>
          </w:p>
        </w:tc>
        <w:tc>
          <w:tcPr>
            <w:tcW w:w="820" w:type="dxa"/>
            <w:vAlign w:val="bottom"/>
            <w:tcBorders>
              <w:right w:val="single" w:sz="8" w:color="DA2031"/>
            </w:tcBorders>
            <w:vMerge w:val="continue"/>
            <w:shd w:val="clear" w:color="auto" w:fill="DA2031"/>
          </w:tcPr>
          <w:p>
            <w:pPr>
              <w:spacing w:after="0"/>
              <w:rPr>
                <w:sz w:val="12"/>
                <w:szCs w:val="12"/>
                <w:color w:val="auto"/>
              </w:rPr>
            </w:pPr>
          </w:p>
        </w:tc>
        <w:tc>
          <w:tcPr>
            <w:tcW w:w="1060" w:type="dxa"/>
            <w:vAlign w:val="bottom"/>
            <w:gridSpan w:val="2"/>
            <w:vMerge w:val="continue"/>
            <w:shd w:val="clear" w:color="auto" w:fill="DA2031"/>
          </w:tcPr>
          <w:p>
            <w:pPr>
              <w:spacing w:after="0"/>
              <w:rPr>
                <w:sz w:val="12"/>
                <w:szCs w:val="12"/>
                <w:color w:val="auto"/>
              </w:rPr>
            </w:pPr>
          </w:p>
        </w:tc>
        <w:tc>
          <w:tcPr>
            <w:tcW w:w="760" w:type="dxa"/>
            <w:vAlign w:val="bottom"/>
            <w:tcBorders>
              <w:right w:val="single" w:sz="8" w:color="DA2031"/>
            </w:tcBorders>
            <w:vMerge w:val="continue"/>
            <w:shd w:val="clear" w:color="auto" w:fill="DA2031"/>
          </w:tcPr>
          <w:p>
            <w:pPr>
              <w:spacing w:after="0"/>
              <w:rPr>
                <w:sz w:val="12"/>
                <w:szCs w:val="12"/>
                <w:color w:val="auto"/>
              </w:rPr>
            </w:pPr>
          </w:p>
        </w:tc>
        <w:tc>
          <w:tcPr>
            <w:tcW w:w="88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Units</w:t>
            </w:r>
          </w:p>
        </w:tc>
        <w:tc>
          <w:tcPr>
            <w:tcW w:w="900" w:type="dxa"/>
            <w:vAlign w:val="bottom"/>
            <w:tcBorders>
              <w:right w:val="single" w:sz="8" w:color="DA2031"/>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89"/>
        </w:trPr>
        <w:tc>
          <w:tcPr>
            <w:tcW w:w="1220" w:type="dxa"/>
            <w:vAlign w:val="bottom"/>
            <w:tcBorders>
              <w:left w:val="single" w:sz="8" w:color="DA2031"/>
              <w:bottom w:val="single" w:sz="8" w:color="B6B6B6"/>
              <w:right w:val="single" w:sz="8" w:color="DA2031"/>
            </w:tcBorders>
            <w:vMerge w:val="continue"/>
            <w:shd w:val="clear" w:color="auto" w:fill="DA2031"/>
          </w:tcPr>
          <w:p>
            <w:pPr>
              <w:spacing w:after="0"/>
              <w:rPr>
                <w:sz w:val="16"/>
                <w:szCs w:val="16"/>
                <w:color w:val="auto"/>
              </w:rPr>
            </w:pPr>
          </w:p>
        </w:tc>
        <w:tc>
          <w:tcPr>
            <w:tcW w:w="940" w:type="dxa"/>
            <w:vAlign w:val="bottom"/>
            <w:tcBorders>
              <w:bottom w:val="single" w:sz="8" w:color="B6B6B6"/>
              <w:right w:val="single" w:sz="8" w:color="DA2031"/>
            </w:tcBorders>
            <w:gridSpan w:val="2"/>
            <w:vMerge w:val="continue"/>
            <w:shd w:val="clear" w:color="auto" w:fill="DA2031"/>
          </w:tcPr>
          <w:p>
            <w:pPr>
              <w:spacing w:after="0"/>
              <w:rPr>
                <w:sz w:val="16"/>
                <w:szCs w:val="16"/>
                <w:color w:val="auto"/>
              </w:rPr>
            </w:pPr>
          </w:p>
        </w:tc>
        <w:tc>
          <w:tcPr>
            <w:tcW w:w="94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(A)</w:t>
            </w:r>
          </w:p>
        </w:tc>
        <w:tc>
          <w:tcPr>
            <w:tcW w:w="92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(A)</w:t>
            </w:r>
          </w:p>
        </w:tc>
        <w:tc>
          <w:tcPr>
            <w:tcW w:w="940" w:type="dxa"/>
            <w:vAlign w:val="bottom"/>
            <w:tcBorders>
              <w:bottom w:val="single" w:sz="8" w:color="B6B6B6"/>
              <w:right w:val="single" w:sz="8" w:color="DA2031"/>
            </w:tcBorders>
            <w:shd w:val="clear" w:color="auto" w:fill="DA2031"/>
          </w:tcPr>
          <w:p>
            <w:pPr>
              <w:jc w:val="right"/>
              <w:ind w:right="334"/>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B6B6B6"/>
              <w:right w:val="single" w:sz="8" w:color="DA2031"/>
            </w:tcBorders>
            <w:shd w:val="clear" w:color="auto" w:fill="DA2031"/>
          </w:tcPr>
          <w:p>
            <w:pPr>
              <w:jc w:val="right"/>
              <w:ind w:right="335"/>
              <w:spacing w:after="0"/>
              <w:rPr>
                <w:sz w:val="20"/>
                <w:szCs w:val="20"/>
                <w:color w:val="auto"/>
              </w:rPr>
            </w:pPr>
            <w:r>
              <w:rPr>
                <w:rFonts w:ascii="Arial" w:cs="Arial" w:eastAsia="Arial" w:hAnsi="Arial"/>
                <w:sz w:val="14"/>
                <w:szCs w:val="14"/>
                <w:b w:val="1"/>
                <w:bCs w:val="1"/>
                <w:color w:val="FFFFFF"/>
              </w:rPr>
              <w:t>($)</w:t>
            </w:r>
          </w:p>
        </w:tc>
        <w:tc>
          <w:tcPr>
            <w:tcW w:w="820" w:type="dxa"/>
            <w:vAlign w:val="bottom"/>
            <w:tcBorders>
              <w:bottom w:val="single" w:sz="8" w:color="B6B6B6"/>
              <w:right w:val="single" w:sz="8" w:color="DA2031"/>
            </w:tcBorders>
            <w:shd w:val="clear" w:color="auto" w:fill="DA2031"/>
          </w:tcPr>
          <w:p>
            <w:pPr>
              <w:jc w:val="right"/>
              <w:ind w:right="273"/>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B6B6B6"/>
            </w:tcBorders>
            <w:shd w:val="clear" w:color="auto" w:fill="DA2031"/>
          </w:tcPr>
          <w:p>
            <w:pPr>
              <w:spacing w:after="0"/>
              <w:rPr>
                <w:sz w:val="16"/>
                <w:szCs w:val="16"/>
                <w:color w:val="auto"/>
              </w:rPr>
            </w:pPr>
          </w:p>
        </w:tc>
        <w:tc>
          <w:tcPr>
            <w:tcW w:w="760" w:type="dxa"/>
            <w:vAlign w:val="bottom"/>
            <w:tcBorders>
              <w:bottom w:val="single" w:sz="8" w:color="B6B6B6"/>
              <w:right w:val="single" w:sz="8" w:color="DA2031"/>
            </w:tcBorders>
            <w:shd w:val="clear" w:color="auto" w:fill="DA2031"/>
          </w:tcPr>
          <w:p>
            <w:pPr>
              <w:jc w:val="right"/>
              <w:ind w:right="311"/>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 (D)</w:t>
            </w:r>
          </w:p>
        </w:tc>
        <w:tc>
          <w:tcPr>
            <w:tcW w:w="90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 (E)</w:t>
            </w:r>
          </w:p>
        </w:tc>
        <w:tc>
          <w:tcPr>
            <w:tcW w:w="0" w:type="dxa"/>
            <w:vAlign w:val="bottom"/>
          </w:tcPr>
          <w:p>
            <w:pPr>
              <w:spacing w:after="0"/>
              <w:rPr>
                <w:sz w:val="1"/>
                <w:szCs w:val="1"/>
                <w:color w:val="auto"/>
              </w:rPr>
            </w:pPr>
          </w:p>
        </w:tc>
      </w:tr>
      <w:tr>
        <w:trPr>
          <w:trHeight w:val="151"/>
        </w:trPr>
        <w:tc>
          <w:tcPr>
            <w:tcW w:w="1220" w:type="dxa"/>
            <w:vAlign w:val="bottom"/>
            <w:tcBorders>
              <w:left w:val="single" w:sz="8" w:color="B6B6B6"/>
              <w:right w:val="single" w:sz="8" w:color="B6B6B6"/>
            </w:tcBorders>
          </w:tcPr>
          <w:p>
            <w:pPr>
              <w:ind w:left="40"/>
              <w:spacing w:after="0"/>
              <w:rPr>
                <w:sz w:val="20"/>
                <w:szCs w:val="20"/>
                <w:color w:val="auto"/>
              </w:rPr>
            </w:pPr>
            <w:r>
              <w:rPr>
                <w:rFonts w:ascii="Arial" w:cs="Arial" w:eastAsia="Arial" w:hAnsi="Arial"/>
                <w:sz w:val="13"/>
                <w:szCs w:val="13"/>
                <w:color w:val="auto"/>
              </w:rPr>
              <w:t>Steven J.</w:t>
            </w:r>
          </w:p>
        </w:tc>
        <w:tc>
          <w:tcPr>
            <w:tcW w:w="320" w:type="dxa"/>
            <w:vAlign w:val="bottom"/>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tcPr>
          <w:p>
            <w:pPr>
              <w:jc w:val="center"/>
              <w:ind w:right="297"/>
              <w:spacing w:after="0"/>
              <w:rPr>
                <w:sz w:val="20"/>
                <w:szCs w:val="20"/>
                <w:color w:val="auto"/>
              </w:rPr>
            </w:pPr>
            <w:r>
              <w:rPr>
                <w:rFonts w:ascii="Arial" w:cs="Arial" w:eastAsia="Arial" w:hAnsi="Arial"/>
                <w:sz w:val="13"/>
                <w:szCs w:val="13"/>
                <w:color w:val="auto"/>
                <w:w w:val="94"/>
              </w:rPr>
              <w:t>MIP</w:t>
            </w:r>
          </w:p>
        </w:tc>
        <w:tc>
          <w:tcPr>
            <w:tcW w:w="940" w:type="dxa"/>
            <w:vAlign w:val="bottom"/>
            <w:tcBorders>
              <w:right w:val="single" w:sz="8" w:color="B6B6B6"/>
            </w:tcBorders>
          </w:tcPr>
          <w:p>
            <w:pPr>
              <w:spacing w:after="0"/>
              <w:rPr>
                <w:sz w:val="13"/>
                <w:szCs w:val="13"/>
                <w:color w:val="auto"/>
              </w:rPr>
            </w:pPr>
          </w:p>
        </w:tc>
        <w:tc>
          <w:tcPr>
            <w:tcW w:w="92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935,000</w:t>
            </w:r>
          </w:p>
        </w:tc>
        <w:tc>
          <w:tcPr>
            <w:tcW w:w="94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1,870,000</w:t>
            </w:r>
          </w:p>
        </w:tc>
        <w:tc>
          <w:tcPr>
            <w:tcW w:w="940" w:type="dxa"/>
            <w:vAlign w:val="bottom"/>
            <w:tcBorders>
              <w:right w:val="single" w:sz="8" w:color="B6B6B6"/>
            </w:tcBorders>
          </w:tcPr>
          <w:p>
            <w:pPr>
              <w:jc w:val="right"/>
              <w:ind w:right="15"/>
              <w:spacing w:after="0"/>
              <w:rPr>
                <w:sz w:val="20"/>
                <w:szCs w:val="20"/>
                <w:color w:val="auto"/>
              </w:rPr>
            </w:pPr>
            <w:r>
              <w:rPr>
                <w:rFonts w:ascii="Arial" w:cs="Arial" w:eastAsia="Arial" w:hAnsi="Arial"/>
                <w:sz w:val="13"/>
                <w:szCs w:val="13"/>
                <w:color w:val="auto"/>
              </w:rPr>
              <w:t>4,675,000</w:t>
            </w:r>
          </w:p>
        </w:tc>
        <w:tc>
          <w:tcPr>
            <w:tcW w:w="82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B6B6B6"/>
            </w:tcBorders>
          </w:tcPr>
          <w:p>
            <w:pPr>
              <w:spacing w:after="0"/>
              <w:rPr>
                <w:sz w:val="13"/>
                <w:szCs w:val="13"/>
                <w:color w:val="auto"/>
              </w:rPr>
            </w:pPr>
          </w:p>
        </w:tc>
        <w:tc>
          <w:tcPr>
            <w:tcW w:w="880" w:type="dxa"/>
            <w:vAlign w:val="bottom"/>
            <w:tcBorders>
              <w:right w:val="single" w:sz="8" w:color="B6B6B6"/>
            </w:tcBorders>
          </w:tcPr>
          <w:p>
            <w:pPr>
              <w:spacing w:after="0"/>
              <w:rPr>
                <w:sz w:val="13"/>
                <w:szCs w:val="13"/>
                <w:color w:val="auto"/>
              </w:rPr>
            </w:pPr>
          </w:p>
        </w:tc>
        <w:tc>
          <w:tcPr>
            <w:tcW w:w="900" w:type="dxa"/>
            <w:vAlign w:val="bottom"/>
            <w:tcBorders>
              <w:right w:val="single" w:sz="8" w:color="B6B6B6"/>
            </w:tcBorders>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220" w:type="dxa"/>
            <w:vAlign w:val="bottom"/>
            <w:tcBorders>
              <w:left w:val="single" w:sz="8" w:color="B6B6B6"/>
              <w:right w:val="single" w:sz="8" w:color="B6B6B6"/>
            </w:tcBorders>
            <w:vMerge w:val="restart"/>
          </w:tcPr>
          <w:p>
            <w:pPr>
              <w:ind w:left="40"/>
              <w:spacing w:after="0"/>
              <w:rPr>
                <w:sz w:val="20"/>
                <w:szCs w:val="20"/>
                <w:color w:val="auto"/>
              </w:rPr>
            </w:pPr>
            <w:r>
              <w:rPr>
                <w:rFonts w:ascii="Arial" w:cs="Arial" w:eastAsia="Arial" w:hAnsi="Arial"/>
                <w:sz w:val="13"/>
                <w:szCs w:val="13"/>
                <w:color w:val="auto"/>
              </w:rPr>
              <w:t>Bandrowczak</w:t>
            </w: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20" w:type="dxa"/>
            <w:vAlign w:val="bottom"/>
            <w:tcBorders>
              <w:left w:val="single" w:sz="8" w:color="B6B6B6"/>
              <w:right w:val="single" w:sz="8" w:color="B6B6B6"/>
            </w:tcBorders>
            <w:vMerge w:val="continue"/>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413,643</w:t>
            </w:r>
          </w:p>
        </w:tc>
        <w:tc>
          <w:tcPr>
            <w:tcW w:w="94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827,286</w:t>
            </w:r>
          </w:p>
        </w:tc>
        <w:tc>
          <w:tcPr>
            <w:tcW w:w="120" w:type="dxa"/>
            <w:vAlign w:val="bottom"/>
          </w:tcPr>
          <w:p>
            <w:pPr>
              <w:spacing w:after="0"/>
              <w:rPr>
                <w:sz w:val="13"/>
                <w:szCs w:val="13"/>
                <w:color w:val="auto"/>
              </w:rPr>
            </w:pPr>
          </w:p>
        </w:tc>
        <w:tc>
          <w:tcPr>
            <w:tcW w:w="76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1,654,572</w:t>
            </w:r>
          </w:p>
        </w:tc>
        <w:tc>
          <w:tcPr>
            <w:tcW w:w="880" w:type="dxa"/>
            <w:vAlign w:val="bottom"/>
            <w:tcBorders>
              <w:right w:val="single" w:sz="8" w:color="B6B6B6"/>
            </w:tcBorders>
          </w:tcPr>
          <w:p>
            <w:pPr>
              <w:spacing w:after="0"/>
              <w:rPr>
                <w:sz w:val="13"/>
                <w:szCs w:val="13"/>
                <w:color w:val="auto"/>
              </w:rPr>
            </w:pPr>
          </w:p>
        </w:tc>
        <w:tc>
          <w:tcPr>
            <w:tcW w:w="90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5,766,183</w:t>
            </w:r>
          </w:p>
        </w:tc>
        <w:tc>
          <w:tcPr>
            <w:tcW w:w="0" w:type="dxa"/>
            <w:vAlign w:val="bottom"/>
          </w:tcPr>
          <w:p>
            <w:pPr>
              <w:spacing w:after="0"/>
              <w:rPr>
                <w:sz w:val="1"/>
                <w:szCs w:val="1"/>
                <w:color w:val="auto"/>
              </w:rPr>
            </w:pPr>
          </w:p>
        </w:tc>
      </w:tr>
      <w:tr>
        <w:trPr>
          <w:trHeight w:val="166"/>
        </w:trPr>
        <w:tc>
          <w:tcPr>
            <w:tcW w:w="1220" w:type="dxa"/>
            <w:vAlign w:val="bottom"/>
            <w:tcBorders>
              <w:left w:val="single" w:sz="8" w:color="B6B6B6"/>
              <w:right w:val="single" w:sz="8" w:color="B6B6B6"/>
            </w:tcBorders>
          </w:tcPr>
          <w:p>
            <w:pPr>
              <w:spacing w:after="0"/>
              <w:rPr>
                <w:sz w:val="14"/>
                <w:szCs w:val="14"/>
                <w:color w:val="auto"/>
              </w:rPr>
            </w:pPr>
          </w:p>
        </w:tc>
        <w:tc>
          <w:tcPr>
            <w:tcW w:w="940" w:type="dxa"/>
            <w:vAlign w:val="bottom"/>
            <w:tcBorders>
              <w:right w:val="single" w:sz="8" w:color="B6B6B6"/>
            </w:tcBorders>
            <w:gridSpan w:val="2"/>
          </w:tcPr>
          <w:p>
            <w:pPr>
              <w:ind w:left="20"/>
              <w:spacing w:after="0"/>
              <w:rPr>
                <w:sz w:val="20"/>
                <w:szCs w:val="20"/>
                <w:color w:val="auto"/>
              </w:rPr>
            </w:pPr>
            <w:r>
              <w:rPr>
                <w:rFonts w:ascii="Arial" w:cs="Arial" w:eastAsia="Arial" w:hAnsi="Arial"/>
                <w:sz w:val="13"/>
                <w:szCs w:val="13"/>
                <w:color w:val="auto"/>
              </w:rPr>
              <w:t>(PSU)</w:t>
            </w:r>
          </w:p>
        </w:tc>
        <w:tc>
          <w:tcPr>
            <w:tcW w:w="9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B6B6B6"/>
            </w:tcBorders>
          </w:tcPr>
          <w:p>
            <w:pPr>
              <w:spacing w:after="0"/>
              <w:rPr>
                <w:sz w:val="14"/>
                <w:szCs w:val="14"/>
                <w:color w:val="auto"/>
              </w:rPr>
            </w:pPr>
          </w:p>
        </w:tc>
        <w:tc>
          <w:tcPr>
            <w:tcW w:w="880" w:type="dxa"/>
            <w:vAlign w:val="bottom"/>
            <w:tcBorders>
              <w:right w:val="single" w:sz="8" w:color="B6B6B6"/>
            </w:tcBorders>
          </w:tcPr>
          <w:p>
            <w:pPr>
              <w:spacing w:after="0"/>
              <w:rPr>
                <w:sz w:val="14"/>
                <w:szCs w:val="14"/>
                <w:color w:val="auto"/>
              </w:rPr>
            </w:pPr>
          </w:p>
        </w:tc>
        <w:tc>
          <w:tcPr>
            <w:tcW w:w="90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20" w:type="dxa"/>
            <w:vAlign w:val="bottom"/>
            <w:tcBorders>
              <w:left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20" w:type="dxa"/>
            <w:vAlign w:val="bottom"/>
            <w:tcBorders>
              <w:left w:val="single" w:sz="8" w:color="B6B6B6"/>
              <w:right w:val="single" w:sz="8" w:color="B6B6B6"/>
            </w:tcBorders>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B6B6B6"/>
            </w:tcBorders>
          </w:tcPr>
          <w:p>
            <w:pPr>
              <w:spacing w:after="0"/>
              <w:rPr>
                <w:sz w:val="13"/>
                <w:szCs w:val="13"/>
                <w:color w:val="auto"/>
              </w:rPr>
            </w:pPr>
          </w:p>
        </w:tc>
        <w:tc>
          <w:tcPr>
            <w:tcW w:w="88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827,286</w:t>
            </w:r>
          </w:p>
        </w:tc>
        <w:tc>
          <w:tcPr>
            <w:tcW w:w="90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5,700,001</w:t>
            </w:r>
          </w:p>
        </w:tc>
        <w:tc>
          <w:tcPr>
            <w:tcW w:w="0" w:type="dxa"/>
            <w:vAlign w:val="bottom"/>
          </w:tcPr>
          <w:p>
            <w:pPr>
              <w:spacing w:after="0"/>
              <w:rPr>
                <w:sz w:val="1"/>
                <w:szCs w:val="1"/>
                <w:color w:val="auto"/>
              </w:rPr>
            </w:pPr>
          </w:p>
        </w:tc>
      </w:tr>
      <w:tr>
        <w:trPr>
          <w:trHeight w:val="166"/>
        </w:trPr>
        <w:tc>
          <w:tcPr>
            <w:tcW w:w="1220" w:type="dxa"/>
            <w:vAlign w:val="bottom"/>
            <w:tcBorders>
              <w:left w:val="single" w:sz="8" w:color="B6B6B6"/>
              <w:right w:val="single" w:sz="8" w:color="B6B6B6"/>
            </w:tcBorders>
          </w:tcPr>
          <w:p>
            <w:pPr>
              <w:spacing w:after="0"/>
              <w:rPr>
                <w:sz w:val="14"/>
                <w:szCs w:val="14"/>
                <w:color w:val="auto"/>
              </w:rPr>
            </w:pPr>
          </w:p>
        </w:tc>
        <w:tc>
          <w:tcPr>
            <w:tcW w:w="940" w:type="dxa"/>
            <w:vAlign w:val="bottom"/>
            <w:tcBorders>
              <w:right w:val="single" w:sz="8" w:color="B6B6B6"/>
            </w:tcBorders>
            <w:gridSpan w:val="2"/>
          </w:tcPr>
          <w:p>
            <w:pPr>
              <w:ind w:left="20"/>
              <w:spacing w:after="0"/>
              <w:rPr>
                <w:sz w:val="20"/>
                <w:szCs w:val="20"/>
                <w:color w:val="auto"/>
              </w:rPr>
            </w:pPr>
            <w:r>
              <w:rPr>
                <w:rFonts w:ascii="Arial" w:cs="Arial" w:eastAsia="Arial" w:hAnsi="Arial"/>
                <w:sz w:val="13"/>
                <w:szCs w:val="13"/>
                <w:color w:val="auto"/>
              </w:rPr>
              <w:t>(RSU)</w:t>
            </w:r>
          </w:p>
        </w:tc>
        <w:tc>
          <w:tcPr>
            <w:tcW w:w="9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B6B6B6"/>
            </w:tcBorders>
          </w:tcPr>
          <w:p>
            <w:pPr>
              <w:spacing w:after="0"/>
              <w:rPr>
                <w:sz w:val="14"/>
                <w:szCs w:val="14"/>
                <w:color w:val="auto"/>
              </w:rPr>
            </w:pPr>
          </w:p>
        </w:tc>
        <w:tc>
          <w:tcPr>
            <w:tcW w:w="880" w:type="dxa"/>
            <w:vAlign w:val="bottom"/>
            <w:tcBorders>
              <w:right w:val="single" w:sz="8" w:color="B6B6B6"/>
            </w:tcBorders>
          </w:tcPr>
          <w:p>
            <w:pPr>
              <w:spacing w:after="0"/>
              <w:rPr>
                <w:sz w:val="14"/>
                <w:szCs w:val="14"/>
                <w:color w:val="auto"/>
              </w:rPr>
            </w:pPr>
          </w:p>
        </w:tc>
        <w:tc>
          <w:tcPr>
            <w:tcW w:w="90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20" w:type="dxa"/>
            <w:vAlign w:val="bottom"/>
            <w:tcBorders>
              <w:left w:val="single" w:sz="8" w:color="B6B6B6"/>
              <w:bottom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20" w:type="dxa"/>
            <w:vAlign w:val="bottom"/>
            <w:tcBorders>
              <w:left w:val="single" w:sz="8" w:color="B6B6B6"/>
              <w:bottom w:val="single" w:sz="8" w:color="DBDBDB"/>
              <w:right w:val="single" w:sz="8" w:color="B6B6B6"/>
            </w:tcBorders>
            <w:shd w:val="clear" w:color="auto" w:fill="DBDBDB"/>
          </w:tcPr>
          <w:p>
            <w:pPr>
              <w:ind w:left="40"/>
              <w:spacing w:after="0"/>
              <w:rPr>
                <w:sz w:val="20"/>
                <w:szCs w:val="20"/>
                <w:color w:val="auto"/>
              </w:rPr>
            </w:pPr>
            <w:r>
              <w:rPr>
                <w:rFonts w:ascii="Arial" w:cs="Arial" w:eastAsia="Arial" w:hAnsi="Arial"/>
                <w:sz w:val="13"/>
                <w:szCs w:val="13"/>
                <w:color w:val="auto"/>
              </w:rPr>
              <w:t>John Bruno</w:t>
            </w:r>
          </w:p>
        </w:tc>
        <w:tc>
          <w:tcPr>
            <w:tcW w:w="320" w:type="dxa"/>
            <w:vAlign w:val="bottom"/>
            <w:tcBorders>
              <w:bottom w:val="single" w:sz="8" w:color="B6B6B6"/>
            </w:tcBorders>
            <w:shd w:val="clear" w:color="auto" w:fill="DBDBDB"/>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bottom w:val="single" w:sz="8" w:color="B6B6B6"/>
              <w:right w:val="single" w:sz="8" w:color="B6B6B6"/>
            </w:tcBorders>
            <w:shd w:val="clear" w:color="auto" w:fill="DBDBDB"/>
          </w:tcPr>
          <w:p>
            <w:pPr>
              <w:jc w:val="center"/>
              <w:ind w:right="297"/>
              <w:spacing w:after="0"/>
              <w:rPr>
                <w:sz w:val="20"/>
                <w:szCs w:val="20"/>
                <w:color w:val="auto"/>
              </w:rPr>
            </w:pPr>
            <w:r>
              <w:rPr>
                <w:rFonts w:ascii="Arial" w:cs="Arial" w:eastAsia="Arial" w:hAnsi="Arial"/>
                <w:sz w:val="13"/>
                <w:szCs w:val="13"/>
                <w:color w:val="auto"/>
                <w:w w:val="94"/>
              </w:rPr>
              <w:t>MIP</w:t>
            </w:r>
          </w:p>
        </w:tc>
        <w:tc>
          <w:tcPr>
            <w:tcW w:w="940" w:type="dxa"/>
            <w:vAlign w:val="bottom"/>
            <w:tcBorders>
              <w:bottom w:val="single" w:sz="8" w:color="B6B6B6"/>
              <w:right w:val="single" w:sz="8" w:color="B6B6B6"/>
            </w:tcBorders>
            <w:shd w:val="clear" w:color="auto" w:fill="DBDBDB"/>
          </w:tcPr>
          <w:p>
            <w:pPr>
              <w:spacing w:after="0"/>
              <w:rPr>
                <w:sz w:val="15"/>
                <w:szCs w:val="15"/>
                <w:color w:val="auto"/>
              </w:rPr>
            </w:pPr>
          </w:p>
        </w:tc>
        <w:tc>
          <w:tcPr>
            <w:tcW w:w="920" w:type="dxa"/>
            <w:vAlign w:val="bottom"/>
            <w:tcBorders>
              <w:bottom w:val="single" w:sz="8" w:color="B6B6B6"/>
              <w:right w:val="single" w:sz="8" w:color="B6B6B6"/>
            </w:tcBorders>
            <w:shd w:val="clear" w:color="auto" w:fill="DBDBDB"/>
          </w:tcPr>
          <w:p>
            <w:pPr>
              <w:spacing w:after="0"/>
              <w:rPr>
                <w:sz w:val="15"/>
                <w:szCs w:val="15"/>
                <w:color w:val="auto"/>
              </w:rPr>
            </w:pPr>
          </w:p>
        </w:tc>
        <w:tc>
          <w:tcPr>
            <w:tcW w:w="940" w:type="dxa"/>
            <w:vAlign w:val="bottom"/>
            <w:tcBorders>
              <w:bottom w:val="single" w:sz="8" w:color="B6B6B6"/>
              <w:right w:val="single" w:sz="8" w:color="B6B6B6"/>
            </w:tcBorders>
            <w:shd w:val="clear" w:color="auto" w:fill="DBDBDB"/>
          </w:tcPr>
          <w:p>
            <w:pPr>
              <w:jc w:val="right"/>
              <w:ind w:right="14"/>
              <w:spacing w:after="0"/>
              <w:rPr>
                <w:sz w:val="20"/>
                <w:szCs w:val="20"/>
                <w:color w:val="auto"/>
              </w:rPr>
            </w:pPr>
            <w:r>
              <w:rPr>
                <w:rFonts w:ascii="Arial" w:cs="Arial" w:eastAsia="Arial" w:hAnsi="Arial"/>
                <w:sz w:val="13"/>
                <w:szCs w:val="13"/>
                <w:color w:val="auto"/>
              </w:rPr>
              <w:t>637,500</w:t>
            </w:r>
          </w:p>
        </w:tc>
        <w:tc>
          <w:tcPr>
            <w:tcW w:w="940" w:type="dxa"/>
            <w:vAlign w:val="bottom"/>
            <w:tcBorders>
              <w:bottom w:val="single" w:sz="8" w:color="B6B6B6"/>
              <w:right w:val="single" w:sz="8" w:color="B6B6B6"/>
            </w:tcBorders>
            <w:shd w:val="clear" w:color="auto" w:fill="DBDBDB"/>
          </w:tcPr>
          <w:p>
            <w:pPr>
              <w:jc w:val="right"/>
              <w:ind w:right="14"/>
              <w:spacing w:after="0"/>
              <w:rPr>
                <w:sz w:val="20"/>
                <w:szCs w:val="20"/>
                <w:color w:val="auto"/>
              </w:rPr>
            </w:pPr>
            <w:r>
              <w:rPr>
                <w:rFonts w:ascii="Arial" w:cs="Arial" w:eastAsia="Arial" w:hAnsi="Arial"/>
                <w:sz w:val="13"/>
                <w:szCs w:val="13"/>
                <w:color w:val="auto"/>
              </w:rPr>
              <w:t>1,275,000</w:t>
            </w:r>
          </w:p>
        </w:tc>
        <w:tc>
          <w:tcPr>
            <w:tcW w:w="940" w:type="dxa"/>
            <w:vAlign w:val="bottom"/>
            <w:tcBorders>
              <w:bottom w:val="single" w:sz="8" w:color="B6B6B6"/>
              <w:right w:val="single" w:sz="8" w:color="B6B6B6"/>
            </w:tcBorders>
            <w:shd w:val="clear" w:color="auto" w:fill="DBDBDB"/>
          </w:tcPr>
          <w:p>
            <w:pPr>
              <w:jc w:val="right"/>
              <w:ind w:right="15"/>
              <w:spacing w:after="0"/>
              <w:rPr>
                <w:sz w:val="20"/>
                <w:szCs w:val="20"/>
                <w:color w:val="auto"/>
              </w:rPr>
            </w:pPr>
            <w:r>
              <w:rPr>
                <w:rFonts w:ascii="Arial" w:cs="Arial" w:eastAsia="Arial" w:hAnsi="Arial"/>
                <w:sz w:val="13"/>
                <w:szCs w:val="13"/>
                <w:color w:val="auto"/>
              </w:rPr>
              <w:t>3,187,500</w:t>
            </w:r>
          </w:p>
        </w:tc>
        <w:tc>
          <w:tcPr>
            <w:tcW w:w="820" w:type="dxa"/>
            <w:vAlign w:val="bottom"/>
            <w:tcBorders>
              <w:bottom w:val="single" w:sz="8" w:color="B6B6B6"/>
              <w:right w:val="single" w:sz="8" w:color="B6B6B6"/>
            </w:tcBorders>
            <w:shd w:val="clear" w:color="auto" w:fill="DBDBDB"/>
          </w:tcPr>
          <w:p>
            <w:pPr>
              <w:spacing w:after="0"/>
              <w:rPr>
                <w:sz w:val="15"/>
                <w:szCs w:val="15"/>
                <w:color w:val="auto"/>
              </w:rPr>
            </w:pPr>
          </w:p>
        </w:tc>
        <w:tc>
          <w:tcPr>
            <w:tcW w:w="940" w:type="dxa"/>
            <w:vAlign w:val="bottom"/>
            <w:tcBorders>
              <w:bottom w:val="single" w:sz="8" w:color="B6B6B6"/>
              <w:right w:val="single" w:sz="8" w:color="B6B6B6"/>
            </w:tcBorders>
            <w:shd w:val="clear" w:color="auto" w:fill="DBDBDB"/>
          </w:tcPr>
          <w:p>
            <w:pPr>
              <w:spacing w:after="0"/>
              <w:rPr>
                <w:sz w:val="15"/>
                <w:szCs w:val="15"/>
                <w:color w:val="auto"/>
              </w:rPr>
            </w:pPr>
          </w:p>
        </w:tc>
        <w:tc>
          <w:tcPr>
            <w:tcW w:w="120" w:type="dxa"/>
            <w:vAlign w:val="bottom"/>
            <w:tcBorders>
              <w:bottom w:val="single" w:sz="8" w:color="B6B6B6"/>
            </w:tcBorders>
            <w:shd w:val="clear" w:color="auto" w:fill="DBDBDB"/>
          </w:tcPr>
          <w:p>
            <w:pPr>
              <w:spacing w:after="0"/>
              <w:rPr>
                <w:sz w:val="15"/>
                <w:szCs w:val="15"/>
                <w:color w:val="auto"/>
              </w:rPr>
            </w:pPr>
          </w:p>
        </w:tc>
        <w:tc>
          <w:tcPr>
            <w:tcW w:w="760" w:type="dxa"/>
            <w:vAlign w:val="bottom"/>
            <w:tcBorders>
              <w:bottom w:val="single" w:sz="8" w:color="B6B6B6"/>
              <w:right w:val="single" w:sz="8" w:color="B6B6B6"/>
            </w:tcBorders>
            <w:shd w:val="clear" w:color="auto" w:fill="DBDBDB"/>
          </w:tcPr>
          <w:p>
            <w:pPr>
              <w:spacing w:after="0"/>
              <w:rPr>
                <w:sz w:val="15"/>
                <w:szCs w:val="15"/>
                <w:color w:val="auto"/>
              </w:rPr>
            </w:pPr>
          </w:p>
        </w:tc>
        <w:tc>
          <w:tcPr>
            <w:tcW w:w="880" w:type="dxa"/>
            <w:vAlign w:val="bottom"/>
            <w:tcBorders>
              <w:bottom w:val="single" w:sz="8" w:color="B6B6B6"/>
              <w:right w:val="single" w:sz="8" w:color="B6B6B6"/>
            </w:tcBorders>
            <w:shd w:val="clear" w:color="auto" w:fill="DBDBDB"/>
          </w:tcPr>
          <w:p>
            <w:pPr>
              <w:spacing w:after="0"/>
              <w:rPr>
                <w:sz w:val="15"/>
                <w:szCs w:val="15"/>
                <w:color w:val="auto"/>
              </w:rPr>
            </w:pPr>
          </w:p>
        </w:tc>
        <w:tc>
          <w:tcPr>
            <w:tcW w:w="900" w:type="dxa"/>
            <w:vAlign w:val="bottom"/>
            <w:tcBorders>
              <w:bottom w:val="single" w:sz="8" w:color="B6B6B6"/>
              <w:right w:val="single" w:sz="8" w:color="B6B6B6"/>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220" w:type="dxa"/>
            <w:vAlign w:val="bottom"/>
            <w:tcBorders>
              <w:left w:val="single" w:sz="8" w:color="B6B6B6"/>
              <w:right w:val="single" w:sz="8" w:color="B6B6B6"/>
            </w:tcBorders>
            <w:shd w:val="clear" w:color="auto" w:fill="DBDBDB"/>
          </w:tcPr>
          <w:p>
            <w:pPr>
              <w:spacing w:after="0"/>
              <w:rPr>
                <w:sz w:val="13"/>
                <w:szCs w:val="13"/>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shd w:val="clear" w:color="auto" w:fill="DBDBDB"/>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shd w:val="clear" w:color="auto" w:fill="DBDBDB"/>
          </w:tcPr>
          <w:p>
            <w:pPr>
              <w:spacing w:after="0"/>
              <w:rPr>
                <w:sz w:val="13"/>
                <w:szCs w:val="13"/>
                <w:color w:val="auto"/>
              </w:rPr>
            </w:pPr>
          </w:p>
        </w:tc>
        <w:tc>
          <w:tcPr>
            <w:tcW w:w="940" w:type="dxa"/>
            <w:vAlign w:val="bottom"/>
            <w:tcBorders>
              <w:right w:val="single" w:sz="8" w:color="B6B6B6"/>
            </w:tcBorders>
            <w:shd w:val="clear" w:color="auto" w:fill="DBDBDB"/>
          </w:tcPr>
          <w:p>
            <w:pPr>
              <w:spacing w:after="0"/>
              <w:rPr>
                <w:sz w:val="13"/>
                <w:szCs w:val="13"/>
                <w:color w:val="auto"/>
              </w:rPr>
            </w:pPr>
          </w:p>
        </w:tc>
        <w:tc>
          <w:tcPr>
            <w:tcW w:w="940" w:type="dxa"/>
            <w:vAlign w:val="bottom"/>
            <w:tcBorders>
              <w:right w:val="single" w:sz="8" w:color="B6B6B6"/>
            </w:tcBorders>
            <w:shd w:val="clear" w:color="auto" w:fill="DBDBDB"/>
          </w:tcPr>
          <w:p>
            <w:pPr>
              <w:spacing w:after="0"/>
              <w:rPr>
                <w:sz w:val="13"/>
                <w:szCs w:val="13"/>
                <w:color w:val="auto"/>
              </w:rPr>
            </w:pPr>
          </w:p>
        </w:tc>
        <w:tc>
          <w:tcPr>
            <w:tcW w:w="820" w:type="dxa"/>
            <w:vAlign w:val="bottom"/>
            <w:tcBorders>
              <w:right w:val="single" w:sz="8" w:color="B6B6B6"/>
            </w:tcBorders>
            <w:shd w:val="clear" w:color="auto" w:fill="DBDBDB"/>
          </w:tcPr>
          <w:p>
            <w:pPr>
              <w:jc w:val="right"/>
              <w:spacing w:after="0"/>
              <w:rPr>
                <w:sz w:val="20"/>
                <w:szCs w:val="20"/>
                <w:color w:val="auto"/>
              </w:rPr>
            </w:pPr>
            <w:r>
              <w:rPr>
                <w:rFonts w:ascii="Arial" w:cs="Arial" w:eastAsia="Arial" w:hAnsi="Arial"/>
                <w:sz w:val="13"/>
                <w:szCs w:val="13"/>
                <w:color w:val="auto"/>
              </w:rPr>
              <w:t>272,134</w:t>
            </w:r>
          </w:p>
        </w:tc>
        <w:tc>
          <w:tcPr>
            <w:tcW w:w="940" w:type="dxa"/>
            <w:vAlign w:val="bottom"/>
            <w:tcBorders>
              <w:right w:val="single" w:sz="8" w:color="B6B6B6"/>
            </w:tcBorders>
            <w:shd w:val="clear" w:color="auto" w:fill="DBDBDB"/>
          </w:tcPr>
          <w:p>
            <w:pPr>
              <w:jc w:val="right"/>
              <w:ind w:right="14"/>
              <w:spacing w:after="0"/>
              <w:rPr>
                <w:sz w:val="20"/>
                <w:szCs w:val="20"/>
                <w:color w:val="auto"/>
              </w:rPr>
            </w:pPr>
            <w:r>
              <w:rPr>
                <w:rFonts w:ascii="Arial" w:cs="Arial" w:eastAsia="Arial" w:hAnsi="Arial"/>
                <w:sz w:val="13"/>
                <w:szCs w:val="13"/>
                <w:color w:val="auto"/>
              </w:rPr>
              <w:t>544,268</w:t>
            </w:r>
          </w:p>
        </w:tc>
        <w:tc>
          <w:tcPr>
            <w:tcW w:w="120" w:type="dxa"/>
            <w:vAlign w:val="bottom"/>
            <w:shd w:val="clear" w:color="auto" w:fill="DBDBDB"/>
          </w:tcPr>
          <w:p>
            <w:pPr>
              <w:spacing w:after="0"/>
              <w:rPr>
                <w:sz w:val="13"/>
                <w:szCs w:val="13"/>
                <w:color w:val="auto"/>
              </w:rPr>
            </w:pPr>
          </w:p>
        </w:tc>
        <w:tc>
          <w:tcPr>
            <w:tcW w:w="760" w:type="dxa"/>
            <w:vAlign w:val="bottom"/>
            <w:tcBorders>
              <w:right w:val="single" w:sz="8" w:color="B6B6B6"/>
            </w:tcBorders>
            <w:shd w:val="clear" w:color="auto" w:fill="DBDBDB"/>
          </w:tcPr>
          <w:p>
            <w:pPr>
              <w:jc w:val="right"/>
              <w:spacing w:after="0"/>
              <w:rPr>
                <w:sz w:val="20"/>
                <w:szCs w:val="20"/>
                <w:color w:val="auto"/>
              </w:rPr>
            </w:pPr>
            <w:r>
              <w:rPr>
                <w:rFonts w:ascii="Arial" w:cs="Arial" w:eastAsia="Arial" w:hAnsi="Arial"/>
                <w:sz w:val="13"/>
                <w:szCs w:val="13"/>
                <w:color w:val="auto"/>
              </w:rPr>
              <w:t>1,088,536</w:t>
            </w:r>
          </w:p>
        </w:tc>
        <w:tc>
          <w:tcPr>
            <w:tcW w:w="880" w:type="dxa"/>
            <w:vAlign w:val="bottom"/>
            <w:tcBorders>
              <w:right w:val="single" w:sz="8" w:color="B6B6B6"/>
            </w:tcBorders>
            <w:shd w:val="clear" w:color="auto" w:fill="DBDBDB"/>
          </w:tcPr>
          <w:p>
            <w:pPr>
              <w:spacing w:after="0"/>
              <w:rPr>
                <w:sz w:val="13"/>
                <w:szCs w:val="13"/>
                <w:color w:val="auto"/>
              </w:rPr>
            </w:pPr>
          </w:p>
        </w:tc>
        <w:tc>
          <w:tcPr>
            <w:tcW w:w="900" w:type="dxa"/>
            <w:vAlign w:val="bottom"/>
            <w:tcBorders>
              <w:right w:val="single" w:sz="8" w:color="B6B6B6"/>
            </w:tcBorders>
            <w:shd w:val="clear" w:color="auto" w:fill="DBDBDB"/>
          </w:tcPr>
          <w:p>
            <w:pPr>
              <w:jc w:val="right"/>
              <w:ind w:right="14"/>
              <w:spacing w:after="0"/>
              <w:rPr>
                <w:sz w:val="20"/>
                <w:szCs w:val="20"/>
                <w:color w:val="auto"/>
              </w:rPr>
            </w:pPr>
            <w:r>
              <w:rPr>
                <w:rFonts w:ascii="Arial" w:cs="Arial" w:eastAsia="Arial" w:hAnsi="Arial"/>
                <w:sz w:val="13"/>
                <w:szCs w:val="13"/>
                <w:color w:val="auto"/>
              </w:rPr>
              <w:t>3,793,548</w:t>
            </w:r>
          </w:p>
        </w:tc>
        <w:tc>
          <w:tcPr>
            <w:tcW w:w="0" w:type="dxa"/>
            <w:vAlign w:val="bottom"/>
          </w:tcPr>
          <w:p>
            <w:pPr>
              <w:spacing w:after="0"/>
              <w:rPr>
                <w:sz w:val="1"/>
                <w:szCs w:val="1"/>
                <w:color w:val="auto"/>
              </w:rPr>
            </w:pPr>
          </w:p>
        </w:tc>
      </w:tr>
      <w:tr>
        <w:trPr>
          <w:trHeight w:val="198"/>
        </w:trPr>
        <w:tc>
          <w:tcPr>
            <w:tcW w:w="1220" w:type="dxa"/>
            <w:vAlign w:val="bottom"/>
            <w:tcBorders>
              <w:left w:val="single" w:sz="8" w:color="B6B6B6"/>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gridSpan w:val="2"/>
            <w:shd w:val="clear" w:color="auto" w:fill="DBDBDB"/>
          </w:tcPr>
          <w:p>
            <w:pPr>
              <w:ind w:left="20"/>
              <w:spacing w:after="0"/>
              <w:rPr>
                <w:sz w:val="20"/>
                <w:szCs w:val="20"/>
                <w:color w:val="auto"/>
              </w:rPr>
            </w:pPr>
            <w:r>
              <w:rPr>
                <w:rFonts w:ascii="Arial" w:cs="Arial" w:eastAsia="Arial" w:hAnsi="Arial"/>
                <w:sz w:val="13"/>
                <w:szCs w:val="13"/>
                <w:color w:val="auto"/>
              </w:rPr>
              <w:t>(PSU)</w:t>
            </w: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2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82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B6B6B6"/>
            </w:tcBorders>
            <w:shd w:val="clear" w:color="auto" w:fill="DBDBDB"/>
          </w:tcPr>
          <w:p>
            <w:pPr>
              <w:spacing w:after="0"/>
              <w:rPr>
                <w:sz w:val="16"/>
                <w:szCs w:val="16"/>
                <w:color w:val="auto"/>
              </w:rPr>
            </w:pPr>
          </w:p>
        </w:tc>
        <w:tc>
          <w:tcPr>
            <w:tcW w:w="880" w:type="dxa"/>
            <w:vAlign w:val="bottom"/>
            <w:tcBorders>
              <w:bottom w:val="single" w:sz="8" w:color="DBDBDB"/>
              <w:right w:val="single" w:sz="8" w:color="B6B6B6"/>
            </w:tcBorders>
            <w:shd w:val="clear" w:color="auto" w:fill="DBDBDB"/>
          </w:tcPr>
          <w:p>
            <w:pPr>
              <w:spacing w:after="0"/>
              <w:rPr>
                <w:sz w:val="16"/>
                <w:szCs w:val="16"/>
                <w:color w:val="auto"/>
              </w:rPr>
            </w:pPr>
          </w:p>
        </w:tc>
        <w:tc>
          <w:tcPr>
            <w:tcW w:w="900" w:type="dxa"/>
            <w:vAlign w:val="bottom"/>
            <w:tcBorders>
              <w:bottom w:val="single" w:sz="8" w:color="DBDBDB"/>
              <w:right w:val="single" w:sz="8" w:color="B6B6B6"/>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20" w:type="dxa"/>
            <w:vAlign w:val="bottom"/>
            <w:tcBorders>
              <w:top w:val="single" w:sz="8" w:color="DBDBDB"/>
              <w:left w:val="single" w:sz="8" w:color="B6B6B6"/>
              <w:right w:val="single" w:sz="8" w:color="B6B6B6"/>
            </w:tcBorders>
            <w:shd w:val="clear" w:color="auto" w:fill="DBDBDB"/>
          </w:tcPr>
          <w:p>
            <w:pPr>
              <w:spacing w:after="0"/>
              <w:rPr>
                <w:sz w:val="13"/>
                <w:szCs w:val="13"/>
                <w:color w:val="auto"/>
              </w:rPr>
            </w:pPr>
          </w:p>
        </w:tc>
        <w:tc>
          <w:tcPr>
            <w:tcW w:w="320" w:type="dxa"/>
            <w:vAlign w:val="bottom"/>
            <w:tcBorders>
              <w:top w:val="single" w:sz="8" w:color="B6B6B6"/>
            </w:tcBorders>
            <w:shd w:val="clear" w:color="auto" w:fill="DBDBDB"/>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top w:val="single" w:sz="8" w:color="B6B6B6"/>
              <w:right w:val="single" w:sz="8" w:color="B6B6B6"/>
            </w:tcBorders>
            <w:shd w:val="clear" w:color="auto" w:fill="DBDBDB"/>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top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top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top w:val="single" w:sz="8" w:color="B6B6B6"/>
              <w:right w:val="single" w:sz="8" w:color="B6B6B6"/>
            </w:tcBorders>
            <w:shd w:val="clear" w:color="auto" w:fill="DBDBDB"/>
          </w:tcPr>
          <w:p>
            <w:pPr>
              <w:spacing w:after="0"/>
              <w:rPr>
                <w:sz w:val="13"/>
                <w:szCs w:val="13"/>
                <w:color w:val="auto"/>
              </w:rPr>
            </w:pPr>
          </w:p>
        </w:tc>
        <w:tc>
          <w:tcPr>
            <w:tcW w:w="940" w:type="dxa"/>
            <w:vAlign w:val="bottom"/>
            <w:tcBorders>
              <w:top w:val="single" w:sz="8" w:color="B6B6B6"/>
              <w:right w:val="single" w:sz="8" w:color="B6B6B6"/>
            </w:tcBorders>
            <w:shd w:val="clear" w:color="auto" w:fill="DBDBDB"/>
          </w:tcPr>
          <w:p>
            <w:pPr>
              <w:spacing w:after="0"/>
              <w:rPr>
                <w:sz w:val="13"/>
                <w:szCs w:val="13"/>
                <w:color w:val="auto"/>
              </w:rPr>
            </w:pPr>
          </w:p>
        </w:tc>
        <w:tc>
          <w:tcPr>
            <w:tcW w:w="940" w:type="dxa"/>
            <w:vAlign w:val="bottom"/>
            <w:tcBorders>
              <w:top w:val="single" w:sz="8" w:color="B6B6B6"/>
              <w:right w:val="single" w:sz="8" w:color="B6B6B6"/>
            </w:tcBorders>
            <w:shd w:val="clear" w:color="auto" w:fill="DBDBDB"/>
          </w:tcPr>
          <w:p>
            <w:pPr>
              <w:spacing w:after="0"/>
              <w:rPr>
                <w:sz w:val="13"/>
                <w:szCs w:val="13"/>
                <w:color w:val="auto"/>
              </w:rPr>
            </w:pPr>
          </w:p>
        </w:tc>
        <w:tc>
          <w:tcPr>
            <w:tcW w:w="820" w:type="dxa"/>
            <w:vAlign w:val="bottom"/>
            <w:tcBorders>
              <w:top w:val="single" w:sz="8" w:color="B6B6B6"/>
              <w:right w:val="single" w:sz="8" w:color="B6B6B6"/>
            </w:tcBorders>
            <w:shd w:val="clear" w:color="auto" w:fill="DBDBDB"/>
          </w:tcPr>
          <w:p>
            <w:pPr>
              <w:spacing w:after="0"/>
              <w:rPr>
                <w:sz w:val="13"/>
                <w:szCs w:val="13"/>
                <w:color w:val="auto"/>
              </w:rPr>
            </w:pPr>
          </w:p>
        </w:tc>
        <w:tc>
          <w:tcPr>
            <w:tcW w:w="940" w:type="dxa"/>
            <w:vAlign w:val="bottom"/>
            <w:tcBorders>
              <w:top w:val="single" w:sz="8" w:color="B6B6B6"/>
              <w:right w:val="single" w:sz="8" w:color="B6B6B6"/>
            </w:tcBorders>
            <w:shd w:val="clear" w:color="auto" w:fill="DBDBDB"/>
          </w:tcPr>
          <w:p>
            <w:pPr>
              <w:spacing w:after="0"/>
              <w:rPr>
                <w:sz w:val="13"/>
                <w:szCs w:val="13"/>
                <w:color w:val="auto"/>
              </w:rPr>
            </w:pPr>
          </w:p>
        </w:tc>
        <w:tc>
          <w:tcPr>
            <w:tcW w:w="120" w:type="dxa"/>
            <w:vAlign w:val="bottom"/>
            <w:tcBorders>
              <w:top w:val="single" w:sz="8" w:color="B6B6B6"/>
            </w:tcBorders>
            <w:shd w:val="clear" w:color="auto" w:fill="DBDBDB"/>
          </w:tcPr>
          <w:p>
            <w:pPr>
              <w:spacing w:after="0"/>
              <w:rPr>
                <w:sz w:val="13"/>
                <w:szCs w:val="13"/>
                <w:color w:val="auto"/>
              </w:rPr>
            </w:pPr>
          </w:p>
        </w:tc>
        <w:tc>
          <w:tcPr>
            <w:tcW w:w="760" w:type="dxa"/>
            <w:vAlign w:val="bottom"/>
            <w:tcBorders>
              <w:top w:val="single" w:sz="8" w:color="B6B6B6"/>
              <w:right w:val="single" w:sz="8" w:color="B6B6B6"/>
            </w:tcBorders>
            <w:shd w:val="clear" w:color="auto" w:fill="DBDBDB"/>
          </w:tcPr>
          <w:p>
            <w:pPr>
              <w:spacing w:after="0"/>
              <w:rPr>
                <w:sz w:val="13"/>
                <w:szCs w:val="13"/>
                <w:color w:val="auto"/>
              </w:rPr>
            </w:pPr>
          </w:p>
        </w:tc>
        <w:tc>
          <w:tcPr>
            <w:tcW w:w="880" w:type="dxa"/>
            <w:vAlign w:val="bottom"/>
            <w:tcBorders>
              <w:top w:val="single" w:sz="8" w:color="B6B6B6"/>
              <w:right w:val="single" w:sz="8" w:color="B6B6B6"/>
            </w:tcBorders>
            <w:shd w:val="clear" w:color="auto" w:fill="DBDBDB"/>
          </w:tcPr>
          <w:p>
            <w:pPr>
              <w:jc w:val="right"/>
              <w:ind w:right="11"/>
              <w:spacing w:after="0"/>
              <w:rPr>
                <w:sz w:val="20"/>
                <w:szCs w:val="20"/>
                <w:color w:val="auto"/>
              </w:rPr>
            </w:pPr>
            <w:r>
              <w:rPr>
                <w:rFonts w:ascii="Arial" w:cs="Arial" w:eastAsia="Arial" w:hAnsi="Arial"/>
                <w:sz w:val="13"/>
                <w:szCs w:val="13"/>
                <w:color w:val="auto"/>
              </w:rPr>
              <w:t>544,268</w:t>
            </w:r>
          </w:p>
        </w:tc>
        <w:tc>
          <w:tcPr>
            <w:tcW w:w="900" w:type="dxa"/>
            <w:vAlign w:val="bottom"/>
            <w:tcBorders>
              <w:top w:val="single" w:sz="8" w:color="B6B6B6"/>
              <w:right w:val="single" w:sz="8" w:color="B6B6B6"/>
            </w:tcBorders>
            <w:shd w:val="clear" w:color="auto" w:fill="DBDBDB"/>
          </w:tcPr>
          <w:p>
            <w:pPr>
              <w:jc w:val="right"/>
              <w:ind w:right="14"/>
              <w:spacing w:after="0"/>
              <w:rPr>
                <w:sz w:val="20"/>
                <w:szCs w:val="20"/>
                <w:color w:val="auto"/>
              </w:rPr>
            </w:pPr>
            <w:r>
              <w:rPr>
                <w:rFonts w:ascii="Arial" w:cs="Arial" w:eastAsia="Arial" w:hAnsi="Arial"/>
                <w:sz w:val="13"/>
                <w:szCs w:val="13"/>
                <w:color w:val="auto"/>
              </w:rPr>
              <w:t>3,750,007</w:t>
            </w:r>
          </w:p>
        </w:tc>
        <w:tc>
          <w:tcPr>
            <w:tcW w:w="0" w:type="dxa"/>
            <w:vAlign w:val="bottom"/>
          </w:tcPr>
          <w:p>
            <w:pPr>
              <w:spacing w:after="0"/>
              <w:rPr>
                <w:sz w:val="1"/>
                <w:szCs w:val="1"/>
                <w:color w:val="auto"/>
              </w:rPr>
            </w:pPr>
          </w:p>
        </w:tc>
      </w:tr>
      <w:tr>
        <w:trPr>
          <w:trHeight w:val="198"/>
        </w:trPr>
        <w:tc>
          <w:tcPr>
            <w:tcW w:w="1220" w:type="dxa"/>
            <w:vAlign w:val="bottom"/>
            <w:tcBorders>
              <w:left w:val="single" w:sz="8" w:color="B6B6B6"/>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gridSpan w:val="2"/>
            <w:shd w:val="clear" w:color="auto" w:fill="DBDBDB"/>
          </w:tcPr>
          <w:p>
            <w:pPr>
              <w:ind w:left="20"/>
              <w:spacing w:after="0"/>
              <w:rPr>
                <w:sz w:val="20"/>
                <w:szCs w:val="20"/>
                <w:color w:val="auto"/>
              </w:rPr>
            </w:pPr>
            <w:r>
              <w:rPr>
                <w:rFonts w:ascii="Arial" w:cs="Arial" w:eastAsia="Arial" w:hAnsi="Arial"/>
                <w:sz w:val="13"/>
                <w:szCs w:val="13"/>
                <w:color w:val="auto"/>
              </w:rPr>
              <w:t>(RSU)</w:t>
            </w: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2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82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B6B6B6"/>
            </w:tcBorders>
            <w:shd w:val="clear" w:color="auto" w:fill="DBDBDB"/>
          </w:tcPr>
          <w:p>
            <w:pPr>
              <w:spacing w:after="0"/>
              <w:rPr>
                <w:sz w:val="16"/>
                <w:szCs w:val="16"/>
                <w:color w:val="auto"/>
              </w:rPr>
            </w:pPr>
          </w:p>
        </w:tc>
        <w:tc>
          <w:tcPr>
            <w:tcW w:w="880" w:type="dxa"/>
            <w:vAlign w:val="bottom"/>
            <w:tcBorders>
              <w:bottom w:val="single" w:sz="8" w:color="DBDBDB"/>
              <w:right w:val="single" w:sz="8" w:color="B6B6B6"/>
            </w:tcBorders>
            <w:shd w:val="clear" w:color="auto" w:fill="DBDBDB"/>
          </w:tcPr>
          <w:p>
            <w:pPr>
              <w:spacing w:after="0"/>
              <w:rPr>
                <w:sz w:val="16"/>
                <w:szCs w:val="16"/>
                <w:color w:val="auto"/>
              </w:rPr>
            </w:pPr>
          </w:p>
        </w:tc>
        <w:tc>
          <w:tcPr>
            <w:tcW w:w="900" w:type="dxa"/>
            <w:vAlign w:val="bottom"/>
            <w:tcBorders>
              <w:bottom w:val="single" w:sz="8" w:color="DBDBDB"/>
              <w:right w:val="single" w:sz="8" w:color="B6B6B6"/>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220" w:type="dxa"/>
            <w:vAlign w:val="bottom"/>
            <w:tcBorders>
              <w:top w:val="single" w:sz="8" w:color="B6B6B6"/>
              <w:left w:val="single" w:sz="8" w:color="B6B6B6"/>
              <w:right w:val="single" w:sz="8" w:color="B6B6B6"/>
            </w:tcBorders>
          </w:tcPr>
          <w:p>
            <w:pPr>
              <w:ind w:left="40"/>
              <w:spacing w:after="0"/>
              <w:rPr>
                <w:sz w:val="20"/>
                <w:szCs w:val="20"/>
                <w:color w:val="auto"/>
              </w:rPr>
            </w:pPr>
            <w:r>
              <w:rPr>
                <w:rFonts w:ascii="Arial" w:cs="Arial" w:eastAsia="Arial" w:hAnsi="Arial"/>
                <w:sz w:val="13"/>
                <w:szCs w:val="13"/>
                <w:color w:val="auto"/>
              </w:rPr>
              <w:t>Louis J. Pastor</w:t>
            </w:r>
          </w:p>
        </w:tc>
        <w:tc>
          <w:tcPr>
            <w:tcW w:w="32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top w:val="single" w:sz="8" w:color="B6B6B6"/>
              <w:right w:val="single" w:sz="8" w:color="B6B6B6"/>
            </w:tcBorders>
          </w:tcPr>
          <w:p>
            <w:pPr>
              <w:jc w:val="center"/>
              <w:ind w:right="297"/>
              <w:spacing w:after="0"/>
              <w:rPr>
                <w:sz w:val="20"/>
                <w:szCs w:val="20"/>
                <w:color w:val="auto"/>
              </w:rPr>
            </w:pPr>
            <w:r>
              <w:rPr>
                <w:rFonts w:ascii="Arial" w:cs="Arial" w:eastAsia="Arial" w:hAnsi="Arial"/>
                <w:sz w:val="13"/>
                <w:szCs w:val="13"/>
                <w:color w:val="auto"/>
                <w:w w:val="94"/>
              </w:rPr>
              <w:t>MIP</w:t>
            </w:r>
          </w:p>
        </w:tc>
        <w:tc>
          <w:tcPr>
            <w:tcW w:w="940" w:type="dxa"/>
            <w:vAlign w:val="bottom"/>
            <w:tcBorders>
              <w:top w:val="single" w:sz="8" w:color="B6B6B6"/>
              <w:right w:val="single" w:sz="8" w:color="B6B6B6"/>
            </w:tcBorders>
          </w:tcPr>
          <w:p>
            <w:pPr>
              <w:spacing w:after="0"/>
              <w:rPr>
                <w:sz w:val="14"/>
                <w:szCs w:val="14"/>
                <w:color w:val="auto"/>
              </w:rPr>
            </w:pPr>
          </w:p>
        </w:tc>
        <w:tc>
          <w:tcPr>
            <w:tcW w:w="920" w:type="dxa"/>
            <w:vAlign w:val="bottom"/>
            <w:tcBorders>
              <w:top w:val="single" w:sz="8" w:color="B6B6B6"/>
              <w:right w:val="single" w:sz="8" w:color="B6B6B6"/>
            </w:tcBorders>
          </w:tcPr>
          <w:p>
            <w:pPr>
              <w:spacing w:after="0"/>
              <w:rPr>
                <w:sz w:val="14"/>
                <w:szCs w:val="14"/>
                <w:color w:val="auto"/>
              </w:rPr>
            </w:pPr>
          </w:p>
        </w:tc>
        <w:tc>
          <w:tcPr>
            <w:tcW w:w="940" w:type="dxa"/>
            <w:vAlign w:val="bottom"/>
            <w:tcBorders>
              <w:top w:val="single" w:sz="8" w:color="B6B6B6"/>
              <w:right w:val="single" w:sz="8" w:color="B6B6B6"/>
            </w:tcBorders>
          </w:tcPr>
          <w:p>
            <w:pPr>
              <w:jc w:val="right"/>
              <w:ind w:right="14"/>
              <w:spacing w:after="0"/>
              <w:rPr>
                <w:sz w:val="20"/>
                <w:szCs w:val="20"/>
                <w:color w:val="auto"/>
              </w:rPr>
            </w:pPr>
            <w:r>
              <w:rPr>
                <w:rFonts w:ascii="Arial" w:cs="Arial" w:eastAsia="Arial" w:hAnsi="Arial"/>
                <w:sz w:val="13"/>
                <w:szCs w:val="13"/>
                <w:color w:val="auto"/>
              </w:rPr>
              <w:t>312,500</w:t>
            </w:r>
          </w:p>
        </w:tc>
        <w:tc>
          <w:tcPr>
            <w:tcW w:w="940" w:type="dxa"/>
            <w:vAlign w:val="bottom"/>
            <w:tcBorders>
              <w:top w:val="single" w:sz="8" w:color="B6B6B6"/>
              <w:right w:val="single" w:sz="8" w:color="B6B6B6"/>
            </w:tcBorders>
          </w:tcPr>
          <w:p>
            <w:pPr>
              <w:jc w:val="right"/>
              <w:ind w:right="14"/>
              <w:spacing w:after="0"/>
              <w:rPr>
                <w:sz w:val="20"/>
                <w:szCs w:val="20"/>
                <w:color w:val="auto"/>
              </w:rPr>
            </w:pPr>
            <w:r>
              <w:rPr>
                <w:rFonts w:ascii="Arial" w:cs="Arial" w:eastAsia="Arial" w:hAnsi="Arial"/>
                <w:sz w:val="13"/>
                <w:szCs w:val="13"/>
                <w:color w:val="auto"/>
              </w:rPr>
              <w:t>625,000</w:t>
            </w:r>
          </w:p>
        </w:tc>
        <w:tc>
          <w:tcPr>
            <w:tcW w:w="940" w:type="dxa"/>
            <w:vAlign w:val="bottom"/>
            <w:tcBorders>
              <w:top w:val="single" w:sz="8" w:color="B6B6B6"/>
              <w:right w:val="single" w:sz="8" w:color="B6B6B6"/>
            </w:tcBorders>
          </w:tcPr>
          <w:p>
            <w:pPr>
              <w:jc w:val="right"/>
              <w:ind w:right="15"/>
              <w:spacing w:after="0"/>
              <w:rPr>
                <w:sz w:val="20"/>
                <w:szCs w:val="20"/>
                <w:color w:val="auto"/>
              </w:rPr>
            </w:pPr>
            <w:r>
              <w:rPr>
                <w:rFonts w:ascii="Arial" w:cs="Arial" w:eastAsia="Arial" w:hAnsi="Arial"/>
                <w:sz w:val="13"/>
                <w:szCs w:val="13"/>
                <w:color w:val="auto"/>
              </w:rPr>
              <w:t>1,562,500</w:t>
            </w:r>
          </w:p>
        </w:tc>
        <w:tc>
          <w:tcPr>
            <w:tcW w:w="820" w:type="dxa"/>
            <w:vAlign w:val="bottom"/>
            <w:tcBorders>
              <w:top w:val="single" w:sz="8" w:color="B6B6B6"/>
              <w:right w:val="single" w:sz="8" w:color="B6B6B6"/>
            </w:tcBorders>
          </w:tcPr>
          <w:p>
            <w:pPr>
              <w:spacing w:after="0"/>
              <w:rPr>
                <w:sz w:val="14"/>
                <w:szCs w:val="14"/>
                <w:color w:val="auto"/>
              </w:rPr>
            </w:pPr>
          </w:p>
        </w:tc>
        <w:tc>
          <w:tcPr>
            <w:tcW w:w="940" w:type="dxa"/>
            <w:vAlign w:val="bottom"/>
            <w:tcBorders>
              <w:top w:val="single" w:sz="8" w:color="B6B6B6"/>
              <w:right w:val="single" w:sz="8" w:color="B6B6B6"/>
            </w:tcBorders>
          </w:tcPr>
          <w:p>
            <w:pPr>
              <w:spacing w:after="0"/>
              <w:rPr>
                <w:sz w:val="14"/>
                <w:szCs w:val="14"/>
                <w:color w:val="auto"/>
              </w:rPr>
            </w:pPr>
          </w:p>
        </w:tc>
        <w:tc>
          <w:tcPr>
            <w:tcW w:w="120" w:type="dxa"/>
            <w:vAlign w:val="bottom"/>
            <w:tcBorders>
              <w:top w:val="single" w:sz="8" w:color="B6B6B6"/>
            </w:tcBorders>
          </w:tcPr>
          <w:p>
            <w:pPr>
              <w:spacing w:after="0"/>
              <w:rPr>
                <w:sz w:val="14"/>
                <w:szCs w:val="14"/>
                <w:color w:val="auto"/>
              </w:rPr>
            </w:pPr>
          </w:p>
        </w:tc>
        <w:tc>
          <w:tcPr>
            <w:tcW w:w="760" w:type="dxa"/>
            <w:vAlign w:val="bottom"/>
            <w:tcBorders>
              <w:top w:val="single" w:sz="8" w:color="B6B6B6"/>
              <w:right w:val="single" w:sz="8" w:color="B6B6B6"/>
            </w:tcBorders>
          </w:tcPr>
          <w:p>
            <w:pPr>
              <w:spacing w:after="0"/>
              <w:rPr>
                <w:sz w:val="14"/>
                <w:szCs w:val="14"/>
                <w:color w:val="auto"/>
              </w:rPr>
            </w:pPr>
          </w:p>
        </w:tc>
        <w:tc>
          <w:tcPr>
            <w:tcW w:w="880" w:type="dxa"/>
            <w:vAlign w:val="bottom"/>
            <w:tcBorders>
              <w:top w:val="single" w:sz="8" w:color="B6B6B6"/>
              <w:right w:val="single" w:sz="8" w:color="B6B6B6"/>
            </w:tcBorders>
          </w:tcPr>
          <w:p>
            <w:pPr>
              <w:spacing w:after="0"/>
              <w:rPr>
                <w:sz w:val="14"/>
                <w:szCs w:val="14"/>
                <w:color w:val="auto"/>
              </w:rPr>
            </w:pPr>
          </w:p>
        </w:tc>
        <w:tc>
          <w:tcPr>
            <w:tcW w:w="900" w:type="dxa"/>
            <w:vAlign w:val="bottom"/>
            <w:tcBorders>
              <w:top w:val="single" w:sz="8" w:color="B6B6B6"/>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B6B6B6"/>
              <w:right w:val="single" w:sz="8" w:color="B6B6B6"/>
            </w:tcBorders>
          </w:tcPr>
          <w:p>
            <w:pPr>
              <w:spacing w:after="0"/>
              <w:rPr>
                <w:sz w:val="23"/>
                <w:szCs w:val="23"/>
                <w:color w:val="auto"/>
              </w:rPr>
            </w:pPr>
          </w:p>
        </w:tc>
        <w:tc>
          <w:tcPr>
            <w:tcW w:w="320" w:type="dxa"/>
            <w:vAlign w:val="bottom"/>
            <w:tcBorders>
              <w:bottom w:val="single" w:sz="8" w:color="B6B6B6"/>
            </w:tcBorders>
          </w:tcPr>
          <w:p>
            <w:pPr>
              <w:spacing w:after="0"/>
              <w:rPr>
                <w:sz w:val="23"/>
                <w:szCs w:val="23"/>
                <w:color w:val="auto"/>
              </w:rPr>
            </w:pPr>
          </w:p>
        </w:tc>
        <w:tc>
          <w:tcPr>
            <w:tcW w:w="620" w:type="dxa"/>
            <w:vAlign w:val="bottom"/>
            <w:tcBorders>
              <w:bottom w:val="single" w:sz="8" w:color="B6B6B6"/>
              <w:right w:val="single" w:sz="8" w:color="B6B6B6"/>
            </w:tcBorders>
          </w:tcPr>
          <w:p>
            <w:pPr>
              <w:spacing w:after="0"/>
              <w:rPr>
                <w:sz w:val="23"/>
                <w:szCs w:val="23"/>
                <w:color w:val="auto"/>
              </w:rPr>
            </w:pPr>
          </w:p>
        </w:tc>
        <w:tc>
          <w:tcPr>
            <w:tcW w:w="940" w:type="dxa"/>
            <w:vAlign w:val="bottom"/>
            <w:tcBorders>
              <w:bottom w:val="single" w:sz="8" w:color="B6B6B6"/>
              <w:right w:val="single" w:sz="8" w:color="B6B6B6"/>
            </w:tcBorders>
          </w:tcPr>
          <w:p>
            <w:pPr>
              <w:spacing w:after="0"/>
              <w:rPr>
                <w:sz w:val="23"/>
                <w:szCs w:val="23"/>
                <w:color w:val="auto"/>
              </w:rPr>
            </w:pPr>
          </w:p>
        </w:tc>
        <w:tc>
          <w:tcPr>
            <w:tcW w:w="920" w:type="dxa"/>
            <w:vAlign w:val="bottom"/>
            <w:tcBorders>
              <w:bottom w:val="single" w:sz="8" w:color="B6B6B6"/>
              <w:right w:val="single" w:sz="8" w:color="B6B6B6"/>
            </w:tcBorders>
          </w:tcPr>
          <w:p>
            <w:pPr>
              <w:spacing w:after="0"/>
              <w:rPr>
                <w:sz w:val="23"/>
                <w:szCs w:val="23"/>
                <w:color w:val="auto"/>
              </w:rPr>
            </w:pPr>
          </w:p>
        </w:tc>
        <w:tc>
          <w:tcPr>
            <w:tcW w:w="940" w:type="dxa"/>
            <w:vAlign w:val="bottom"/>
            <w:tcBorders>
              <w:bottom w:val="single" w:sz="8" w:color="B6B6B6"/>
              <w:right w:val="single" w:sz="8" w:color="B6B6B6"/>
            </w:tcBorders>
          </w:tcPr>
          <w:p>
            <w:pPr>
              <w:spacing w:after="0"/>
              <w:rPr>
                <w:sz w:val="23"/>
                <w:szCs w:val="23"/>
                <w:color w:val="auto"/>
              </w:rPr>
            </w:pPr>
          </w:p>
        </w:tc>
        <w:tc>
          <w:tcPr>
            <w:tcW w:w="940" w:type="dxa"/>
            <w:vAlign w:val="bottom"/>
            <w:tcBorders>
              <w:bottom w:val="single" w:sz="8" w:color="B6B6B6"/>
              <w:right w:val="single" w:sz="8" w:color="B6B6B6"/>
            </w:tcBorders>
          </w:tcPr>
          <w:p>
            <w:pPr>
              <w:spacing w:after="0"/>
              <w:rPr>
                <w:sz w:val="23"/>
                <w:szCs w:val="23"/>
                <w:color w:val="auto"/>
              </w:rPr>
            </w:pPr>
          </w:p>
        </w:tc>
        <w:tc>
          <w:tcPr>
            <w:tcW w:w="940" w:type="dxa"/>
            <w:vAlign w:val="bottom"/>
            <w:tcBorders>
              <w:bottom w:val="single" w:sz="8" w:color="B6B6B6"/>
              <w:right w:val="single" w:sz="8" w:color="B6B6B6"/>
            </w:tcBorders>
          </w:tcPr>
          <w:p>
            <w:pPr>
              <w:spacing w:after="0"/>
              <w:rPr>
                <w:sz w:val="23"/>
                <w:szCs w:val="23"/>
                <w:color w:val="auto"/>
              </w:rPr>
            </w:pPr>
          </w:p>
        </w:tc>
        <w:tc>
          <w:tcPr>
            <w:tcW w:w="820" w:type="dxa"/>
            <w:vAlign w:val="bottom"/>
            <w:tcBorders>
              <w:bottom w:val="single" w:sz="8" w:color="B6B6B6"/>
              <w:right w:val="single" w:sz="8" w:color="B6B6B6"/>
            </w:tcBorders>
          </w:tcPr>
          <w:p>
            <w:pPr>
              <w:spacing w:after="0"/>
              <w:rPr>
                <w:sz w:val="23"/>
                <w:szCs w:val="23"/>
                <w:color w:val="auto"/>
              </w:rPr>
            </w:pPr>
          </w:p>
        </w:tc>
        <w:tc>
          <w:tcPr>
            <w:tcW w:w="940" w:type="dxa"/>
            <w:vAlign w:val="bottom"/>
            <w:tcBorders>
              <w:bottom w:val="single" w:sz="8" w:color="B6B6B6"/>
              <w:right w:val="single" w:sz="8" w:color="B6B6B6"/>
            </w:tcBorders>
          </w:tcPr>
          <w:p>
            <w:pPr>
              <w:spacing w:after="0"/>
              <w:rPr>
                <w:sz w:val="23"/>
                <w:szCs w:val="23"/>
                <w:color w:val="auto"/>
              </w:rPr>
            </w:pPr>
          </w:p>
        </w:tc>
        <w:tc>
          <w:tcPr>
            <w:tcW w:w="120" w:type="dxa"/>
            <w:vAlign w:val="bottom"/>
            <w:tcBorders>
              <w:bottom w:val="single" w:sz="8" w:color="B6B6B6"/>
            </w:tcBorders>
          </w:tcPr>
          <w:p>
            <w:pPr>
              <w:spacing w:after="0"/>
              <w:rPr>
                <w:sz w:val="23"/>
                <w:szCs w:val="23"/>
                <w:color w:val="auto"/>
              </w:rPr>
            </w:pPr>
          </w:p>
        </w:tc>
        <w:tc>
          <w:tcPr>
            <w:tcW w:w="760" w:type="dxa"/>
            <w:vAlign w:val="bottom"/>
            <w:tcBorders>
              <w:bottom w:val="single" w:sz="8" w:color="B6B6B6"/>
              <w:right w:val="single" w:sz="8" w:color="B6B6B6"/>
            </w:tcBorders>
          </w:tcPr>
          <w:p>
            <w:pPr>
              <w:spacing w:after="0"/>
              <w:rPr>
                <w:sz w:val="23"/>
                <w:szCs w:val="23"/>
                <w:color w:val="auto"/>
              </w:rPr>
            </w:pPr>
          </w:p>
        </w:tc>
        <w:tc>
          <w:tcPr>
            <w:tcW w:w="880" w:type="dxa"/>
            <w:vAlign w:val="bottom"/>
            <w:tcBorders>
              <w:bottom w:val="single" w:sz="8" w:color="B6B6B6"/>
              <w:right w:val="single" w:sz="8" w:color="B6B6B6"/>
            </w:tcBorders>
          </w:tcPr>
          <w:p>
            <w:pPr>
              <w:spacing w:after="0"/>
              <w:rPr>
                <w:sz w:val="23"/>
                <w:szCs w:val="23"/>
                <w:color w:val="auto"/>
              </w:rPr>
            </w:pPr>
          </w:p>
        </w:tc>
        <w:tc>
          <w:tcPr>
            <w:tcW w:w="900" w:type="dxa"/>
            <w:vAlign w:val="bottom"/>
            <w:tcBorders>
              <w:bottom w:val="single" w:sz="8" w:color="B6B6B6"/>
              <w:right w:val="single" w:sz="8" w:color="B6B6B6"/>
            </w:tcBorders>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1220" w:type="dxa"/>
            <w:vAlign w:val="bottom"/>
            <w:tcBorders>
              <w:left w:val="single" w:sz="8" w:color="B6B6B6"/>
              <w:right w:val="single" w:sz="8" w:color="B6B6B6"/>
            </w:tcBorders>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tcPr>
          <w:p>
            <w:pPr>
              <w:jc w:val="right"/>
              <w:ind w:right="13"/>
              <w:spacing w:after="0"/>
              <w:rPr>
                <w:sz w:val="20"/>
                <w:szCs w:val="20"/>
                <w:color w:val="auto"/>
              </w:rPr>
            </w:pPr>
            <w:r>
              <w:rPr>
                <w:rFonts w:ascii="Arial" w:cs="Arial" w:eastAsia="Arial" w:hAnsi="Arial"/>
                <w:sz w:val="13"/>
                <w:szCs w:val="13"/>
                <w:color w:val="auto"/>
              </w:rPr>
              <w:t>117,925</w:t>
            </w:r>
          </w:p>
        </w:tc>
        <w:tc>
          <w:tcPr>
            <w:tcW w:w="94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235,850</w:t>
            </w:r>
          </w:p>
        </w:tc>
        <w:tc>
          <w:tcPr>
            <w:tcW w:w="120" w:type="dxa"/>
            <w:vAlign w:val="bottom"/>
          </w:tcPr>
          <w:p>
            <w:pPr>
              <w:spacing w:after="0"/>
              <w:rPr>
                <w:sz w:val="13"/>
                <w:szCs w:val="13"/>
                <w:color w:val="auto"/>
              </w:rPr>
            </w:pPr>
          </w:p>
        </w:tc>
        <w:tc>
          <w:tcPr>
            <w:tcW w:w="760" w:type="dxa"/>
            <w:vAlign w:val="bottom"/>
            <w:tcBorders>
              <w:right w:val="single" w:sz="8" w:color="B6B6B6"/>
            </w:tcBorders>
          </w:tcPr>
          <w:p>
            <w:pPr>
              <w:jc w:val="right"/>
              <w:ind w:right="11"/>
              <w:spacing w:after="0"/>
              <w:rPr>
                <w:sz w:val="20"/>
                <w:szCs w:val="20"/>
                <w:color w:val="auto"/>
              </w:rPr>
            </w:pPr>
            <w:r>
              <w:rPr>
                <w:rFonts w:ascii="Arial" w:cs="Arial" w:eastAsia="Arial" w:hAnsi="Arial"/>
                <w:sz w:val="13"/>
                <w:szCs w:val="13"/>
                <w:color w:val="auto"/>
              </w:rPr>
              <w:t>471,700</w:t>
            </w:r>
          </w:p>
        </w:tc>
        <w:tc>
          <w:tcPr>
            <w:tcW w:w="880" w:type="dxa"/>
            <w:vAlign w:val="bottom"/>
            <w:tcBorders>
              <w:right w:val="single" w:sz="8" w:color="B6B6B6"/>
            </w:tcBorders>
          </w:tcPr>
          <w:p>
            <w:pPr>
              <w:spacing w:after="0"/>
              <w:rPr>
                <w:sz w:val="13"/>
                <w:szCs w:val="13"/>
                <w:color w:val="auto"/>
              </w:rPr>
            </w:pPr>
          </w:p>
        </w:tc>
        <w:tc>
          <w:tcPr>
            <w:tcW w:w="90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1,643,875</w:t>
            </w:r>
          </w:p>
        </w:tc>
        <w:tc>
          <w:tcPr>
            <w:tcW w:w="0" w:type="dxa"/>
            <w:vAlign w:val="bottom"/>
          </w:tcPr>
          <w:p>
            <w:pPr>
              <w:spacing w:after="0"/>
              <w:rPr>
                <w:sz w:val="1"/>
                <w:szCs w:val="1"/>
                <w:color w:val="auto"/>
              </w:rPr>
            </w:pPr>
          </w:p>
        </w:tc>
      </w:tr>
      <w:tr>
        <w:trPr>
          <w:trHeight w:val="166"/>
        </w:trPr>
        <w:tc>
          <w:tcPr>
            <w:tcW w:w="1220" w:type="dxa"/>
            <w:vAlign w:val="bottom"/>
            <w:tcBorders>
              <w:left w:val="single" w:sz="8" w:color="B6B6B6"/>
              <w:right w:val="single" w:sz="8" w:color="B6B6B6"/>
            </w:tcBorders>
          </w:tcPr>
          <w:p>
            <w:pPr>
              <w:spacing w:after="0"/>
              <w:rPr>
                <w:sz w:val="14"/>
                <w:szCs w:val="14"/>
                <w:color w:val="auto"/>
              </w:rPr>
            </w:pPr>
          </w:p>
        </w:tc>
        <w:tc>
          <w:tcPr>
            <w:tcW w:w="940" w:type="dxa"/>
            <w:vAlign w:val="bottom"/>
            <w:tcBorders>
              <w:right w:val="single" w:sz="8" w:color="B6B6B6"/>
            </w:tcBorders>
            <w:gridSpan w:val="2"/>
          </w:tcPr>
          <w:p>
            <w:pPr>
              <w:ind w:left="20"/>
              <w:spacing w:after="0"/>
              <w:rPr>
                <w:sz w:val="20"/>
                <w:szCs w:val="20"/>
                <w:color w:val="auto"/>
              </w:rPr>
            </w:pPr>
            <w:r>
              <w:rPr>
                <w:rFonts w:ascii="Arial" w:cs="Arial" w:eastAsia="Arial" w:hAnsi="Arial"/>
                <w:sz w:val="13"/>
                <w:szCs w:val="13"/>
                <w:color w:val="auto"/>
              </w:rPr>
              <w:t>(PSU)</w:t>
            </w:r>
          </w:p>
        </w:tc>
        <w:tc>
          <w:tcPr>
            <w:tcW w:w="9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B6B6B6"/>
            </w:tcBorders>
          </w:tcPr>
          <w:p>
            <w:pPr>
              <w:spacing w:after="0"/>
              <w:rPr>
                <w:sz w:val="14"/>
                <w:szCs w:val="14"/>
                <w:color w:val="auto"/>
              </w:rPr>
            </w:pPr>
          </w:p>
        </w:tc>
        <w:tc>
          <w:tcPr>
            <w:tcW w:w="880" w:type="dxa"/>
            <w:vAlign w:val="bottom"/>
            <w:tcBorders>
              <w:right w:val="single" w:sz="8" w:color="B6B6B6"/>
            </w:tcBorders>
          </w:tcPr>
          <w:p>
            <w:pPr>
              <w:spacing w:after="0"/>
              <w:rPr>
                <w:sz w:val="14"/>
                <w:szCs w:val="14"/>
                <w:color w:val="auto"/>
              </w:rPr>
            </w:pPr>
          </w:p>
        </w:tc>
        <w:tc>
          <w:tcPr>
            <w:tcW w:w="90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20" w:type="dxa"/>
            <w:vAlign w:val="bottom"/>
            <w:tcBorders>
              <w:left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20" w:type="dxa"/>
            <w:vAlign w:val="bottom"/>
            <w:tcBorders>
              <w:left w:val="single" w:sz="8" w:color="B6B6B6"/>
              <w:right w:val="single" w:sz="8" w:color="B6B6B6"/>
            </w:tcBorders>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B6B6B6"/>
            </w:tcBorders>
          </w:tcPr>
          <w:p>
            <w:pPr>
              <w:spacing w:after="0"/>
              <w:rPr>
                <w:sz w:val="13"/>
                <w:szCs w:val="13"/>
                <w:color w:val="auto"/>
              </w:rPr>
            </w:pPr>
          </w:p>
        </w:tc>
        <w:tc>
          <w:tcPr>
            <w:tcW w:w="88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235,850</w:t>
            </w:r>
          </w:p>
        </w:tc>
        <w:tc>
          <w:tcPr>
            <w:tcW w:w="90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1,625,007</w:t>
            </w:r>
          </w:p>
        </w:tc>
        <w:tc>
          <w:tcPr>
            <w:tcW w:w="0" w:type="dxa"/>
            <w:vAlign w:val="bottom"/>
          </w:tcPr>
          <w:p>
            <w:pPr>
              <w:spacing w:after="0"/>
              <w:rPr>
                <w:sz w:val="1"/>
                <w:szCs w:val="1"/>
                <w:color w:val="auto"/>
              </w:rPr>
            </w:pPr>
          </w:p>
        </w:tc>
      </w:tr>
      <w:tr>
        <w:trPr>
          <w:trHeight w:val="166"/>
        </w:trPr>
        <w:tc>
          <w:tcPr>
            <w:tcW w:w="1220" w:type="dxa"/>
            <w:vAlign w:val="bottom"/>
            <w:tcBorders>
              <w:left w:val="single" w:sz="8" w:color="B6B6B6"/>
              <w:right w:val="single" w:sz="8" w:color="B6B6B6"/>
            </w:tcBorders>
          </w:tcPr>
          <w:p>
            <w:pPr>
              <w:spacing w:after="0"/>
              <w:rPr>
                <w:sz w:val="14"/>
                <w:szCs w:val="14"/>
                <w:color w:val="auto"/>
              </w:rPr>
            </w:pPr>
          </w:p>
        </w:tc>
        <w:tc>
          <w:tcPr>
            <w:tcW w:w="940" w:type="dxa"/>
            <w:vAlign w:val="bottom"/>
            <w:tcBorders>
              <w:right w:val="single" w:sz="8" w:color="B6B6B6"/>
            </w:tcBorders>
            <w:gridSpan w:val="2"/>
          </w:tcPr>
          <w:p>
            <w:pPr>
              <w:ind w:left="20"/>
              <w:spacing w:after="0"/>
              <w:rPr>
                <w:sz w:val="20"/>
                <w:szCs w:val="20"/>
                <w:color w:val="auto"/>
              </w:rPr>
            </w:pPr>
            <w:r>
              <w:rPr>
                <w:rFonts w:ascii="Arial" w:cs="Arial" w:eastAsia="Arial" w:hAnsi="Arial"/>
                <w:sz w:val="13"/>
                <w:szCs w:val="13"/>
                <w:color w:val="auto"/>
              </w:rPr>
              <w:t>(RSU)</w:t>
            </w:r>
          </w:p>
        </w:tc>
        <w:tc>
          <w:tcPr>
            <w:tcW w:w="9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B6B6B6"/>
            </w:tcBorders>
          </w:tcPr>
          <w:p>
            <w:pPr>
              <w:spacing w:after="0"/>
              <w:rPr>
                <w:sz w:val="14"/>
                <w:szCs w:val="14"/>
                <w:color w:val="auto"/>
              </w:rPr>
            </w:pPr>
          </w:p>
        </w:tc>
        <w:tc>
          <w:tcPr>
            <w:tcW w:w="880" w:type="dxa"/>
            <w:vAlign w:val="bottom"/>
            <w:tcBorders>
              <w:right w:val="single" w:sz="8" w:color="B6B6B6"/>
            </w:tcBorders>
          </w:tcPr>
          <w:p>
            <w:pPr>
              <w:spacing w:after="0"/>
              <w:rPr>
                <w:sz w:val="14"/>
                <w:szCs w:val="14"/>
                <w:color w:val="auto"/>
              </w:rPr>
            </w:pPr>
          </w:p>
        </w:tc>
        <w:tc>
          <w:tcPr>
            <w:tcW w:w="90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B6B6B6"/>
              <w:bottom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20" w:type="dxa"/>
            <w:vAlign w:val="bottom"/>
            <w:tcBorders>
              <w:left w:val="single" w:sz="8" w:color="B6B6B6"/>
              <w:bottom w:val="single" w:sz="8" w:color="DBDBDB"/>
              <w:right w:val="single" w:sz="8" w:color="B6B6B6"/>
            </w:tcBorders>
            <w:shd w:val="clear" w:color="auto" w:fill="DBDBDB"/>
          </w:tcPr>
          <w:p>
            <w:pPr>
              <w:ind w:left="40"/>
              <w:spacing w:after="0" w:line="142" w:lineRule="exact"/>
              <w:rPr>
                <w:sz w:val="20"/>
                <w:szCs w:val="20"/>
                <w:color w:val="auto"/>
              </w:rPr>
            </w:pPr>
            <w:r>
              <w:rPr>
                <w:rFonts w:ascii="Arial" w:cs="Arial" w:eastAsia="Arial" w:hAnsi="Arial"/>
                <w:sz w:val="13"/>
                <w:szCs w:val="13"/>
                <w:color w:val="auto"/>
              </w:rPr>
              <w:t>Charles Butler</w:t>
            </w:r>
          </w:p>
        </w:tc>
        <w:tc>
          <w:tcPr>
            <w:tcW w:w="320" w:type="dxa"/>
            <w:vAlign w:val="bottom"/>
            <w:tcBorders>
              <w:bottom w:val="single" w:sz="8" w:color="DBDBDB"/>
            </w:tcBorders>
            <w:shd w:val="clear" w:color="auto" w:fill="DBDBDB"/>
          </w:tcPr>
          <w:p>
            <w:pPr>
              <w:ind w:left="20"/>
              <w:spacing w:after="0" w:line="142" w:lineRule="exact"/>
              <w:rPr>
                <w:sz w:val="20"/>
                <w:szCs w:val="20"/>
                <w:color w:val="auto"/>
              </w:rPr>
            </w:pPr>
            <w:r>
              <w:rPr>
                <w:rFonts w:ascii="Arial" w:cs="Arial" w:eastAsia="Arial" w:hAnsi="Arial"/>
                <w:sz w:val="13"/>
                <w:szCs w:val="13"/>
                <w:color w:val="auto"/>
                <w:w w:val="96"/>
              </w:rPr>
              <w:t>2025</w:t>
            </w:r>
          </w:p>
        </w:tc>
        <w:tc>
          <w:tcPr>
            <w:tcW w:w="620" w:type="dxa"/>
            <w:vAlign w:val="bottom"/>
            <w:tcBorders>
              <w:bottom w:val="single" w:sz="8" w:color="DBDBDB"/>
              <w:right w:val="single" w:sz="8" w:color="B6B6B6"/>
            </w:tcBorders>
            <w:shd w:val="clear" w:color="auto" w:fill="DBDBDB"/>
          </w:tcPr>
          <w:p>
            <w:pPr>
              <w:jc w:val="center"/>
              <w:ind w:right="297"/>
              <w:spacing w:after="0" w:line="142" w:lineRule="exact"/>
              <w:rPr>
                <w:sz w:val="20"/>
                <w:szCs w:val="20"/>
                <w:color w:val="auto"/>
              </w:rPr>
            </w:pPr>
            <w:r>
              <w:rPr>
                <w:rFonts w:ascii="Arial" w:cs="Arial" w:eastAsia="Arial" w:hAnsi="Arial"/>
                <w:sz w:val="13"/>
                <w:szCs w:val="13"/>
                <w:color w:val="auto"/>
                <w:w w:val="94"/>
              </w:rPr>
              <w:t>MIP</w:t>
            </w:r>
          </w:p>
        </w:tc>
        <w:tc>
          <w:tcPr>
            <w:tcW w:w="940" w:type="dxa"/>
            <w:vAlign w:val="bottom"/>
            <w:tcBorders>
              <w:bottom w:val="single" w:sz="8" w:color="DBDBDB"/>
              <w:right w:val="single" w:sz="8" w:color="B6B6B6"/>
            </w:tcBorders>
            <w:shd w:val="clear" w:color="auto" w:fill="DBDBDB"/>
          </w:tcPr>
          <w:p>
            <w:pPr>
              <w:spacing w:after="0"/>
              <w:rPr>
                <w:sz w:val="17"/>
                <w:szCs w:val="17"/>
                <w:color w:val="auto"/>
              </w:rPr>
            </w:pPr>
          </w:p>
        </w:tc>
        <w:tc>
          <w:tcPr>
            <w:tcW w:w="920" w:type="dxa"/>
            <w:vAlign w:val="bottom"/>
            <w:tcBorders>
              <w:bottom w:val="single" w:sz="8" w:color="DBDBDB"/>
              <w:right w:val="single" w:sz="8" w:color="B6B6B6"/>
            </w:tcBorders>
            <w:shd w:val="clear" w:color="auto" w:fill="DBDBDB"/>
          </w:tcPr>
          <w:p>
            <w:pPr>
              <w:spacing w:after="0"/>
              <w:rPr>
                <w:sz w:val="17"/>
                <w:szCs w:val="17"/>
                <w:color w:val="auto"/>
              </w:rPr>
            </w:pPr>
          </w:p>
        </w:tc>
        <w:tc>
          <w:tcPr>
            <w:tcW w:w="940" w:type="dxa"/>
            <w:vAlign w:val="bottom"/>
            <w:tcBorders>
              <w:bottom w:val="single" w:sz="8" w:color="DBDBDB"/>
              <w:right w:val="single" w:sz="8" w:color="B6B6B6"/>
            </w:tcBorders>
            <w:shd w:val="clear" w:color="auto" w:fill="DBDBDB"/>
          </w:tcPr>
          <w:p>
            <w:pPr>
              <w:jc w:val="right"/>
              <w:ind w:right="14"/>
              <w:spacing w:after="0" w:line="142" w:lineRule="exact"/>
              <w:rPr>
                <w:sz w:val="20"/>
                <w:szCs w:val="20"/>
                <w:color w:val="auto"/>
              </w:rPr>
            </w:pPr>
            <w:r>
              <w:rPr>
                <w:rFonts w:ascii="Arial" w:cs="Arial" w:eastAsia="Arial" w:hAnsi="Arial"/>
                <w:sz w:val="13"/>
                <w:szCs w:val="13"/>
                <w:color w:val="auto"/>
              </w:rPr>
              <w:t>106,250</w:t>
            </w:r>
          </w:p>
        </w:tc>
        <w:tc>
          <w:tcPr>
            <w:tcW w:w="940" w:type="dxa"/>
            <w:vAlign w:val="bottom"/>
            <w:tcBorders>
              <w:bottom w:val="single" w:sz="8" w:color="DBDBDB"/>
              <w:right w:val="single" w:sz="8" w:color="B6B6B6"/>
            </w:tcBorders>
            <w:shd w:val="clear" w:color="auto" w:fill="DBDBDB"/>
          </w:tcPr>
          <w:p>
            <w:pPr>
              <w:jc w:val="right"/>
              <w:ind w:right="14"/>
              <w:spacing w:after="0" w:line="142" w:lineRule="exact"/>
              <w:rPr>
                <w:sz w:val="20"/>
                <w:szCs w:val="20"/>
                <w:color w:val="auto"/>
              </w:rPr>
            </w:pPr>
            <w:r>
              <w:rPr>
                <w:rFonts w:ascii="Arial" w:cs="Arial" w:eastAsia="Arial" w:hAnsi="Arial"/>
                <w:sz w:val="13"/>
                <w:szCs w:val="13"/>
                <w:color w:val="auto"/>
                <w:highlight w:val="lightGray"/>
              </w:rPr>
              <w:t>212,500</w:t>
            </w:r>
          </w:p>
        </w:tc>
        <w:tc>
          <w:tcPr>
            <w:tcW w:w="940" w:type="dxa"/>
            <w:vAlign w:val="bottom"/>
            <w:tcBorders>
              <w:bottom w:val="single" w:sz="8" w:color="DBDBDB"/>
              <w:right w:val="single" w:sz="8" w:color="B6B6B6"/>
            </w:tcBorders>
            <w:shd w:val="clear" w:color="auto" w:fill="DBDBDB"/>
          </w:tcPr>
          <w:p>
            <w:pPr>
              <w:jc w:val="right"/>
              <w:ind w:right="15"/>
              <w:spacing w:after="0" w:line="142" w:lineRule="exact"/>
              <w:rPr>
                <w:sz w:val="20"/>
                <w:szCs w:val="20"/>
                <w:color w:val="auto"/>
              </w:rPr>
            </w:pPr>
            <w:r>
              <w:rPr>
                <w:rFonts w:ascii="Arial" w:cs="Arial" w:eastAsia="Arial" w:hAnsi="Arial"/>
                <w:sz w:val="13"/>
                <w:szCs w:val="13"/>
                <w:color w:val="auto"/>
              </w:rPr>
              <w:t>531,250</w:t>
            </w:r>
          </w:p>
        </w:tc>
        <w:tc>
          <w:tcPr>
            <w:tcW w:w="820" w:type="dxa"/>
            <w:vAlign w:val="bottom"/>
            <w:tcBorders>
              <w:bottom w:val="single" w:sz="8" w:color="DBDBDB"/>
              <w:right w:val="single" w:sz="8" w:color="B6B6B6"/>
            </w:tcBorders>
            <w:shd w:val="clear" w:color="auto" w:fill="DBDBDB"/>
          </w:tcPr>
          <w:p>
            <w:pPr>
              <w:spacing w:after="0"/>
              <w:rPr>
                <w:sz w:val="17"/>
                <w:szCs w:val="17"/>
                <w:color w:val="auto"/>
              </w:rPr>
            </w:pPr>
          </w:p>
        </w:tc>
        <w:tc>
          <w:tcPr>
            <w:tcW w:w="940" w:type="dxa"/>
            <w:vAlign w:val="bottom"/>
            <w:tcBorders>
              <w:bottom w:val="single" w:sz="8" w:color="DBDBDB"/>
              <w:right w:val="single" w:sz="8" w:color="B6B6B6"/>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right w:val="single" w:sz="8" w:color="B6B6B6"/>
            </w:tcBorders>
            <w:shd w:val="clear" w:color="auto" w:fill="DBDBDB"/>
          </w:tcPr>
          <w:p>
            <w:pPr>
              <w:spacing w:after="0"/>
              <w:rPr>
                <w:sz w:val="17"/>
                <w:szCs w:val="17"/>
                <w:color w:val="auto"/>
              </w:rPr>
            </w:pPr>
          </w:p>
        </w:tc>
        <w:tc>
          <w:tcPr>
            <w:tcW w:w="880" w:type="dxa"/>
            <w:vAlign w:val="bottom"/>
            <w:tcBorders>
              <w:bottom w:val="single" w:sz="8" w:color="DBDBDB"/>
              <w:right w:val="single" w:sz="8" w:color="B6B6B6"/>
            </w:tcBorders>
            <w:shd w:val="clear" w:color="auto" w:fill="DBDBDB"/>
          </w:tcPr>
          <w:p>
            <w:pPr>
              <w:spacing w:after="0"/>
              <w:rPr>
                <w:sz w:val="17"/>
                <w:szCs w:val="17"/>
                <w:color w:val="auto"/>
              </w:rPr>
            </w:pPr>
          </w:p>
        </w:tc>
        <w:tc>
          <w:tcPr>
            <w:tcW w:w="900" w:type="dxa"/>
            <w:vAlign w:val="bottom"/>
            <w:tcBorders>
              <w:bottom w:val="single" w:sz="8" w:color="DBDBDB"/>
              <w:right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220" w:type="dxa"/>
            <w:vAlign w:val="bottom"/>
            <w:tcBorders>
              <w:left w:val="single" w:sz="8" w:color="B6B6B6"/>
              <w:right w:val="single" w:sz="8" w:color="B6B6B6"/>
            </w:tcBorders>
          </w:tcPr>
          <w:p>
            <w:pPr>
              <w:ind w:left="40"/>
              <w:spacing w:after="0" w:line="138" w:lineRule="exact"/>
              <w:rPr>
                <w:sz w:val="20"/>
                <w:szCs w:val="20"/>
                <w:color w:val="auto"/>
              </w:rPr>
            </w:pPr>
            <w:r>
              <w:rPr>
                <w:rFonts w:ascii="Arial" w:cs="Arial" w:eastAsia="Arial" w:hAnsi="Arial"/>
                <w:sz w:val="13"/>
                <w:szCs w:val="13"/>
                <w:color w:val="auto"/>
              </w:rPr>
              <w:t>Jacques-Edouard</w:t>
            </w:r>
          </w:p>
        </w:tc>
        <w:tc>
          <w:tcPr>
            <w:tcW w:w="320" w:type="dxa"/>
            <w:vAlign w:val="bottom"/>
            <w:tcBorders>
              <w:top w:val="single" w:sz="8" w:color="B6B6B6"/>
            </w:tcBorders>
          </w:tcPr>
          <w:p>
            <w:pPr>
              <w:ind w:left="20"/>
              <w:spacing w:after="0" w:line="138" w:lineRule="exact"/>
              <w:rPr>
                <w:sz w:val="20"/>
                <w:szCs w:val="20"/>
                <w:color w:val="auto"/>
              </w:rPr>
            </w:pPr>
            <w:r>
              <w:rPr>
                <w:rFonts w:ascii="Arial" w:cs="Arial" w:eastAsia="Arial" w:hAnsi="Arial"/>
                <w:sz w:val="13"/>
                <w:szCs w:val="13"/>
                <w:color w:val="auto"/>
                <w:w w:val="96"/>
              </w:rPr>
              <w:t>2025</w:t>
            </w:r>
          </w:p>
        </w:tc>
        <w:tc>
          <w:tcPr>
            <w:tcW w:w="620" w:type="dxa"/>
            <w:vAlign w:val="bottom"/>
            <w:tcBorders>
              <w:top w:val="single" w:sz="8" w:color="B6B6B6"/>
              <w:right w:val="single" w:sz="8" w:color="B6B6B6"/>
            </w:tcBorders>
          </w:tcPr>
          <w:p>
            <w:pPr>
              <w:jc w:val="center"/>
              <w:ind w:right="297"/>
              <w:spacing w:after="0" w:line="138" w:lineRule="exact"/>
              <w:rPr>
                <w:sz w:val="20"/>
                <w:szCs w:val="20"/>
                <w:color w:val="auto"/>
              </w:rPr>
            </w:pPr>
            <w:r>
              <w:rPr>
                <w:rFonts w:ascii="Arial" w:cs="Arial" w:eastAsia="Arial" w:hAnsi="Arial"/>
                <w:sz w:val="13"/>
                <w:szCs w:val="13"/>
                <w:color w:val="auto"/>
                <w:w w:val="94"/>
              </w:rPr>
              <w:t>MIP</w:t>
            </w:r>
          </w:p>
        </w:tc>
        <w:tc>
          <w:tcPr>
            <w:tcW w:w="940" w:type="dxa"/>
            <w:vAlign w:val="bottom"/>
            <w:tcBorders>
              <w:top w:val="single" w:sz="8" w:color="B6B6B6"/>
              <w:right w:val="single" w:sz="8" w:color="B6B6B6"/>
            </w:tcBorders>
          </w:tcPr>
          <w:p>
            <w:pPr>
              <w:spacing w:after="0"/>
              <w:rPr>
                <w:sz w:val="11"/>
                <w:szCs w:val="11"/>
                <w:color w:val="auto"/>
              </w:rPr>
            </w:pPr>
          </w:p>
        </w:tc>
        <w:tc>
          <w:tcPr>
            <w:tcW w:w="920" w:type="dxa"/>
            <w:vAlign w:val="bottom"/>
            <w:tcBorders>
              <w:top w:val="single" w:sz="8" w:color="B6B6B6"/>
              <w:right w:val="single" w:sz="8" w:color="B6B6B6"/>
            </w:tcBorders>
          </w:tcPr>
          <w:p>
            <w:pPr>
              <w:spacing w:after="0"/>
              <w:rPr>
                <w:sz w:val="11"/>
                <w:szCs w:val="11"/>
                <w:color w:val="auto"/>
              </w:rPr>
            </w:pPr>
          </w:p>
        </w:tc>
        <w:tc>
          <w:tcPr>
            <w:tcW w:w="940" w:type="dxa"/>
            <w:vAlign w:val="bottom"/>
            <w:tcBorders>
              <w:top w:val="single" w:sz="8" w:color="B6B6B6"/>
              <w:right w:val="single" w:sz="8" w:color="B6B6B6"/>
            </w:tcBorders>
          </w:tcPr>
          <w:p>
            <w:pPr>
              <w:jc w:val="right"/>
              <w:ind w:right="14"/>
              <w:spacing w:after="0" w:line="138" w:lineRule="exact"/>
              <w:rPr>
                <w:sz w:val="20"/>
                <w:szCs w:val="20"/>
                <w:color w:val="auto"/>
              </w:rPr>
            </w:pPr>
            <w:r>
              <w:rPr>
                <w:rFonts w:ascii="Arial" w:cs="Arial" w:eastAsia="Arial" w:hAnsi="Arial"/>
                <w:sz w:val="13"/>
                <w:szCs w:val="13"/>
                <w:color w:val="auto"/>
              </w:rPr>
              <w:t>295,036</w:t>
            </w:r>
          </w:p>
        </w:tc>
        <w:tc>
          <w:tcPr>
            <w:tcW w:w="940" w:type="dxa"/>
            <w:vAlign w:val="bottom"/>
            <w:tcBorders>
              <w:top w:val="single" w:sz="8" w:color="B6B6B6"/>
              <w:right w:val="single" w:sz="8" w:color="B6B6B6"/>
            </w:tcBorders>
          </w:tcPr>
          <w:p>
            <w:pPr>
              <w:jc w:val="right"/>
              <w:ind w:right="14"/>
              <w:spacing w:after="0" w:line="138" w:lineRule="exact"/>
              <w:rPr>
                <w:sz w:val="20"/>
                <w:szCs w:val="20"/>
                <w:color w:val="auto"/>
              </w:rPr>
            </w:pPr>
            <w:r>
              <w:rPr>
                <w:rFonts w:ascii="Arial" w:cs="Arial" w:eastAsia="Arial" w:hAnsi="Arial"/>
                <w:sz w:val="13"/>
                <w:szCs w:val="13"/>
                <w:color w:val="auto"/>
              </w:rPr>
              <w:t>590,071</w:t>
            </w:r>
          </w:p>
        </w:tc>
        <w:tc>
          <w:tcPr>
            <w:tcW w:w="940" w:type="dxa"/>
            <w:vAlign w:val="bottom"/>
            <w:tcBorders>
              <w:top w:val="single" w:sz="8" w:color="B6B6B6"/>
              <w:right w:val="single" w:sz="8" w:color="B6B6B6"/>
            </w:tcBorders>
          </w:tcPr>
          <w:p>
            <w:pPr>
              <w:jc w:val="right"/>
              <w:ind w:right="15"/>
              <w:spacing w:after="0" w:line="138" w:lineRule="exact"/>
              <w:rPr>
                <w:sz w:val="20"/>
                <w:szCs w:val="20"/>
                <w:color w:val="auto"/>
              </w:rPr>
            </w:pPr>
            <w:r>
              <w:rPr>
                <w:rFonts w:ascii="Arial" w:cs="Arial" w:eastAsia="Arial" w:hAnsi="Arial"/>
                <w:sz w:val="13"/>
                <w:szCs w:val="13"/>
                <w:color w:val="auto"/>
              </w:rPr>
              <w:t>1,475,178</w:t>
            </w:r>
          </w:p>
        </w:tc>
        <w:tc>
          <w:tcPr>
            <w:tcW w:w="820" w:type="dxa"/>
            <w:vAlign w:val="bottom"/>
            <w:tcBorders>
              <w:top w:val="single" w:sz="8" w:color="B6B6B6"/>
              <w:right w:val="single" w:sz="8" w:color="B6B6B6"/>
            </w:tcBorders>
          </w:tcPr>
          <w:p>
            <w:pPr>
              <w:spacing w:after="0"/>
              <w:rPr>
                <w:sz w:val="11"/>
                <w:szCs w:val="11"/>
                <w:color w:val="auto"/>
              </w:rPr>
            </w:pPr>
          </w:p>
        </w:tc>
        <w:tc>
          <w:tcPr>
            <w:tcW w:w="940" w:type="dxa"/>
            <w:vAlign w:val="bottom"/>
            <w:tcBorders>
              <w:top w:val="single" w:sz="8" w:color="B6B6B6"/>
              <w:right w:val="single" w:sz="8" w:color="B6B6B6"/>
            </w:tcBorders>
          </w:tcPr>
          <w:p>
            <w:pPr>
              <w:spacing w:after="0"/>
              <w:rPr>
                <w:sz w:val="11"/>
                <w:szCs w:val="11"/>
                <w:color w:val="auto"/>
              </w:rPr>
            </w:pPr>
          </w:p>
        </w:tc>
        <w:tc>
          <w:tcPr>
            <w:tcW w:w="120" w:type="dxa"/>
            <w:vAlign w:val="bottom"/>
            <w:tcBorders>
              <w:top w:val="single" w:sz="8" w:color="B6B6B6"/>
            </w:tcBorders>
          </w:tcPr>
          <w:p>
            <w:pPr>
              <w:spacing w:after="0"/>
              <w:rPr>
                <w:sz w:val="11"/>
                <w:szCs w:val="11"/>
                <w:color w:val="auto"/>
              </w:rPr>
            </w:pPr>
          </w:p>
        </w:tc>
        <w:tc>
          <w:tcPr>
            <w:tcW w:w="760" w:type="dxa"/>
            <w:vAlign w:val="bottom"/>
            <w:tcBorders>
              <w:top w:val="single" w:sz="8" w:color="B6B6B6"/>
              <w:right w:val="single" w:sz="8" w:color="B6B6B6"/>
            </w:tcBorders>
          </w:tcPr>
          <w:p>
            <w:pPr>
              <w:spacing w:after="0"/>
              <w:rPr>
                <w:sz w:val="11"/>
                <w:szCs w:val="11"/>
                <w:color w:val="auto"/>
              </w:rPr>
            </w:pPr>
          </w:p>
        </w:tc>
        <w:tc>
          <w:tcPr>
            <w:tcW w:w="880" w:type="dxa"/>
            <w:vAlign w:val="bottom"/>
            <w:tcBorders>
              <w:top w:val="single" w:sz="8" w:color="B6B6B6"/>
              <w:right w:val="single" w:sz="8" w:color="B6B6B6"/>
            </w:tcBorders>
          </w:tcPr>
          <w:p>
            <w:pPr>
              <w:spacing w:after="0"/>
              <w:rPr>
                <w:sz w:val="11"/>
                <w:szCs w:val="11"/>
                <w:color w:val="auto"/>
              </w:rPr>
            </w:pPr>
          </w:p>
        </w:tc>
        <w:tc>
          <w:tcPr>
            <w:tcW w:w="900" w:type="dxa"/>
            <w:vAlign w:val="bottom"/>
            <w:tcBorders>
              <w:top w:val="single" w:sz="8" w:color="B6B6B6"/>
              <w:right w:val="single" w:sz="8" w:color="B6B6B6"/>
            </w:tcBorders>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1220" w:type="dxa"/>
            <w:vAlign w:val="bottom"/>
            <w:tcBorders>
              <w:left w:val="single" w:sz="8" w:color="B6B6B6"/>
              <w:right w:val="single" w:sz="8" w:color="B6B6B6"/>
            </w:tcBorders>
            <w:vMerge w:val="restart"/>
          </w:tcPr>
          <w:p>
            <w:pPr>
              <w:ind w:left="40"/>
              <w:spacing w:after="0"/>
              <w:rPr>
                <w:sz w:val="20"/>
                <w:szCs w:val="20"/>
                <w:color w:val="auto"/>
              </w:rPr>
            </w:pPr>
            <w:r>
              <w:rPr>
                <w:rFonts w:ascii="Arial" w:cs="Arial" w:eastAsia="Arial" w:hAnsi="Arial"/>
                <w:sz w:val="13"/>
                <w:szCs w:val="13"/>
                <w:color w:val="auto"/>
              </w:rPr>
              <w:t>Gueden</w:t>
            </w:r>
          </w:p>
        </w:tc>
        <w:tc>
          <w:tcPr>
            <w:tcW w:w="320" w:type="dxa"/>
            <w:vAlign w:val="bottom"/>
            <w:tcBorders>
              <w:bottom w:val="single" w:sz="8" w:color="B6B6B6"/>
            </w:tcBorders>
          </w:tcPr>
          <w:p>
            <w:pPr>
              <w:spacing w:after="0"/>
              <w:rPr>
                <w:sz w:val="3"/>
                <w:szCs w:val="3"/>
                <w:color w:val="auto"/>
              </w:rPr>
            </w:pPr>
          </w:p>
        </w:tc>
        <w:tc>
          <w:tcPr>
            <w:tcW w:w="620" w:type="dxa"/>
            <w:vAlign w:val="bottom"/>
            <w:tcBorders>
              <w:bottom w:val="single" w:sz="8" w:color="B6B6B6"/>
              <w:right w:val="single" w:sz="8" w:color="B6B6B6"/>
            </w:tcBorders>
          </w:tcPr>
          <w:p>
            <w:pPr>
              <w:spacing w:after="0"/>
              <w:rPr>
                <w:sz w:val="3"/>
                <w:szCs w:val="3"/>
                <w:color w:val="auto"/>
              </w:rPr>
            </w:pPr>
          </w:p>
        </w:tc>
        <w:tc>
          <w:tcPr>
            <w:tcW w:w="940" w:type="dxa"/>
            <w:vAlign w:val="bottom"/>
            <w:tcBorders>
              <w:bottom w:val="single" w:sz="8" w:color="B6B6B6"/>
              <w:right w:val="single" w:sz="8" w:color="B6B6B6"/>
            </w:tcBorders>
          </w:tcPr>
          <w:p>
            <w:pPr>
              <w:spacing w:after="0"/>
              <w:rPr>
                <w:sz w:val="3"/>
                <w:szCs w:val="3"/>
                <w:color w:val="auto"/>
              </w:rPr>
            </w:pPr>
          </w:p>
        </w:tc>
        <w:tc>
          <w:tcPr>
            <w:tcW w:w="920" w:type="dxa"/>
            <w:vAlign w:val="bottom"/>
            <w:tcBorders>
              <w:bottom w:val="single" w:sz="8" w:color="B6B6B6"/>
              <w:right w:val="single" w:sz="8" w:color="B6B6B6"/>
            </w:tcBorders>
          </w:tcPr>
          <w:p>
            <w:pPr>
              <w:spacing w:after="0"/>
              <w:rPr>
                <w:sz w:val="3"/>
                <w:szCs w:val="3"/>
                <w:color w:val="auto"/>
              </w:rPr>
            </w:pPr>
          </w:p>
        </w:tc>
        <w:tc>
          <w:tcPr>
            <w:tcW w:w="940" w:type="dxa"/>
            <w:vAlign w:val="bottom"/>
            <w:tcBorders>
              <w:bottom w:val="single" w:sz="8" w:color="B6B6B6"/>
              <w:right w:val="single" w:sz="8" w:color="B6B6B6"/>
            </w:tcBorders>
          </w:tcPr>
          <w:p>
            <w:pPr>
              <w:spacing w:after="0"/>
              <w:rPr>
                <w:sz w:val="3"/>
                <w:szCs w:val="3"/>
                <w:color w:val="auto"/>
              </w:rPr>
            </w:pPr>
          </w:p>
        </w:tc>
        <w:tc>
          <w:tcPr>
            <w:tcW w:w="940" w:type="dxa"/>
            <w:vAlign w:val="bottom"/>
            <w:tcBorders>
              <w:bottom w:val="single" w:sz="8" w:color="B6B6B6"/>
              <w:right w:val="single" w:sz="8" w:color="B6B6B6"/>
            </w:tcBorders>
          </w:tcPr>
          <w:p>
            <w:pPr>
              <w:spacing w:after="0"/>
              <w:rPr>
                <w:sz w:val="3"/>
                <w:szCs w:val="3"/>
                <w:color w:val="auto"/>
              </w:rPr>
            </w:pPr>
          </w:p>
        </w:tc>
        <w:tc>
          <w:tcPr>
            <w:tcW w:w="940" w:type="dxa"/>
            <w:vAlign w:val="bottom"/>
            <w:tcBorders>
              <w:bottom w:val="single" w:sz="8" w:color="B6B6B6"/>
              <w:right w:val="single" w:sz="8" w:color="B6B6B6"/>
            </w:tcBorders>
          </w:tcPr>
          <w:p>
            <w:pPr>
              <w:spacing w:after="0"/>
              <w:rPr>
                <w:sz w:val="3"/>
                <w:szCs w:val="3"/>
                <w:color w:val="auto"/>
              </w:rPr>
            </w:pPr>
          </w:p>
        </w:tc>
        <w:tc>
          <w:tcPr>
            <w:tcW w:w="820" w:type="dxa"/>
            <w:vAlign w:val="bottom"/>
            <w:tcBorders>
              <w:bottom w:val="single" w:sz="8" w:color="B6B6B6"/>
              <w:right w:val="single" w:sz="8" w:color="B6B6B6"/>
            </w:tcBorders>
          </w:tcPr>
          <w:p>
            <w:pPr>
              <w:spacing w:after="0"/>
              <w:rPr>
                <w:sz w:val="3"/>
                <w:szCs w:val="3"/>
                <w:color w:val="auto"/>
              </w:rPr>
            </w:pPr>
          </w:p>
        </w:tc>
        <w:tc>
          <w:tcPr>
            <w:tcW w:w="940" w:type="dxa"/>
            <w:vAlign w:val="bottom"/>
            <w:tcBorders>
              <w:bottom w:val="single" w:sz="8" w:color="B6B6B6"/>
              <w:right w:val="single" w:sz="8" w:color="B6B6B6"/>
            </w:tcBorders>
          </w:tcPr>
          <w:p>
            <w:pPr>
              <w:spacing w:after="0"/>
              <w:rPr>
                <w:sz w:val="3"/>
                <w:szCs w:val="3"/>
                <w:color w:val="auto"/>
              </w:rPr>
            </w:pPr>
          </w:p>
        </w:tc>
        <w:tc>
          <w:tcPr>
            <w:tcW w:w="120" w:type="dxa"/>
            <w:vAlign w:val="bottom"/>
            <w:tcBorders>
              <w:bottom w:val="single" w:sz="8" w:color="B6B6B6"/>
            </w:tcBorders>
          </w:tcPr>
          <w:p>
            <w:pPr>
              <w:spacing w:after="0"/>
              <w:rPr>
                <w:sz w:val="3"/>
                <w:szCs w:val="3"/>
                <w:color w:val="auto"/>
              </w:rPr>
            </w:pPr>
          </w:p>
        </w:tc>
        <w:tc>
          <w:tcPr>
            <w:tcW w:w="760" w:type="dxa"/>
            <w:vAlign w:val="bottom"/>
            <w:tcBorders>
              <w:bottom w:val="single" w:sz="8" w:color="B6B6B6"/>
              <w:right w:val="single" w:sz="8" w:color="B6B6B6"/>
            </w:tcBorders>
          </w:tcPr>
          <w:p>
            <w:pPr>
              <w:spacing w:after="0"/>
              <w:rPr>
                <w:sz w:val="3"/>
                <w:szCs w:val="3"/>
                <w:color w:val="auto"/>
              </w:rPr>
            </w:pPr>
          </w:p>
        </w:tc>
        <w:tc>
          <w:tcPr>
            <w:tcW w:w="880" w:type="dxa"/>
            <w:vAlign w:val="bottom"/>
            <w:tcBorders>
              <w:bottom w:val="single" w:sz="8" w:color="B6B6B6"/>
              <w:right w:val="single" w:sz="8" w:color="B6B6B6"/>
            </w:tcBorders>
          </w:tcPr>
          <w:p>
            <w:pPr>
              <w:spacing w:after="0"/>
              <w:rPr>
                <w:sz w:val="3"/>
                <w:szCs w:val="3"/>
                <w:color w:val="auto"/>
              </w:rPr>
            </w:pPr>
          </w:p>
        </w:tc>
        <w:tc>
          <w:tcPr>
            <w:tcW w:w="900" w:type="dxa"/>
            <w:vAlign w:val="bottom"/>
            <w:tcBorders>
              <w:bottom w:val="single" w:sz="8" w:color="B6B6B6"/>
              <w:right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1220" w:type="dxa"/>
            <w:vAlign w:val="bottom"/>
            <w:tcBorders>
              <w:left w:val="single" w:sz="8" w:color="B6B6B6"/>
              <w:right w:val="single" w:sz="8" w:color="B6B6B6"/>
            </w:tcBorders>
            <w:vMerge w:val="continue"/>
          </w:tcPr>
          <w:p>
            <w:pPr>
              <w:spacing w:after="0"/>
              <w:rPr>
                <w:sz w:val="8"/>
                <w:szCs w:val="8"/>
                <w:color w:val="auto"/>
              </w:rPr>
            </w:pP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vMerge w:val="restart"/>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tcPr>
          <w:p>
            <w:pPr>
              <w:spacing w:after="0"/>
              <w:rPr>
                <w:sz w:val="8"/>
                <w:szCs w:val="8"/>
                <w:color w:val="auto"/>
              </w:rPr>
            </w:pPr>
          </w:p>
        </w:tc>
        <w:tc>
          <w:tcPr>
            <w:tcW w:w="940" w:type="dxa"/>
            <w:vAlign w:val="bottom"/>
            <w:tcBorders>
              <w:right w:val="single" w:sz="8" w:color="B6B6B6"/>
            </w:tcBorders>
          </w:tcPr>
          <w:p>
            <w:pPr>
              <w:spacing w:after="0"/>
              <w:rPr>
                <w:sz w:val="8"/>
                <w:szCs w:val="8"/>
                <w:color w:val="auto"/>
              </w:rPr>
            </w:pPr>
          </w:p>
        </w:tc>
        <w:tc>
          <w:tcPr>
            <w:tcW w:w="940" w:type="dxa"/>
            <w:vAlign w:val="bottom"/>
            <w:tcBorders>
              <w:right w:val="single" w:sz="8" w:color="B6B6B6"/>
            </w:tcBorders>
          </w:tcPr>
          <w:p>
            <w:pPr>
              <w:spacing w:after="0"/>
              <w:rPr>
                <w:sz w:val="8"/>
                <w:szCs w:val="8"/>
                <w:color w:val="auto"/>
              </w:rPr>
            </w:pPr>
          </w:p>
        </w:tc>
        <w:tc>
          <w:tcPr>
            <w:tcW w:w="82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3"/>
                <w:szCs w:val="13"/>
                <w:color w:val="auto"/>
              </w:rPr>
              <w:t>79,826</w:t>
            </w:r>
          </w:p>
        </w:tc>
        <w:tc>
          <w:tcPr>
            <w:tcW w:w="94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3"/>
                <w:szCs w:val="13"/>
                <w:color w:val="auto"/>
              </w:rPr>
              <w:t>159,652</w:t>
            </w:r>
          </w:p>
        </w:tc>
        <w:tc>
          <w:tcPr>
            <w:tcW w:w="120" w:type="dxa"/>
            <w:vAlign w:val="bottom"/>
          </w:tcPr>
          <w:p>
            <w:pPr>
              <w:spacing w:after="0"/>
              <w:rPr>
                <w:sz w:val="8"/>
                <w:szCs w:val="8"/>
                <w:color w:val="auto"/>
              </w:rPr>
            </w:pPr>
          </w:p>
        </w:tc>
        <w:tc>
          <w:tcPr>
            <w:tcW w:w="76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3"/>
                <w:szCs w:val="13"/>
                <w:color w:val="auto"/>
              </w:rPr>
              <w:t>319,304</w:t>
            </w:r>
          </w:p>
        </w:tc>
        <w:tc>
          <w:tcPr>
            <w:tcW w:w="880" w:type="dxa"/>
            <w:vAlign w:val="bottom"/>
            <w:tcBorders>
              <w:right w:val="single" w:sz="8" w:color="B6B6B6"/>
            </w:tcBorders>
          </w:tcPr>
          <w:p>
            <w:pPr>
              <w:spacing w:after="0"/>
              <w:rPr>
                <w:sz w:val="8"/>
                <w:szCs w:val="8"/>
                <w:color w:val="auto"/>
              </w:rPr>
            </w:pPr>
          </w:p>
        </w:tc>
        <w:tc>
          <w:tcPr>
            <w:tcW w:w="900" w:type="dxa"/>
            <w:vAlign w:val="bottom"/>
            <w:tcBorders>
              <w:right w:val="single" w:sz="8" w:color="B6B6B6"/>
            </w:tcBorders>
            <w:vMerge w:val="restart"/>
          </w:tcPr>
          <w:p>
            <w:pPr>
              <w:jc w:val="right"/>
              <w:ind w:right="14"/>
              <w:spacing w:after="0"/>
              <w:rPr>
                <w:sz w:val="20"/>
                <w:szCs w:val="20"/>
                <w:color w:val="auto"/>
              </w:rPr>
            </w:pPr>
            <w:r>
              <w:rPr>
                <w:rFonts w:ascii="Arial" w:cs="Arial" w:eastAsia="Arial" w:hAnsi="Arial"/>
                <w:sz w:val="13"/>
                <w:szCs w:val="13"/>
                <w:color w:val="auto"/>
              </w:rPr>
              <w:t>1,112,774</w:t>
            </w:r>
          </w:p>
        </w:tc>
        <w:tc>
          <w:tcPr>
            <w:tcW w:w="0" w:type="dxa"/>
            <w:vAlign w:val="bottom"/>
          </w:tcPr>
          <w:p>
            <w:pPr>
              <w:spacing w:after="0"/>
              <w:rPr>
                <w:sz w:val="1"/>
                <w:szCs w:val="1"/>
                <w:color w:val="auto"/>
              </w:rPr>
            </w:pPr>
          </w:p>
        </w:tc>
      </w:tr>
      <w:tr>
        <w:trPr>
          <w:trHeight w:val="50"/>
        </w:trPr>
        <w:tc>
          <w:tcPr>
            <w:tcW w:w="1220" w:type="dxa"/>
            <w:vAlign w:val="bottom"/>
            <w:tcBorders>
              <w:left w:val="single" w:sz="8" w:color="B6B6B6"/>
              <w:right w:val="single" w:sz="8" w:color="B6B6B6"/>
            </w:tcBorders>
          </w:tcPr>
          <w:p>
            <w:pPr>
              <w:spacing w:after="0"/>
              <w:rPr>
                <w:sz w:val="4"/>
                <w:szCs w:val="4"/>
                <w:color w:val="auto"/>
              </w:rPr>
            </w:pPr>
          </w:p>
        </w:tc>
        <w:tc>
          <w:tcPr>
            <w:tcW w:w="320" w:type="dxa"/>
            <w:vAlign w:val="bottom"/>
            <w:vMerge w:val="continue"/>
          </w:tcPr>
          <w:p>
            <w:pPr>
              <w:spacing w:after="0"/>
              <w:rPr>
                <w:sz w:val="4"/>
                <w:szCs w:val="4"/>
                <w:color w:val="auto"/>
              </w:rPr>
            </w:pPr>
          </w:p>
        </w:tc>
        <w:tc>
          <w:tcPr>
            <w:tcW w:w="620" w:type="dxa"/>
            <w:vAlign w:val="bottom"/>
            <w:tcBorders>
              <w:right w:val="single" w:sz="8" w:color="B6B6B6"/>
            </w:tcBorders>
            <w:vMerge w:val="continue"/>
          </w:tcPr>
          <w:p>
            <w:pPr>
              <w:spacing w:after="0"/>
              <w:rPr>
                <w:sz w:val="4"/>
                <w:szCs w:val="4"/>
                <w:color w:val="auto"/>
              </w:rPr>
            </w:pPr>
          </w:p>
        </w:tc>
        <w:tc>
          <w:tcPr>
            <w:tcW w:w="940" w:type="dxa"/>
            <w:vAlign w:val="bottom"/>
            <w:tcBorders>
              <w:right w:val="single" w:sz="8" w:color="B6B6B6"/>
            </w:tcBorders>
            <w:vMerge w:val="continue"/>
          </w:tcPr>
          <w:p>
            <w:pPr>
              <w:spacing w:after="0"/>
              <w:rPr>
                <w:sz w:val="4"/>
                <w:szCs w:val="4"/>
                <w:color w:val="auto"/>
              </w:rPr>
            </w:pPr>
          </w:p>
        </w:tc>
        <w:tc>
          <w:tcPr>
            <w:tcW w:w="920" w:type="dxa"/>
            <w:vAlign w:val="bottom"/>
            <w:tcBorders>
              <w:right w:val="single" w:sz="8" w:color="B6B6B6"/>
            </w:tcBorders>
            <w:vMerge w:val="continue"/>
          </w:tcPr>
          <w:p>
            <w:pPr>
              <w:spacing w:after="0"/>
              <w:rPr>
                <w:sz w:val="4"/>
                <w:szCs w:val="4"/>
                <w:color w:val="auto"/>
              </w:rPr>
            </w:pPr>
          </w:p>
        </w:tc>
        <w:tc>
          <w:tcPr>
            <w:tcW w:w="940" w:type="dxa"/>
            <w:vAlign w:val="bottom"/>
            <w:tcBorders>
              <w:right w:val="single" w:sz="8" w:color="B6B6B6"/>
            </w:tcBorders>
          </w:tcPr>
          <w:p>
            <w:pPr>
              <w:spacing w:after="0"/>
              <w:rPr>
                <w:sz w:val="4"/>
                <w:szCs w:val="4"/>
                <w:color w:val="auto"/>
              </w:rPr>
            </w:pPr>
          </w:p>
        </w:tc>
        <w:tc>
          <w:tcPr>
            <w:tcW w:w="940" w:type="dxa"/>
            <w:vAlign w:val="bottom"/>
            <w:tcBorders>
              <w:right w:val="single" w:sz="8" w:color="B6B6B6"/>
            </w:tcBorders>
          </w:tcPr>
          <w:p>
            <w:pPr>
              <w:spacing w:after="0"/>
              <w:rPr>
                <w:sz w:val="4"/>
                <w:szCs w:val="4"/>
                <w:color w:val="auto"/>
              </w:rPr>
            </w:pPr>
          </w:p>
        </w:tc>
        <w:tc>
          <w:tcPr>
            <w:tcW w:w="940" w:type="dxa"/>
            <w:vAlign w:val="bottom"/>
            <w:tcBorders>
              <w:right w:val="single" w:sz="8" w:color="B6B6B6"/>
            </w:tcBorders>
          </w:tcPr>
          <w:p>
            <w:pPr>
              <w:spacing w:after="0"/>
              <w:rPr>
                <w:sz w:val="4"/>
                <w:szCs w:val="4"/>
                <w:color w:val="auto"/>
              </w:rPr>
            </w:pPr>
          </w:p>
        </w:tc>
        <w:tc>
          <w:tcPr>
            <w:tcW w:w="820" w:type="dxa"/>
            <w:vAlign w:val="bottom"/>
            <w:tcBorders>
              <w:right w:val="single" w:sz="8" w:color="B6B6B6"/>
            </w:tcBorders>
            <w:vMerge w:val="continue"/>
          </w:tcPr>
          <w:p>
            <w:pPr>
              <w:spacing w:after="0"/>
              <w:rPr>
                <w:sz w:val="4"/>
                <w:szCs w:val="4"/>
                <w:color w:val="auto"/>
              </w:rPr>
            </w:pPr>
          </w:p>
        </w:tc>
        <w:tc>
          <w:tcPr>
            <w:tcW w:w="940" w:type="dxa"/>
            <w:vAlign w:val="bottom"/>
            <w:tcBorders>
              <w:right w:val="single" w:sz="8" w:color="B6B6B6"/>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right w:val="single" w:sz="8" w:color="B6B6B6"/>
            </w:tcBorders>
            <w:vMerge w:val="continue"/>
          </w:tcPr>
          <w:p>
            <w:pPr>
              <w:spacing w:after="0"/>
              <w:rPr>
                <w:sz w:val="4"/>
                <w:szCs w:val="4"/>
                <w:color w:val="auto"/>
              </w:rPr>
            </w:pPr>
          </w:p>
        </w:tc>
        <w:tc>
          <w:tcPr>
            <w:tcW w:w="880" w:type="dxa"/>
            <w:vAlign w:val="bottom"/>
            <w:tcBorders>
              <w:right w:val="single" w:sz="8" w:color="B6B6B6"/>
            </w:tcBorders>
          </w:tcPr>
          <w:p>
            <w:pPr>
              <w:spacing w:after="0"/>
              <w:rPr>
                <w:sz w:val="4"/>
                <w:szCs w:val="4"/>
                <w:color w:val="auto"/>
              </w:rPr>
            </w:pPr>
          </w:p>
        </w:tc>
        <w:tc>
          <w:tcPr>
            <w:tcW w:w="900" w:type="dxa"/>
            <w:vAlign w:val="bottom"/>
            <w:tcBorders>
              <w:right w:val="single" w:sz="8" w:color="B6B6B6"/>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220" w:type="dxa"/>
            <w:vAlign w:val="bottom"/>
            <w:tcBorders>
              <w:left w:val="single" w:sz="8" w:color="B6B6B6"/>
              <w:right w:val="single" w:sz="8" w:color="B6B6B6"/>
            </w:tcBorders>
          </w:tcPr>
          <w:p>
            <w:pPr>
              <w:spacing w:after="0"/>
              <w:rPr>
                <w:sz w:val="14"/>
                <w:szCs w:val="14"/>
                <w:color w:val="auto"/>
              </w:rPr>
            </w:pPr>
          </w:p>
        </w:tc>
        <w:tc>
          <w:tcPr>
            <w:tcW w:w="940" w:type="dxa"/>
            <w:vAlign w:val="bottom"/>
            <w:tcBorders>
              <w:right w:val="single" w:sz="8" w:color="B6B6B6"/>
            </w:tcBorders>
            <w:gridSpan w:val="2"/>
          </w:tcPr>
          <w:p>
            <w:pPr>
              <w:ind w:left="20"/>
              <w:spacing w:after="0"/>
              <w:rPr>
                <w:sz w:val="20"/>
                <w:szCs w:val="20"/>
                <w:color w:val="auto"/>
              </w:rPr>
            </w:pPr>
            <w:r>
              <w:rPr>
                <w:rFonts w:ascii="Arial" w:cs="Arial" w:eastAsia="Arial" w:hAnsi="Arial"/>
                <w:sz w:val="13"/>
                <w:szCs w:val="13"/>
                <w:color w:val="auto"/>
              </w:rPr>
              <w:t>(PSU)</w:t>
            </w:r>
          </w:p>
        </w:tc>
        <w:tc>
          <w:tcPr>
            <w:tcW w:w="9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B6B6B6"/>
            </w:tcBorders>
          </w:tcPr>
          <w:p>
            <w:pPr>
              <w:spacing w:after="0"/>
              <w:rPr>
                <w:sz w:val="14"/>
                <w:szCs w:val="14"/>
                <w:color w:val="auto"/>
              </w:rPr>
            </w:pPr>
          </w:p>
        </w:tc>
        <w:tc>
          <w:tcPr>
            <w:tcW w:w="880" w:type="dxa"/>
            <w:vAlign w:val="bottom"/>
            <w:tcBorders>
              <w:right w:val="single" w:sz="8" w:color="B6B6B6"/>
            </w:tcBorders>
          </w:tcPr>
          <w:p>
            <w:pPr>
              <w:spacing w:after="0"/>
              <w:rPr>
                <w:sz w:val="14"/>
                <w:szCs w:val="14"/>
                <w:color w:val="auto"/>
              </w:rPr>
            </w:pPr>
          </w:p>
        </w:tc>
        <w:tc>
          <w:tcPr>
            <w:tcW w:w="90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20" w:type="dxa"/>
            <w:vAlign w:val="bottom"/>
            <w:tcBorders>
              <w:left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20" w:type="dxa"/>
            <w:vAlign w:val="bottom"/>
            <w:tcBorders>
              <w:left w:val="single" w:sz="8" w:color="B6B6B6"/>
              <w:right w:val="single" w:sz="8" w:color="B6B6B6"/>
            </w:tcBorders>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B6B6B6"/>
            </w:tcBorders>
          </w:tcPr>
          <w:p>
            <w:pPr>
              <w:spacing w:after="0"/>
              <w:rPr>
                <w:sz w:val="13"/>
                <w:szCs w:val="13"/>
                <w:color w:val="auto"/>
              </w:rPr>
            </w:pPr>
          </w:p>
        </w:tc>
        <w:tc>
          <w:tcPr>
            <w:tcW w:w="88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159,652</w:t>
            </w:r>
          </w:p>
        </w:tc>
        <w:tc>
          <w:tcPr>
            <w:tcW w:w="90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1,100,002</w:t>
            </w:r>
          </w:p>
        </w:tc>
        <w:tc>
          <w:tcPr>
            <w:tcW w:w="0" w:type="dxa"/>
            <w:vAlign w:val="bottom"/>
          </w:tcPr>
          <w:p>
            <w:pPr>
              <w:spacing w:after="0"/>
              <w:rPr>
                <w:sz w:val="1"/>
                <w:szCs w:val="1"/>
                <w:color w:val="auto"/>
              </w:rPr>
            </w:pPr>
          </w:p>
        </w:tc>
      </w:tr>
      <w:tr>
        <w:trPr>
          <w:trHeight w:val="166"/>
        </w:trPr>
        <w:tc>
          <w:tcPr>
            <w:tcW w:w="1220" w:type="dxa"/>
            <w:vAlign w:val="bottom"/>
            <w:tcBorders>
              <w:left w:val="single" w:sz="8" w:color="B6B6B6"/>
              <w:right w:val="single" w:sz="8" w:color="B6B6B6"/>
            </w:tcBorders>
          </w:tcPr>
          <w:p>
            <w:pPr>
              <w:spacing w:after="0"/>
              <w:rPr>
                <w:sz w:val="14"/>
                <w:szCs w:val="14"/>
                <w:color w:val="auto"/>
              </w:rPr>
            </w:pPr>
          </w:p>
        </w:tc>
        <w:tc>
          <w:tcPr>
            <w:tcW w:w="940" w:type="dxa"/>
            <w:vAlign w:val="bottom"/>
            <w:tcBorders>
              <w:right w:val="single" w:sz="8" w:color="B6B6B6"/>
            </w:tcBorders>
            <w:gridSpan w:val="2"/>
          </w:tcPr>
          <w:p>
            <w:pPr>
              <w:ind w:left="20"/>
              <w:spacing w:after="0"/>
              <w:rPr>
                <w:sz w:val="20"/>
                <w:szCs w:val="20"/>
                <w:color w:val="auto"/>
              </w:rPr>
            </w:pPr>
            <w:r>
              <w:rPr>
                <w:rFonts w:ascii="Arial" w:cs="Arial" w:eastAsia="Arial" w:hAnsi="Arial"/>
                <w:sz w:val="13"/>
                <w:szCs w:val="13"/>
                <w:color w:val="auto"/>
              </w:rPr>
              <w:t>(RSU)</w:t>
            </w:r>
          </w:p>
        </w:tc>
        <w:tc>
          <w:tcPr>
            <w:tcW w:w="9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B6B6B6"/>
            </w:tcBorders>
          </w:tcPr>
          <w:p>
            <w:pPr>
              <w:spacing w:after="0"/>
              <w:rPr>
                <w:sz w:val="14"/>
                <w:szCs w:val="14"/>
                <w:color w:val="auto"/>
              </w:rPr>
            </w:pPr>
          </w:p>
        </w:tc>
        <w:tc>
          <w:tcPr>
            <w:tcW w:w="880" w:type="dxa"/>
            <w:vAlign w:val="bottom"/>
            <w:tcBorders>
              <w:right w:val="single" w:sz="8" w:color="B6B6B6"/>
            </w:tcBorders>
          </w:tcPr>
          <w:p>
            <w:pPr>
              <w:spacing w:after="0"/>
              <w:rPr>
                <w:sz w:val="14"/>
                <w:szCs w:val="14"/>
                <w:color w:val="auto"/>
              </w:rPr>
            </w:pPr>
          </w:p>
        </w:tc>
        <w:tc>
          <w:tcPr>
            <w:tcW w:w="90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B6B6B6"/>
              <w:bottom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20" w:type="dxa"/>
            <w:vAlign w:val="bottom"/>
            <w:tcBorders>
              <w:left w:val="single" w:sz="8" w:color="B6B6B6"/>
              <w:bottom w:val="single" w:sz="8" w:color="DBDBDB"/>
              <w:right w:val="single" w:sz="8" w:color="B6B6B6"/>
            </w:tcBorders>
            <w:shd w:val="clear" w:color="auto" w:fill="DBDBDB"/>
          </w:tcPr>
          <w:p>
            <w:pPr>
              <w:ind w:left="40"/>
              <w:spacing w:after="0"/>
              <w:rPr>
                <w:sz w:val="20"/>
                <w:szCs w:val="20"/>
                <w:color w:val="auto"/>
              </w:rPr>
            </w:pPr>
            <w:r>
              <w:rPr>
                <w:rFonts w:ascii="Arial" w:cs="Arial" w:eastAsia="Arial" w:hAnsi="Arial"/>
                <w:sz w:val="13"/>
                <w:szCs w:val="13"/>
                <w:color w:val="auto"/>
              </w:rPr>
              <w:t>Flor M. Colón</w:t>
            </w:r>
          </w:p>
        </w:tc>
        <w:tc>
          <w:tcPr>
            <w:tcW w:w="320" w:type="dxa"/>
            <w:vAlign w:val="bottom"/>
            <w:tcBorders>
              <w:bottom w:val="single" w:sz="8" w:color="B6B6B6"/>
            </w:tcBorders>
            <w:shd w:val="clear" w:color="auto" w:fill="DBDBDB"/>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bottom w:val="single" w:sz="8" w:color="B6B6B6"/>
              <w:right w:val="single" w:sz="8" w:color="B6B6B6"/>
            </w:tcBorders>
            <w:shd w:val="clear" w:color="auto" w:fill="DBDBDB"/>
          </w:tcPr>
          <w:p>
            <w:pPr>
              <w:jc w:val="center"/>
              <w:ind w:right="297"/>
              <w:spacing w:after="0"/>
              <w:rPr>
                <w:sz w:val="20"/>
                <w:szCs w:val="20"/>
                <w:color w:val="auto"/>
              </w:rPr>
            </w:pPr>
            <w:r>
              <w:rPr>
                <w:rFonts w:ascii="Arial" w:cs="Arial" w:eastAsia="Arial" w:hAnsi="Arial"/>
                <w:sz w:val="13"/>
                <w:szCs w:val="13"/>
                <w:color w:val="auto"/>
                <w:w w:val="94"/>
              </w:rPr>
              <w:t>MIP</w:t>
            </w:r>
          </w:p>
        </w:tc>
        <w:tc>
          <w:tcPr>
            <w:tcW w:w="940" w:type="dxa"/>
            <w:vAlign w:val="bottom"/>
            <w:tcBorders>
              <w:bottom w:val="single" w:sz="8" w:color="B6B6B6"/>
              <w:right w:val="single" w:sz="8" w:color="B6B6B6"/>
            </w:tcBorders>
            <w:shd w:val="clear" w:color="auto" w:fill="DBDBDB"/>
          </w:tcPr>
          <w:p>
            <w:pPr>
              <w:spacing w:after="0"/>
              <w:rPr>
                <w:sz w:val="15"/>
                <w:szCs w:val="15"/>
                <w:color w:val="auto"/>
              </w:rPr>
            </w:pPr>
          </w:p>
        </w:tc>
        <w:tc>
          <w:tcPr>
            <w:tcW w:w="920" w:type="dxa"/>
            <w:vAlign w:val="bottom"/>
            <w:tcBorders>
              <w:bottom w:val="single" w:sz="8" w:color="B6B6B6"/>
              <w:right w:val="single" w:sz="8" w:color="B6B6B6"/>
            </w:tcBorders>
            <w:shd w:val="clear" w:color="auto" w:fill="DBDBDB"/>
          </w:tcPr>
          <w:p>
            <w:pPr>
              <w:spacing w:after="0"/>
              <w:rPr>
                <w:sz w:val="15"/>
                <w:szCs w:val="15"/>
                <w:color w:val="auto"/>
              </w:rPr>
            </w:pPr>
          </w:p>
        </w:tc>
        <w:tc>
          <w:tcPr>
            <w:tcW w:w="940" w:type="dxa"/>
            <w:vAlign w:val="bottom"/>
            <w:tcBorders>
              <w:bottom w:val="single" w:sz="8" w:color="B6B6B6"/>
              <w:right w:val="single" w:sz="8" w:color="B6B6B6"/>
            </w:tcBorders>
            <w:shd w:val="clear" w:color="auto" w:fill="DBDBDB"/>
          </w:tcPr>
          <w:p>
            <w:pPr>
              <w:jc w:val="right"/>
              <w:ind w:right="14"/>
              <w:spacing w:after="0"/>
              <w:rPr>
                <w:sz w:val="20"/>
                <w:szCs w:val="20"/>
                <w:color w:val="auto"/>
              </w:rPr>
            </w:pPr>
            <w:r>
              <w:rPr>
                <w:rFonts w:ascii="Arial" w:cs="Arial" w:eastAsia="Arial" w:hAnsi="Arial"/>
                <w:sz w:val="13"/>
                <w:szCs w:val="13"/>
                <w:color w:val="auto"/>
              </w:rPr>
              <w:t>252,500</w:t>
            </w:r>
          </w:p>
        </w:tc>
        <w:tc>
          <w:tcPr>
            <w:tcW w:w="940" w:type="dxa"/>
            <w:vAlign w:val="bottom"/>
            <w:tcBorders>
              <w:bottom w:val="single" w:sz="8" w:color="B6B6B6"/>
              <w:right w:val="single" w:sz="8" w:color="B6B6B6"/>
            </w:tcBorders>
            <w:shd w:val="clear" w:color="auto" w:fill="DBDBDB"/>
          </w:tcPr>
          <w:p>
            <w:pPr>
              <w:jc w:val="right"/>
              <w:ind w:right="14"/>
              <w:spacing w:after="0"/>
              <w:rPr>
                <w:sz w:val="20"/>
                <w:szCs w:val="20"/>
                <w:color w:val="auto"/>
              </w:rPr>
            </w:pPr>
            <w:r>
              <w:rPr>
                <w:rFonts w:ascii="Arial" w:cs="Arial" w:eastAsia="Arial" w:hAnsi="Arial"/>
                <w:sz w:val="13"/>
                <w:szCs w:val="13"/>
                <w:color w:val="auto"/>
              </w:rPr>
              <w:t>505,000</w:t>
            </w:r>
          </w:p>
        </w:tc>
        <w:tc>
          <w:tcPr>
            <w:tcW w:w="940" w:type="dxa"/>
            <w:vAlign w:val="bottom"/>
            <w:tcBorders>
              <w:bottom w:val="single" w:sz="8" w:color="B6B6B6"/>
              <w:right w:val="single" w:sz="8" w:color="B6B6B6"/>
            </w:tcBorders>
            <w:shd w:val="clear" w:color="auto" w:fill="DBDBDB"/>
          </w:tcPr>
          <w:p>
            <w:pPr>
              <w:jc w:val="right"/>
              <w:ind w:right="15"/>
              <w:spacing w:after="0"/>
              <w:rPr>
                <w:sz w:val="20"/>
                <w:szCs w:val="20"/>
                <w:color w:val="auto"/>
              </w:rPr>
            </w:pPr>
            <w:r>
              <w:rPr>
                <w:rFonts w:ascii="Arial" w:cs="Arial" w:eastAsia="Arial" w:hAnsi="Arial"/>
                <w:sz w:val="13"/>
                <w:szCs w:val="13"/>
                <w:color w:val="auto"/>
              </w:rPr>
              <w:t>1,262,500</w:t>
            </w:r>
          </w:p>
        </w:tc>
        <w:tc>
          <w:tcPr>
            <w:tcW w:w="820" w:type="dxa"/>
            <w:vAlign w:val="bottom"/>
            <w:tcBorders>
              <w:bottom w:val="single" w:sz="8" w:color="B6B6B6"/>
              <w:right w:val="single" w:sz="8" w:color="B6B6B6"/>
            </w:tcBorders>
            <w:shd w:val="clear" w:color="auto" w:fill="DBDBDB"/>
          </w:tcPr>
          <w:p>
            <w:pPr>
              <w:spacing w:after="0"/>
              <w:rPr>
                <w:sz w:val="15"/>
                <w:szCs w:val="15"/>
                <w:color w:val="auto"/>
              </w:rPr>
            </w:pPr>
          </w:p>
        </w:tc>
        <w:tc>
          <w:tcPr>
            <w:tcW w:w="940" w:type="dxa"/>
            <w:vAlign w:val="bottom"/>
            <w:tcBorders>
              <w:bottom w:val="single" w:sz="8" w:color="B6B6B6"/>
              <w:right w:val="single" w:sz="8" w:color="B6B6B6"/>
            </w:tcBorders>
            <w:shd w:val="clear" w:color="auto" w:fill="DBDBDB"/>
          </w:tcPr>
          <w:p>
            <w:pPr>
              <w:spacing w:after="0"/>
              <w:rPr>
                <w:sz w:val="15"/>
                <w:szCs w:val="15"/>
                <w:color w:val="auto"/>
              </w:rPr>
            </w:pPr>
          </w:p>
        </w:tc>
        <w:tc>
          <w:tcPr>
            <w:tcW w:w="120" w:type="dxa"/>
            <w:vAlign w:val="bottom"/>
            <w:tcBorders>
              <w:bottom w:val="single" w:sz="8" w:color="B6B6B6"/>
            </w:tcBorders>
            <w:shd w:val="clear" w:color="auto" w:fill="DBDBDB"/>
          </w:tcPr>
          <w:p>
            <w:pPr>
              <w:spacing w:after="0"/>
              <w:rPr>
                <w:sz w:val="15"/>
                <w:szCs w:val="15"/>
                <w:color w:val="auto"/>
              </w:rPr>
            </w:pPr>
          </w:p>
        </w:tc>
        <w:tc>
          <w:tcPr>
            <w:tcW w:w="760" w:type="dxa"/>
            <w:vAlign w:val="bottom"/>
            <w:tcBorders>
              <w:bottom w:val="single" w:sz="8" w:color="B6B6B6"/>
              <w:right w:val="single" w:sz="8" w:color="B6B6B6"/>
            </w:tcBorders>
            <w:shd w:val="clear" w:color="auto" w:fill="DBDBDB"/>
          </w:tcPr>
          <w:p>
            <w:pPr>
              <w:spacing w:after="0"/>
              <w:rPr>
                <w:sz w:val="15"/>
                <w:szCs w:val="15"/>
                <w:color w:val="auto"/>
              </w:rPr>
            </w:pPr>
          </w:p>
        </w:tc>
        <w:tc>
          <w:tcPr>
            <w:tcW w:w="880" w:type="dxa"/>
            <w:vAlign w:val="bottom"/>
            <w:tcBorders>
              <w:bottom w:val="single" w:sz="8" w:color="B6B6B6"/>
              <w:right w:val="single" w:sz="8" w:color="B6B6B6"/>
            </w:tcBorders>
            <w:shd w:val="clear" w:color="auto" w:fill="DBDBDB"/>
          </w:tcPr>
          <w:p>
            <w:pPr>
              <w:spacing w:after="0"/>
              <w:rPr>
                <w:sz w:val="15"/>
                <w:szCs w:val="15"/>
                <w:color w:val="auto"/>
              </w:rPr>
            </w:pPr>
          </w:p>
        </w:tc>
        <w:tc>
          <w:tcPr>
            <w:tcW w:w="900" w:type="dxa"/>
            <w:vAlign w:val="bottom"/>
            <w:tcBorders>
              <w:bottom w:val="single" w:sz="8" w:color="B6B6B6"/>
              <w:right w:val="single" w:sz="8" w:color="B6B6B6"/>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220" w:type="dxa"/>
            <w:vAlign w:val="bottom"/>
            <w:tcBorders>
              <w:left w:val="single" w:sz="8" w:color="B6B6B6"/>
              <w:right w:val="single" w:sz="8" w:color="B6B6B6"/>
            </w:tcBorders>
            <w:shd w:val="clear" w:color="auto" w:fill="DBDBDB"/>
          </w:tcPr>
          <w:p>
            <w:pPr>
              <w:spacing w:after="0"/>
              <w:rPr>
                <w:sz w:val="13"/>
                <w:szCs w:val="13"/>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shd w:val="clear" w:color="auto" w:fill="DBDBDB"/>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shd w:val="clear" w:color="auto" w:fill="DBDBDB"/>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shd w:val="clear" w:color="auto" w:fill="DBDBDB"/>
          </w:tcPr>
          <w:p>
            <w:pPr>
              <w:spacing w:after="0"/>
              <w:rPr>
                <w:sz w:val="13"/>
                <w:szCs w:val="13"/>
                <w:color w:val="auto"/>
              </w:rPr>
            </w:pPr>
          </w:p>
        </w:tc>
        <w:tc>
          <w:tcPr>
            <w:tcW w:w="940" w:type="dxa"/>
            <w:vAlign w:val="bottom"/>
            <w:tcBorders>
              <w:right w:val="single" w:sz="8" w:color="B6B6B6"/>
            </w:tcBorders>
            <w:shd w:val="clear" w:color="auto" w:fill="DBDBDB"/>
          </w:tcPr>
          <w:p>
            <w:pPr>
              <w:spacing w:after="0"/>
              <w:rPr>
                <w:sz w:val="13"/>
                <w:szCs w:val="13"/>
                <w:color w:val="auto"/>
              </w:rPr>
            </w:pPr>
          </w:p>
        </w:tc>
        <w:tc>
          <w:tcPr>
            <w:tcW w:w="940" w:type="dxa"/>
            <w:vAlign w:val="bottom"/>
            <w:tcBorders>
              <w:right w:val="single" w:sz="8" w:color="B6B6B6"/>
            </w:tcBorders>
            <w:shd w:val="clear" w:color="auto" w:fill="DBDBDB"/>
          </w:tcPr>
          <w:p>
            <w:pPr>
              <w:spacing w:after="0"/>
              <w:rPr>
                <w:sz w:val="13"/>
                <w:szCs w:val="13"/>
                <w:color w:val="auto"/>
              </w:rPr>
            </w:pPr>
          </w:p>
        </w:tc>
        <w:tc>
          <w:tcPr>
            <w:tcW w:w="820" w:type="dxa"/>
            <w:vAlign w:val="bottom"/>
            <w:tcBorders>
              <w:right w:val="single" w:sz="8" w:color="B6B6B6"/>
            </w:tcBorders>
            <w:shd w:val="clear" w:color="auto" w:fill="DBDBDB"/>
          </w:tcPr>
          <w:p>
            <w:pPr>
              <w:spacing w:after="0"/>
              <w:rPr>
                <w:sz w:val="13"/>
                <w:szCs w:val="13"/>
                <w:color w:val="auto"/>
              </w:rPr>
            </w:pPr>
          </w:p>
        </w:tc>
        <w:tc>
          <w:tcPr>
            <w:tcW w:w="940" w:type="dxa"/>
            <w:vAlign w:val="bottom"/>
            <w:tcBorders>
              <w:right w:val="single" w:sz="8" w:color="B6B6B6"/>
            </w:tcBorders>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760" w:type="dxa"/>
            <w:vAlign w:val="bottom"/>
            <w:tcBorders>
              <w:right w:val="single" w:sz="8" w:color="B6B6B6"/>
            </w:tcBorders>
            <w:shd w:val="clear" w:color="auto" w:fill="DBDBDB"/>
          </w:tcPr>
          <w:p>
            <w:pPr>
              <w:spacing w:after="0"/>
              <w:rPr>
                <w:sz w:val="13"/>
                <w:szCs w:val="13"/>
                <w:color w:val="auto"/>
              </w:rPr>
            </w:pPr>
          </w:p>
        </w:tc>
        <w:tc>
          <w:tcPr>
            <w:tcW w:w="880" w:type="dxa"/>
            <w:vAlign w:val="bottom"/>
            <w:tcBorders>
              <w:right w:val="single" w:sz="8" w:color="B6B6B6"/>
            </w:tcBorders>
            <w:shd w:val="clear" w:color="auto" w:fill="DBDBDB"/>
          </w:tcPr>
          <w:p>
            <w:pPr>
              <w:jc w:val="right"/>
              <w:spacing w:after="0"/>
              <w:rPr>
                <w:sz w:val="20"/>
                <w:szCs w:val="20"/>
                <w:color w:val="auto"/>
              </w:rPr>
            </w:pPr>
            <w:r>
              <w:rPr>
                <w:rFonts w:ascii="Arial" w:cs="Arial" w:eastAsia="Arial" w:hAnsi="Arial"/>
                <w:sz w:val="13"/>
                <w:szCs w:val="13"/>
                <w:color w:val="auto"/>
              </w:rPr>
              <w:t>145,138</w:t>
            </w:r>
          </w:p>
        </w:tc>
        <w:tc>
          <w:tcPr>
            <w:tcW w:w="900" w:type="dxa"/>
            <w:vAlign w:val="bottom"/>
            <w:tcBorders>
              <w:right w:val="single" w:sz="8" w:color="B6B6B6"/>
            </w:tcBorders>
            <w:shd w:val="clear" w:color="auto" w:fill="DBDBDB"/>
          </w:tcPr>
          <w:p>
            <w:pPr>
              <w:jc w:val="right"/>
              <w:ind w:right="14"/>
              <w:spacing w:after="0"/>
              <w:rPr>
                <w:sz w:val="20"/>
                <w:szCs w:val="20"/>
                <w:color w:val="auto"/>
              </w:rPr>
            </w:pPr>
            <w:r>
              <w:rPr>
                <w:rFonts w:ascii="Arial" w:cs="Arial" w:eastAsia="Arial" w:hAnsi="Arial"/>
                <w:sz w:val="13"/>
                <w:szCs w:val="13"/>
                <w:color w:val="auto"/>
              </w:rPr>
              <w:t>1,000,001</w:t>
            </w:r>
          </w:p>
        </w:tc>
        <w:tc>
          <w:tcPr>
            <w:tcW w:w="0" w:type="dxa"/>
            <w:vAlign w:val="bottom"/>
          </w:tcPr>
          <w:p>
            <w:pPr>
              <w:spacing w:after="0"/>
              <w:rPr>
                <w:sz w:val="1"/>
                <w:szCs w:val="1"/>
                <w:color w:val="auto"/>
              </w:rPr>
            </w:pPr>
          </w:p>
        </w:tc>
      </w:tr>
      <w:tr>
        <w:trPr>
          <w:trHeight w:val="198"/>
        </w:trPr>
        <w:tc>
          <w:tcPr>
            <w:tcW w:w="1220" w:type="dxa"/>
            <w:vAlign w:val="bottom"/>
            <w:tcBorders>
              <w:left w:val="single" w:sz="8" w:color="B6B6B6"/>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gridSpan w:val="2"/>
            <w:shd w:val="clear" w:color="auto" w:fill="DBDBDB"/>
          </w:tcPr>
          <w:p>
            <w:pPr>
              <w:ind w:left="20"/>
              <w:spacing w:after="0"/>
              <w:rPr>
                <w:sz w:val="20"/>
                <w:szCs w:val="20"/>
                <w:color w:val="auto"/>
              </w:rPr>
            </w:pPr>
            <w:r>
              <w:rPr>
                <w:rFonts w:ascii="Arial" w:cs="Arial" w:eastAsia="Arial" w:hAnsi="Arial"/>
                <w:sz w:val="13"/>
                <w:szCs w:val="13"/>
                <w:color w:val="auto"/>
              </w:rPr>
              <w:t>(RSU)</w:t>
            </w: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2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820" w:type="dxa"/>
            <w:vAlign w:val="bottom"/>
            <w:tcBorders>
              <w:bottom w:val="single" w:sz="8" w:color="DBDBDB"/>
              <w:right w:val="single" w:sz="8" w:color="B6B6B6"/>
            </w:tcBorders>
            <w:shd w:val="clear" w:color="auto" w:fill="DBDBDB"/>
          </w:tcPr>
          <w:p>
            <w:pPr>
              <w:spacing w:after="0"/>
              <w:rPr>
                <w:sz w:val="16"/>
                <w:szCs w:val="16"/>
                <w:color w:val="auto"/>
              </w:rPr>
            </w:pPr>
          </w:p>
        </w:tc>
        <w:tc>
          <w:tcPr>
            <w:tcW w:w="940" w:type="dxa"/>
            <w:vAlign w:val="bottom"/>
            <w:tcBorders>
              <w:bottom w:val="single" w:sz="8" w:color="DBDBDB"/>
              <w:right w:val="single" w:sz="8" w:color="B6B6B6"/>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B6B6B6"/>
            </w:tcBorders>
            <w:shd w:val="clear" w:color="auto" w:fill="DBDBDB"/>
          </w:tcPr>
          <w:p>
            <w:pPr>
              <w:spacing w:after="0"/>
              <w:rPr>
                <w:sz w:val="16"/>
                <w:szCs w:val="16"/>
                <w:color w:val="auto"/>
              </w:rPr>
            </w:pPr>
          </w:p>
        </w:tc>
        <w:tc>
          <w:tcPr>
            <w:tcW w:w="880" w:type="dxa"/>
            <w:vAlign w:val="bottom"/>
            <w:tcBorders>
              <w:bottom w:val="single" w:sz="8" w:color="DBDBDB"/>
              <w:right w:val="single" w:sz="8" w:color="B6B6B6"/>
            </w:tcBorders>
            <w:shd w:val="clear" w:color="auto" w:fill="DBDBDB"/>
          </w:tcPr>
          <w:p>
            <w:pPr>
              <w:spacing w:after="0"/>
              <w:rPr>
                <w:sz w:val="16"/>
                <w:szCs w:val="16"/>
                <w:color w:val="auto"/>
              </w:rPr>
            </w:pPr>
          </w:p>
        </w:tc>
        <w:tc>
          <w:tcPr>
            <w:tcW w:w="900" w:type="dxa"/>
            <w:vAlign w:val="bottom"/>
            <w:tcBorders>
              <w:bottom w:val="single" w:sz="8" w:color="DBDBDB"/>
              <w:right w:val="single" w:sz="8" w:color="B6B6B6"/>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220" w:type="dxa"/>
            <w:vAlign w:val="bottom"/>
            <w:tcBorders>
              <w:top w:val="single" w:sz="8" w:color="B6B6B6"/>
              <w:left w:val="single" w:sz="8" w:color="B6B6B6"/>
              <w:right w:val="single" w:sz="8" w:color="B6B6B6"/>
            </w:tcBorders>
          </w:tcPr>
          <w:p>
            <w:pPr>
              <w:ind w:left="40"/>
              <w:spacing w:after="0"/>
              <w:rPr>
                <w:sz w:val="20"/>
                <w:szCs w:val="20"/>
                <w:color w:val="auto"/>
              </w:rPr>
            </w:pPr>
            <w:r>
              <w:rPr>
                <w:rFonts w:ascii="Arial" w:cs="Arial" w:eastAsia="Arial" w:hAnsi="Arial"/>
                <w:sz w:val="13"/>
                <w:szCs w:val="13"/>
                <w:color w:val="auto"/>
              </w:rPr>
              <w:t>Mirlanda Gecaj</w:t>
            </w:r>
          </w:p>
        </w:tc>
        <w:tc>
          <w:tcPr>
            <w:tcW w:w="32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top w:val="single" w:sz="8" w:color="B6B6B6"/>
              <w:right w:val="single" w:sz="8" w:color="B6B6B6"/>
            </w:tcBorders>
          </w:tcPr>
          <w:p>
            <w:pPr>
              <w:jc w:val="center"/>
              <w:ind w:right="297"/>
              <w:spacing w:after="0"/>
              <w:rPr>
                <w:sz w:val="20"/>
                <w:szCs w:val="20"/>
                <w:color w:val="auto"/>
              </w:rPr>
            </w:pPr>
            <w:r>
              <w:rPr>
                <w:rFonts w:ascii="Arial" w:cs="Arial" w:eastAsia="Arial" w:hAnsi="Arial"/>
                <w:sz w:val="13"/>
                <w:szCs w:val="13"/>
                <w:color w:val="auto"/>
                <w:w w:val="94"/>
              </w:rPr>
              <w:t>MIP</w:t>
            </w:r>
          </w:p>
        </w:tc>
        <w:tc>
          <w:tcPr>
            <w:tcW w:w="940" w:type="dxa"/>
            <w:vAlign w:val="bottom"/>
            <w:tcBorders>
              <w:top w:val="single" w:sz="8" w:color="B6B6B6"/>
              <w:right w:val="single" w:sz="8" w:color="B6B6B6"/>
            </w:tcBorders>
          </w:tcPr>
          <w:p>
            <w:pPr>
              <w:spacing w:after="0"/>
              <w:rPr>
                <w:sz w:val="14"/>
                <w:szCs w:val="14"/>
                <w:color w:val="auto"/>
              </w:rPr>
            </w:pPr>
          </w:p>
        </w:tc>
        <w:tc>
          <w:tcPr>
            <w:tcW w:w="920" w:type="dxa"/>
            <w:vAlign w:val="bottom"/>
            <w:tcBorders>
              <w:top w:val="single" w:sz="8" w:color="B6B6B6"/>
              <w:right w:val="single" w:sz="8" w:color="B6B6B6"/>
            </w:tcBorders>
          </w:tcPr>
          <w:p>
            <w:pPr>
              <w:spacing w:after="0"/>
              <w:rPr>
                <w:sz w:val="14"/>
                <w:szCs w:val="14"/>
                <w:color w:val="auto"/>
              </w:rPr>
            </w:pPr>
          </w:p>
        </w:tc>
        <w:tc>
          <w:tcPr>
            <w:tcW w:w="940" w:type="dxa"/>
            <w:vAlign w:val="bottom"/>
            <w:tcBorders>
              <w:top w:val="single" w:sz="8" w:color="B6B6B6"/>
              <w:right w:val="single" w:sz="8" w:color="B6B6B6"/>
            </w:tcBorders>
          </w:tcPr>
          <w:p>
            <w:pPr>
              <w:jc w:val="right"/>
              <w:ind w:right="14"/>
              <w:spacing w:after="0"/>
              <w:rPr>
                <w:sz w:val="20"/>
                <w:szCs w:val="20"/>
                <w:color w:val="auto"/>
              </w:rPr>
            </w:pPr>
            <w:r>
              <w:rPr>
                <w:rFonts w:ascii="Arial" w:cs="Arial" w:eastAsia="Arial" w:hAnsi="Arial"/>
                <w:sz w:val="13"/>
                <w:szCs w:val="13"/>
                <w:color w:val="auto"/>
              </w:rPr>
              <w:t>275,000</w:t>
            </w:r>
          </w:p>
        </w:tc>
        <w:tc>
          <w:tcPr>
            <w:tcW w:w="940" w:type="dxa"/>
            <w:vAlign w:val="bottom"/>
            <w:tcBorders>
              <w:top w:val="single" w:sz="8" w:color="B6B6B6"/>
              <w:right w:val="single" w:sz="8" w:color="B6B6B6"/>
            </w:tcBorders>
          </w:tcPr>
          <w:p>
            <w:pPr>
              <w:jc w:val="right"/>
              <w:ind w:right="14"/>
              <w:spacing w:after="0"/>
              <w:rPr>
                <w:sz w:val="20"/>
                <w:szCs w:val="20"/>
                <w:color w:val="auto"/>
              </w:rPr>
            </w:pPr>
            <w:r>
              <w:rPr>
                <w:rFonts w:ascii="Arial" w:cs="Arial" w:eastAsia="Arial" w:hAnsi="Arial"/>
                <w:sz w:val="13"/>
                <w:szCs w:val="13"/>
                <w:color w:val="auto"/>
              </w:rPr>
              <w:t>550,000</w:t>
            </w:r>
          </w:p>
        </w:tc>
        <w:tc>
          <w:tcPr>
            <w:tcW w:w="940" w:type="dxa"/>
            <w:vAlign w:val="bottom"/>
            <w:tcBorders>
              <w:top w:val="single" w:sz="8" w:color="B6B6B6"/>
              <w:right w:val="single" w:sz="8" w:color="B6B6B6"/>
            </w:tcBorders>
          </w:tcPr>
          <w:p>
            <w:pPr>
              <w:jc w:val="right"/>
              <w:ind w:right="15"/>
              <w:spacing w:after="0"/>
              <w:rPr>
                <w:sz w:val="20"/>
                <w:szCs w:val="20"/>
                <w:color w:val="auto"/>
              </w:rPr>
            </w:pPr>
            <w:r>
              <w:rPr>
                <w:rFonts w:ascii="Arial" w:cs="Arial" w:eastAsia="Arial" w:hAnsi="Arial"/>
                <w:sz w:val="13"/>
                <w:szCs w:val="13"/>
                <w:color w:val="auto"/>
              </w:rPr>
              <w:t>1,375,000</w:t>
            </w:r>
          </w:p>
        </w:tc>
        <w:tc>
          <w:tcPr>
            <w:tcW w:w="820" w:type="dxa"/>
            <w:vAlign w:val="bottom"/>
            <w:tcBorders>
              <w:top w:val="single" w:sz="8" w:color="B6B6B6"/>
              <w:right w:val="single" w:sz="8" w:color="B6B6B6"/>
            </w:tcBorders>
          </w:tcPr>
          <w:p>
            <w:pPr>
              <w:spacing w:after="0"/>
              <w:rPr>
                <w:sz w:val="14"/>
                <w:szCs w:val="14"/>
                <w:color w:val="auto"/>
              </w:rPr>
            </w:pPr>
          </w:p>
        </w:tc>
        <w:tc>
          <w:tcPr>
            <w:tcW w:w="940" w:type="dxa"/>
            <w:vAlign w:val="bottom"/>
            <w:tcBorders>
              <w:top w:val="single" w:sz="8" w:color="B6B6B6"/>
              <w:right w:val="single" w:sz="8" w:color="B6B6B6"/>
            </w:tcBorders>
          </w:tcPr>
          <w:p>
            <w:pPr>
              <w:spacing w:after="0"/>
              <w:rPr>
                <w:sz w:val="14"/>
                <w:szCs w:val="14"/>
                <w:color w:val="auto"/>
              </w:rPr>
            </w:pPr>
          </w:p>
        </w:tc>
        <w:tc>
          <w:tcPr>
            <w:tcW w:w="120" w:type="dxa"/>
            <w:vAlign w:val="bottom"/>
            <w:tcBorders>
              <w:top w:val="single" w:sz="8" w:color="B6B6B6"/>
            </w:tcBorders>
          </w:tcPr>
          <w:p>
            <w:pPr>
              <w:spacing w:after="0"/>
              <w:rPr>
                <w:sz w:val="14"/>
                <w:szCs w:val="14"/>
                <w:color w:val="auto"/>
              </w:rPr>
            </w:pPr>
          </w:p>
        </w:tc>
        <w:tc>
          <w:tcPr>
            <w:tcW w:w="760" w:type="dxa"/>
            <w:vAlign w:val="bottom"/>
            <w:tcBorders>
              <w:top w:val="single" w:sz="8" w:color="B6B6B6"/>
              <w:right w:val="single" w:sz="8" w:color="B6B6B6"/>
            </w:tcBorders>
          </w:tcPr>
          <w:p>
            <w:pPr>
              <w:spacing w:after="0"/>
              <w:rPr>
                <w:sz w:val="14"/>
                <w:szCs w:val="14"/>
                <w:color w:val="auto"/>
              </w:rPr>
            </w:pPr>
          </w:p>
        </w:tc>
        <w:tc>
          <w:tcPr>
            <w:tcW w:w="880" w:type="dxa"/>
            <w:vAlign w:val="bottom"/>
            <w:tcBorders>
              <w:top w:val="single" w:sz="8" w:color="B6B6B6"/>
              <w:right w:val="single" w:sz="8" w:color="B6B6B6"/>
            </w:tcBorders>
          </w:tcPr>
          <w:p>
            <w:pPr>
              <w:spacing w:after="0"/>
              <w:rPr>
                <w:sz w:val="14"/>
                <w:szCs w:val="14"/>
                <w:color w:val="auto"/>
              </w:rPr>
            </w:pPr>
          </w:p>
        </w:tc>
        <w:tc>
          <w:tcPr>
            <w:tcW w:w="900" w:type="dxa"/>
            <w:vAlign w:val="bottom"/>
            <w:tcBorders>
              <w:top w:val="single" w:sz="8" w:color="B6B6B6"/>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20" w:type="dxa"/>
            <w:vAlign w:val="bottom"/>
            <w:tcBorders>
              <w:left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20" w:type="dxa"/>
            <w:vAlign w:val="bottom"/>
            <w:tcBorders>
              <w:left w:val="single" w:sz="8" w:color="B6B6B6"/>
              <w:right w:val="single" w:sz="8" w:color="B6B6B6"/>
            </w:tcBorders>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72,569</w:t>
            </w:r>
          </w:p>
        </w:tc>
        <w:tc>
          <w:tcPr>
            <w:tcW w:w="94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145,138</w:t>
            </w:r>
          </w:p>
        </w:tc>
        <w:tc>
          <w:tcPr>
            <w:tcW w:w="120" w:type="dxa"/>
            <w:vAlign w:val="bottom"/>
          </w:tcPr>
          <w:p>
            <w:pPr>
              <w:spacing w:after="0"/>
              <w:rPr>
                <w:sz w:val="13"/>
                <w:szCs w:val="13"/>
                <w:color w:val="auto"/>
              </w:rPr>
            </w:pPr>
          </w:p>
        </w:tc>
        <w:tc>
          <w:tcPr>
            <w:tcW w:w="760" w:type="dxa"/>
            <w:vAlign w:val="bottom"/>
            <w:tcBorders>
              <w:right w:val="single" w:sz="8" w:color="B6B6B6"/>
            </w:tcBorders>
          </w:tcPr>
          <w:p>
            <w:pPr>
              <w:jc w:val="right"/>
              <w:ind w:right="11"/>
              <w:spacing w:after="0"/>
              <w:rPr>
                <w:sz w:val="20"/>
                <w:szCs w:val="20"/>
                <w:color w:val="auto"/>
              </w:rPr>
            </w:pPr>
            <w:r>
              <w:rPr>
                <w:rFonts w:ascii="Arial" w:cs="Arial" w:eastAsia="Arial" w:hAnsi="Arial"/>
                <w:sz w:val="13"/>
                <w:szCs w:val="13"/>
                <w:color w:val="auto"/>
              </w:rPr>
              <w:t>290,276</w:t>
            </w:r>
          </w:p>
        </w:tc>
        <w:tc>
          <w:tcPr>
            <w:tcW w:w="880" w:type="dxa"/>
            <w:vAlign w:val="bottom"/>
            <w:tcBorders>
              <w:right w:val="single" w:sz="8" w:color="B6B6B6"/>
            </w:tcBorders>
          </w:tcPr>
          <w:p>
            <w:pPr>
              <w:spacing w:after="0"/>
              <w:rPr>
                <w:sz w:val="13"/>
                <w:szCs w:val="13"/>
                <w:color w:val="auto"/>
              </w:rPr>
            </w:pPr>
          </w:p>
        </w:tc>
        <w:tc>
          <w:tcPr>
            <w:tcW w:w="90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1,011,612</w:t>
            </w:r>
          </w:p>
        </w:tc>
        <w:tc>
          <w:tcPr>
            <w:tcW w:w="0" w:type="dxa"/>
            <w:vAlign w:val="bottom"/>
          </w:tcPr>
          <w:p>
            <w:pPr>
              <w:spacing w:after="0"/>
              <w:rPr>
                <w:sz w:val="1"/>
                <w:szCs w:val="1"/>
                <w:color w:val="auto"/>
              </w:rPr>
            </w:pPr>
          </w:p>
        </w:tc>
      </w:tr>
      <w:tr>
        <w:trPr>
          <w:trHeight w:val="166"/>
        </w:trPr>
        <w:tc>
          <w:tcPr>
            <w:tcW w:w="1220" w:type="dxa"/>
            <w:vAlign w:val="bottom"/>
            <w:tcBorders>
              <w:left w:val="single" w:sz="8" w:color="B6B6B6"/>
              <w:right w:val="single" w:sz="8" w:color="B6B6B6"/>
            </w:tcBorders>
          </w:tcPr>
          <w:p>
            <w:pPr>
              <w:spacing w:after="0"/>
              <w:rPr>
                <w:sz w:val="14"/>
                <w:szCs w:val="14"/>
                <w:color w:val="auto"/>
              </w:rPr>
            </w:pPr>
          </w:p>
        </w:tc>
        <w:tc>
          <w:tcPr>
            <w:tcW w:w="940" w:type="dxa"/>
            <w:vAlign w:val="bottom"/>
            <w:tcBorders>
              <w:right w:val="single" w:sz="8" w:color="B6B6B6"/>
            </w:tcBorders>
            <w:gridSpan w:val="2"/>
          </w:tcPr>
          <w:p>
            <w:pPr>
              <w:ind w:left="20"/>
              <w:spacing w:after="0"/>
              <w:rPr>
                <w:sz w:val="20"/>
                <w:szCs w:val="20"/>
                <w:color w:val="auto"/>
              </w:rPr>
            </w:pPr>
            <w:r>
              <w:rPr>
                <w:rFonts w:ascii="Arial" w:cs="Arial" w:eastAsia="Arial" w:hAnsi="Arial"/>
                <w:sz w:val="13"/>
                <w:szCs w:val="13"/>
                <w:color w:val="auto"/>
              </w:rPr>
              <w:t>(PSU)</w:t>
            </w:r>
          </w:p>
        </w:tc>
        <w:tc>
          <w:tcPr>
            <w:tcW w:w="9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B6B6B6"/>
            </w:tcBorders>
          </w:tcPr>
          <w:p>
            <w:pPr>
              <w:spacing w:after="0"/>
              <w:rPr>
                <w:sz w:val="14"/>
                <w:szCs w:val="14"/>
                <w:color w:val="auto"/>
              </w:rPr>
            </w:pPr>
          </w:p>
        </w:tc>
        <w:tc>
          <w:tcPr>
            <w:tcW w:w="880" w:type="dxa"/>
            <w:vAlign w:val="bottom"/>
            <w:tcBorders>
              <w:right w:val="single" w:sz="8" w:color="B6B6B6"/>
            </w:tcBorders>
          </w:tcPr>
          <w:p>
            <w:pPr>
              <w:spacing w:after="0"/>
              <w:rPr>
                <w:sz w:val="14"/>
                <w:szCs w:val="14"/>
                <w:color w:val="auto"/>
              </w:rPr>
            </w:pPr>
          </w:p>
        </w:tc>
        <w:tc>
          <w:tcPr>
            <w:tcW w:w="90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20" w:type="dxa"/>
            <w:vAlign w:val="bottom"/>
            <w:tcBorders>
              <w:left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220" w:type="dxa"/>
            <w:vAlign w:val="bottom"/>
            <w:tcBorders>
              <w:left w:val="single" w:sz="8" w:color="B6B6B6"/>
              <w:right w:val="single" w:sz="8" w:color="B6B6B6"/>
            </w:tcBorders>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auto"/>
                <w:w w:val="96"/>
              </w:rPr>
              <w:t>2025</w:t>
            </w:r>
          </w:p>
        </w:tc>
        <w:tc>
          <w:tcPr>
            <w:tcW w:w="620" w:type="dxa"/>
            <w:vAlign w:val="bottom"/>
            <w:tcBorders>
              <w:right w:val="single" w:sz="8" w:color="B6B6B6"/>
            </w:tcBorders>
          </w:tcPr>
          <w:p>
            <w:pPr>
              <w:jc w:val="center"/>
              <w:ind w:right="257"/>
              <w:spacing w:after="0"/>
              <w:rPr>
                <w:sz w:val="20"/>
                <w:szCs w:val="20"/>
                <w:color w:val="auto"/>
              </w:rPr>
            </w:pPr>
            <w:r>
              <w:rPr>
                <w:rFonts w:ascii="Arial" w:cs="Arial" w:eastAsia="Arial" w:hAnsi="Arial"/>
                <w:sz w:val="13"/>
                <w:szCs w:val="13"/>
                <w:color w:val="auto"/>
                <w:w w:val="94"/>
              </w:rPr>
              <w:t>LTIP</w:t>
            </w:r>
          </w:p>
        </w:tc>
        <w:tc>
          <w:tcPr>
            <w:tcW w:w="94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3"/>
              </w:rPr>
              <w:t>3/11/2025</w:t>
            </w:r>
          </w:p>
        </w:tc>
        <w:tc>
          <w:tcPr>
            <w:tcW w:w="920" w:type="dxa"/>
            <w:vAlign w:val="bottom"/>
            <w:tcBorders>
              <w:right w:val="single" w:sz="8" w:color="B6B6B6"/>
            </w:tcBorders>
          </w:tcPr>
          <w:p>
            <w:pPr>
              <w:jc w:val="center"/>
              <w:spacing w:after="0"/>
              <w:rPr>
                <w:sz w:val="20"/>
                <w:szCs w:val="20"/>
                <w:color w:val="auto"/>
              </w:rPr>
            </w:pPr>
            <w:r>
              <w:rPr>
                <w:rFonts w:ascii="Arial" w:cs="Arial" w:eastAsia="Arial" w:hAnsi="Arial"/>
                <w:sz w:val="13"/>
                <w:szCs w:val="13"/>
                <w:color w:val="auto"/>
                <w:w w:val="96"/>
              </w:rPr>
              <w:t>3/11/2025</w:t>
            </w: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820" w:type="dxa"/>
            <w:vAlign w:val="bottom"/>
            <w:tcBorders>
              <w:right w:val="single" w:sz="8" w:color="B6B6B6"/>
            </w:tcBorders>
          </w:tcPr>
          <w:p>
            <w:pPr>
              <w:spacing w:after="0"/>
              <w:rPr>
                <w:sz w:val="13"/>
                <w:szCs w:val="13"/>
                <w:color w:val="auto"/>
              </w:rPr>
            </w:pPr>
          </w:p>
        </w:tc>
        <w:tc>
          <w:tcPr>
            <w:tcW w:w="940" w:type="dxa"/>
            <w:vAlign w:val="bottom"/>
            <w:tcBorders>
              <w:right w:val="single" w:sz="8" w:color="B6B6B6"/>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B6B6B6"/>
            </w:tcBorders>
          </w:tcPr>
          <w:p>
            <w:pPr>
              <w:spacing w:after="0"/>
              <w:rPr>
                <w:sz w:val="13"/>
                <w:szCs w:val="13"/>
                <w:color w:val="auto"/>
              </w:rPr>
            </w:pPr>
          </w:p>
        </w:tc>
        <w:tc>
          <w:tcPr>
            <w:tcW w:w="880" w:type="dxa"/>
            <w:vAlign w:val="bottom"/>
            <w:tcBorders>
              <w:right w:val="single" w:sz="8" w:color="B6B6B6"/>
            </w:tcBorders>
          </w:tcPr>
          <w:p>
            <w:pPr>
              <w:jc w:val="right"/>
              <w:spacing w:after="0"/>
              <w:rPr>
                <w:sz w:val="20"/>
                <w:szCs w:val="20"/>
                <w:color w:val="auto"/>
              </w:rPr>
            </w:pPr>
            <w:r>
              <w:rPr>
                <w:rFonts w:ascii="Arial" w:cs="Arial" w:eastAsia="Arial" w:hAnsi="Arial"/>
                <w:sz w:val="13"/>
                <w:szCs w:val="13"/>
                <w:color w:val="auto"/>
              </w:rPr>
              <w:t>145,138</w:t>
            </w:r>
          </w:p>
        </w:tc>
        <w:tc>
          <w:tcPr>
            <w:tcW w:w="900" w:type="dxa"/>
            <w:vAlign w:val="bottom"/>
            <w:tcBorders>
              <w:right w:val="single" w:sz="8" w:color="B6B6B6"/>
            </w:tcBorders>
          </w:tcPr>
          <w:p>
            <w:pPr>
              <w:jc w:val="right"/>
              <w:ind w:right="14"/>
              <w:spacing w:after="0"/>
              <w:rPr>
                <w:sz w:val="20"/>
                <w:szCs w:val="20"/>
                <w:color w:val="auto"/>
              </w:rPr>
            </w:pPr>
            <w:r>
              <w:rPr>
                <w:rFonts w:ascii="Arial" w:cs="Arial" w:eastAsia="Arial" w:hAnsi="Arial"/>
                <w:sz w:val="13"/>
                <w:szCs w:val="13"/>
                <w:color w:val="auto"/>
              </w:rPr>
              <w:t>1,000,001</w:t>
            </w:r>
          </w:p>
        </w:tc>
        <w:tc>
          <w:tcPr>
            <w:tcW w:w="0" w:type="dxa"/>
            <w:vAlign w:val="bottom"/>
          </w:tcPr>
          <w:p>
            <w:pPr>
              <w:spacing w:after="0"/>
              <w:rPr>
                <w:sz w:val="1"/>
                <w:szCs w:val="1"/>
                <w:color w:val="auto"/>
              </w:rPr>
            </w:pPr>
          </w:p>
        </w:tc>
      </w:tr>
      <w:tr>
        <w:trPr>
          <w:trHeight w:val="166"/>
        </w:trPr>
        <w:tc>
          <w:tcPr>
            <w:tcW w:w="1220" w:type="dxa"/>
            <w:vAlign w:val="bottom"/>
            <w:tcBorders>
              <w:left w:val="single" w:sz="8" w:color="B6B6B6"/>
              <w:right w:val="single" w:sz="8" w:color="B6B6B6"/>
            </w:tcBorders>
          </w:tcPr>
          <w:p>
            <w:pPr>
              <w:spacing w:after="0"/>
              <w:rPr>
                <w:sz w:val="14"/>
                <w:szCs w:val="14"/>
                <w:color w:val="auto"/>
              </w:rPr>
            </w:pPr>
          </w:p>
        </w:tc>
        <w:tc>
          <w:tcPr>
            <w:tcW w:w="940" w:type="dxa"/>
            <w:vAlign w:val="bottom"/>
            <w:tcBorders>
              <w:right w:val="single" w:sz="8" w:color="B6B6B6"/>
            </w:tcBorders>
            <w:gridSpan w:val="2"/>
          </w:tcPr>
          <w:p>
            <w:pPr>
              <w:ind w:left="20"/>
              <w:spacing w:after="0"/>
              <w:rPr>
                <w:sz w:val="20"/>
                <w:szCs w:val="20"/>
                <w:color w:val="auto"/>
              </w:rPr>
            </w:pPr>
            <w:r>
              <w:rPr>
                <w:rFonts w:ascii="Arial" w:cs="Arial" w:eastAsia="Arial" w:hAnsi="Arial"/>
                <w:sz w:val="13"/>
                <w:szCs w:val="13"/>
                <w:color w:val="auto"/>
              </w:rPr>
              <w:t>(RSU)</w:t>
            </w:r>
          </w:p>
        </w:tc>
        <w:tc>
          <w:tcPr>
            <w:tcW w:w="940" w:type="dxa"/>
            <w:vAlign w:val="bottom"/>
            <w:tcBorders>
              <w:right w:val="single" w:sz="8" w:color="B6B6B6"/>
            </w:tcBorders>
          </w:tcPr>
          <w:p>
            <w:pPr>
              <w:spacing w:after="0"/>
              <w:rPr>
                <w:sz w:val="14"/>
                <w:szCs w:val="14"/>
                <w:color w:val="auto"/>
              </w:rPr>
            </w:pPr>
          </w:p>
        </w:tc>
        <w:tc>
          <w:tcPr>
            <w:tcW w:w="9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940" w:type="dxa"/>
            <w:vAlign w:val="bottom"/>
            <w:tcBorders>
              <w:right w:val="single" w:sz="8" w:color="B6B6B6"/>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B6B6B6"/>
            </w:tcBorders>
          </w:tcPr>
          <w:p>
            <w:pPr>
              <w:spacing w:after="0"/>
              <w:rPr>
                <w:sz w:val="14"/>
                <w:szCs w:val="14"/>
                <w:color w:val="auto"/>
              </w:rPr>
            </w:pPr>
          </w:p>
        </w:tc>
        <w:tc>
          <w:tcPr>
            <w:tcW w:w="880" w:type="dxa"/>
            <w:vAlign w:val="bottom"/>
            <w:tcBorders>
              <w:right w:val="single" w:sz="8" w:color="B6B6B6"/>
            </w:tcBorders>
          </w:tcPr>
          <w:p>
            <w:pPr>
              <w:spacing w:after="0"/>
              <w:rPr>
                <w:sz w:val="14"/>
                <w:szCs w:val="14"/>
                <w:color w:val="auto"/>
              </w:rPr>
            </w:pPr>
          </w:p>
        </w:tc>
        <w:tc>
          <w:tcPr>
            <w:tcW w:w="90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220" w:type="dxa"/>
            <w:vAlign w:val="bottom"/>
            <w:tcBorders>
              <w:left w:val="single" w:sz="8" w:color="B6B6B6"/>
              <w:bottom w:val="single" w:sz="8" w:color="B6B6B6"/>
              <w:right w:val="single" w:sz="8" w:color="B6B6B6"/>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820" w:type="dxa"/>
            <w:vAlign w:val="bottom"/>
            <w:tcBorders>
              <w:bottom w:val="single" w:sz="8" w:color="B6B6B6"/>
              <w:right w:val="single" w:sz="8" w:color="B6B6B6"/>
            </w:tcBorders>
          </w:tcPr>
          <w:p>
            <w:pPr>
              <w:spacing w:after="0"/>
              <w:rPr>
                <w:sz w:val="2"/>
                <w:szCs w:val="2"/>
                <w:color w:val="auto"/>
              </w:rPr>
            </w:pPr>
          </w:p>
        </w:tc>
        <w:tc>
          <w:tcPr>
            <w:tcW w:w="940" w:type="dxa"/>
            <w:vAlign w:val="bottom"/>
            <w:tcBorders>
              <w:bottom w:val="single" w:sz="8" w:color="B6B6B6"/>
              <w:right w:val="single" w:sz="8" w:color="B6B6B6"/>
            </w:tcBorders>
          </w:tcPr>
          <w:p>
            <w:pPr>
              <w:spacing w:after="0"/>
              <w:rPr>
                <w:sz w:val="2"/>
                <w:szCs w:val="2"/>
                <w:color w:val="auto"/>
              </w:rPr>
            </w:pPr>
          </w:p>
        </w:tc>
        <w:tc>
          <w:tcPr>
            <w:tcW w:w="120" w:type="dxa"/>
            <w:vAlign w:val="bottom"/>
            <w:tcBorders>
              <w:bottom w:val="single" w:sz="8" w:color="B6B6B6"/>
            </w:tcBorders>
          </w:tcPr>
          <w:p>
            <w:pPr>
              <w:spacing w:after="0"/>
              <w:rPr>
                <w:sz w:val="2"/>
                <w:szCs w:val="2"/>
                <w:color w:val="auto"/>
              </w:rPr>
            </w:pPr>
          </w:p>
        </w:tc>
        <w:tc>
          <w:tcPr>
            <w:tcW w:w="760" w:type="dxa"/>
            <w:vAlign w:val="bottom"/>
            <w:tcBorders>
              <w:bottom w:val="single" w:sz="8" w:color="B6B6B6"/>
              <w:right w:val="single" w:sz="8" w:color="B6B6B6"/>
            </w:tcBorders>
          </w:tcPr>
          <w:p>
            <w:pPr>
              <w:spacing w:after="0"/>
              <w:rPr>
                <w:sz w:val="2"/>
                <w:szCs w:val="2"/>
                <w:color w:val="auto"/>
              </w:rPr>
            </w:pPr>
          </w:p>
        </w:tc>
        <w:tc>
          <w:tcPr>
            <w:tcW w:w="880" w:type="dxa"/>
            <w:vAlign w:val="bottom"/>
            <w:tcBorders>
              <w:bottom w:val="single" w:sz="8" w:color="B6B6B6"/>
              <w:right w:val="single" w:sz="8" w:color="B6B6B6"/>
            </w:tcBorders>
          </w:tcPr>
          <w:p>
            <w:pPr>
              <w:spacing w:after="0"/>
              <w:rPr>
                <w:sz w:val="2"/>
                <w:szCs w:val="2"/>
                <w:color w:val="auto"/>
              </w:rPr>
            </w:pPr>
          </w:p>
        </w:tc>
        <w:tc>
          <w:tcPr>
            <w:tcW w:w="900" w:type="dxa"/>
            <w:vAlign w:val="bottom"/>
            <w:tcBorders>
              <w:bottom w:val="single" w:sz="8" w:color="B6B6B6"/>
              <w:right w:val="single" w:sz="8" w:color="B6B6B6"/>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Arial" w:cs="Arial" w:eastAsia="Arial" w:hAnsi="Arial"/>
                <w:sz w:val="18"/>
                <w:szCs w:val="18"/>
                <w:color w:val="auto"/>
              </w:rPr>
              <w:t>________</w:t>
            </w: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720" w:type="dxa"/>
            <w:vAlign w:val="bottom"/>
            <w:gridSpan w:val="11"/>
          </w:tcPr>
          <w:p>
            <w:pPr>
              <w:spacing w:after="0" w:line="202" w:lineRule="exact"/>
              <w:rPr>
                <w:sz w:val="20"/>
                <w:szCs w:val="20"/>
                <w:color w:val="auto"/>
              </w:rPr>
            </w:pPr>
            <w:r>
              <w:rPr>
                <w:rFonts w:ascii="Arial" w:cs="Arial" w:eastAsia="Arial" w:hAnsi="Arial"/>
                <w:sz w:val="18"/>
                <w:szCs w:val="18"/>
                <w:color w:val="auto"/>
              </w:rPr>
              <w:t>(A) The “Grant Date” is the effective date of the equity awards. The “Date of Action” is the date on which the</w:t>
            </w:r>
          </w:p>
        </w:tc>
        <w:tc>
          <w:tcPr>
            <w:tcW w:w="2540" w:type="dxa"/>
            <w:vAlign w:val="bottom"/>
            <w:gridSpan w:val="3"/>
          </w:tcPr>
          <w:p>
            <w:pPr>
              <w:jc w:val="center"/>
              <w:ind w:right="134"/>
              <w:spacing w:after="0" w:line="202" w:lineRule="exact"/>
              <w:rPr>
                <w:sz w:val="20"/>
                <w:szCs w:val="20"/>
                <w:color w:val="auto"/>
              </w:rPr>
            </w:pPr>
            <w:r>
              <w:rPr>
                <w:rFonts w:ascii="Arial" w:cs="Arial" w:eastAsia="Arial" w:hAnsi="Arial"/>
                <w:sz w:val="18"/>
                <w:szCs w:val="18"/>
                <w:color w:val="auto"/>
              </w:rPr>
              <w:t>values of the awards were</w:t>
            </w:r>
          </w:p>
        </w:tc>
        <w:tc>
          <w:tcPr>
            <w:tcW w:w="0" w:type="dxa"/>
            <w:vAlign w:val="bottom"/>
          </w:tcPr>
          <w:p>
            <w:pPr>
              <w:spacing w:after="0"/>
              <w:rPr>
                <w:sz w:val="1"/>
                <w:szCs w:val="1"/>
                <w:color w:val="auto"/>
              </w:rPr>
            </w:pPr>
          </w:p>
        </w:tc>
      </w:tr>
      <w:tr>
        <w:trPr>
          <w:trHeight w:val="239"/>
        </w:trPr>
        <w:tc>
          <w:tcPr>
            <w:tcW w:w="6840" w:type="dxa"/>
            <w:vAlign w:val="bottom"/>
            <w:gridSpan w:val="8"/>
          </w:tcPr>
          <w:p>
            <w:pPr>
              <w:ind w:left="340"/>
              <w:spacing w:after="0"/>
              <w:rPr>
                <w:sz w:val="20"/>
                <w:szCs w:val="20"/>
                <w:color w:val="auto"/>
              </w:rPr>
            </w:pPr>
            <w:r>
              <w:rPr>
                <w:rFonts w:ascii="Arial" w:cs="Arial" w:eastAsia="Arial" w:hAnsi="Arial"/>
                <w:sz w:val="18"/>
                <w:szCs w:val="18"/>
                <w:color w:val="auto"/>
              </w:rPr>
              <w:t>approved by the Committee and, for Mr. Bandrowczak, the Board of Directors.</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-918845</wp:posOffset>
            </wp:positionV>
            <wp:extent cx="254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-918845</wp:posOffset>
            </wp:positionV>
            <wp:extent cx="254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-1416050</wp:posOffset>
            </wp:positionV>
            <wp:extent cx="254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-1416050</wp:posOffset>
            </wp:positionV>
            <wp:extent cx="254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-1416050</wp:posOffset>
            </wp:positionV>
            <wp:extent cx="260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-2145030</wp:posOffset>
            </wp:positionV>
            <wp:extent cx="254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-2145030</wp:posOffset>
            </wp:positionV>
            <wp:extent cx="254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-2145030</wp:posOffset>
            </wp:positionV>
            <wp:extent cx="26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-2607945</wp:posOffset>
            </wp:positionV>
            <wp:extent cx="254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-2607945</wp:posOffset>
            </wp:positionV>
            <wp:extent cx="254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-2607945</wp:posOffset>
            </wp:positionV>
            <wp:extent cx="25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-2607945</wp:posOffset>
            </wp:positionV>
            <wp:extent cx="25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-2899410</wp:posOffset>
            </wp:positionV>
            <wp:extent cx="25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-2899410</wp:posOffset>
            </wp:positionV>
            <wp:extent cx="254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-2899410</wp:posOffset>
            </wp:positionV>
            <wp:extent cx="260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-3130550</wp:posOffset>
            </wp:positionV>
            <wp:extent cx="260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-3362325</wp:posOffset>
            </wp:positionV>
            <wp:extent cx="25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-3362325</wp:posOffset>
            </wp:positionV>
            <wp:extent cx="254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-3490595</wp:posOffset>
            </wp:positionV>
            <wp:extent cx="254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-3490595</wp:posOffset>
            </wp:positionV>
            <wp:extent cx="254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-3490595</wp:posOffset>
            </wp:positionV>
            <wp:extent cx="260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-3953510</wp:posOffset>
            </wp:positionV>
            <wp:extent cx="254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65" w:lineRule="exact"/>
        <w:rPr>
          <w:sz w:val="20"/>
          <w:szCs w:val="20"/>
          <w:color w:val="auto"/>
        </w:rPr>
      </w:pPr>
    </w:p>
    <w:p>
      <w:pPr>
        <w:ind w:left="340" w:right="60" w:hanging="332"/>
        <w:spacing w:after="0" w:line="262" w:lineRule="auto"/>
        <w:tabs>
          <w:tab w:leader="none" w:pos="337"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These columns reflect the threshold, target, and maximum payout opportunities under the 2025 MIP set by the Committee. The MIP measures and weightings for 2025 were Adjusted</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EBITDA (90%) and CSR (10%). For purposes of this table, the amount shown as the “threshold” payout was determined assuming achievement of the minimum performance level. If threshold performance was not achieved on the performance measures, there would be no MIP payout. For 2025, the MIP payout was 0% of target. See </w:t>
      </w:r>
      <w:r>
        <w:rPr>
          <w:rFonts w:ascii="Arial" w:cs="Arial" w:eastAsia="Arial" w:hAnsi="Arial"/>
          <w:sz w:val="17"/>
          <w:szCs w:val="17"/>
          <w:i w:val="1"/>
          <w:iCs w:val="1"/>
          <w:color w:val="auto"/>
        </w:rPr>
        <w:t>Performance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Metrics, Results and Payout: </w:t>
      </w:r>
      <w:r>
        <w:rPr>
          <w:rFonts w:ascii="Arial" w:cs="Arial" w:eastAsia="Arial" w:hAnsi="Arial"/>
          <w:sz w:val="17"/>
          <w:szCs w:val="17"/>
          <w:color w:val="auto"/>
        </w:rPr>
        <w:t>2025</w:t>
      </w:r>
      <w:r>
        <w:rPr>
          <w:rFonts w:ascii="Arial" w:cs="Arial" w:eastAsia="Arial" w:hAnsi="Arial"/>
          <w:sz w:val="17"/>
          <w:szCs w:val="17"/>
          <w:i w:val="1"/>
          <w:iCs w:val="1"/>
          <w:color w:val="auto"/>
        </w:rPr>
        <w:t xml:space="preserve"> MIP </w:t>
      </w:r>
      <w:r>
        <w:rPr>
          <w:rFonts w:ascii="Arial" w:cs="Arial" w:eastAsia="Arial" w:hAnsi="Arial"/>
          <w:sz w:val="17"/>
          <w:szCs w:val="17"/>
          <w:color w:val="auto"/>
        </w:rPr>
        <w:t>in the CD&amp;A. For Mr. Butler, the target amount shown for non-equity incentive awards represents</w:t>
      </w:r>
      <w:r>
        <w:rPr>
          <w:rFonts w:ascii="Arial" w:cs="Arial" w:eastAsia="Arial" w:hAnsi="Arial"/>
          <w:sz w:val="17"/>
          <w:szCs w:val="17"/>
          <w:i w:val="1"/>
          <w:iCs w:val="1"/>
          <w:color w:val="auto"/>
        </w:rPr>
        <w:t xml:space="preserve"> </w:t>
      </w:r>
      <w:r>
        <w:rPr>
          <w:rFonts w:ascii="Arial" w:cs="Arial" w:eastAsia="Arial" w:hAnsi="Arial"/>
          <w:sz w:val="17"/>
          <w:szCs w:val="17"/>
          <w:color w:val="auto"/>
        </w:rPr>
        <w:t>a prorated target, taking into account the changes in both the base salary and target percentage between July 1, 2025 through December 31, 2025. Specifically, from July 1, 2025 through December 2, 2025, Mr. Butler’s target was set at 80% of a base salary of $500,000. Then, beginning December 3, 2025 through December 31, 2025, the target increased to 100% of a base salary of $550,000. This approach ensures that the target accurately reflects the transitions in both base salary and target percentage after the acquisition.</w:t>
      </w:r>
    </w:p>
    <w:p>
      <w:pPr>
        <w:spacing w:after="0" w:line="68" w:lineRule="exact"/>
        <w:rPr>
          <w:rFonts w:ascii="Arial" w:cs="Arial" w:eastAsia="Arial" w:hAnsi="Arial"/>
          <w:sz w:val="17"/>
          <w:szCs w:val="17"/>
          <w:color w:val="auto"/>
        </w:rPr>
      </w:pPr>
    </w:p>
    <w:p>
      <w:pPr>
        <w:ind w:left="340" w:right="20" w:hanging="332"/>
        <w:spacing w:after="0" w:line="268" w:lineRule="auto"/>
        <w:tabs>
          <w:tab w:leader="none" w:pos="3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threshold, target, and maximum payout opportunities for the 2025 LTIP PSU awards, as well as the design and methodology for determining the 2025 LTIP PSU awards, were approved by the Committee. The target number of PSUs granted to each of our NEOs was determined by dividing the approved LTIP target</w:t>
      </w:r>
    </w:p>
    <w:p>
      <w:pPr>
        <w:sectPr>
          <w:pgSz w:w="11900" w:h="16838" w:orient="portrait"/>
          <w:cols w:equalWidth="0" w:num="1">
            <w:col w:w="11260"/>
          </w:cols>
          <w:pgMar w:left="320" w:top="1039" w:right="3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type w:val="continuous"/>
        </w:sectPr>
      </w:pPr>
    </w:p>
    <w:bookmarkStart w:id="64" w:name="page65"/>
    <w:bookmarkEnd w:id="64"/>
    <w:p>
      <w:pPr>
        <w:ind w:left="340"/>
        <w:spacing w:after="0"/>
        <w:rPr>
          <w:sz w:val="20"/>
          <w:szCs w:val="20"/>
          <w:color w:val="auto"/>
        </w:rPr>
      </w:pPr>
      <w:r>
        <w:rPr>
          <w:rFonts w:ascii="Arial" w:cs="Arial" w:eastAsia="Arial" w:hAnsi="Arial"/>
          <w:sz w:val="18"/>
          <w:szCs w:val="18"/>
          <w:color w:val="auto"/>
        </w:rPr>
        <w:t>award value by the average closing market price of our common stock over the 15 trading days preceding the grant date ($6.89).</w:t>
      </w:r>
    </w:p>
    <w:p>
      <w:pPr>
        <w:spacing w:after="0" w:line="115" w:lineRule="exact"/>
        <w:rPr>
          <w:sz w:val="20"/>
          <w:szCs w:val="20"/>
          <w:color w:val="auto"/>
        </w:rPr>
      </w:pPr>
    </w:p>
    <w:p>
      <w:pPr>
        <w:ind w:left="340" w:right="300"/>
        <w:spacing w:after="0" w:line="242" w:lineRule="auto"/>
        <w:rPr>
          <w:sz w:val="20"/>
          <w:szCs w:val="20"/>
          <w:color w:val="auto"/>
        </w:rPr>
      </w:pPr>
      <w:r>
        <w:rPr>
          <w:rFonts w:ascii="Arial" w:cs="Arial" w:eastAsia="Arial" w:hAnsi="Arial"/>
          <w:sz w:val="18"/>
          <w:szCs w:val="18"/>
          <w:color w:val="auto"/>
        </w:rPr>
        <w:t>The performance measure for the portion of the 2025 LTIP award granted as PSUs is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Income. In addition to the performance measure, Relative TSR (S&amp;P 600 Information Technology Index) was included in the design as a +/- 15% modifier to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Income results.</w:t>
      </w:r>
    </w:p>
    <w:p>
      <w:pPr>
        <w:spacing w:after="0" w:line="16" w:lineRule="exact"/>
        <w:rPr>
          <w:sz w:val="20"/>
          <w:szCs w:val="20"/>
          <w:color w:val="auto"/>
        </w:rPr>
      </w:pPr>
    </w:p>
    <w:p>
      <w:pPr>
        <w:ind w:left="340" w:right="40"/>
        <w:spacing w:after="0"/>
        <w:rPr>
          <w:sz w:val="20"/>
          <w:szCs w:val="20"/>
          <w:color w:val="auto"/>
        </w:rPr>
      </w:pPr>
      <w:r>
        <w:rPr>
          <w:rFonts w:ascii="Arial" w:cs="Arial" w:eastAsia="Arial" w:hAnsi="Arial"/>
          <w:sz w:val="18"/>
          <w:szCs w:val="18"/>
          <w:color w:val="auto"/>
        </w:rPr>
        <w:t>PSUs under the 2025 LTIP can be earned by achieving performance goals at least at the threshold level. The performance period for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Income measure is one year (fiscal year 2025), and the Relative TSR modifier is three years (January 1, 2025 through December 31, 2027). The service period and vesting date for the PSUs is three years from the grant date; earned PSUs will be determined and paid after the 2025 PSU performance results have been certified by the CFO, and approved by the Committee.</w:t>
      </w:r>
    </w:p>
    <w:p>
      <w:pPr>
        <w:spacing w:after="0" w:line="87" w:lineRule="exact"/>
        <w:rPr>
          <w:sz w:val="20"/>
          <w:szCs w:val="20"/>
          <w:color w:val="auto"/>
        </w:rPr>
      </w:pPr>
    </w:p>
    <w:p>
      <w:pPr>
        <w:ind w:left="340"/>
        <w:spacing w:after="0" w:line="245" w:lineRule="auto"/>
        <w:rPr>
          <w:sz w:val="20"/>
          <w:szCs w:val="20"/>
          <w:color w:val="auto"/>
        </w:rPr>
      </w:pPr>
      <w:r>
        <w:rPr>
          <w:rFonts w:ascii="Arial" w:cs="Arial" w:eastAsia="Arial" w:hAnsi="Arial"/>
          <w:sz w:val="18"/>
          <w:szCs w:val="18"/>
          <w:color w:val="auto"/>
        </w:rPr>
        <w:t>The threshold column reflects the lowest number of PSUs that could be earned if performance is achieved at the threshold level for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Income performance measure. If threshold performance is not achieved on the performance measures, no PSUs are earned. See </w:t>
      </w:r>
      <w:r>
        <w:rPr>
          <w:rFonts w:ascii="Arial" w:cs="Arial" w:eastAsia="Arial" w:hAnsi="Arial"/>
          <w:sz w:val="18"/>
          <w:szCs w:val="18"/>
          <w:i w:val="1"/>
          <w:iCs w:val="1"/>
          <w:color w:val="auto"/>
        </w:rPr>
        <w:t>Committee Actions Relating to LTIP Awards</w:t>
      </w:r>
      <w:r>
        <w:rPr>
          <w:rFonts w:ascii="Arial" w:cs="Arial" w:eastAsia="Arial" w:hAnsi="Arial"/>
          <w:sz w:val="18"/>
          <w:szCs w:val="18"/>
          <w:color w:val="auto"/>
        </w:rPr>
        <w:t xml:space="preserve"> in the CD&amp;A for additional information. The target column reflects the number of PSUs that could be earned if target performance is achieved on the performance measure. The maximum column reflects the greatest number of PSUs that could be earned if maximum or higher performance is achieved on the performance measure. The number of PSUs earned is interpolated if the Company’s performance is between threshold and target or between target and maximum, as determined by the Committee.</w:t>
      </w:r>
    </w:p>
    <w:p>
      <w:pPr>
        <w:spacing w:after="0" w:line="82" w:lineRule="exact"/>
        <w:rPr>
          <w:sz w:val="20"/>
          <w:szCs w:val="20"/>
          <w:color w:val="auto"/>
        </w:rPr>
      </w:pPr>
    </w:p>
    <w:p>
      <w:pPr>
        <w:ind w:left="340" w:right="200" w:hanging="332"/>
        <w:spacing w:after="0" w:line="262" w:lineRule="auto"/>
        <w:tabs>
          <w:tab w:leader="none" w:pos="3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column includes the LTIP RSU awards granted to our NEOs in 2025. 2025 LTIP RSUs will vest 33% on the first anniversary of the grant date, and ratably quarterly thereafter. The number of RSUs granted were determined by dividing the approved LTIP grant-date values (dollar amount) by the average closing market price of our common stock over the 15 trading days preceding the grant date ($6.89).</w:t>
      </w:r>
    </w:p>
    <w:p>
      <w:pPr>
        <w:spacing w:after="0" w:line="68" w:lineRule="exact"/>
        <w:rPr>
          <w:rFonts w:ascii="Arial" w:cs="Arial" w:eastAsia="Arial" w:hAnsi="Arial"/>
          <w:sz w:val="18"/>
          <w:szCs w:val="18"/>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grant date fair value reported in this column with respect to PSU awards reported in column (C) is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based on the number of shares granted at target and the fair value, comprised of the average closing market price of our common stock</w:t>
      </w:r>
    </w:p>
    <w:p>
      <w:pPr>
        <w:spacing w:after="0" w:line="9" w:lineRule="exact"/>
        <w:rPr>
          <w:sz w:val="20"/>
          <w:szCs w:val="20"/>
          <w:color w:val="auto"/>
        </w:rPr>
      </w:pPr>
    </w:p>
    <w:p>
      <w:pPr>
        <w:ind w:left="340" w:right="60"/>
        <w:spacing w:after="0" w:line="250" w:lineRule="auto"/>
        <w:rPr>
          <w:sz w:val="20"/>
          <w:szCs w:val="20"/>
          <w:color w:val="auto"/>
        </w:rPr>
      </w:pPr>
      <w:r>
        <w:rPr>
          <w:rFonts w:ascii="Arial" w:cs="Arial" w:eastAsia="Arial" w:hAnsi="Arial"/>
          <w:sz w:val="18"/>
          <w:szCs w:val="18"/>
          <w:color w:val="auto"/>
        </w:rPr>
        <w:t>over the 15 trading days preceding the grant date ($6.89) plus the fair value of the rTSR component ($0.08) as calculated using a Monte Carlo valuation model. The value reported in this column with respect to RSU awards reported in column (D) is based on the number of shares granted at target and the average closing market price of our common stock over the 15 trading days preceding the grant date ($6.89).</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32" w:lineRule="exact"/>
        <w:rPr>
          <w:sz w:val="20"/>
          <w:szCs w:val="20"/>
          <w:color w:val="auto"/>
        </w:rPr>
      </w:pPr>
    </w:p>
    <w:p>
      <w:pPr>
        <w:ind w:left="180" w:right="480" w:hanging="172"/>
        <w:spacing w:after="0" w:line="231" w:lineRule="auto"/>
        <w:tabs>
          <w:tab w:leader="none" w:pos="211" w:val="left"/>
        </w:tabs>
        <w:numPr>
          <w:ilvl w:val="0"/>
          <w:numId w:val="71"/>
        </w:numPr>
        <w:rPr>
          <w:rFonts w:ascii="Arial" w:cs="Arial" w:eastAsia="Arial" w:hAnsi="Arial"/>
          <w:sz w:val="23"/>
          <w:szCs w:val="23"/>
          <w:color w:val="auto"/>
          <w:vertAlign w:val="superscript"/>
        </w:rPr>
      </w:pPr>
      <w:r>
        <w:rPr>
          <w:rFonts w:ascii="Arial" w:cs="Arial" w:eastAsia="Arial" w:hAnsi="Arial"/>
          <w:sz w:val="18"/>
          <w:szCs w:val="18"/>
          <w:color w:val="auto"/>
        </w:rPr>
        <w:t>Refer to the “Non-GAAP Financial Measures” section for a reconciliation of the non-GAAP financial measure or an explanation of the performance measure.</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D92231"/>
        </w:rPr>
        <w:t>OUTSTANDING EQUITY AWARDS AT 2025 FISCAL YEAR-END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unvested equity awards held by each of the NEOs on December 31, 2025:</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280" w:type="dxa"/>
            <w:vAlign w:val="bottom"/>
            <w:tcBorders>
              <w:left w:val="single" w:sz="8" w:color="B6B6B6"/>
              <w:right w:val="single" w:sz="8" w:color="B6B6B6"/>
            </w:tcBorders>
            <w:shd w:val="clear" w:color="auto" w:fill="DA2031"/>
          </w:tcPr>
          <w:p>
            <w:pPr>
              <w:spacing w:after="0"/>
              <w:rPr>
                <w:sz w:val="19"/>
                <w:szCs w:val="19"/>
                <w:color w:val="auto"/>
              </w:rPr>
            </w:pPr>
          </w:p>
        </w:tc>
        <w:tc>
          <w:tcPr>
            <w:tcW w:w="1240" w:type="dxa"/>
            <w:vAlign w:val="bottom"/>
            <w:tcBorders>
              <w:right w:val="single" w:sz="8" w:color="DA2031"/>
            </w:tcBorders>
            <w:shd w:val="clear" w:color="auto" w:fill="DA2031"/>
          </w:tcPr>
          <w:p>
            <w:pPr>
              <w:spacing w:after="0"/>
              <w:rPr>
                <w:sz w:val="19"/>
                <w:szCs w:val="19"/>
                <w:color w:val="auto"/>
              </w:rPr>
            </w:pPr>
          </w:p>
        </w:tc>
        <w:tc>
          <w:tcPr>
            <w:tcW w:w="2600" w:type="dxa"/>
            <w:vAlign w:val="bottom"/>
            <w:tcBorders>
              <w:right w:val="single" w:sz="8" w:color="DA2031"/>
            </w:tcBorders>
            <w:gridSpan w:val="2"/>
            <w:shd w:val="clear" w:color="auto" w:fill="DA2031"/>
          </w:tcPr>
          <w:p>
            <w:pPr>
              <w:jc w:val="center"/>
              <w:ind w:right="28"/>
              <w:spacing w:after="0"/>
              <w:rPr>
                <w:sz w:val="20"/>
                <w:szCs w:val="20"/>
                <w:color w:val="auto"/>
              </w:rPr>
            </w:pPr>
            <w:r>
              <w:rPr>
                <w:rFonts w:ascii="Arial" w:cs="Arial" w:eastAsia="Arial" w:hAnsi="Arial"/>
                <w:sz w:val="14"/>
                <w:szCs w:val="14"/>
                <w:b w:val="1"/>
                <w:bCs w:val="1"/>
                <w:color w:val="FFFFFF"/>
              </w:rPr>
              <w:t>Option Awards</w:t>
            </w:r>
          </w:p>
        </w:tc>
        <w:tc>
          <w:tcPr>
            <w:tcW w:w="1180" w:type="dxa"/>
            <w:vAlign w:val="bottom"/>
            <w:tcBorders>
              <w:right w:val="single" w:sz="8" w:color="B6B6B6"/>
            </w:tcBorders>
            <w:shd w:val="clear" w:color="auto" w:fill="DA2031"/>
          </w:tcPr>
          <w:p>
            <w:pPr>
              <w:spacing w:after="0"/>
              <w:rPr>
                <w:sz w:val="19"/>
                <w:szCs w:val="19"/>
                <w:color w:val="auto"/>
              </w:rPr>
            </w:pPr>
          </w:p>
        </w:tc>
        <w:tc>
          <w:tcPr>
            <w:tcW w:w="1240" w:type="dxa"/>
            <w:vAlign w:val="bottom"/>
            <w:tcBorders>
              <w:right w:val="single" w:sz="8" w:color="DA2031"/>
            </w:tcBorders>
            <w:shd w:val="clear" w:color="auto" w:fill="DA2031"/>
          </w:tcPr>
          <w:p>
            <w:pPr>
              <w:spacing w:after="0"/>
              <w:rPr>
                <w:sz w:val="19"/>
                <w:szCs w:val="19"/>
                <w:color w:val="auto"/>
              </w:rPr>
            </w:pPr>
          </w:p>
        </w:tc>
        <w:tc>
          <w:tcPr>
            <w:tcW w:w="2480" w:type="dxa"/>
            <w:vAlign w:val="bottom"/>
            <w:tcBorders>
              <w:right w:val="single" w:sz="8" w:color="DA2031"/>
            </w:tcBorders>
            <w:gridSpan w:val="2"/>
            <w:shd w:val="clear" w:color="auto" w:fill="DA2031"/>
          </w:tcPr>
          <w:p>
            <w:pPr>
              <w:jc w:val="right"/>
              <w:ind w:right="708"/>
              <w:spacing w:after="0"/>
              <w:rPr>
                <w:sz w:val="20"/>
                <w:szCs w:val="20"/>
                <w:color w:val="auto"/>
              </w:rPr>
            </w:pPr>
            <w:r>
              <w:rPr>
                <w:rFonts w:ascii="Arial" w:cs="Arial" w:eastAsia="Arial" w:hAnsi="Arial"/>
                <w:sz w:val="14"/>
                <w:szCs w:val="14"/>
                <w:b w:val="1"/>
                <w:bCs w:val="1"/>
                <w:color w:val="FFFFFF"/>
              </w:rPr>
              <w:t>Stock Awards</w:t>
            </w:r>
          </w:p>
        </w:tc>
        <w:tc>
          <w:tcPr>
            <w:tcW w:w="1240" w:type="dxa"/>
            <w:vAlign w:val="bottom"/>
            <w:tcBorders>
              <w:right w:val="single" w:sz="8" w:color="B6B6B6"/>
            </w:tcBorders>
            <w:shd w:val="clear" w:color="auto" w:fill="DA2031"/>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280" w:type="dxa"/>
            <w:vAlign w:val="bottom"/>
            <w:tcBorders>
              <w:left w:val="single" w:sz="8" w:color="B6B6B6"/>
              <w:right w:val="single" w:sz="8" w:color="B6B6B6"/>
            </w:tcBorders>
            <w:shd w:val="clear" w:color="auto" w:fill="DA2031"/>
          </w:tcPr>
          <w:p>
            <w:pPr>
              <w:spacing w:after="0"/>
              <w:rPr>
                <w:sz w:val="13"/>
                <w:szCs w:val="13"/>
                <w:color w:val="auto"/>
              </w:rPr>
            </w:pPr>
          </w:p>
        </w:tc>
        <w:tc>
          <w:tcPr>
            <w:tcW w:w="1240" w:type="dxa"/>
            <w:vAlign w:val="bottom"/>
            <w:tcBorders>
              <w:right w:val="single" w:sz="8" w:color="B6B6B6"/>
            </w:tcBorders>
            <w:shd w:val="clear" w:color="auto" w:fill="DA2031"/>
          </w:tcPr>
          <w:p>
            <w:pPr>
              <w:spacing w:after="0"/>
              <w:rPr>
                <w:sz w:val="13"/>
                <w:szCs w:val="13"/>
                <w:color w:val="auto"/>
              </w:rPr>
            </w:pPr>
          </w:p>
        </w:tc>
        <w:tc>
          <w:tcPr>
            <w:tcW w:w="1360" w:type="dxa"/>
            <w:vAlign w:val="bottom"/>
            <w:tcBorders>
              <w:right w:val="single" w:sz="8" w:color="B6B6B6"/>
            </w:tcBorders>
            <w:shd w:val="clear" w:color="auto" w:fill="DA2031"/>
          </w:tcPr>
          <w:p>
            <w:pPr>
              <w:spacing w:after="0"/>
              <w:rPr>
                <w:sz w:val="13"/>
                <w:szCs w:val="13"/>
                <w:color w:val="auto"/>
              </w:rPr>
            </w:pPr>
          </w:p>
        </w:tc>
        <w:tc>
          <w:tcPr>
            <w:tcW w:w="1240" w:type="dxa"/>
            <w:vAlign w:val="bottom"/>
            <w:tcBorders>
              <w:right w:val="single" w:sz="8" w:color="B6B6B6"/>
            </w:tcBorders>
            <w:shd w:val="clear" w:color="auto" w:fill="DA2031"/>
          </w:tcPr>
          <w:p>
            <w:pPr>
              <w:spacing w:after="0"/>
              <w:rPr>
                <w:sz w:val="13"/>
                <w:szCs w:val="13"/>
                <w:color w:val="auto"/>
              </w:rPr>
            </w:pPr>
          </w:p>
        </w:tc>
        <w:tc>
          <w:tcPr>
            <w:tcW w:w="1180" w:type="dxa"/>
            <w:vAlign w:val="bottom"/>
            <w:tcBorders>
              <w:right w:val="single" w:sz="8" w:color="B6B6B6"/>
            </w:tcBorders>
            <w:shd w:val="clear" w:color="auto" w:fill="DA2031"/>
          </w:tcPr>
          <w:p>
            <w:pPr>
              <w:spacing w:after="0"/>
              <w:rPr>
                <w:sz w:val="13"/>
                <w:szCs w:val="13"/>
                <w:color w:val="auto"/>
              </w:rPr>
            </w:pPr>
          </w:p>
        </w:tc>
        <w:tc>
          <w:tcPr>
            <w:tcW w:w="1240" w:type="dxa"/>
            <w:vAlign w:val="bottom"/>
            <w:tcBorders>
              <w:right w:val="single" w:sz="8" w:color="B6B6B6"/>
            </w:tcBorders>
            <w:shd w:val="clear" w:color="auto" w:fill="DA2031"/>
          </w:tcPr>
          <w:p>
            <w:pPr>
              <w:spacing w:after="0"/>
              <w:rPr>
                <w:sz w:val="13"/>
                <w:szCs w:val="13"/>
                <w:color w:val="auto"/>
              </w:rPr>
            </w:pPr>
          </w:p>
        </w:tc>
        <w:tc>
          <w:tcPr>
            <w:tcW w:w="1240" w:type="dxa"/>
            <w:vAlign w:val="bottom"/>
            <w:tcBorders>
              <w:right w:val="single" w:sz="8" w:color="B6B6B6"/>
            </w:tcBorders>
            <w:shd w:val="clear" w:color="auto" w:fill="DA2031"/>
          </w:tcPr>
          <w:p>
            <w:pPr>
              <w:spacing w:after="0"/>
              <w:rPr>
                <w:sz w:val="13"/>
                <w:szCs w:val="13"/>
                <w:color w:val="auto"/>
              </w:rPr>
            </w:pPr>
          </w:p>
        </w:tc>
        <w:tc>
          <w:tcPr>
            <w:tcW w:w="1240" w:type="dxa"/>
            <w:vAlign w:val="bottom"/>
            <w:tcBorders>
              <w:right w:val="single" w:sz="8" w:color="B6B6B6"/>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Equity</w:t>
            </w:r>
          </w:p>
        </w:tc>
        <w:tc>
          <w:tcPr>
            <w:tcW w:w="1240" w:type="dxa"/>
            <w:vAlign w:val="bottom"/>
            <w:tcBorders>
              <w:right w:val="single" w:sz="8" w:color="B6B6B6"/>
            </w:tcBorders>
            <w:shd w:val="clear" w:color="auto" w:fill="DA2031"/>
          </w:tcPr>
          <w:p>
            <w:pPr>
              <w:jc w:val="center"/>
              <w:spacing w:after="0" w:line="160" w:lineRule="exact"/>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44"/>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36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vMerge w:val="continue"/>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5" w:lineRule="exact"/>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48"/>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36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Incentive</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39"/>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36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39" w:lineRule="exact"/>
              <w:rPr>
                <w:sz w:val="20"/>
                <w:szCs w:val="20"/>
                <w:color w:val="auto"/>
              </w:rPr>
            </w:pPr>
            <w:r>
              <w:rPr>
                <w:rFonts w:ascii="Arial" w:cs="Arial" w:eastAsia="Arial" w:hAnsi="Arial"/>
                <w:sz w:val="14"/>
                <w:szCs w:val="14"/>
                <w:b w:val="1"/>
                <w:bCs w:val="1"/>
                <w:color w:val="FFFFFF"/>
              </w:rPr>
              <w:t>Plan</w:t>
            </w:r>
          </w:p>
        </w:tc>
        <w:tc>
          <w:tcPr>
            <w:tcW w:w="1240" w:type="dxa"/>
            <w:vAlign w:val="bottom"/>
            <w:tcBorders>
              <w:right w:val="single" w:sz="8" w:color="B6B6B6"/>
            </w:tcBorders>
            <w:shd w:val="clear" w:color="auto" w:fill="DA2031"/>
          </w:tcPr>
          <w:p>
            <w:pPr>
              <w:jc w:val="center"/>
              <w:spacing w:after="0" w:line="13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44"/>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36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Number</w:t>
            </w:r>
          </w:p>
        </w:tc>
        <w:tc>
          <w:tcPr>
            <w:tcW w:w="124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5" w:lineRule="exact"/>
              <w:rPr>
                <w:sz w:val="20"/>
                <w:szCs w:val="20"/>
                <w:color w:val="auto"/>
              </w:rPr>
            </w:pPr>
            <w:r>
              <w:rPr>
                <w:rFonts w:ascii="Arial" w:cs="Arial" w:eastAsia="Arial" w:hAnsi="Arial"/>
                <w:sz w:val="14"/>
                <w:szCs w:val="14"/>
                <w:b w:val="1"/>
                <w:bCs w:val="1"/>
                <w:color w:val="FFFFFF"/>
              </w:rPr>
              <w:t>Awards:</w:t>
            </w:r>
          </w:p>
        </w:tc>
        <w:tc>
          <w:tcPr>
            <w:tcW w:w="1240" w:type="dxa"/>
            <w:vAlign w:val="bottom"/>
            <w:tcBorders>
              <w:right w:val="single" w:sz="8" w:color="B6B6B6"/>
            </w:tcBorders>
            <w:shd w:val="clear" w:color="auto" w:fill="DA2031"/>
          </w:tcPr>
          <w:p>
            <w:pPr>
              <w:jc w:val="center"/>
              <w:spacing w:after="0" w:line="145" w:lineRule="exact"/>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48"/>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36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vMerge w:val="continue"/>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Number</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48"/>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36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w w:val="90"/>
              </w:rPr>
              <w:t>of</w:t>
            </w:r>
          </w:p>
        </w:tc>
        <w:tc>
          <w:tcPr>
            <w:tcW w:w="1240" w:type="dxa"/>
            <w:vAlign w:val="bottom"/>
            <w:tcBorders>
              <w:right w:val="single" w:sz="8" w:color="B6B6B6"/>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Market</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of</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35"/>
        </w:trPr>
        <w:tc>
          <w:tcPr>
            <w:tcW w:w="1280" w:type="dxa"/>
            <w:vAlign w:val="bottom"/>
            <w:tcBorders>
              <w:left w:val="single" w:sz="8" w:color="B6B6B6"/>
              <w:right w:val="single" w:sz="8" w:color="B6B6B6"/>
            </w:tcBorders>
            <w:shd w:val="clear" w:color="auto" w:fill="DA2031"/>
          </w:tcPr>
          <w:p>
            <w:pPr>
              <w:spacing w:after="0"/>
              <w:rPr>
                <w:sz w:val="11"/>
                <w:szCs w:val="11"/>
                <w:color w:val="auto"/>
              </w:rPr>
            </w:pPr>
          </w:p>
        </w:tc>
        <w:tc>
          <w:tcPr>
            <w:tcW w:w="1240" w:type="dxa"/>
            <w:vAlign w:val="bottom"/>
            <w:tcBorders>
              <w:right w:val="single" w:sz="8" w:color="B6B6B6"/>
            </w:tcBorders>
            <w:shd w:val="clear" w:color="auto" w:fill="DA2031"/>
          </w:tcPr>
          <w:p>
            <w:pPr>
              <w:spacing w:after="0"/>
              <w:rPr>
                <w:sz w:val="11"/>
                <w:szCs w:val="11"/>
                <w:color w:val="auto"/>
              </w:rPr>
            </w:pPr>
          </w:p>
        </w:tc>
        <w:tc>
          <w:tcPr>
            <w:tcW w:w="1360" w:type="dxa"/>
            <w:vAlign w:val="bottom"/>
            <w:tcBorders>
              <w:right w:val="single" w:sz="8" w:color="B6B6B6"/>
            </w:tcBorders>
            <w:shd w:val="clear" w:color="auto" w:fill="DA2031"/>
          </w:tcPr>
          <w:p>
            <w:pPr>
              <w:spacing w:after="0"/>
              <w:rPr>
                <w:sz w:val="11"/>
                <w:szCs w:val="11"/>
                <w:color w:val="auto"/>
              </w:rPr>
            </w:pPr>
          </w:p>
        </w:tc>
        <w:tc>
          <w:tcPr>
            <w:tcW w:w="1240" w:type="dxa"/>
            <w:vAlign w:val="bottom"/>
            <w:tcBorders>
              <w:right w:val="single" w:sz="8" w:color="B6B6B6"/>
            </w:tcBorders>
            <w:shd w:val="clear" w:color="auto" w:fill="DA2031"/>
          </w:tcPr>
          <w:p>
            <w:pPr>
              <w:spacing w:after="0"/>
              <w:rPr>
                <w:sz w:val="11"/>
                <w:szCs w:val="11"/>
                <w:color w:val="auto"/>
              </w:rPr>
            </w:pPr>
          </w:p>
        </w:tc>
        <w:tc>
          <w:tcPr>
            <w:tcW w:w="1180" w:type="dxa"/>
            <w:vAlign w:val="bottom"/>
            <w:tcBorders>
              <w:right w:val="single" w:sz="8" w:color="B6B6B6"/>
            </w:tcBorders>
            <w:shd w:val="clear" w:color="auto" w:fill="DA2031"/>
          </w:tcPr>
          <w:p>
            <w:pPr>
              <w:spacing w:after="0"/>
              <w:rPr>
                <w:sz w:val="11"/>
                <w:szCs w:val="11"/>
                <w:color w:val="auto"/>
              </w:rPr>
            </w:pP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Shares</w:t>
            </w:r>
          </w:p>
        </w:tc>
        <w:tc>
          <w:tcPr>
            <w:tcW w:w="1240" w:type="dxa"/>
            <w:vAlign w:val="bottom"/>
            <w:tcBorders>
              <w:right w:val="single" w:sz="8" w:color="B6B6B6"/>
            </w:tcBorders>
            <w:vMerge w:val="continue"/>
            <w:shd w:val="clear" w:color="auto" w:fill="DA2031"/>
          </w:tcPr>
          <w:p>
            <w:pPr>
              <w:spacing w:after="0"/>
              <w:rPr>
                <w:sz w:val="11"/>
                <w:szCs w:val="11"/>
                <w:color w:val="auto"/>
              </w:rPr>
            </w:pP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Unearned</w:t>
            </w: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48"/>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Number of</w:t>
            </w:r>
          </w:p>
        </w:tc>
        <w:tc>
          <w:tcPr>
            <w:tcW w:w="1360" w:type="dxa"/>
            <w:vAlign w:val="bottom"/>
            <w:tcBorders>
              <w:right w:val="single" w:sz="8" w:color="B6B6B6"/>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Number of</w:t>
            </w: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or Units</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Value of</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Shares,</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48"/>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vMerge w:val="continue"/>
            <w:shd w:val="clear" w:color="auto" w:fill="DA2031"/>
          </w:tcPr>
          <w:p>
            <w:pPr>
              <w:spacing w:after="0"/>
              <w:rPr>
                <w:sz w:val="12"/>
                <w:szCs w:val="12"/>
                <w:color w:val="auto"/>
              </w:rPr>
            </w:pPr>
          </w:p>
        </w:tc>
        <w:tc>
          <w:tcPr>
            <w:tcW w:w="1360" w:type="dxa"/>
            <w:vAlign w:val="bottom"/>
            <w:tcBorders>
              <w:right w:val="single" w:sz="8" w:color="B6B6B6"/>
            </w:tcBorders>
            <w:vMerge w:val="continue"/>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w w:val="90"/>
              </w:rPr>
              <w:t>of</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Shares</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Units or</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35"/>
        </w:trPr>
        <w:tc>
          <w:tcPr>
            <w:tcW w:w="1280" w:type="dxa"/>
            <w:vAlign w:val="bottom"/>
            <w:tcBorders>
              <w:left w:val="single" w:sz="8" w:color="B6B6B6"/>
              <w:right w:val="single" w:sz="8" w:color="B6B6B6"/>
            </w:tcBorders>
            <w:shd w:val="clear" w:color="auto" w:fill="DA2031"/>
          </w:tcPr>
          <w:p>
            <w:pPr>
              <w:spacing w:after="0"/>
              <w:rPr>
                <w:sz w:val="11"/>
                <w:szCs w:val="11"/>
                <w:color w:val="auto"/>
              </w:rPr>
            </w:pP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Securities</w:t>
            </w:r>
          </w:p>
        </w:tc>
        <w:tc>
          <w:tcPr>
            <w:tcW w:w="136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Securities</w:t>
            </w:r>
          </w:p>
        </w:tc>
        <w:tc>
          <w:tcPr>
            <w:tcW w:w="1240" w:type="dxa"/>
            <w:vAlign w:val="bottom"/>
            <w:tcBorders>
              <w:right w:val="single" w:sz="8" w:color="B6B6B6"/>
            </w:tcBorders>
            <w:shd w:val="clear" w:color="auto" w:fill="DA2031"/>
          </w:tcPr>
          <w:p>
            <w:pPr>
              <w:spacing w:after="0"/>
              <w:rPr>
                <w:sz w:val="11"/>
                <w:szCs w:val="11"/>
                <w:color w:val="auto"/>
              </w:rPr>
            </w:pPr>
          </w:p>
        </w:tc>
        <w:tc>
          <w:tcPr>
            <w:tcW w:w="1180" w:type="dxa"/>
            <w:vAlign w:val="bottom"/>
            <w:tcBorders>
              <w:right w:val="single" w:sz="8" w:color="B6B6B6"/>
            </w:tcBorders>
            <w:shd w:val="clear" w:color="auto" w:fill="DA2031"/>
          </w:tcPr>
          <w:p>
            <w:pPr>
              <w:spacing w:after="0"/>
              <w:rPr>
                <w:sz w:val="11"/>
                <w:szCs w:val="11"/>
                <w:color w:val="auto"/>
              </w:rPr>
            </w:pP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Stock</w:t>
            </w: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or Units</w:t>
            </w: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Other</w:t>
            </w: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48"/>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Underlying</w:t>
            </w:r>
          </w:p>
        </w:tc>
        <w:tc>
          <w:tcPr>
            <w:tcW w:w="136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Underlying</w:t>
            </w:r>
          </w:p>
        </w:tc>
        <w:tc>
          <w:tcPr>
            <w:tcW w:w="1240" w:type="dxa"/>
            <w:vAlign w:val="bottom"/>
            <w:tcBorders>
              <w:right w:val="single" w:sz="8" w:color="B6B6B6"/>
            </w:tcBorders>
            <w:shd w:val="clear" w:color="auto" w:fill="DA2031"/>
          </w:tcPr>
          <w:p>
            <w:pPr>
              <w:spacing w:after="0"/>
              <w:rPr>
                <w:sz w:val="12"/>
                <w:szCs w:val="12"/>
                <w:color w:val="auto"/>
              </w:rPr>
            </w:pPr>
          </w:p>
        </w:tc>
        <w:tc>
          <w:tcPr>
            <w:tcW w:w="1180" w:type="dxa"/>
            <w:vAlign w:val="bottom"/>
            <w:tcBorders>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of Stock</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Rights</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Rights</w:t>
            </w:r>
          </w:p>
        </w:tc>
        <w:tc>
          <w:tcPr>
            <w:tcW w:w="0" w:type="dxa"/>
            <w:vAlign w:val="bottom"/>
          </w:tcPr>
          <w:p>
            <w:pPr>
              <w:spacing w:after="0"/>
              <w:rPr>
                <w:sz w:val="1"/>
                <w:szCs w:val="1"/>
                <w:color w:val="auto"/>
              </w:rPr>
            </w:pPr>
          </w:p>
        </w:tc>
      </w:tr>
      <w:tr>
        <w:trPr>
          <w:trHeight w:val="149"/>
        </w:trPr>
        <w:tc>
          <w:tcPr>
            <w:tcW w:w="1280" w:type="dxa"/>
            <w:vAlign w:val="bottom"/>
            <w:tcBorders>
              <w:left w:val="single" w:sz="8" w:color="B6B6B6"/>
              <w:right w:val="single" w:sz="8" w:color="B6B6B6"/>
            </w:tcBorders>
            <w:shd w:val="clear" w:color="auto" w:fill="DA2031"/>
          </w:tcPr>
          <w:p>
            <w:pPr>
              <w:spacing w:after="0"/>
              <w:rPr>
                <w:sz w:val="12"/>
                <w:szCs w:val="12"/>
                <w:color w:val="auto"/>
              </w:rPr>
            </w:pP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Unexercised</w:t>
            </w:r>
          </w:p>
        </w:tc>
        <w:tc>
          <w:tcPr>
            <w:tcW w:w="136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Unexercised</w:t>
            </w:r>
          </w:p>
        </w:tc>
        <w:tc>
          <w:tcPr>
            <w:tcW w:w="1240" w:type="dxa"/>
            <w:vAlign w:val="bottom"/>
            <w:tcBorders>
              <w:right w:val="single" w:sz="8" w:color="B6B6B6"/>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Option</w:t>
            </w:r>
          </w:p>
        </w:tc>
        <w:tc>
          <w:tcPr>
            <w:tcW w:w="1180" w:type="dxa"/>
            <w:vAlign w:val="bottom"/>
            <w:tcBorders>
              <w:right w:val="single" w:sz="8" w:color="B6B6B6"/>
            </w:tcBorders>
            <w:vMerge w:val="restart"/>
            <w:shd w:val="clear" w:color="auto" w:fill="DA2031"/>
          </w:tcPr>
          <w:p>
            <w:pPr>
              <w:jc w:val="center"/>
              <w:spacing w:after="0"/>
              <w:rPr>
                <w:sz w:val="20"/>
                <w:szCs w:val="20"/>
                <w:color w:val="auto"/>
              </w:rPr>
            </w:pPr>
            <w:r>
              <w:rPr>
                <w:rFonts w:ascii="Arial" w:cs="Arial" w:eastAsia="Arial" w:hAnsi="Arial"/>
                <w:sz w:val="14"/>
                <w:szCs w:val="14"/>
                <w:b w:val="1"/>
                <w:bCs w:val="1"/>
                <w:color w:val="FFFFFF"/>
              </w:rPr>
              <w:t>Option</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Have</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35"/>
        </w:trPr>
        <w:tc>
          <w:tcPr>
            <w:tcW w:w="1280" w:type="dxa"/>
            <w:vAlign w:val="bottom"/>
            <w:tcBorders>
              <w:left w:val="single" w:sz="8" w:color="B6B6B6"/>
              <w:right w:val="single" w:sz="8" w:color="B6B6B6"/>
            </w:tcBorders>
            <w:shd w:val="clear" w:color="auto" w:fill="DA2031"/>
          </w:tcPr>
          <w:p>
            <w:pPr>
              <w:spacing w:after="0"/>
              <w:rPr>
                <w:sz w:val="11"/>
                <w:szCs w:val="11"/>
                <w:color w:val="auto"/>
              </w:rPr>
            </w:pP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Options</w:t>
            </w:r>
          </w:p>
        </w:tc>
        <w:tc>
          <w:tcPr>
            <w:tcW w:w="136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Options</w:t>
            </w:r>
          </w:p>
        </w:tc>
        <w:tc>
          <w:tcPr>
            <w:tcW w:w="1240" w:type="dxa"/>
            <w:vAlign w:val="bottom"/>
            <w:tcBorders>
              <w:right w:val="single" w:sz="8" w:color="B6B6B6"/>
            </w:tcBorders>
            <w:vMerge w:val="continue"/>
            <w:shd w:val="clear" w:color="auto" w:fill="DA2031"/>
          </w:tcPr>
          <w:p>
            <w:pPr>
              <w:spacing w:after="0"/>
              <w:rPr>
                <w:sz w:val="11"/>
                <w:szCs w:val="11"/>
                <w:color w:val="auto"/>
              </w:rPr>
            </w:pPr>
          </w:p>
        </w:tc>
        <w:tc>
          <w:tcPr>
            <w:tcW w:w="1180" w:type="dxa"/>
            <w:vAlign w:val="bottom"/>
            <w:tcBorders>
              <w:right w:val="single" w:sz="8" w:color="B6B6B6"/>
            </w:tcBorders>
            <w:vMerge w:val="continue"/>
            <w:shd w:val="clear" w:color="auto" w:fill="DA2031"/>
          </w:tcPr>
          <w:p>
            <w:pPr>
              <w:spacing w:after="0"/>
              <w:rPr>
                <w:sz w:val="11"/>
                <w:szCs w:val="11"/>
                <w:color w:val="auto"/>
              </w:rPr>
            </w:pP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Not</w:t>
            </w: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Have Not</w:t>
            </w: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Have Not</w:t>
            </w:r>
          </w:p>
        </w:tc>
        <w:tc>
          <w:tcPr>
            <w:tcW w:w="1240" w:type="dxa"/>
            <w:vAlign w:val="bottom"/>
            <w:tcBorders>
              <w:right w:val="single" w:sz="8" w:color="B6B6B6"/>
            </w:tcBorders>
            <w:shd w:val="clear" w:color="auto" w:fill="DA2031"/>
          </w:tcPr>
          <w:p>
            <w:pPr>
              <w:jc w:val="center"/>
              <w:spacing w:after="0" w:line="135"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48"/>
        </w:trPr>
        <w:tc>
          <w:tcPr>
            <w:tcW w:w="1280" w:type="dxa"/>
            <w:vAlign w:val="bottom"/>
            <w:tcBorders>
              <w:left w:val="single" w:sz="8" w:color="B6B6B6"/>
              <w:right w:val="single" w:sz="8" w:color="B6B6B6"/>
            </w:tcBorders>
            <w:vMerge w:val="restart"/>
            <w:shd w:val="clear" w:color="auto" w:fill="DA2031"/>
          </w:tcPr>
          <w:p>
            <w:pPr>
              <w:ind w:left="40"/>
              <w:spacing w:after="0"/>
              <w:rPr>
                <w:sz w:val="20"/>
                <w:szCs w:val="20"/>
                <w:color w:val="auto"/>
              </w:rPr>
            </w:pPr>
            <w:r>
              <w:rPr>
                <w:rFonts w:ascii="Arial" w:cs="Arial" w:eastAsia="Arial" w:hAnsi="Arial"/>
                <w:sz w:val="14"/>
                <w:szCs w:val="14"/>
                <w:b w:val="1"/>
                <w:bCs w:val="1"/>
                <w:color w:val="FFFFFF"/>
              </w:rPr>
              <w:t>Name</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Exercisable</w:t>
            </w:r>
          </w:p>
        </w:tc>
        <w:tc>
          <w:tcPr>
            <w:tcW w:w="136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Unexercisable</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Exercise</w:t>
            </w:r>
          </w:p>
        </w:tc>
        <w:tc>
          <w:tcPr>
            <w:tcW w:w="118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Expiration</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240" w:type="dxa"/>
            <w:vAlign w:val="bottom"/>
            <w:tcBorders>
              <w:right w:val="single" w:sz="8" w:color="B6B6B6"/>
            </w:tcBorders>
            <w:shd w:val="clear" w:color="auto" w:fill="DA2031"/>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203"/>
        </w:trPr>
        <w:tc>
          <w:tcPr>
            <w:tcW w:w="1280" w:type="dxa"/>
            <w:vAlign w:val="bottom"/>
            <w:tcBorders>
              <w:left w:val="single" w:sz="8" w:color="B6B6B6"/>
              <w:right w:val="single" w:sz="8" w:color="B6B6B6"/>
            </w:tcBorders>
            <w:vMerge w:val="continue"/>
            <w:shd w:val="clear" w:color="auto" w:fill="DA2031"/>
          </w:tcPr>
          <w:p>
            <w:pPr>
              <w:spacing w:after="0"/>
              <w:rPr>
                <w:sz w:val="17"/>
                <w:szCs w:val="17"/>
                <w:color w:val="auto"/>
              </w:rPr>
            </w:pPr>
          </w:p>
        </w:tc>
        <w:tc>
          <w:tcPr>
            <w:tcW w:w="1240" w:type="dxa"/>
            <w:vAlign w:val="bottom"/>
            <w:tcBorders>
              <w:right w:val="single" w:sz="8" w:color="B6B6B6"/>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8"/>
              </w:rPr>
              <w:t>(#) (A)</w:t>
            </w:r>
          </w:p>
        </w:tc>
        <w:tc>
          <w:tcPr>
            <w:tcW w:w="1360" w:type="dxa"/>
            <w:vAlign w:val="bottom"/>
            <w:tcBorders>
              <w:right w:val="single" w:sz="8" w:color="B6B6B6"/>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8"/>
              </w:rPr>
              <w:t>(#) (B)</w:t>
            </w:r>
          </w:p>
        </w:tc>
        <w:tc>
          <w:tcPr>
            <w:tcW w:w="1240" w:type="dxa"/>
            <w:vAlign w:val="bottom"/>
            <w:tcBorders>
              <w:right w:val="single" w:sz="8" w:color="B6B6B6"/>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Price ($)</w:t>
            </w:r>
          </w:p>
        </w:tc>
        <w:tc>
          <w:tcPr>
            <w:tcW w:w="1180" w:type="dxa"/>
            <w:vAlign w:val="bottom"/>
            <w:tcBorders>
              <w:right w:val="single" w:sz="8" w:color="B6B6B6"/>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240" w:type="dxa"/>
            <w:vAlign w:val="bottom"/>
            <w:tcBorders>
              <w:right w:val="single" w:sz="8" w:color="B6B6B6"/>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8"/>
              </w:rPr>
              <w:t>(#) (C)</w:t>
            </w:r>
          </w:p>
        </w:tc>
        <w:tc>
          <w:tcPr>
            <w:tcW w:w="1240" w:type="dxa"/>
            <w:vAlign w:val="bottom"/>
            <w:tcBorders>
              <w:right w:val="single" w:sz="8" w:color="B6B6B6"/>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8"/>
              </w:rPr>
              <w:t>($) (C)</w:t>
            </w:r>
          </w:p>
        </w:tc>
        <w:tc>
          <w:tcPr>
            <w:tcW w:w="1240" w:type="dxa"/>
            <w:vAlign w:val="bottom"/>
            <w:tcBorders>
              <w:right w:val="single" w:sz="8" w:color="B6B6B6"/>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 (D)</w:t>
            </w:r>
          </w:p>
        </w:tc>
        <w:tc>
          <w:tcPr>
            <w:tcW w:w="1240" w:type="dxa"/>
            <w:vAlign w:val="bottom"/>
            <w:tcBorders>
              <w:right w:val="single" w:sz="8" w:color="B6B6B6"/>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 (D)</w:t>
            </w:r>
          </w:p>
        </w:tc>
        <w:tc>
          <w:tcPr>
            <w:tcW w:w="0" w:type="dxa"/>
            <w:vAlign w:val="bottom"/>
          </w:tcPr>
          <w:p>
            <w:pPr>
              <w:spacing w:after="0"/>
              <w:rPr>
                <w:sz w:val="1"/>
                <w:szCs w:val="1"/>
                <w:color w:val="auto"/>
              </w:rPr>
            </w:pPr>
          </w:p>
        </w:tc>
      </w:tr>
      <w:tr>
        <w:trPr>
          <w:trHeight w:val="193"/>
        </w:trPr>
        <w:tc>
          <w:tcPr>
            <w:tcW w:w="1280" w:type="dxa"/>
            <w:vAlign w:val="bottom"/>
            <w:tcBorders>
              <w:left w:val="single" w:sz="8" w:color="B6B6B6"/>
              <w:right w:val="single" w:sz="8" w:color="B6B6B6"/>
            </w:tcBorders>
          </w:tcPr>
          <w:p>
            <w:pPr>
              <w:ind w:left="40"/>
              <w:spacing w:after="0"/>
              <w:rPr>
                <w:sz w:val="20"/>
                <w:szCs w:val="20"/>
                <w:color w:val="auto"/>
              </w:rPr>
            </w:pPr>
            <w:r>
              <w:rPr>
                <w:rFonts w:ascii="Arial" w:cs="Arial" w:eastAsia="Arial" w:hAnsi="Arial"/>
                <w:sz w:val="14"/>
                <w:szCs w:val="14"/>
                <w:color w:val="auto"/>
              </w:rPr>
              <w:t>Steven J.</w:t>
            </w:r>
          </w:p>
        </w:tc>
        <w:tc>
          <w:tcPr>
            <w:tcW w:w="124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4"/>
                <w:szCs w:val="14"/>
                <w:color w:val="auto"/>
              </w:rPr>
              <w:t>41,990</w:t>
            </w:r>
          </w:p>
        </w:tc>
        <w:tc>
          <w:tcPr>
            <w:tcW w:w="1360" w:type="dxa"/>
            <w:vAlign w:val="bottom"/>
            <w:tcBorders>
              <w:right w:val="single" w:sz="8" w:color="B6B6B6"/>
            </w:tcBorders>
            <w:vMerge w:val="restart"/>
          </w:tcPr>
          <w:p>
            <w:pPr>
              <w:ind w:left="1120"/>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4"/>
                <w:szCs w:val="14"/>
                <w:color w:val="auto"/>
              </w:rPr>
              <w:t>24.00</w:t>
            </w:r>
          </w:p>
        </w:tc>
        <w:tc>
          <w:tcPr>
            <w:tcW w:w="11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4"/>
                <w:szCs w:val="14"/>
                <w:color w:val="auto"/>
              </w:rPr>
              <w:t>7/1/2028</w:t>
            </w:r>
          </w:p>
        </w:tc>
        <w:tc>
          <w:tcPr>
            <w:tcW w:w="124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4"/>
                <w:szCs w:val="14"/>
                <w:color w:val="auto"/>
              </w:rPr>
              <w:t>1,113,300</w:t>
            </w:r>
          </w:p>
        </w:tc>
        <w:tc>
          <w:tcPr>
            <w:tcW w:w="1240" w:type="dxa"/>
            <w:vAlign w:val="bottom"/>
            <w:tcBorders>
              <w:right w:val="single" w:sz="8" w:color="B6B6B6"/>
            </w:tcBorders>
            <w:vMerge w:val="restart"/>
          </w:tcPr>
          <w:p>
            <w:pPr>
              <w:jc w:val="right"/>
              <w:ind w:right="28"/>
              <w:spacing w:after="0"/>
              <w:rPr>
                <w:sz w:val="20"/>
                <w:szCs w:val="20"/>
                <w:color w:val="auto"/>
              </w:rPr>
            </w:pPr>
            <w:r>
              <w:rPr>
                <w:rFonts w:ascii="Arial" w:cs="Arial" w:eastAsia="Arial" w:hAnsi="Arial"/>
                <w:sz w:val="14"/>
                <w:szCs w:val="14"/>
                <w:color w:val="auto"/>
              </w:rPr>
              <w:t>2,638,521</w:t>
            </w:r>
          </w:p>
        </w:tc>
        <w:tc>
          <w:tcPr>
            <w:tcW w:w="124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4"/>
                <w:szCs w:val="14"/>
                <w:color w:val="auto"/>
              </w:rPr>
              <w:t>1,360,384</w:t>
            </w:r>
          </w:p>
        </w:tc>
        <w:tc>
          <w:tcPr>
            <w:tcW w:w="1240" w:type="dxa"/>
            <w:vAlign w:val="bottom"/>
            <w:tcBorders>
              <w:right w:val="single" w:sz="8" w:color="B6B6B6"/>
            </w:tcBorders>
            <w:vMerge w:val="restart"/>
          </w:tcPr>
          <w:p>
            <w:pPr>
              <w:jc w:val="right"/>
              <w:ind w:right="8"/>
              <w:spacing w:after="0"/>
              <w:rPr>
                <w:sz w:val="20"/>
                <w:szCs w:val="20"/>
                <w:color w:val="auto"/>
              </w:rPr>
            </w:pPr>
            <w:r>
              <w:rPr>
                <w:rFonts w:ascii="Arial" w:cs="Arial" w:eastAsia="Arial" w:hAnsi="Arial"/>
                <w:sz w:val="14"/>
                <w:szCs w:val="14"/>
                <w:color w:val="auto"/>
              </w:rPr>
              <w:t>3,224,110</w:t>
            </w:r>
          </w:p>
        </w:tc>
        <w:tc>
          <w:tcPr>
            <w:tcW w:w="0" w:type="dxa"/>
            <w:vAlign w:val="bottom"/>
          </w:tcPr>
          <w:p>
            <w:pPr>
              <w:spacing w:after="0"/>
              <w:rPr>
                <w:sz w:val="1"/>
                <w:szCs w:val="1"/>
                <w:color w:val="auto"/>
              </w:rPr>
            </w:pPr>
          </w:p>
        </w:tc>
      </w:tr>
      <w:tr>
        <w:trPr>
          <w:trHeight w:val="96"/>
        </w:trPr>
        <w:tc>
          <w:tcPr>
            <w:tcW w:w="1280" w:type="dxa"/>
            <w:vAlign w:val="bottom"/>
            <w:tcBorders>
              <w:left w:val="single" w:sz="8" w:color="B6B6B6"/>
              <w:right w:val="single" w:sz="8" w:color="B6B6B6"/>
            </w:tcBorders>
            <w:vMerge w:val="restart"/>
          </w:tcPr>
          <w:p>
            <w:pPr>
              <w:ind w:left="40"/>
              <w:spacing w:after="0"/>
              <w:rPr>
                <w:sz w:val="20"/>
                <w:szCs w:val="20"/>
                <w:color w:val="auto"/>
              </w:rPr>
            </w:pPr>
            <w:r>
              <w:rPr>
                <w:rFonts w:ascii="Arial" w:cs="Arial" w:eastAsia="Arial" w:hAnsi="Arial"/>
                <w:sz w:val="14"/>
                <w:szCs w:val="14"/>
                <w:color w:val="auto"/>
              </w:rPr>
              <w:t>Bandrowczak</w:t>
            </w:r>
          </w:p>
        </w:tc>
        <w:tc>
          <w:tcPr>
            <w:tcW w:w="1240" w:type="dxa"/>
            <w:vAlign w:val="bottom"/>
            <w:tcBorders>
              <w:right w:val="single" w:sz="8" w:color="B6B6B6"/>
            </w:tcBorders>
            <w:vMerge w:val="continue"/>
          </w:tcPr>
          <w:p>
            <w:pPr>
              <w:spacing w:after="0"/>
              <w:rPr>
                <w:sz w:val="8"/>
                <w:szCs w:val="8"/>
                <w:color w:val="auto"/>
              </w:rPr>
            </w:pPr>
          </w:p>
        </w:tc>
        <w:tc>
          <w:tcPr>
            <w:tcW w:w="136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18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Borders>
              <w:left w:val="single" w:sz="8" w:color="B6B6B6"/>
              <w:right w:val="single" w:sz="8" w:color="B6B6B6"/>
            </w:tcBorders>
            <w:vMerge w:val="continue"/>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36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18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280" w:type="dxa"/>
            <w:vAlign w:val="bottom"/>
            <w:tcBorders>
              <w:left w:val="single" w:sz="8" w:color="B6B6B6"/>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36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18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B6B6B6"/>
              <w:bottom w:val="single" w:sz="8" w:color="DBDBDB"/>
              <w:right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John Bruno</w:t>
            </w:r>
          </w:p>
        </w:tc>
        <w:tc>
          <w:tcPr>
            <w:tcW w:w="1240" w:type="dxa"/>
            <w:vAlign w:val="bottom"/>
            <w:tcBorders>
              <w:bottom w:val="single" w:sz="8" w:color="DBDBDB"/>
              <w:right w:val="single" w:sz="8" w:color="B6B6B6"/>
            </w:tcBorders>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BDBDB"/>
              <w:right w:val="single" w:sz="8" w:color="B6B6B6"/>
            </w:tcBorders>
            <w:shd w:val="clear" w:color="auto" w:fill="DBDBDB"/>
          </w:tcPr>
          <w:p>
            <w:pPr>
              <w:jc w:val="center"/>
              <w:ind w:left="106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DBDBDB"/>
              <w:right w:val="single" w:sz="8" w:color="B6B6B6"/>
            </w:tcBorders>
            <w:shd w:val="clear" w:color="auto" w:fill="DBDBDB"/>
          </w:tcPr>
          <w:p>
            <w:pPr>
              <w:ind w:left="1000"/>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722,990</w:t>
            </w:r>
          </w:p>
        </w:tc>
        <w:tc>
          <w:tcPr>
            <w:tcW w:w="1240" w:type="dxa"/>
            <w:vAlign w:val="bottom"/>
            <w:tcBorders>
              <w:bottom w:val="single" w:sz="8" w:color="DBDBDB"/>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1,713,486</w:t>
            </w:r>
          </w:p>
        </w:tc>
        <w:tc>
          <w:tcPr>
            <w:tcW w:w="124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DBDBDB"/>
              <w:right w:val="single" w:sz="8" w:color="B6B6B6"/>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280" w:type="dxa"/>
            <w:vAlign w:val="bottom"/>
            <w:tcBorders>
              <w:top w:val="single" w:sz="8" w:color="B6B6B6"/>
              <w:left w:val="single" w:sz="8" w:color="B6B6B6"/>
              <w:right w:val="single" w:sz="8" w:color="B6B6B6"/>
            </w:tcBorders>
          </w:tcPr>
          <w:p>
            <w:pPr>
              <w:ind w:left="40"/>
              <w:spacing w:after="0"/>
              <w:rPr>
                <w:sz w:val="20"/>
                <w:szCs w:val="20"/>
                <w:color w:val="auto"/>
              </w:rPr>
            </w:pPr>
            <w:r>
              <w:rPr>
                <w:rFonts w:ascii="Arial" w:cs="Arial" w:eastAsia="Arial" w:hAnsi="Arial"/>
                <w:sz w:val="14"/>
                <w:szCs w:val="14"/>
                <w:color w:val="auto"/>
              </w:rPr>
              <w:t>Louis J. Pastor</w:t>
            </w:r>
          </w:p>
        </w:tc>
        <w:tc>
          <w:tcPr>
            <w:tcW w:w="1240" w:type="dxa"/>
            <w:vAlign w:val="bottom"/>
            <w:tcBorders>
              <w:top w:val="single" w:sz="8" w:color="B6B6B6"/>
              <w:right w:val="single" w:sz="8" w:color="B6B6B6"/>
            </w:tcBorders>
          </w:tcPr>
          <w:p>
            <w:pPr>
              <w:ind w:left="100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B6B6B6"/>
              <w:right w:val="single" w:sz="8" w:color="B6B6B6"/>
            </w:tcBorders>
          </w:tcPr>
          <w:p>
            <w:pPr>
              <w:jc w:val="center"/>
              <w:ind w:left="1068"/>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B6B6B6"/>
              <w:right w:val="single" w:sz="8" w:color="B6B6B6"/>
            </w:tcBorders>
          </w:tcPr>
          <w:p>
            <w:pPr>
              <w:ind w:left="1060"/>
              <w:spacing w:after="0"/>
              <w:rPr>
                <w:sz w:val="20"/>
                <w:szCs w:val="20"/>
                <w:color w:val="auto"/>
              </w:rPr>
            </w:pPr>
            <w:r>
              <w:rPr>
                <w:rFonts w:ascii="Arial" w:cs="Arial" w:eastAsia="Arial" w:hAnsi="Arial"/>
                <w:sz w:val="14"/>
                <w:szCs w:val="14"/>
                <w:color w:val="auto"/>
                <w:w w:val="99"/>
              </w:rPr>
              <w:t>—</w:t>
            </w:r>
          </w:p>
        </w:tc>
        <w:tc>
          <w:tcPr>
            <w:tcW w:w="1180" w:type="dxa"/>
            <w:vAlign w:val="bottom"/>
            <w:tcBorders>
              <w:top w:val="single" w:sz="8" w:color="B6B6B6"/>
              <w:right w:val="single" w:sz="8" w:color="B6B6B6"/>
            </w:tcBorders>
          </w:tcPr>
          <w:p>
            <w:pPr>
              <w:ind w:left="1000"/>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371,861</w:t>
            </w:r>
          </w:p>
        </w:tc>
        <w:tc>
          <w:tcPr>
            <w:tcW w:w="1240" w:type="dxa"/>
            <w:vAlign w:val="bottom"/>
            <w:tcBorders>
              <w:top w:val="single" w:sz="8" w:color="B6B6B6"/>
              <w:right w:val="single" w:sz="8" w:color="B6B6B6"/>
            </w:tcBorders>
          </w:tcPr>
          <w:p>
            <w:pPr>
              <w:jc w:val="right"/>
              <w:spacing w:after="0"/>
              <w:rPr>
                <w:sz w:val="20"/>
                <w:szCs w:val="20"/>
                <w:color w:val="auto"/>
              </w:rPr>
            </w:pPr>
            <w:r>
              <w:rPr>
                <w:rFonts w:ascii="Arial" w:cs="Arial" w:eastAsia="Arial" w:hAnsi="Arial"/>
                <w:sz w:val="14"/>
                <w:szCs w:val="14"/>
                <w:color w:val="auto"/>
              </w:rPr>
              <w:t>881,311</w:t>
            </w:r>
          </w:p>
        </w:tc>
        <w:tc>
          <w:tcPr>
            <w:tcW w:w="1240" w:type="dxa"/>
            <w:vAlign w:val="bottom"/>
            <w:tcBorders>
              <w:top w:val="single" w:sz="8" w:color="B6B6B6"/>
              <w:right w:val="single" w:sz="8" w:color="B6B6B6"/>
            </w:tcBorders>
          </w:tcPr>
          <w:p>
            <w:pPr>
              <w:jc w:val="right"/>
              <w:spacing w:after="0"/>
              <w:rPr>
                <w:sz w:val="20"/>
                <w:szCs w:val="20"/>
                <w:color w:val="auto"/>
              </w:rPr>
            </w:pPr>
            <w:r>
              <w:rPr>
                <w:rFonts w:ascii="Arial" w:cs="Arial" w:eastAsia="Arial" w:hAnsi="Arial"/>
                <w:sz w:val="14"/>
                <w:szCs w:val="14"/>
                <w:color w:val="auto"/>
              </w:rPr>
              <w:t>317,653</w:t>
            </w:r>
          </w:p>
        </w:tc>
        <w:tc>
          <w:tcPr>
            <w:tcW w:w="1240" w:type="dxa"/>
            <w:vAlign w:val="bottom"/>
            <w:tcBorders>
              <w:top w:val="single" w:sz="8" w:color="B6B6B6"/>
              <w:right w:val="single" w:sz="8" w:color="B6B6B6"/>
            </w:tcBorders>
          </w:tcPr>
          <w:p>
            <w:pPr>
              <w:jc w:val="right"/>
              <w:spacing w:after="0"/>
              <w:rPr>
                <w:sz w:val="20"/>
                <w:szCs w:val="20"/>
                <w:color w:val="auto"/>
              </w:rPr>
            </w:pPr>
            <w:r>
              <w:rPr>
                <w:rFonts w:ascii="Arial" w:cs="Arial" w:eastAsia="Arial" w:hAnsi="Arial"/>
                <w:sz w:val="14"/>
                <w:szCs w:val="14"/>
                <w:color w:val="auto"/>
              </w:rPr>
              <w:t>752,838</w:t>
            </w:r>
          </w:p>
        </w:tc>
        <w:tc>
          <w:tcPr>
            <w:tcW w:w="0" w:type="dxa"/>
            <w:vAlign w:val="bottom"/>
          </w:tcPr>
          <w:p>
            <w:pPr>
              <w:spacing w:after="0"/>
              <w:rPr>
                <w:sz w:val="1"/>
                <w:szCs w:val="1"/>
                <w:color w:val="auto"/>
              </w:rPr>
            </w:pPr>
          </w:p>
        </w:tc>
      </w:tr>
      <w:tr>
        <w:trPr>
          <w:trHeight w:val="22"/>
        </w:trPr>
        <w:tc>
          <w:tcPr>
            <w:tcW w:w="1280" w:type="dxa"/>
            <w:vAlign w:val="bottom"/>
            <w:tcBorders>
              <w:left w:val="single" w:sz="8" w:color="B6B6B6"/>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36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18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B6B6B6"/>
              <w:bottom w:val="single" w:sz="8" w:color="DBDBDB"/>
              <w:right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Charles Butler</w:t>
            </w:r>
          </w:p>
        </w:tc>
        <w:tc>
          <w:tcPr>
            <w:tcW w:w="1240" w:type="dxa"/>
            <w:vAlign w:val="bottom"/>
            <w:tcBorders>
              <w:bottom w:val="single" w:sz="8" w:color="DBDBDB"/>
              <w:right w:val="single" w:sz="8" w:color="B6B6B6"/>
            </w:tcBorders>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BDBDB"/>
              <w:right w:val="single" w:sz="8" w:color="B6B6B6"/>
            </w:tcBorders>
            <w:shd w:val="clear" w:color="auto" w:fill="DBDBDB"/>
          </w:tcPr>
          <w:p>
            <w:pPr>
              <w:jc w:val="center"/>
              <w:ind w:left="1068"/>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DBDBDB"/>
              <w:right w:val="single" w:sz="8" w:color="B6B6B6"/>
            </w:tcBorders>
            <w:shd w:val="clear" w:color="auto" w:fill="DBDBDB"/>
          </w:tcPr>
          <w:p>
            <w:pPr>
              <w:ind w:left="1060"/>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DBDBDB"/>
              <w:right w:val="single" w:sz="8" w:color="B6B6B6"/>
            </w:tcBorders>
            <w:shd w:val="clear" w:color="auto" w:fill="DBDBDB"/>
          </w:tcPr>
          <w:p>
            <w:pPr>
              <w:ind w:left="1000"/>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DBDBDB"/>
              <w:right w:val="single" w:sz="8" w:color="B6B6B6"/>
            </w:tcBorders>
            <w:shd w:val="clear" w:color="auto" w:fill="DBDBDB"/>
          </w:tcPr>
          <w:p>
            <w:pPr>
              <w:ind w:left="1060"/>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DBDBDB"/>
              <w:right w:val="single" w:sz="8" w:color="B6B6B6"/>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DBDBDB"/>
              <w:right w:val="single" w:sz="8" w:color="B6B6B6"/>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1280" w:type="dxa"/>
            <w:vAlign w:val="bottom"/>
            <w:tcBorders>
              <w:top w:val="single" w:sz="8" w:color="B6B6B6"/>
              <w:left w:val="single" w:sz="8" w:color="B6B6B6"/>
              <w:right w:val="single" w:sz="8" w:color="B6B6B6"/>
            </w:tcBorders>
          </w:tcPr>
          <w:p>
            <w:pPr>
              <w:ind w:left="40"/>
              <w:spacing w:after="0"/>
              <w:rPr>
                <w:sz w:val="20"/>
                <w:szCs w:val="20"/>
                <w:color w:val="auto"/>
              </w:rPr>
            </w:pPr>
            <w:r>
              <w:rPr>
                <w:rFonts w:ascii="Arial" w:cs="Arial" w:eastAsia="Arial" w:hAnsi="Arial"/>
                <w:sz w:val="14"/>
                <w:szCs w:val="14"/>
                <w:color w:val="auto"/>
              </w:rPr>
              <w:t>Jacques-Edouard</w:t>
            </w:r>
          </w:p>
        </w:tc>
        <w:tc>
          <w:tcPr>
            <w:tcW w:w="1240" w:type="dxa"/>
            <w:vAlign w:val="bottom"/>
            <w:tcBorders>
              <w:top w:val="single" w:sz="8" w:color="B6B6B6"/>
              <w:right w:val="single" w:sz="8" w:color="B6B6B6"/>
            </w:tcBorders>
            <w:vMerge w:val="restart"/>
          </w:tcPr>
          <w:p>
            <w:pPr>
              <w:jc w:val="center"/>
              <w:spacing w:after="0"/>
              <w:rPr>
                <w:sz w:val="20"/>
                <w:szCs w:val="20"/>
                <w:color w:val="auto"/>
              </w:rPr>
            </w:pPr>
            <w:r>
              <w:rPr>
                <w:rFonts w:ascii="Arial" w:cs="Arial" w:eastAsia="Arial" w:hAnsi="Arial"/>
                <w:sz w:val="14"/>
                <w:szCs w:val="14"/>
                <w:color w:val="auto"/>
              </w:rPr>
              <w:t>6,861</w:t>
            </w:r>
          </w:p>
        </w:tc>
        <w:tc>
          <w:tcPr>
            <w:tcW w:w="1360" w:type="dxa"/>
            <w:vAlign w:val="bottom"/>
            <w:tcBorders>
              <w:top w:val="single" w:sz="8" w:color="B6B6B6"/>
              <w:right w:val="single" w:sz="8" w:color="B6B6B6"/>
            </w:tcBorders>
            <w:vMerge w:val="restart"/>
          </w:tcPr>
          <w:p>
            <w:pPr>
              <w:jc w:val="center"/>
              <w:ind w:left="1068"/>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B6B6B6"/>
              <w:right w:val="single" w:sz="8" w:color="B6B6B6"/>
            </w:tcBorders>
            <w:vMerge w:val="restart"/>
          </w:tcPr>
          <w:p>
            <w:pPr>
              <w:jc w:val="center"/>
              <w:spacing w:after="0"/>
              <w:rPr>
                <w:sz w:val="20"/>
                <w:szCs w:val="20"/>
                <w:color w:val="auto"/>
              </w:rPr>
            </w:pPr>
            <w:r>
              <w:rPr>
                <w:rFonts w:ascii="Arial" w:cs="Arial" w:eastAsia="Arial" w:hAnsi="Arial"/>
                <w:sz w:val="14"/>
                <w:szCs w:val="14"/>
                <w:color w:val="auto"/>
              </w:rPr>
              <w:t>27.98</w:t>
            </w:r>
          </w:p>
        </w:tc>
        <w:tc>
          <w:tcPr>
            <w:tcW w:w="1180" w:type="dxa"/>
            <w:vAlign w:val="bottom"/>
            <w:tcBorders>
              <w:top w:val="single" w:sz="8" w:color="B6B6B6"/>
              <w:right w:val="single" w:sz="8" w:color="B6B6B6"/>
            </w:tcBorders>
            <w:vMerge w:val="restart"/>
          </w:tcPr>
          <w:p>
            <w:pPr>
              <w:jc w:val="center"/>
              <w:spacing w:after="0"/>
              <w:rPr>
                <w:sz w:val="20"/>
                <w:szCs w:val="20"/>
                <w:color w:val="auto"/>
              </w:rPr>
            </w:pPr>
            <w:r>
              <w:rPr>
                <w:rFonts w:ascii="Arial" w:cs="Arial" w:eastAsia="Arial" w:hAnsi="Arial"/>
                <w:sz w:val="14"/>
                <w:szCs w:val="14"/>
                <w:color w:val="auto"/>
              </w:rPr>
              <w:t>4/5/2028</w:t>
            </w:r>
          </w:p>
        </w:tc>
        <w:tc>
          <w:tcPr>
            <w:tcW w:w="1240" w:type="dxa"/>
            <w:vAlign w:val="bottom"/>
            <w:tcBorders>
              <w:top w:val="single" w:sz="8" w:color="B6B6B6"/>
              <w:right w:val="single" w:sz="8" w:color="B6B6B6"/>
            </w:tcBorders>
            <w:vMerge w:val="restart"/>
          </w:tcPr>
          <w:p>
            <w:pPr>
              <w:jc w:val="center"/>
              <w:spacing w:after="0"/>
              <w:rPr>
                <w:sz w:val="20"/>
                <w:szCs w:val="20"/>
                <w:color w:val="auto"/>
              </w:rPr>
            </w:pPr>
            <w:r>
              <w:rPr>
                <w:rFonts w:ascii="Arial" w:cs="Arial" w:eastAsia="Arial" w:hAnsi="Arial"/>
                <w:sz w:val="14"/>
                <w:szCs w:val="14"/>
                <w:color w:val="auto"/>
              </w:rPr>
              <w:t>223,159</w:t>
            </w:r>
          </w:p>
        </w:tc>
        <w:tc>
          <w:tcPr>
            <w:tcW w:w="1240" w:type="dxa"/>
            <w:vAlign w:val="bottom"/>
            <w:tcBorders>
              <w:top w:val="single" w:sz="8" w:color="B6B6B6"/>
              <w:right w:val="single" w:sz="8" w:color="B6B6B6"/>
            </w:tcBorders>
            <w:vMerge w:val="restart"/>
          </w:tcPr>
          <w:p>
            <w:pPr>
              <w:jc w:val="right"/>
              <w:spacing w:after="0"/>
              <w:rPr>
                <w:sz w:val="20"/>
                <w:szCs w:val="20"/>
                <w:color w:val="auto"/>
              </w:rPr>
            </w:pPr>
            <w:r>
              <w:rPr>
                <w:rFonts w:ascii="Arial" w:cs="Arial" w:eastAsia="Arial" w:hAnsi="Arial"/>
                <w:sz w:val="14"/>
                <w:szCs w:val="14"/>
                <w:color w:val="auto"/>
              </w:rPr>
              <w:t>528,887</w:t>
            </w:r>
          </w:p>
        </w:tc>
        <w:tc>
          <w:tcPr>
            <w:tcW w:w="1240" w:type="dxa"/>
            <w:vAlign w:val="bottom"/>
            <w:tcBorders>
              <w:top w:val="single" w:sz="8" w:color="B6B6B6"/>
              <w:right w:val="single" w:sz="8" w:color="B6B6B6"/>
            </w:tcBorders>
            <w:vMerge w:val="restart"/>
          </w:tcPr>
          <w:p>
            <w:pPr>
              <w:jc w:val="right"/>
              <w:spacing w:after="0"/>
              <w:rPr>
                <w:sz w:val="20"/>
                <w:szCs w:val="20"/>
                <w:color w:val="auto"/>
              </w:rPr>
            </w:pPr>
            <w:r>
              <w:rPr>
                <w:rFonts w:ascii="Arial" w:cs="Arial" w:eastAsia="Arial" w:hAnsi="Arial"/>
                <w:sz w:val="14"/>
                <w:szCs w:val="14"/>
                <w:color w:val="auto"/>
              </w:rPr>
              <w:t>274,339</w:t>
            </w:r>
          </w:p>
        </w:tc>
        <w:tc>
          <w:tcPr>
            <w:tcW w:w="1240" w:type="dxa"/>
            <w:vAlign w:val="bottom"/>
            <w:tcBorders>
              <w:top w:val="single" w:sz="8" w:color="B6B6B6"/>
              <w:right w:val="single" w:sz="8" w:color="B6B6B6"/>
            </w:tcBorders>
            <w:vMerge w:val="restart"/>
          </w:tcPr>
          <w:p>
            <w:pPr>
              <w:jc w:val="right"/>
              <w:spacing w:after="0"/>
              <w:rPr>
                <w:sz w:val="20"/>
                <w:szCs w:val="20"/>
                <w:color w:val="auto"/>
              </w:rPr>
            </w:pPr>
            <w:r>
              <w:rPr>
                <w:rFonts w:ascii="Arial" w:cs="Arial" w:eastAsia="Arial" w:hAnsi="Arial"/>
                <w:sz w:val="14"/>
                <w:szCs w:val="14"/>
                <w:color w:val="auto"/>
              </w:rPr>
              <w:t>650,183</w:t>
            </w:r>
          </w:p>
        </w:tc>
        <w:tc>
          <w:tcPr>
            <w:tcW w:w="0" w:type="dxa"/>
            <w:vAlign w:val="bottom"/>
          </w:tcPr>
          <w:p>
            <w:pPr>
              <w:spacing w:after="0"/>
              <w:rPr>
                <w:sz w:val="1"/>
                <w:szCs w:val="1"/>
                <w:color w:val="auto"/>
              </w:rPr>
            </w:pPr>
          </w:p>
        </w:tc>
      </w:tr>
      <w:tr>
        <w:trPr>
          <w:trHeight w:val="96"/>
        </w:trPr>
        <w:tc>
          <w:tcPr>
            <w:tcW w:w="1280" w:type="dxa"/>
            <w:vAlign w:val="bottom"/>
            <w:tcBorders>
              <w:left w:val="single" w:sz="8" w:color="B6B6B6"/>
              <w:right w:val="single" w:sz="8" w:color="B6B6B6"/>
            </w:tcBorders>
            <w:vMerge w:val="restart"/>
          </w:tcPr>
          <w:p>
            <w:pPr>
              <w:ind w:left="40"/>
              <w:spacing w:after="0"/>
              <w:rPr>
                <w:sz w:val="20"/>
                <w:szCs w:val="20"/>
                <w:color w:val="auto"/>
              </w:rPr>
            </w:pPr>
            <w:r>
              <w:rPr>
                <w:rFonts w:ascii="Arial" w:cs="Arial" w:eastAsia="Arial" w:hAnsi="Arial"/>
                <w:sz w:val="14"/>
                <w:szCs w:val="14"/>
                <w:color w:val="auto"/>
              </w:rPr>
              <w:t>Gueden</w:t>
            </w:r>
          </w:p>
        </w:tc>
        <w:tc>
          <w:tcPr>
            <w:tcW w:w="1240" w:type="dxa"/>
            <w:vAlign w:val="bottom"/>
            <w:tcBorders>
              <w:right w:val="single" w:sz="8" w:color="B6B6B6"/>
            </w:tcBorders>
            <w:vMerge w:val="continue"/>
          </w:tcPr>
          <w:p>
            <w:pPr>
              <w:spacing w:after="0"/>
              <w:rPr>
                <w:sz w:val="8"/>
                <w:szCs w:val="8"/>
                <w:color w:val="auto"/>
              </w:rPr>
            </w:pPr>
          </w:p>
        </w:tc>
        <w:tc>
          <w:tcPr>
            <w:tcW w:w="136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18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1240" w:type="dxa"/>
            <w:vAlign w:val="bottom"/>
            <w:tcBorders>
              <w:right w:val="single" w:sz="8" w:color="B6B6B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Borders>
              <w:left w:val="single" w:sz="8" w:color="B6B6B6"/>
              <w:right w:val="single" w:sz="8" w:color="B6B6B6"/>
            </w:tcBorders>
            <w:vMerge w:val="continue"/>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36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18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1240" w:type="dxa"/>
            <w:vAlign w:val="bottom"/>
            <w:tcBorders>
              <w:right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280" w:type="dxa"/>
            <w:vAlign w:val="bottom"/>
            <w:tcBorders>
              <w:left w:val="single" w:sz="8" w:color="B6B6B6"/>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36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18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280" w:type="dxa"/>
            <w:vAlign w:val="bottom"/>
            <w:tcBorders>
              <w:left w:val="single" w:sz="8" w:color="B6B6B6"/>
              <w:bottom w:val="single" w:sz="8" w:color="DBDBDB"/>
              <w:right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Flor M. Colón</w:t>
            </w:r>
          </w:p>
        </w:tc>
        <w:tc>
          <w:tcPr>
            <w:tcW w:w="124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2,779</w:t>
            </w:r>
          </w:p>
        </w:tc>
        <w:tc>
          <w:tcPr>
            <w:tcW w:w="1360" w:type="dxa"/>
            <w:vAlign w:val="bottom"/>
            <w:tcBorders>
              <w:bottom w:val="single" w:sz="8" w:color="DBDBDB"/>
              <w:right w:val="single" w:sz="8" w:color="B6B6B6"/>
            </w:tcBorders>
            <w:shd w:val="clear" w:color="auto" w:fill="DBDBDB"/>
          </w:tcPr>
          <w:p>
            <w:pPr>
              <w:ind w:left="11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27.98</w:t>
            </w:r>
          </w:p>
        </w:tc>
        <w:tc>
          <w:tcPr>
            <w:tcW w:w="118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4/5/2028</w:t>
            </w:r>
          </w:p>
        </w:tc>
        <w:tc>
          <w:tcPr>
            <w:tcW w:w="124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194,789</w:t>
            </w:r>
          </w:p>
        </w:tc>
        <w:tc>
          <w:tcPr>
            <w:tcW w:w="1240" w:type="dxa"/>
            <w:vAlign w:val="bottom"/>
            <w:tcBorders>
              <w:bottom w:val="single" w:sz="8" w:color="DBDBDB"/>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461,650</w:t>
            </w:r>
          </w:p>
        </w:tc>
        <w:tc>
          <w:tcPr>
            <w:tcW w:w="1240" w:type="dxa"/>
            <w:vAlign w:val="bottom"/>
            <w:tcBorders>
              <w:bottom w:val="single" w:sz="8" w:color="DBDBDB"/>
              <w:right w:val="single" w:sz="8" w:color="B6B6B6"/>
            </w:tcBorders>
            <w:shd w:val="clear" w:color="auto" w:fill="DBDBDB"/>
          </w:tcPr>
          <w:p>
            <w:pPr>
              <w:jc w:val="right"/>
              <w:spacing w:after="0"/>
              <w:rPr>
                <w:sz w:val="20"/>
                <w:szCs w:val="20"/>
                <w:color w:val="auto"/>
              </w:rPr>
            </w:pPr>
            <w:r>
              <w:rPr>
                <w:rFonts w:ascii="Arial" w:cs="Arial" w:eastAsia="Arial" w:hAnsi="Arial"/>
                <w:sz w:val="14"/>
                <w:szCs w:val="14"/>
                <w:color w:val="auto"/>
              </w:rPr>
              <w:t>7,159</w:t>
            </w:r>
          </w:p>
        </w:tc>
        <w:tc>
          <w:tcPr>
            <w:tcW w:w="1240" w:type="dxa"/>
            <w:vAlign w:val="bottom"/>
            <w:tcBorders>
              <w:bottom w:val="single" w:sz="8" w:color="DBDBDB"/>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16,967</w:t>
            </w:r>
          </w:p>
        </w:tc>
        <w:tc>
          <w:tcPr>
            <w:tcW w:w="0" w:type="dxa"/>
            <w:vAlign w:val="bottom"/>
          </w:tcPr>
          <w:p>
            <w:pPr>
              <w:spacing w:after="0"/>
              <w:rPr>
                <w:sz w:val="1"/>
                <w:szCs w:val="1"/>
                <w:color w:val="auto"/>
              </w:rPr>
            </w:pPr>
          </w:p>
        </w:tc>
      </w:tr>
      <w:tr>
        <w:trPr>
          <w:trHeight w:val="202"/>
        </w:trPr>
        <w:tc>
          <w:tcPr>
            <w:tcW w:w="1280" w:type="dxa"/>
            <w:vAlign w:val="bottom"/>
            <w:tcBorders>
              <w:top w:val="single" w:sz="8" w:color="B6B6B6"/>
              <w:left w:val="single" w:sz="8" w:color="B6B6B6"/>
              <w:right w:val="single" w:sz="8" w:color="B6B6B6"/>
            </w:tcBorders>
          </w:tcPr>
          <w:p>
            <w:pPr>
              <w:ind w:left="40"/>
              <w:spacing w:after="0"/>
              <w:rPr>
                <w:sz w:val="20"/>
                <w:szCs w:val="20"/>
                <w:color w:val="auto"/>
              </w:rPr>
            </w:pPr>
            <w:r>
              <w:rPr>
                <w:rFonts w:ascii="Arial" w:cs="Arial" w:eastAsia="Arial" w:hAnsi="Arial"/>
                <w:sz w:val="14"/>
                <w:szCs w:val="14"/>
                <w:color w:val="auto"/>
              </w:rPr>
              <w:t>Mirlanda Gecaj</w:t>
            </w:r>
          </w:p>
        </w:tc>
        <w:tc>
          <w:tcPr>
            <w:tcW w:w="1240" w:type="dxa"/>
            <w:vAlign w:val="bottom"/>
            <w:tcBorders>
              <w:top w:val="single" w:sz="8" w:color="B6B6B6"/>
              <w:right w:val="single" w:sz="8" w:color="B6B6B6"/>
            </w:tcBorders>
          </w:tcPr>
          <w:p>
            <w:pPr>
              <w:ind w:left="100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B6B6B6"/>
              <w:right w:val="single" w:sz="8" w:color="B6B6B6"/>
            </w:tcBorders>
          </w:tcPr>
          <w:p>
            <w:pPr>
              <w:jc w:val="center"/>
              <w:ind w:left="1068"/>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B6B6B6"/>
              <w:right w:val="single" w:sz="8" w:color="B6B6B6"/>
            </w:tcBorders>
          </w:tcPr>
          <w:p>
            <w:pPr>
              <w:ind w:left="1060"/>
              <w:spacing w:after="0"/>
              <w:rPr>
                <w:sz w:val="20"/>
                <w:szCs w:val="20"/>
                <w:color w:val="auto"/>
              </w:rPr>
            </w:pPr>
            <w:r>
              <w:rPr>
                <w:rFonts w:ascii="Arial" w:cs="Arial" w:eastAsia="Arial" w:hAnsi="Arial"/>
                <w:sz w:val="14"/>
                <w:szCs w:val="14"/>
                <w:color w:val="auto"/>
                <w:w w:val="99"/>
              </w:rPr>
              <w:t>—</w:t>
            </w:r>
          </w:p>
        </w:tc>
        <w:tc>
          <w:tcPr>
            <w:tcW w:w="1180" w:type="dxa"/>
            <w:vAlign w:val="bottom"/>
            <w:tcBorders>
              <w:top w:val="single" w:sz="8" w:color="B6B6B6"/>
              <w:right w:val="single" w:sz="8" w:color="B6B6B6"/>
            </w:tcBorders>
          </w:tcPr>
          <w:p>
            <w:pPr>
              <w:ind w:left="1000"/>
              <w:spacing w:after="0"/>
              <w:rPr>
                <w:sz w:val="20"/>
                <w:szCs w:val="20"/>
                <w:color w:val="auto"/>
              </w:rPr>
            </w:pPr>
            <w:r>
              <w:rPr>
                <w:rFonts w:ascii="Arial" w:cs="Arial" w:eastAsia="Arial" w:hAnsi="Arial"/>
                <w:sz w:val="14"/>
                <w:szCs w:val="14"/>
                <w:color w:val="auto"/>
                <w:w w:val="99"/>
              </w:rPr>
              <w:t>—</w:t>
            </w:r>
          </w:p>
        </w:tc>
        <w:tc>
          <w:tcPr>
            <w:tcW w:w="1240" w:type="dxa"/>
            <w:vAlign w:val="bottom"/>
            <w:tcBorders>
              <w:top w:val="single" w:sz="8" w:color="B6B6B6"/>
              <w:right w:val="single" w:sz="8" w:color="B6B6B6"/>
            </w:tcBorders>
          </w:tcPr>
          <w:p>
            <w:pPr>
              <w:jc w:val="center"/>
              <w:spacing w:after="0"/>
              <w:rPr>
                <w:sz w:val="20"/>
                <w:szCs w:val="20"/>
                <w:color w:val="auto"/>
              </w:rPr>
            </w:pPr>
            <w:r>
              <w:rPr>
                <w:rFonts w:ascii="Arial" w:cs="Arial" w:eastAsia="Arial" w:hAnsi="Arial"/>
                <w:sz w:val="14"/>
                <w:szCs w:val="14"/>
                <w:color w:val="auto"/>
              </w:rPr>
              <w:t>103,207</w:t>
            </w:r>
          </w:p>
        </w:tc>
        <w:tc>
          <w:tcPr>
            <w:tcW w:w="1240" w:type="dxa"/>
            <w:vAlign w:val="bottom"/>
            <w:tcBorders>
              <w:top w:val="single" w:sz="8" w:color="B6B6B6"/>
              <w:right w:val="single" w:sz="8" w:color="B6B6B6"/>
            </w:tcBorders>
          </w:tcPr>
          <w:p>
            <w:pPr>
              <w:jc w:val="right"/>
              <w:spacing w:after="0"/>
              <w:rPr>
                <w:sz w:val="20"/>
                <w:szCs w:val="20"/>
                <w:color w:val="auto"/>
              </w:rPr>
            </w:pPr>
            <w:r>
              <w:rPr>
                <w:rFonts w:ascii="Arial" w:cs="Arial" w:eastAsia="Arial" w:hAnsi="Arial"/>
                <w:sz w:val="14"/>
                <w:szCs w:val="14"/>
                <w:color w:val="auto"/>
              </w:rPr>
              <w:t>244,601</w:t>
            </w:r>
          </w:p>
        </w:tc>
        <w:tc>
          <w:tcPr>
            <w:tcW w:w="1240" w:type="dxa"/>
            <w:vAlign w:val="bottom"/>
            <w:tcBorders>
              <w:top w:val="single" w:sz="8" w:color="B6B6B6"/>
              <w:right w:val="single" w:sz="8" w:color="B6B6B6"/>
            </w:tcBorders>
          </w:tcPr>
          <w:p>
            <w:pPr>
              <w:jc w:val="right"/>
              <w:spacing w:after="0"/>
              <w:rPr>
                <w:sz w:val="20"/>
                <w:szCs w:val="20"/>
                <w:color w:val="auto"/>
              </w:rPr>
            </w:pPr>
            <w:r>
              <w:rPr>
                <w:rFonts w:ascii="Arial" w:cs="Arial" w:eastAsia="Arial" w:hAnsi="Arial"/>
                <w:sz w:val="14"/>
                <w:szCs w:val="14"/>
                <w:color w:val="auto"/>
              </w:rPr>
              <w:t>87,140</w:t>
            </w:r>
          </w:p>
        </w:tc>
        <w:tc>
          <w:tcPr>
            <w:tcW w:w="1240" w:type="dxa"/>
            <w:vAlign w:val="bottom"/>
            <w:tcBorders>
              <w:top w:val="single" w:sz="8" w:color="B6B6B6"/>
              <w:right w:val="single" w:sz="8" w:color="B6B6B6"/>
            </w:tcBorders>
          </w:tcPr>
          <w:p>
            <w:pPr>
              <w:jc w:val="right"/>
              <w:spacing w:after="0"/>
              <w:rPr>
                <w:sz w:val="20"/>
                <w:szCs w:val="20"/>
                <w:color w:val="auto"/>
              </w:rPr>
            </w:pPr>
            <w:r>
              <w:rPr>
                <w:rFonts w:ascii="Arial" w:cs="Arial" w:eastAsia="Arial" w:hAnsi="Arial"/>
                <w:sz w:val="14"/>
                <w:szCs w:val="14"/>
                <w:color w:val="auto"/>
              </w:rPr>
              <w:t>206,522</w:t>
            </w:r>
          </w:p>
        </w:tc>
        <w:tc>
          <w:tcPr>
            <w:tcW w:w="0" w:type="dxa"/>
            <w:vAlign w:val="bottom"/>
          </w:tcPr>
          <w:p>
            <w:pPr>
              <w:spacing w:after="0"/>
              <w:rPr>
                <w:sz w:val="1"/>
                <w:szCs w:val="1"/>
                <w:color w:val="auto"/>
              </w:rPr>
            </w:pPr>
          </w:p>
        </w:tc>
      </w:tr>
      <w:tr>
        <w:trPr>
          <w:trHeight w:val="22"/>
        </w:trPr>
        <w:tc>
          <w:tcPr>
            <w:tcW w:w="1280" w:type="dxa"/>
            <w:vAlign w:val="bottom"/>
            <w:tcBorders>
              <w:left w:val="single" w:sz="8" w:color="B6B6B6"/>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36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18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1240" w:type="dxa"/>
            <w:vAlign w:val="bottom"/>
            <w:tcBorders>
              <w:bottom w:val="single" w:sz="8" w:color="B6B6B6"/>
              <w:right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B6B6B6"/>
              <w:bottom w:val="single" w:sz="8" w:color="DBDBDB"/>
              <w:right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Xavier Heiss</w:t>
            </w:r>
          </w:p>
        </w:tc>
        <w:tc>
          <w:tcPr>
            <w:tcW w:w="1240" w:type="dxa"/>
            <w:vAlign w:val="bottom"/>
            <w:tcBorders>
              <w:bottom w:val="single" w:sz="8" w:color="DBDBDB"/>
              <w:right w:val="single" w:sz="8" w:color="B6B6B6"/>
            </w:tcBorders>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BDBDB"/>
              <w:right w:val="single" w:sz="8" w:color="B6B6B6"/>
            </w:tcBorders>
            <w:shd w:val="clear" w:color="auto" w:fill="DBDBDB"/>
          </w:tcPr>
          <w:p>
            <w:pPr>
              <w:ind w:left="11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BDBDB"/>
              <w:right w:val="single" w:sz="8" w:color="B6B6B6"/>
            </w:tcBorders>
            <w:shd w:val="clear" w:color="auto" w:fill="DBDBDB"/>
          </w:tcPr>
          <w:p>
            <w:pPr>
              <w:ind w:left="100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right w:val="single" w:sz="8" w:color="B6B6B6"/>
            </w:tcBorders>
            <w:shd w:val="clear" w:color="auto" w:fill="DBDBDB"/>
          </w:tcPr>
          <w:p>
            <w:pPr>
              <w:ind w:left="94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BDBDB"/>
              <w:right w:val="single" w:sz="8" w:color="B6B6B6"/>
            </w:tcBorders>
            <w:shd w:val="clear" w:color="auto" w:fill="DBDBDB"/>
          </w:tcPr>
          <w:p>
            <w:pPr>
              <w:jc w:val="center"/>
              <w:spacing w:after="0"/>
              <w:rPr>
                <w:sz w:val="20"/>
                <w:szCs w:val="20"/>
                <w:color w:val="auto"/>
              </w:rPr>
            </w:pPr>
            <w:r>
              <w:rPr>
                <w:rFonts w:ascii="Arial" w:cs="Arial" w:eastAsia="Arial" w:hAnsi="Arial"/>
                <w:sz w:val="14"/>
                <w:szCs w:val="14"/>
                <w:color w:val="auto"/>
              </w:rPr>
              <w:t>92,196</w:t>
            </w:r>
          </w:p>
        </w:tc>
        <w:tc>
          <w:tcPr>
            <w:tcW w:w="1240" w:type="dxa"/>
            <w:vAlign w:val="bottom"/>
            <w:tcBorders>
              <w:bottom w:val="single" w:sz="8" w:color="DBDBDB"/>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218,505</w:t>
            </w:r>
          </w:p>
        </w:tc>
        <w:tc>
          <w:tcPr>
            <w:tcW w:w="1240" w:type="dxa"/>
            <w:vAlign w:val="bottom"/>
            <w:tcBorders>
              <w:bottom w:val="single" w:sz="8" w:color="DBDBDB"/>
              <w:right w:val="single" w:sz="8" w:color="B6B6B6"/>
            </w:tcBorders>
            <w:shd w:val="clear" w:color="auto" w:fill="DBDBDB"/>
          </w:tcPr>
          <w:p>
            <w:pPr>
              <w:jc w:val="right"/>
              <w:spacing w:after="0"/>
              <w:rPr>
                <w:sz w:val="20"/>
                <w:szCs w:val="20"/>
                <w:color w:val="auto"/>
              </w:rPr>
            </w:pPr>
            <w:r>
              <w:rPr>
                <w:rFonts w:ascii="Arial" w:cs="Arial" w:eastAsia="Arial" w:hAnsi="Arial"/>
                <w:sz w:val="14"/>
                <w:szCs w:val="14"/>
                <w:color w:val="auto"/>
              </w:rPr>
              <w:t>74,756</w:t>
            </w:r>
          </w:p>
        </w:tc>
        <w:tc>
          <w:tcPr>
            <w:tcW w:w="1240" w:type="dxa"/>
            <w:vAlign w:val="bottom"/>
            <w:tcBorders>
              <w:bottom w:val="single" w:sz="8" w:color="DBDBDB"/>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177,172</w:t>
            </w:r>
          </w:p>
        </w:tc>
        <w:tc>
          <w:tcPr>
            <w:tcW w:w="0" w:type="dxa"/>
            <w:vAlign w:val="bottom"/>
          </w:tcPr>
          <w:p>
            <w:pPr>
              <w:spacing w:after="0"/>
              <w:rPr>
                <w:sz w:val="1"/>
                <w:szCs w:val="1"/>
                <w:color w:val="auto"/>
              </w:rPr>
            </w:pPr>
          </w:p>
        </w:tc>
      </w:tr>
      <w:tr>
        <w:trPr>
          <w:trHeight w:val="20"/>
        </w:trPr>
        <w:tc>
          <w:tcPr>
            <w:tcW w:w="1280" w:type="dxa"/>
            <w:vAlign w:val="bottom"/>
            <w:tcBorders>
              <w:left w:val="single" w:sz="8" w:color="B6B6B6"/>
              <w:right w:val="single" w:sz="8" w:color="B6B6B6"/>
            </w:tcBorders>
            <w:shd w:val="clear" w:color="auto" w:fill="B6B6B6"/>
          </w:tcPr>
          <w:p>
            <w:pPr>
              <w:spacing w:after="0" w:line="20" w:lineRule="exact"/>
              <w:rPr>
                <w:sz w:val="1"/>
                <w:szCs w:val="1"/>
                <w:color w:val="auto"/>
              </w:rPr>
            </w:pPr>
          </w:p>
        </w:tc>
        <w:tc>
          <w:tcPr>
            <w:tcW w:w="1240" w:type="dxa"/>
            <w:vAlign w:val="bottom"/>
            <w:tcBorders>
              <w:right w:val="single" w:sz="8" w:color="B6B6B6"/>
            </w:tcBorders>
            <w:shd w:val="clear" w:color="auto" w:fill="B6B6B6"/>
          </w:tcPr>
          <w:p>
            <w:pPr>
              <w:spacing w:after="0" w:line="20" w:lineRule="exact"/>
              <w:rPr>
                <w:sz w:val="1"/>
                <w:szCs w:val="1"/>
                <w:color w:val="auto"/>
              </w:rPr>
            </w:pPr>
          </w:p>
        </w:tc>
        <w:tc>
          <w:tcPr>
            <w:tcW w:w="1360" w:type="dxa"/>
            <w:vAlign w:val="bottom"/>
            <w:tcBorders>
              <w:right w:val="single" w:sz="8" w:color="B6B6B6"/>
            </w:tcBorders>
            <w:shd w:val="clear" w:color="auto" w:fill="B6B6B6"/>
          </w:tcPr>
          <w:p>
            <w:pPr>
              <w:spacing w:after="0" w:line="20" w:lineRule="exact"/>
              <w:rPr>
                <w:sz w:val="1"/>
                <w:szCs w:val="1"/>
                <w:color w:val="auto"/>
              </w:rPr>
            </w:pPr>
          </w:p>
        </w:tc>
        <w:tc>
          <w:tcPr>
            <w:tcW w:w="1240" w:type="dxa"/>
            <w:vAlign w:val="bottom"/>
            <w:tcBorders>
              <w:right w:val="single" w:sz="8" w:color="B6B6B6"/>
            </w:tcBorders>
            <w:shd w:val="clear" w:color="auto" w:fill="B6B6B6"/>
          </w:tcPr>
          <w:p>
            <w:pPr>
              <w:spacing w:after="0" w:line="20" w:lineRule="exact"/>
              <w:rPr>
                <w:sz w:val="1"/>
                <w:szCs w:val="1"/>
                <w:color w:val="auto"/>
              </w:rPr>
            </w:pPr>
          </w:p>
        </w:tc>
        <w:tc>
          <w:tcPr>
            <w:tcW w:w="1180" w:type="dxa"/>
            <w:vAlign w:val="bottom"/>
            <w:tcBorders>
              <w:right w:val="single" w:sz="8" w:color="B6B6B6"/>
            </w:tcBorders>
            <w:shd w:val="clear" w:color="auto" w:fill="B6B6B6"/>
          </w:tcPr>
          <w:p>
            <w:pPr>
              <w:spacing w:after="0" w:line="20" w:lineRule="exact"/>
              <w:rPr>
                <w:sz w:val="1"/>
                <w:szCs w:val="1"/>
                <w:color w:val="auto"/>
              </w:rPr>
            </w:pPr>
          </w:p>
        </w:tc>
        <w:tc>
          <w:tcPr>
            <w:tcW w:w="1240" w:type="dxa"/>
            <w:vAlign w:val="bottom"/>
            <w:tcBorders>
              <w:right w:val="single" w:sz="8" w:color="B6B6B6"/>
            </w:tcBorders>
            <w:shd w:val="clear" w:color="auto" w:fill="B6B6B6"/>
          </w:tcPr>
          <w:p>
            <w:pPr>
              <w:spacing w:after="0" w:line="20" w:lineRule="exact"/>
              <w:rPr>
                <w:sz w:val="1"/>
                <w:szCs w:val="1"/>
                <w:color w:val="auto"/>
              </w:rPr>
            </w:pPr>
          </w:p>
        </w:tc>
        <w:tc>
          <w:tcPr>
            <w:tcW w:w="1240" w:type="dxa"/>
            <w:vAlign w:val="bottom"/>
            <w:tcBorders>
              <w:right w:val="single" w:sz="8" w:color="B6B6B6"/>
            </w:tcBorders>
            <w:shd w:val="clear" w:color="auto" w:fill="B6B6B6"/>
          </w:tcPr>
          <w:p>
            <w:pPr>
              <w:spacing w:after="0" w:line="20" w:lineRule="exact"/>
              <w:rPr>
                <w:sz w:val="1"/>
                <w:szCs w:val="1"/>
                <w:color w:val="auto"/>
              </w:rPr>
            </w:pPr>
          </w:p>
        </w:tc>
        <w:tc>
          <w:tcPr>
            <w:tcW w:w="1240" w:type="dxa"/>
            <w:vAlign w:val="bottom"/>
            <w:tcBorders>
              <w:right w:val="single" w:sz="8" w:color="B6B6B6"/>
            </w:tcBorders>
            <w:shd w:val="clear" w:color="auto" w:fill="B6B6B6"/>
          </w:tcPr>
          <w:p>
            <w:pPr>
              <w:spacing w:after="0" w:line="20" w:lineRule="exact"/>
              <w:rPr>
                <w:sz w:val="1"/>
                <w:szCs w:val="1"/>
                <w:color w:val="auto"/>
              </w:rPr>
            </w:pPr>
          </w:p>
        </w:tc>
        <w:tc>
          <w:tcPr>
            <w:tcW w:w="1240" w:type="dxa"/>
            <w:vAlign w:val="bottom"/>
            <w:tcBorders>
              <w:right w:val="single" w:sz="8" w:color="B6B6B6"/>
            </w:tcBorders>
            <w:shd w:val="clear" w:color="auto" w:fill="B6B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4" w:lineRule="exact"/>
        <w:rPr>
          <w:sz w:val="20"/>
          <w:szCs w:val="20"/>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awards presented in this column reflect exercisable LTIP stock options granted in 2018.</w:t>
      </w:r>
    </w:p>
    <w:p>
      <w:pPr>
        <w:spacing w:after="0" w:line="99" w:lineRule="exact"/>
        <w:rPr>
          <w:rFonts w:ascii="Arial" w:cs="Arial" w:eastAsia="Arial" w:hAnsi="Arial"/>
          <w:sz w:val="18"/>
          <w:szCs w:val="18"/>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are no stock options that are unexercisable.</w:t>
      </w:r>
    </w:p>
    <w:p>
      <w:pPr>
        <w:spacing w:after="0" w:line="117" w:lineRule="exact"/>
        <w:rPr>
          <w:rFonts w:ascii="Arial" w:cs="Arial" w:eastAsia="Arial" w:hAnsi="Arial"/>
          <w:sz w:val="18"/>
          <w:szCs w:val="18"/>
          <w:color w:val="auto"/>
        </w:rPr>
      </w:pPr>
    </w:p>
    <w:p>
      <w:pPr>
        <w:ind w:left="340" w:right="160" w:hanging="332"/>
        <w:spacing w:after="0" w:line="268" w:lineRule="auto"/>
        <w:tabs>
          <w:tab w:leader="none" w:pos="33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awards presented in these columns include unvested RSUs (as of December 31, 2025). The value of these awards is based on the $2.37 closing market price of Xerox Common Stock on December 31, 2025, the last trading day of 2025. These columns include the following awards:</w:t>
      </w:r>
    </w:p>
    <w:p>
      <w:pPr>
        <w:spacing w:after="0" w:line="6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2025 RSUs:</w:t>
      </w:r>
    </w:p>
    <w:p>
      <w:pPr>
        <w:spacing w:after="0" w:line="115" w:lineRule="exact"/>
        <w:rPr>
          <w:sz w:val="20"/>
          <w:szCs w:val="20"/>
          <w:color w:val="auto"/>
        </w:rPr>
      </w:pPr>
    </w:p>
    <w:p>
      <w:pPr>
        <w:ind w:left="980" w:right="120"/>
        <w:spacing w:after="0" w:line="268" w:lineRule="auto"/>
        <w:rPr>
          <w:sz w:val="20"/>
          <w:szCs w:val="20"/>
          <w:color w:val="auto"/>
        </w:rPr>
      </w:pPr>
      <w:r>
        <w:rPr>
          <w:rFonts w:ascii="Arial" w:cs="Arial" w:eastAsia="Arial" w:hAnsi="Arial"/>
          <w:sz w:val="18"/>
          <w:szCs w:val="18"/>
          <w:color w:val="auto"/>
        </w:rPr>
        <w:t>Unvested RSUs granted on March 11, 2025, as part of the 2025 LTIP, as follows: Mr. Bandrowczak — 827,286; Mr. Bruno — 544,268; Mr. Pastor — 235,850; Mr. Gueden — 159,652; Ms. Colón — 145,138; and Ms. Gecaj— 80,632. The vesting schedule of these RSUs is 33% on the first anniversary and ratably quarterly thereafter.</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2024 RSUs:</w:t>
      </w:r>
    </w:p>
    <w:p>
      <w:pPr>
        <w:spacing w:after="0" w:line="115" w:lineRule="exact"/>
        <w:rPr>
          <w:sz w:val="20"/>
          <w:szCs w:val="20"/>
          <w:color w:val="auto"/>
        </w:rPr>
      </w:pPr>
    </w:p>
    <w:p>
      <w:pPr>
        <w:ind w:left="980" w:right="40"/>
        <w:spacing w:after="0" w:line="287" w:lineRule="auto"/>
        <w:rPr>
          <w:sz w:val="20"/>
          <w:szCs w:val="20"/>
          <w:color w:val="auto"/>
        </w:rPr>
      </w:pPr>
      <w:r>
        <w:rPr>
          <w:rFonts w:ascii="Arial" w:cs="Arial" w:eastAsia="Arial" w:hAnsi="Arial"/>
          <w:sz w:val="18"/>
          <w:szCs w:val="18"/>
          <w:color w:val="auto"/>
        </w:rPr>
        <w:t>Unvested RSUs granted on January 4, 2024, as part of a new hire award, as follows: Mr. Pastor — 81,473. The vesting schedule of these RSUs is 50% on the first anniversary, and 50% on the second anniversary of the grant date.</w:t>
      </w:r>
    </w:p>
    <w:p>
      <w:pPr>
        <w:spacing w:after="0" w:line="45" w:lineRule="exact"/>
        <w:rPr>
          <w:sz w:val="20"/>
          <w:szCs w:val="20"/>
          <w:color w:val="auto"/>
        </w:rPr>
      </w:pPr>
    </w:p>
    <w:p>
      <w:pPr>
        <w:jc w:val="both"/>
        <w:ind w:left="980" w:right="280"/>
        <w:spacing w:after="0" w:line="262" w:lineRule="auto"/>
        <w:rPr>
          <w:sz w:val="20"/>
          <w:szCs w:val="20"/>
          <w:color w:val="auto"/>
        </w:rPr>
      </w:pPr>
      <w:r>
        <w:rPr>
          <w:rFonts w:ascii="Arial" w:cs="Arial" w:eastAsia="Arial" w:hAnsi="Arial"/>
          <w:sz w:val="18"/>
          <w:szCs w:val="18"/>
          <w:color w:val="auto"/>
        </w:rPr>
        <w:t>Unvested RSUs granted on March 11, 2024, as part of the 2024 LTIP, as follows: Mr. Bandrowczak — 225,263; Mr. Bruno — 142,272; Mr. Gueden — 52,167; Ms. Colón — 18,970. Ms. Gecaj — 7,904; and Mr. Heiss — 71,136. The vesting schedule of these RSUs is 33.33% on the first anniversary, 33.33% on the second anniversary, and 33.34% on the third anniversary of the grant date.</w:t>
      </w:r>
    </w:p>
    <w:p>
      <w:pPr>
        <w:spacing w:after="0" w:line="68" w:lineRule="exact"/>
        <w:rPr>
          <w:sz w:val="20"/>
          <w:szCs w:val="20"/>
          <w:color w:val="auto"/>
        </w:rPr>
      </w:pPr>
    </w:p>
    <w:p>
      <w:pPr>
        <w:ind w:left="980" w:right="240"/>
        <w:spacing w:after="0" w:line="262" w:lineRule="auto"/>
        <w:rPr>
          <w:sz w:val="20"/>
          <w:szCs w:val="20"/>
          <w:color w:val="auto"/>
        </w:rPr>
      </w:pPr>
      <w:r>
        <w:rPr>
          <w:rFonts w:ascii="Arial" w:cs="Arial" w:eastAsia="Arial" w:hAnsi="Arial"/>
          <w:sz w:val="18"/>
          <w:szCs w:val="18"/>
          <w:color w:val="auto"/>
        </w:rPr>
        <w:t>Unvested RSUs granted on December 11, 2024, as part of the replacement of March 11, 2024 PSUs, approved by the Committee as follows: Ms. Colón — 28,453; and Ms. Gecaj — 12,646. The vesting schedule of these RSUs is 33.33% on the first anniversary of the original PSU grant date of March 11, 2024, 33.33% on the second anniversary, and 33.34% on the third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66" w:name="page67"/>
    <w:bookmarkEnd w:id="66"/>
    <w:p>
      <w:pPr>
        <w:ind w:left="332"/>
        <w:spacing w:after="0"/>
        <w:rPr>
          <w:sz w:val="20"/>
          <w:szCs w:val="20"/>
          <w:color w:val="auto"/>
        </w:rPr>
      </w:pPr>
      <w:r>
        <w:rPr>
          <w:rFonts w:ascii="Arial" w:cs="Arial" w:eastAsia="Arial" w:hAnsi="Arial"/>
          <w:sz w:val="18"/>
          <w:szCs w:val="18"/>
          <w:i w:val="1"/>
          <w:iCs w:val="1"/>
          <w:u w:val="single" w:color="auto"/>
          <w:color w:val="auto"/>
        </w:rPr>
        <w:t>2023 RSUs</w:t>
      </w:r>
      <w:r>
        <w:rPr>
          <w:rFonts w:ascii="Arial" w:cs="Arial" w:eastAsia="Arial" w:hAnsi="Arial"/>
          <w:sz w:val="18"/>
          <w:szCs w:val="18"/>
          <w:color w:val="auto"/>
        </w:rPr>
        <w:t>:</w:t>
      </w:r>
    </w:p>
    <w:p>
      <w:pPr>
        <w:spacing w:after="0" w:line="117" w:lineRule="exact"/>
        <w:rPr>
          <w:sz w:val="20"/>
          <w:szCs w:val="20"/>
          <w:color w:val="auto"/>
        </w:rPr>
      </w:pPr>
    </w:p>
    <w:p>
      <w:pPr>
        <w:jc w:val="both"/>
        <w:ind w:left="972" w:right="220"/>
        <w:spacing w:after="0" w:line="268" w:lineRule="auto"/>
        <w:rPr>
          <w:sz w:val="20"/>
          <w:szCs w:val="20"/>
          <w:color w:val="auto"/>
        </w:rPr>
      </w:pPr>
      <w:r>
        <w:rPr>
          <w:rFonts w:ascii="Arial" w:cs="Arial" w:eastAsia="Arial" w:hAnsi="Arial"/>
          <w:sz w:val="18"/>
          <w:szCs w:val="18"/>
          <w:color w:val="auto"/>
        </w:rPr>
        <w:t>Unvested RSUs granted on January 18, 2023, as part of the 2023 LTIP, as follows: Mr. Bandrowczak — 60,751; Mr. Bruno — 36,450; Ms. Colón — 2,228; Ms. Gecaj — 2,025; and Mr. Heiss — 21,060. The vesting schedule of these RSUs is 33% on the first anniversary, 33% on the second anniversary, and 34% on the third anniversary of the grant date.</w:t>
      </w:r>
    </w:p>
    <w:p>
      <w:pPr>
        <w:spacing w:after="0" w:line="63" w:lineRule="exact"/>
        <w:rPr>
          <w:sz w:val="20"/>
          <w:szCs w:val="20"/>
          <w:color w:val="auto"/>
        </w:rPr>
      </w:pPr>
    </w:p>
    <w:p>
      <w:pPr>
        <w:ind w:left="332" w:hanging="332"/>
        <w:spacing w:after="0" w:line="262" w:lineRule="auto"/>
        <w:tabs>
          <w:tab w:leader="none" w:pos="3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awards presented in these columns consist of unearned PSUs (as of December 31, 2025), and are shown at target. The number of PSUs earned, if any, is determined by the Committee’s approval of certified performance results for the relevant performance period. The value of these awards is based on the $2.37 closing market price of Xerox Common Stock on December 31, 2025, the last trading day of 2025.</w:t>
      </w:r>
    </w:p>
    <w:p>
      <w:pPr>
        <w:spacing w:after="0" w:line="7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2025 PSUs</w:t>
      </w:r>
      <w:r>
        <w:rPr>
          <w:rFonts w:ascii="Arial" w:cs="Arial" w:eastAsia="Arial" w:hAnsi="Arial"/>
          <w:sz w:val="18"/>
          <w:szCs w:val="18"/>
          <w:i w:val="1"/>
          <w:iCs w:val="1"/>
          <w:color w:val="auto"/>
        </w:rPr>
        <w:t>:</w:t>
      </w:r>
    </w:p>
    <w:p>
      <w:pPr>
        <w:spacing w:after="0" w:line="115" w:lineRule="exact"/>
        <w:rPr>
          <w:sz w:val="20"/>
          <w:szCs w:val="20"/>
          <w:color w:val="auto"/>
        </w:rPr>
      </w:pPr>
    </w:p>
    <w:p>
      <w:pPr>
        <w:ind w:left="972" w:right="80"/>
        <w:spacing w:after="0" w:line="262" w:lineRule="auto"/>
        <w:rPr>
          <w:sz w:val="20"/>
          <w:szCs w:val="20"/>
          <w:color w:val="auto"/>
        </w:rPr>
      </w:pPr>
      <w:r>
        <w:rPr>
          <w:rFonts w:ascii="Arial" w:cs="Arial" w:eastAsia="Arial" w:hAnsi="Arial"/>
          <w:sz w:val="18"/>
          <w:szCs w:val="18"/>
          <w:color w:val="auto"/>
        </w:rPr>
        <w:t>PSU awards granted as part of the 2025 LTIP on March 11, 2025, to Mr. Bandrowczak — 827,286; Mr. Pastor — 235,850; Mr. Gueden — 159,652; and Ms. Gecaj — 80,632; These awards vest three years from the grant date, with the number of shares to be earned, if any, based on achievement of the applicable performance metrics. The performance period is January 1, 2025 through December 31, 2027.</w:t>
      </w:r>
    </w:p>
    <w:p>
      <w:pPr>
        <w:spacing w:after="0" w:line="70" w:lineRule="exact"/>
        <w:rPr>
          <w:sz w:val="20"/>
          <w:szCs w:val="20"/>
          <w:color w:val="auto"/>
        </w:rPr>
      </w:pPr>
    </w:p>
    <w:p>
      <w:pPr>
        <w:ind w:left="332"/>
        <w:spacing w:after="0"/>
        <w:rPr>
          <w:sz w:val="20"/>
          <w:szCs w:val="20"/>
          <w:color w:val="auto"/>
        </w:rPr>
      </w:pPr>
      <w:r>
        <w:rPr>
          <w:rFonts w:ascii="Arial" w:cs="Arial" w:eastAsia="Arial" w:hAnsi="Arial"/>
          <w:sz w:val="18"/>
          <w:szCs w:val="18"/>
          <w:i w:val="1"/>
          <w:iCs w:val="1"/>
          <w:u w:val="single" w:color="auto"/>
          <w:color w:val="auto"/>
        </w:rPr>
        <w:t>2024 PSUs</w:t>
      </w:r>
      <w:r>
        <w:rPr>
          <w:rFonts w:ascii="Arial" w:cs="Arial" w:eastAsia="Arial" w:hAnsi="Arial"/>
          <w:sz w:val="18"/>
          <w:szCs w:val="18"/>
          <w:i w:val="1"/>
          <w:iCs w:val="1"/>
          <w:color w:val="auto"/>
        </w:rPr>
        <w:t>:</w:t>
      </w:r>
    </w:p>
    <w:p>
      <w:pPr>
        <w:spacing w:after="0" w:line="115" w:lineRule="exact"/>
        <w:rPr>
          <w:sz w:val="20"/>
          <w:szCs w:val="20"/>
          <w:color w:val="auto"/>
        </w:rPr>
      </w:pPr>
    </w:p>
    <w:p>
      <w:pPr>
        <w:ind w:left="972" w:right="140"/>
        <w:spacing w:after="0" w:line="262" w:lineRule="auto"/>
        <w:rPr>
          <w:sz w:val="20"/>
          <w:szCs w:val="20"/>
          <w:color w:val="auto"/>
        </w:rPr>
      </w:pPr>
      <w:r>
        <w:rPr>
          <w:rFonts w:ascii="Arial" w:cs="Arial" w:eastAsia="Arial" w:hAnsi="Arial"/>
          <w:sz w:val="18"/>
          <w:szCs w:val="18"/>
          <w:color w:val="auto"/>
        </w:rPr>
        <w:t>PSU awards granted as part of the 2024 LTIP on March 11, 2024, to Mr. Bandrowczak — 337,878; Mr. Pastor — 81,803; Mr. Gueden — 78,246; and Mr. Heiss — 106,699; These awards vest three years from the grant date, with the number of shares to be earned, if any, based on achievement of the applicable performance metrics. The performance period is January 1, 2024 through December 31, 2026.</w:t>
      </w:r>
    </w:p>
    <w:p>
      <w:pPr>
        <w:spacing w:after="0" w:line="70" w:lineRule="exact"/>
        <w:rPr>
          <w:sz w:val="20"/>
          <w:szCs w:val="20"/>
          <w:color w:val="auto"/>
        </w:rPr>
      </w:pPr>
    </w:p>
    <w:p>
      <w:pPr>
        <w:ind w:left="332"/>
        <w:spacing w:after="0"/>
        <w:rPr>
          <w:sz w:val="20"/>
          <w:szCs w:val="20"/>
          <w:color w:val="auto"/>
        </w:rPr>
      </w:pPr>
      <w:r>
        <w:rPr>
          <w:rFonts w:ascii="Arial" w:cs="Arial" w:eastAsia="Arial" w:hAnsi="Arial"/>
          <w:sz w:val="18"/>
          <w:szCs w:val="18"/>
          <w:i w:val="1"/>
          <w:iCs w:val="1"/>
          <w:u w:val="single" w:color="auto"/>
          <w:color w:val="auto"/>
        </w:rPr>
        <w:t>2023 PSUs</w:t>
      </w:r>
      <w:r>
        <w:rPr>
          <w:rFonts w:ascii="Arial" w:cs="Arial" w:eastAsia="Arial" w:hAnsi="Arial"/>
          <w:sz w:val="18"/>
          <w:szCs w:val="18"/>
          <w:i w:val="1"/>
          <w:iCs w:val="1"/>
          <w:color w:val="auto"/>
        </w:rPr>
        <w:t>:</w:t>
      </w:r>
    </w:p>
    <w:p>
      <w:pPr>
        <w:spacing w:after="0" w:line="115" w:lineRule="exact"/>
        <w:rPr>
          <w:sz w:val="20"/>
          <w:szCs w:val="20"/>
          <w:color w:val="auto"/>
        </w:rPr>
      </w:pPr>
    </w:p>
    <w:p>
      <w:pPr>
        <w:ind w:left="972" w:right="60"/>
        <w:spacing w:after="0" w:line="262" w:lineRule="auto"/>
        <w:rPr>
          <w:sz w:val="20"/>
          <w:szCs w:val="20"/>
          <w:color w:val="auto"/>
        </w:rPr>
      </w:pPr>
      <w:r>
        <w:rPr>
          <w:rFonts w:ascii="Arial" w:cs="Arial" w:eastAsia="Arial" w:hAnsi="Arial"/>
          <w:sz w:val="18"/>
          <w:szCs w:val="18"/>
          <w:color w:val="auto"/>
        </w:rPr>
        <w:t xml:space="preserve">PSU awards granted as part of the 2023 LTIP on January 18, 2023, to Mr. Bandrowczak — 195,220; Mr. Gueden — 36,441; Ms. Colón — 7,159; Ms. Gecaj — 6,508; and Mr. Heiss — 67,677. These awards vest three years from the grant date, with the number of shares to be earned, if any, based on achievement of the applicable performance metrics. The performance period is January 1, 2023 through December 31, 2025. These PSU awards resulted in 34.3% payout. See 2023 </w:t>
      </w:r>
      <w:r>
        <w:rPr>
          <w:rFonts w:ascii="Arial" w:cs="Arial" w:eastAsia="Arial" w:hAnsi="Arial"/>
          <w:sz w:val="18"/>
          <w:szCs w:val="18"/>
          <w:i w:val="1"/>
          <w:iCs w:val="1"/>
          <w:color w:val="auto"/>
        </w:rPr>
        <w:t>LTIP</w:t>
      </w:r>
      <w:r>
        <w:rPr>
          <w:rFonts w:ascii="Arial" w:cs="Arial" w:eastAsia="Arial" w:hAnsi="Arial"/>
          <w:sz w:val="18"/>
          <w:szCs w:val="18"/>
          <w:color w:val="auto"/>
        </w:rPr>
        <w:t xml:space="preserve"> in the CD&amp;A.</w:t>
      </w:r>
    </w:p>
    <w:p>
      <w:pPr>
        <w:spacing w:after="0" w:line="6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Additional detail on these awards can be found in the </w:t>
      </w:r>
      <w:r>
        <w:rPr>
          <w:rFonts w:ascii="Arial" w:cs="Arial" w:eastAsia="Arial" w:hAnsi="Arial"/>
          <w:sz w:val="18"/>
          <w:szCs w:val="18"/>
          <w:i w:val="1"/>
          <w:iCs w:val="1"/>
          <w:color w:val="auto"/>
        </w:rPr>
        <w:t>Long-Term Incentive Program</w:t>
      </w:r>
      <w:r>
        <w:rPr>
          <w:rFonts w:ascii="Arial" w:cs="Arial" w:eastAsia="Arial" w:hAnsi="Arial"/>
          <w:sz w:val="18"/>
          <w:szCs w:val="18"/>
          <w:color w:val="auto"/>
        </w:rPr>
        <w:t xml:space="preserve"> section of the CD&amp;A.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D92231"/>
        </w:rPr>
        <w:t>OPTION EXERCISES AND STOCK VESTED IN 2025</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shows amounts realized by the NEOs upon the vesting of stock awards during 2025. Messrs. Bandrowczak, Gueden, and Heiss, and Ms. Colón held exercisable stock options during 2025, but none were exercised.</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800" w:type="dxa"/>
            <w:vAlign w:val="bottom"/>
            <w:tcBorders>
              <w:left w:val="single" w:sz="8" w:color="DA2031"/>
              <w:right w:val="single" w:sz="8" w:color="DA2031"/>
            </w:tcBorders>
            <w:shd w:val="clear" w:color="auto" w:fill="DA2031"/>
          </w:tcPr>
          <w:p>
            <w:pPr>
              <w:spacing w:after="0"/>
              <w:rPr>
                <w:sz w:val="19"/>
                <w:szCs w:val="19"/>
                <w:color w:val="auto"/>
              </w:rPr>
            </w:pPr>
          </w:p>
        </w:tc>
        <w:tc>
          <w:tcPr>
            <w:tcW w:w="3380" w:type="dxa"/>
            <w:vAlign w:val="bottom"/>
            <w:gridSpan w:val="2"/>
            <w:shd w:val="clear" w:color="auto" w:fill="DA2031"/>
          </w:tcPr>
          <w:p>
            <w:pPr>
              <w:ind w:left="2120"/>
              <w:spacing w:after="0"/>
              <w:rPr>
                <w:sz w:val="20"/>
                <w:szCs w:val="20"/>
                <w:color w:val="auto"/>
              </w:rPr>
            </w:pPr>
            <w:r>
              <w:rPr>
                <w:rFonts w:ascii="Arial" w:cs="Arial" w:eastAsia="Arial" w:hAnsi="Arial"/>
                <w:sz w:val="18"/>
                <w:szCs w:val="18"/>
                <w:b w:val="1"/>
                <w:bCs w:val="1"/>
                <w:color w:val="FFFFFF"/>
              </w:rPr>
              <w:t>Stock Awards</w:t>
            </w:r>
          </w:p>
        </w:tc>
        <w:tc>
          <w:tcPr>
            <w:tcW w:w="2080" w:type="dxa"/>
            <w:vAlign w:val="bottom"/>
            <w:tcBorders>
              <w:right w:val="single" w:sz="8" w:color="DA2031"/>
            </w:tcBorders>
            <w:shd w:val="clear" w:color="auto" w:fill="DA2031"/>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800" w:type="dxa"/>
            <w:vAlign w:val="bottom"/>
            <w:tcBorders>
              <w:left w:val="single" w:sz="8" w:color="DA2031"/>
              <w:right w:val="single" w:sz="8" w:color="DA2031"/>
            </w:tcBorders>
            <w:shd w:val="clear" w:color="auto" w:fill="DA2031"/>
          </w:tcPr>
          <w:p>
            <w:pPr>
              <w:spacing w:after="0"/>
              <w:rPr>
                <w:sz w:val="16"/>
                <w:szCs w:val="16"/>
                <w:color w:val="auto"/>
              </w:rPr>
            </w:pPr>
          </w:p>
        </w:tc>
        <w:tc>
          <w:tcPr>
            <w:tcW w:w="2740" w:type="dxa"/>
            <w:vAlign w:val="bottom"/>
            <w:tcBorders>
              <w:right w:val="single" w:sz="8" w:color="DBDBDB"/>
            </w:tcBorders>
            <w:shd w:val="clear" w:color="auto" w:fill="DA2031"/>
          </w:tcPr>
          <w:p>
            <w:pPr>
              <w:jc w:val="center"/>
              <w:spacing w:after="0" w:line="189" w:lineRule="exact"/>
              <w:rPr>
                <w:sz w:val="20"/>
                <w:szCs w:val="20"/>
                <w:color w:val="auto"/>
              </w:rPr>
            </w:pPr>
            <w:r>
              <w:rPr>
                <w:rFonts w:ascii="Arial" w:cs="Arial" w:eastAsia="Arial" w:hAnsi="Arial"/>
                <w:sz w:val="18"/>
                <w:szCs w:val="18"/>
                <w:b w:val="1"/>
                <w:bCs w:val="1"/>
                <w:color w:val="FFFFFF"/>
              </w:rPr>
              <w:t>Number of Shares</w:t>
            </w:r>
          </w:p>
        </w:tc>
        <w:tc>
          <w:tcPr>
            <w:tcW w:w="640" w:type="dxa"/>
            <w:vAlign w:val="bottom"/>
            <w:shd w:val="clear" w:color="auto" w:fill="DA2031"/>
          </w:tcPr>
          <w:p>
            <w:pPr>
              <w:spacing w:after="0"/>
              <w:rPr>
                <w:sz w:val="16"/>
                <w:szCs w:val="16"/>
                <w:color w:val="auto"/>
              </w:rPr>
            </w:pPr>
          </w:p>
        </w:tc>
        <w:tc>
          <w:tcPr>
            <w:tcW w:w="2080" w:type="dxa"/>
            <w:vAlign w:val="bottom"/>
            <w:tcBorders>
              <w:right w:val="single" w:sz="8" w:color="DA2031"/>
            </w:tcBorders>
            <w:shd w:val="clear" w:color="auto" w:fill="DA2031"/>
          </w:tcPr>
          <w:p>
            <w:pPr>
              <w:jc w:val="center"/>
              <w:ind w:right="590"/>
              <w:spacing w:after="0" w:line="189" w:lineRule="exact"/>
              <w:rPr>
                <w:sz w:val="20"/>
                <w:szCs w:val="20"/>
                <w:color w:val="auto"/>
              </w:rPr>
            </w:pPr>
            <w:r>
              <w:rPr>
                <w:rFonts w:ascii="Arial" w:cs="Arial" w:eastAsia="Arial" w:hAnsi="Arial"/>
                <w:sz w:val="18"/>
                <w:szCs w:val="18"/>
                <w:b w:val="1"/>
                <w:bCs w:val="1"/>
                <w:color w:val="FFFFFF"/>
                <w:w w:val="98"/>
              </w:rPr>
              <w:t>Value Realized</w:t>
            </w:r>
          </w:p>
        </w:tc>
        <w:tc>
          <w:tcPr>
            <w:tcW w:w="0" w:type="dxa"/>
            <w:vAlign w:val="bottom"/>
          </w:tcPr>
          <w:p>
            <w:pPr>
              <w:spacing w:after="0"/>
              <w:rPr>
                <w:sz w:val="1"/>
                <w:szCs w:val="1"/>
                <w:color w:val="auto"/>
              </w:rPr>
            </w:pPr>
          </w:p>
        </w:tc>
      </w:tr>
      <w:tr>
        <w:trPr>
          <w:trHeight w:val="184"/>
        </w:trPr>
        <w:tc>
          <w:tcPr>
            <w:tcW w:w="5800" w:type="dxa"/>
            <w:vAlign w:val="bottom"/>
            <w:tcBorders>
              <w:left w:val="single" w:sz="8" w:color="DA2031"/>
              <w:right w:val="single" w:sz="8" w:color="DA2031"/>
            </w:tcBorders>
            <w:vMerge w:val="restart"/>
            <w:shd w:val="clear" w:color="auto" w:fill="DA2031"/>
          </w:tcPr>
          <w:p>
            <w:pPr>
              <w:ind w:left="40"/>
              <w:spacing w:after="0"/>
              <w:rPr>
                <w:sz w:val="20"/>
                <w:szCs w:val="20"/>
                <w:color w:val="auto"/>
              </w:rPr>
            </w:pPr>
            <w:r>
              <w:rPr>
                <w:rFonts w:ascii="Arial" w:cs="Arial" w:eastAsia="Arial" w:hAnsi="Arial"/>
                <w:sz w:val="18"/>
                <w:szCs w:val="18"/>
                <w:b w:val="1"/>
                <w:bCs w:val="1"/>
                <w:color w:val="FFFFFF"/>
              </w:rPr>
              <w:t>Name</w:t>
            </w:r>
          </w:p>
        </w:tc>
        <w:tc>
          <w:tcPr>
            <w:tcW w:w="2740" w:type="dxa"/>
            <w:vAlign w:val="bottom"/>
            <w:tcBorders>
              <w:right w:val="single" w:sz="8" w:color="DBDBDB"/>
            </w:tcBorders>
            <w:shd w:val="clear" w:color="auto" w:fill="DA2031"/>
          </w:tcPr>
          <w:p>
            <w:pPr>
              <w:jc w:val="center"/>
              <w:spacing w:after="0" w:line="183" w:lineRule="exact"/>
              <w:rPr>
                <w:sz w:val="20"/>
                <w:szCs w:val="20"/>
                <w:color w:val="auto"/>
              </w:rPr>
            </w:pPr>
            <w:r>
              <w:rPr>
                <w:rFonts w:ascii="Arial" w:cs="Arial" w:eastAsia="Arial" w:hAnsi="Arial"/>
                <w:sz w:val="18"/>
                <w:szCs w:val="18"/>
                <w:b w:val="1"/>
                <w:bCs w:val="1"/>
                <w:color w:val="FFFFFF"/>
                <w:w w:val="99"/>
              </w:rPr>
              <w:t>Acquired on Vesting</w:t>
            </w:r>
          </w:p>
        </w:tc>
        <w:tc>
          <w:tcPr>
            <w:tcW w:w="640" w:type="dxa"/>
            <w:vAlign w:val="bottom"/>
            <w:shd w:val="clear" w:color="auto" w:fill="DA2031"/>
          </w:tcPr>
          <w:p>
            <w:pPr>
              <w:spacing w:after="0"/>
              <w:rPr>
                <w:sz w:val="15"/>
                <w:szCs w:val="15"/>
                <w:color w:val="auto"/>
              </w:rPr>
            </w:pPr>
          </w:p>
        </w:tc>
        <w:tc>
          <w:tcPr>
            <w:tcW w:w="2080" w:type="dxa"/>
            <w:vAlign w:val="bottom"/>
            <w:tcBorders>
              <w:right w:val="single" w:sz="8" w:color="DA2031"/>
            </w:tcBorders>
            <w:shd w:val="clear" w:color="auto" w:fill="DA2031"/>
          </w:tcPr>
          <w:p>
            <w:pPr>
              <w:jc w:val="center"/>
              <w:ind w:right="590"/>
              <w:spacing w:after="0" w:line="183" w:lineRule="exact"/>
              <w:rPr>
                <w:sz w:val="20"/>
                <w:szCs w:val="20"/>
                <w:color w:val="auto"/>
              </w:rPr>
            </w:pPr>
            <w:r>
              <w:rPr>
                <w:rFonts w:ascii="Arial" w:cs="Arial" w:eastAsia="Arial" w:hAnsi="Arial"/>
                <w:sz w:val="18"/>
                <w:szCs w:val="18"/>
                <w:b w:val="1"/>
                <w:bCs w:val="1"/>
                <w:color w:val="FFFFFF"/>
                <w:w w:val="99"/>
              </w:rPr>
              <w:t>on Vesting</w:t>
            </w:r>
          </w:p>
        </w:tc>
        <w:tc>
          <w:tcPr>
            <w:tcW w:w="0" w:type="dxa"/>
            <w:vAlign w:val="bottom"/>
          </w:tcPr>
          <w:p>
            <w:pPr>
              <w:spacing w:after="0"/>
              <w:rPr>
                <w:sz w:val="1"/>
                <w:szCs w:val="1"/>
                <w:color w:val="auto"/>
              </w:rPr>
            </w:pPr>
          </w:p>
        </w:tc>
      </w:tr>
      <w:tr>
        <w:trPr>
          <w:trHeight w:val="248"/>
        </w:trPr>
        <w:tc>
          <w:tcPr>
            <w:tcW w:w="5800" w:type="dxa"/>
            <w:vAlign w:val="bottom"/>
            <w:tcBorders>
              <w:left w:val="single" w:sz="8" w:color="DA2031"/>
              <w:right w:val="single" w:sz="8" w:color="DA2031"/>
            </w:tcBorders>
            <w:vMerge w:val="continue"/>
            <w:shd w:val="clear" w:color="auto" w:fill="DA2031"/>
          </w:tcPr>
          <w:p>
            <w:pPr>
              <w:spacing w:after="0"/>
              <w:rPr>
                <w:sz w:val="21"/>
                <w:szCs w:val="21"/>
                <w:color w:val="auto"/>
              </w:rPr>
            </w:pPr>
          </w:p>
        </w:tc>
        <w:tc>
          <w:tcPr>
            <w:tcW w:w="274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 (A)</w:t>
            </w:r>
          </w:p>
        </w:tc>
        <w:tc>
          <w:tcPr>
            <w:tcW w:w="640" w:type="dxa"/>
            <w:vAlign w:val="bottom"/>
            <w:shd w:val="clear" w:color="auto" w:fill="DA2031"/>
          </w:tcPr>
          <w:p>
            <w:pPr>
              <w:spacing w:after="0"/>
              <w:rPr>
                <w:sz w:val="21"/>
                <w:szCs w:val="21"/>
                <w:color w:val="auto"/>
              </w:rPr>
            </w:pPr>
          </w:p>
        </w:tc>
        <w:tc>
          <w:tcPr>
            <w:tcW w:w="2080" w:type="dxa"/>
            <w:vAlign w:val="bottom"/>
            <w:tcBorders>
              <w:right w:val="single" w:sz="8" w:color="DA2031"/>
            </w:tcBorders>
            <w:shd w:val="clear" w:color="auto" w:fill="DA2031"/>
          </w:tcPr>
          <w:p>
            <w:pPr>
              <w:jc w:val="center"/>
              <w:ind w:right="590"/>
              <w:spacing w:after="0"/>
              <w:rPr>
                <w:sz w:val="20"/>
                <w:szCs w:val="20"/>
                <w:color w:val="auto"/>
              </w:rPr>
            </w:pPr>
            <w:r>
              <w:rPr>
                <w:rFonts w:ascii="Arial" w:cs="Arial" w:eastAsia="Arial" w:hAnsi="Arial"/>
                <w:sz w:val="18"/>
                <w:szCs w:val="18"/>
                <w:b w:val="1"/>
                <w:bCs w:val="1"/>
                <w:color w:val="FFFFFF"/>
                <w:w w:val="99"/>
              </w:rPr>
              <w:t>($) (B)</w:t>
            </w:r>
          </w:p>
        </w:tc>
        <w:tc>
          <w:tcPr>
            <w:tcW w:w="0" w:type="dxa"/>
            <w:vAlign w:val="bottom"/>
          </w:tcPr>
          <w:p>
            <w:pPr>
              <w:spacing w:after="0"/>
              <w:rPr>
                <w:sz w:val="1"/>
                <w:szCs w:val="1"/>
                <w:color w:val="auto"/>
              </w:rPr>
            </w:pPr>
          </w:p>
        </w:tc>
      </w:tr>
      <w:tr>
        <w:trPr>
          <w:trHeight w:val="230"/>
        </w:trPr>
        <w:tc>
          <w:tcPr>
            <w:tcW w:w="580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Steven J. Bandrowczak</w:t>
            </w:r>
          </w:p>
        </w:tc>
        <w:tc>
          <w:tcPr>
            <w:tcW w:w="27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8"/>
              </w:rPr>
              <w:t>293,573</w:t>
            </w:r>
          </w:p>
        </w:tc>
        <w:tc>
          <w:tcPr>
            <w:tcW w:w="640" w:type="dxa"/>
            <w:vAlign w:val="bottom"/>
            <w:tcBorders>
              <w:bottom w:val="single" w:sz="8" w:color="B6B6B6"/>
            </w:tcBorders>
          </w:tcPr>
          <w:p>
            <w:pPr>
              <w:spacing w:after="0"/>
              <w:rPr>
                <w:sz w:val="19"/>
                <w:szCs w:val="19"/>
                <w:color w:val="auto"/>
              </w:rPr>
            </w:pPr>
          </w:p>
        </w:tc>
        <w:tc>
          <w:tcPr>
            <w:tcW w:w="2080" w:type="dxa"/>
            <w:vAlign w:val="bottom"/>
            <w:tcBorders>
              <w:bottom w:val="single" w:sz="8" w:color="B6B6B6"/>
              <w:right w:val="single" w:sz="8" w:color="B6B6B6"/>
            </w:tcBorders>
          </w:tcPr>
          <w:p>
            <w:pPr>
              <w:jc w:val="center"/>
              <w:ind w:right="590"/>
              <w:spacing w:after="0"/>
              <w:rPr>
                <w:sz w:val="20"/>
                <w:szCs w:val="20"/>
                <w:color w:val="auto"/>
              </w:rPr>
            </w:pPr>
            <w:r>
              <w:rPr>
                <w:rFonts w:ascii="Arial" w:cs="Arial" w:eastAsia="Arial" w:hAnsi="Arial"/>
                <w:sz w:val="18"/>
                <w:szCs w:val="18"/>
                <w:color w:val="auto"/>
                <w:w w:val="99"/>
              </w:rPr>
              <w:t>2,046,696</w:t>
            </w:r>
          </w:p>
        </w:tc>
        <w:tc>
          <w:tcPr>
            <w:tcW w:w="0" w:type="dxa"/>
            <w:vAlign w:val="bottom"/>
          </w:tcPr>
          <w:p>
            <w:pPr>
              <w:spacing w:after="0"/>
              <w:rPr>
                <w:sz w:val="1"/>
                <w:szCs w:val="1"/>
                <w:color w:val="auto"/>
              </w:rPr>
            </w:pPr>
          </w:p>
        </w:tc>
      </w:tr>
      <w:tr>
        <w:trPr>
          <w:trHeight w:val="223"/>
        </w:trPr>
        <w:tc>
          <w:tcPr>
            <w:tcW w:w="580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Louis J. Pastor</w:t>
            </w:r>
          </w:p>
        </w:tc>
        <w:tc>
          <w:tcPr>
            <w:tcW w:w="274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w w:val="98"/>
              </w:rPr>
              <w:t>108,738</w:t>
            </w:r>
          </w:p>
        </w:tc>
        <w:tc>
          <w:tcPr>
            <w:tcW w:w="640" w:type="dxa"/>
            <w:vAlign w:val="bottom"/>
            <w:tcBorders>
              <w:bottom w:val="single" w:sz="8" w:color="B6B6B6"/>
            </w:tcBorders>
            <w:shd w:val="clear" w:color="auto" w:fill="DBDBDB"/>
          </w:tcPr>
          <w:p>
            <w:pPr>
              <w:spacing w:after="0"/>
              <w:rPr>
                <w:sz w:val="19"/>
                <w:szCs w:val="19"/>
                <w:color w:val="auto"/>
              </w:rPr>
            </w:pPr>
          </w:p>
        </w:tc>
        <w:tc>
          <w:tcPr>
            <w:tcW w:w="2080" w:type="dxa"/>
            <w:vAlign w:val="bottom"/>
            <w:tcBorders>
              <w:bottom w:val="single" w:sz="8" w:color="B6B6B6"/>
              <w:right w:val="single" w:sz="8" w:color="B6B6B6"/>
            </w:tcBorders>
            <w:shd w:val="clear" w:color="auto" w:fill="DBDBDB"/>
          </w:tcPr>
          <w:p>
            <w:pPr>
              <w:jc w:val="center"/>
              <w:ind w:right="590"/>
              <w:spacing w:after="0"/>
              <w:rPr>
                <w:sz w:val="20"/>
                <w:szCs w:val="20"/>
                <w:color w:val="auto"/>
              </w:rPr>
            </w:pPr>
            <w:r>
              <w:rPr>
                <w:rFonts w:ascii="Arial" w:cs="Arial" w:eastAsia="Arial" w:hAnsi="Arial"/>
                <w:sz w:val="18"/>
                <w:szCs w:val="18"/>
                <w:color w:val="auto"/>
                <w:w w:val="98"/>
              </w:rPr>
              <w:t>840,371</w:t>
            </w:r>
          </w:p>
        </w:tc>
        <w:tc>
          <w:tcPr>
            <w:tcW w:w="0" w:type="dxa"/>
            <w:vAlign w:val="bottom"/>
          </w:tcPr>
          <w:p>
            <w:pPr>
              <w:spacing w:after="0"/>
              <w:rPr>
                <w:sz w:val="1"/>
                <w:szCs w:val="1"/>
                <w:color w:val="auto"/>
              </w:rPr>
            </w:pPr>
          </w:p>
        </w:tc>
      </w:tr>
      <w:tr>
        <w:trPr>
          <w:trHeight w:val="223"/>
        </w:trPr>
        <w:tc>
          <w:tcPr>
            <w:tcW w:w="580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Jacques-Edouard Gueden</w:t>
            </w:r>
          </w:p>
        </w:tc>
        <w:tc>
          <w:tcPr>
            <w:tcW w:w="27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rPr>
              <w:t>57,744</w:t>
            </w:r>
          </w:p>
        </w:tc>
        <w:tc>
          <w:tcPr>
            <w:tcW w:w="640" w:type="dxa"/>
            <w:vAlign w:val="bottom"/>
            <w:tcBorders>
              <w:bottom w:val="single" w:sz="8" w:color="B6B6B6"/>
            </w:tcBorders>
          </w:tcPr>
          <w:p>
            <w:pPr>
              <w:spacing w:after="0"/>
              <w:rPr>
                <w:sz w:val="19"/>
                <w:szCs w:val="19"/>
                <w:color w:val="auto"/>
              </w:rPr>
            </w:pPr>
          </w:p>
        </w:tc>
        <w:tc>
          <w:tcPr>
            <w:tcW w:w="2080" w:type="dxa"/>
            <w:vAlign w:val="bottom"/>
            <w:tcBorders>
              <w:bottom w:val="single" w:sz="8" w:color="B6B6B6"/>
              <w:right w:val="single" w:sz="8" w:color="B6B6B6"/>
            </w:tcBorders>
          </w:tcPr>
          <w:p>
            <w:pPr>
              <w:jc w:val="center"/>
              <w:ind w:right="590"/>
              <w:spacing w:after="0"/>
              <w:rPr>
                <w:sz w:val="20"/>
                <w:szCs w:val="20"/>
                <w:color w:val="auto"/>
              </w:rPr>
            </w:pPr>
            <w:r>
              <w:rPr>
                <w:rFonts w:ascii="Arial" w:cs="Arial" w:eastAsia="Arial" w:hAnsi="Arial"/>
                <w:sz w:val="18"/>
                <w:szCs w:val="18"/>
                <w:color w:val="auto"/>
                <w:w w:val="98"/>
              </w:rPr>
              <w:t>452,756</w:t>
            </w:r>
          </w:p>
        </w:tc>
        <w:tc>
          <w:tcPr>
            <w:tcW w:w="0" w:type="dxa"/>
            <w:vAlign w:val="bottom"/>
          </w:tcPr>
          <w:p>
            <w:pPr>
              <w:spacing w:after="0"/>
              <w:rPr>
                <w:sz w:val="1"/>
                <w:szCs w:val="1"/>
                <w:color w:val="auto"/>
              </w:rPr>
            </w:pPr>
          </w:p>
        </w:tc>
      </w:tr>
      <w:tr>
        <w:trPr>
          <w:trHeight w:val="223"/>
        </w:trPr>
        <w:tc>
          <w:tcPr>
            <w:tcW w:w="580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Flor M. Colón</w:t>
            </w:r>
          </w:p>
        </w:tc>
        <w:tc>
          <w:tcPr>
            <w:tcW w:w="274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14,414</w:t>
            </w:r>
          </w:p>
        </w:tc>
        <w:tc>
          <w:tcPr>
            <w:tcW w:w="640" w:type="dxa"/>
            <w:vAlign w:val="bottom"/>
            <w:tcBorders>
              <w:bottom w:val="single" w:sz="8" w:color="B6B6B6"/>
            </w:tcBorders>
            <w:shd w:val="clear" w:color="auto" w:fill="DBDBDB"/>
          </w:tcPr>
          <w:p>
            <w:pPr>
              <w:spacing w:after="0"/>
              <w:rPr>
                <w:sz w:val="19"/>
                <w:szCs w:val="19"/>
                <w:color w:val="auto"/>
              </w:rPr>
            </w:pPr>
          </w:p>
        </w:tc>
        <w:tc>
          <w:tcPr>
            <w:tcW w:w="2080" w:type="dxa"/>
            <w:vAlign w:val="bottom"/>
            <w:tcBorders>
              <w:bottom w:val="single" w:sz="8" w:color="B6B6B6"/>
              <w:right w:val="single" w:sz="8" w:color="B6B6B6"/>
            </w:tcBorders>
            <w:shd w:val="clear" w:color="auto" w:fill="DBDBDB"/>
          </w:tcPr>
          <w:p>
            <w:pPr>
              <w:jc w:val="center"/>
              <w:ind w:right="590"/>
              <w:spacing w:after="0"/>
              <w:rPr>
                <w:sz w:val="20"/>
                <w:szCs w:val="20"/>
                <w:color w:val="auto"/>
              </w:rPr>
            </w:pPr>
            <w:r>
              <w:rPr>
                <w:rFonts w:ascii="Arial" w:cs="Arial" w:eastAsia="Arial" w:hAnsi="Arial"/>
                <w:sz w:val="18"/>
                <w:szCs w:val="18"/>
                <w:color w:val="auto"/>
                <w:w w:val="98"/>
              </w:rPr>
              <w:t>103,663</w:t>
            </w:r>
          </w:p>
        </w:tc>
        <w:tc>
          <w:tcPr>
            <w:tcW w:w="0" w:type="dxa"/>
            <w:vAlign w:val="bottom"/>
          </w:tcPr>
          <w:p>
            <w:pPr>
              <w:spacing w:after="0"/>
              <w:rPr>
                <w:sz w:val="1"/>
                <w:szCs w:val="1"/>
                <w:color w:val="auto"/>
              </w:rPr>
            </w:pPr>
          </w:p>
        </w:tc>
      </w:tr>
      <w:tr>
        <w:trPr>
          <w:trHeight w:val="223"/>
        </w:trPr>
        <w:tc>
          <w:tcPr>
            <w:tcW w:w="580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Mirlanda Gecaj</w:t>
            </w:r>
          </w:p>
        </w:tc>
        <w:tc>
          <w:tcPr>
            <w:tcW w:w="274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7"/>
              </w:rPr>
              <w:t>7,922</w:t>
            </w:r>
          </w:p>
        </w:tc>
        <w:tc>
          <w:tcPr>
            <w:tcW w:w="640" w:type="dxa"/>
            <w:vAlign w:val="bottom"/>
            <w:tcBorders>
              <w:bottom w:val="single" w:sz="8" w:color="B6B6B6"/>
            </w:tcBorders>
          </w:tcPr>
          <w:p>
            <w:pPr>
              <w:spacing w:after="0"/>
              <w:rPr>
                <w:sz w:val="19"/>
                <w:szCs w:val="19"/>
                <w:color w:val="auto"/>
              </w:rPr>
            </w:pPr>
          </w:p>
        </w:tc>
        <w:tc>
          <w:tcPr>
            <w:tcW w:w="2080" w:type="dxa"/>
            <w:vAlign w:val="bottom"/>
            <w:tcBorders>
              <w:bottom w:val="single" w:sz="8" w:color="B6B6B6"/>
              <w:right w:val="single" w:sz="8" w:color="B6B6B6"/>
            </w:tcBorders>
          </w:tcPr>
          <w:p>
            <w:pPr>
              <w:jc w:val="center"/>
              <w:ind w:right="590"/>
              <w:spacing w:after="0"/>
              <w:rPr>
                <w:sz w:val="20"/>
                <w:szCs w:val="20"/>
                <w:color w:val="auto"/>
              </w:rPr>
            </w:pPr>
            <w:r>
              <w:rPr>
                <w:rFonts w:ascii="Arial" w:cs="Arial" w:eastAsia="Arial" w:hAnsi="Arial"/>
                <w:sz w:val="18"/>
                <w:szCs w:val="18"/>
                <w:color w:val="auto"/>
              </w:rPr>
              <w:t>53,491</w:t>
            </w:r>
          </w:p>
        </w:tc>
        <w:tc>
          <w:tcPr>
            <w:tcW w:w="0" w:type="dxa"/>
            <w:vAlign w:val="bottom"/>
          </w:tcPr>
          <w:p>
            <w:pPr>
              <w:spacing w:after="0"/>
              <w:rPr>
                <w:sz w:val="1"/>
                <w:szCs w:val="1"/>
                <w:color w:val="auto"/>
              </w:rPr>
            </w:pPr>
          </w:p>
        </w:tc>
      </w:tr>
      <w:tr>
        <w:trPr>
          <w:trHeight w:val="223"/>
        </w:trPr>
        <w:tc>
          <w:tcPr>
            <w:tcW w:w="580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Xavier Heiss</w:t>
            </w:r>
          </w:p>
        </w:tc>
        <w:tc>
          <w:tcPr>
            <w:tcW w:w="274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91,395</w:t>
            </w:r>
          </w:p>
        </w:tc>
        <w:tc>
          <w:tcPr>
            <w:tcW w:w="640" w:type="dxa"/>
            <w:vAlign w:val="bottom"/>
            <w:tcBorders>
              <w:bottom w:val="single" w:sz="8" w:color="B6B6B6"/>
            </w:tcBorders>
            <w:shd w:val="clear" w:color="auto" w:fill="DBDBDB"/>
          </w:tcPr>
          <w:p>
            <w:pPr>
              <w:spacing w:after="0"/>
              <w:rPr>
                <w:sz w:val="19"/>
                <w:szCs w:val="19"/>
                <w:color w:val="auto"/>
              </w:rPr>
            </w:pPr>
          </w:p>
        </w:tc>
        <w:tc>
          <w:tcPr>
            <w:tcW w:w="2080" w:type="dxa"/>
            <w:vAlign w:val="bottom"/>
            <w:tcBorders>
              <w:bottom w:val="single" w:sz="8" w:color="B6B6B6"/>
              <w:right w:val="single" w:sz="8" w:color="B6B6B6"/>
            </w:tcBorders>
            <w:shd w:val="clear" w:color="auto" w:fill="DBDBDB"/>
          </w:tcPr>
          <w:p>
            <w:pPr>
              <w:jc w:val="center"/>
              <w:ind w:right="590"/>
              <w:spacing w:after="0"/>
              <w:rPr>
                <w:sz w:val="20"/>
                <w:szCs w:val="20"/>
                <w:color w:val="auto"/>
              </w:rPr>
            </w:pPr>
            <w:r>
              <w:rPr>
                <w:rFonts w:ascii="Arial" w:cs="Arial" w:eastAsia="Arial" w:hAnsi="Arial"/>
                <w:sz w:val="18"/>
                <w:szCs w:val="18"/>
                <w:color w:val="auto"/>
                <w:w w:val="98"/>
              </w:rPr>
              <w:t>734,586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4" w:lineRule="exact"/>
        <w:rPr>
          <w:sz w:val="20"/>
          <w:szCs w:val="20"/>
          <w:color w:val="auto"/>
        </w:rPr>
      </w:pPr>
    </w:p>
    <w:p>
      <w:pPr>
        <w:ind w:left="340" w:right="40" w:hanging="332"/>
        <w:spacing w:after="0" w:line="265" w:lineRule="auto"/>
        <w:tabs>
          <w:tab w:leader="none" w:pos="337"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This column includes shares attributable to RSUs and PSUs that vested under the 2022, 2023, and 2024 LTIP. All shares are potentially subject to a holding period. NEOs must retain at least 50% of the shares acquired through the vesting of their annual LTIP PSU and RSU awards, net of taxes, until they achieve their required level of ownership under our stock ownership guidelines. Once achieved, NEOs must continue to hold that amount of stock as long as they remain with the Company. They also remain subject to a holding requirement following separation from employment (including retirement). Refer to Stock Ownership Requirements section above, within this CD&amp;A.</w:t>
      </w: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aggregate dollar amount realized upon vesting includes the value of shares withheld to pay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PENSION BENEFITS FOR THE 2025 FISCAL YEAR</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reflects information regarding our NEOs’ estimated benefits under the defined benefit pension plans in which they participate, if any, as of December 31, 2025. None of our NEOs, other than Messrs. Heiss, Gueden and Butler, and Ms. Colón, participate in any defined benefit pension plans.</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60" w:type="dxa"/>
            <w:vAlign w:val="bottom"/>
            <w:tcBorders>
              <w:left w:val="single" w:sz="8" w:color="DA2031"/>
              <w:right w:val="single" w:sz="8" w:color="DA2031"/>
            </w:tcBorders>
            <w:shd w:val="clear" w:color="auto" w:fill="DA2031"/>
          </w:tcPr>
          <w:p>
            <w:pPr>
              <w:spacing w:after="0"/>
              <w:rPr>
                <w:sz w:val="18"/>
                <w:szCs w:val="18"/>
                <w:color w:val="auto"/>
              </w:rPr>
            </w:pPr>
          </w:p>
        </w:tc>
        <w:tc>
          <w:tcPr>
            <w:tcW w:w="1720" w:type="dxa"/>
            <w:vAlign w:val="bottom"/>
            <w:shd w:val="clear" w:color="auto" w:fill="DA2031"/>
          </w:tcPr>
          <w:p>
            <w:pPr>
              <w:spacing w:after="0"/>
              <w:rPr>
                <w:sz w:val="18"/>
                <w:szCs w:val="18"/>
                <w:color w:val="auto"/>
              </w:rPr>
            </w:pPr>
          </w:p>
        </w:tc>
        <w:tc>
          <w:tcPr>
            <w:tcW w:w="520" w:type="dxa"/>
            <w:vAlign w:val="bottom"/>
            <w:tcBorders>
              <w:right w:val="single" w:sz="8" w:color="DA2031"/>
            </w:tcBorders>
            <w:shd w:val="clear" w:color="auto" w:fill="DA2031"/>
          </w:tcPr>
          <w:p>
            <w:pPr>
              <w:spacing w:after="0"/>
              <w:rPr>
                <w:sz w:val="18"/>
                <w:szCs w:val="18"/>
                <w:color w:val="auto"/>
              </w:rPr>
            </w:pPr>
          </w:p>
        </w:tc>
        <w:tc>
          <w:tcPr>
            <w:tcW w:w="2260" w:type="dxa"/>
            <w:vAlign w:val="bottom"/>
            <w:tcBorders>
              <w:right w:val="single" w:sz="8" w:color="DA2031"/>
            </w:tcBorders>
            <w:gridSpan w:val="2"/>
            <w:shd w:val="clear" w:color="auto" w:fill="DA2031"/>
          </w:tcPr>
          <w:p>
            <w:pPr>
              <w:jc w:val="center"/>
              <w:ind w:right="40"/>
              <w:spacing w:after="0"/>
              <w:rPr>
                <w:sz w:val="20"/>
                <w:szCs w:val="20"/>
                <w:color w:val="auto"/>
              </w:rPr>
            </w:pPr>
            <w:r>
              <w:rPr>
                <w:rFonts w:ascii="Arial" w:cs="Arial" w:eastAsia="Arial" w:hAnsi="Arial"/>
                <w:sz w:val="18"/>
                <w:szCs w:val="18"/>
                <w:b w:val="1"/>
                <w:bCs w:val="1"/>
                <w:color w:val="FFFFFF"/>
                <w:w w:val="99"/>
              </w:rPr>
              <w:t>Number of</w:t>
            </w:r>
          </w:p>
        </w:tc>
        <w:tc>
          <w:tcPr>
            <w:tcW w:w="840" w:type="dxa"/>
            <w:vAlign w:val="bottom"/>
            <w:shd w:val="clear" w:color="auto" w:fill="DA2031"/>
          </w:tcPr>
          <w:p>
            <w:pPr>
              <w:spacing w:after="0"/>
              <w:rPr>
                <w:sz w:val="18"/>
                <w:szCs w:val="18"/>
                <w:color w:val="auto"/>
              </w:rPr>
            </w:pPr>
          </w:p>
        </w:tc>
        <w:tc>
          <w:tcPr>
            <w:tcW w:w="540" w:type="dxa"/>
            <w:vAlign w:val="bottom"/>
            <w:shd w:val="clear" w:color="auto" w:fill="DA2031"/>
          </w:tcPr>
          <w:p>
            <w:pPr>
              <w:spacing w:after="0"/>
              <w:rPr>
                <w:sz w:val="18"/>
                <w:szCs w:val="18"/>
                <w:color w:val="auto"/>
              </w:rPr>
            </w:pPr>
          </w:p>
        </w:tc>
        <w:tc>
          <w:tcPr>
            <w:tcW w:w="860" w:type="dxa"/>
            <w:vAlign w:val="bottom"/>
            <w:tcBorders>
              <w:right w:val="single" w:sz="8" w:color="DA2031"/>
            </w:tcBorders>
            <w:shd w:val="clear" w:color="auto" w:fill="DA2031"/>
          </w:tcPr>
          <w:p>
            <w:pPr>
              <w:spacing w:after="0"/>
              <w:rPr>
                <w:sz w:val="18"/>
                <w:szCs w:val="18"/>
                <w:color w:val="auto"/>
              </w:rPr>
            </w:pPr>
          </w:p>
        </w:tc>
        <w:tc>
          <w:tcPr>
            <w:tcW w:w="1020" w:type="dxa"/>
            <w:vAlign w:val="bottom"/>
            <w:shd w:val="clear" w:color="auto" w:fill="DA2031"/>
          </w:tcPr>
          <w:p>
            <w:pPr>
              <w:spacing w:after="0"/>
              <w:rPr>
                <w:sz w:val="18"/>
                <w:szCs w:val="18"/>
                <w:color w:val="auto"/>
              </w:rPr>
            </w:pPr>
          </w:p>
        </w:tc>
        <w:tc>
          <w:tcPr>
            <w:tcW w:w="200" w:type="dxa"/>
            <w:vAlign w:val="bottom"/>
            <w:shd w:val="clear" w:color="auto" w:fill="DA2031"/>
          </w:tcPr>
          <w:p>
            <w:pPr>
              <w:spacing w:after="0"/>
              <w:rPr>
                <w:sz w:val="18"/>
                <w:szCs w:val="18"/>
                <w:color w:val="auto"/>
              </w:rPr>
            </w:pPr>
          </w:p>
        </w:tc>
        <w:tc>
          <w:tcPr>
            <w:tcW w:w="1040" w:type="dxa"/>
            <w:vAlign w:val="bottom"/>
            <w:tcBorders>
              <w:right w:val="single" w:sz="8" w:color="DA2031"/>
            </w:tcBorders>
            <w:shd w:val="clear" w:color="auto" w:fill="DA2031"/>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260" w:type="dxa"/>
            <w:vAlign w:val="bottom"/>
            <w:tcBorders>
              <w:left w:val="single" w:sz="8" w:color="DA2031"/>
              <w:right w:val="single" w:sz="8" w:color="DA2031"/>
            </w:tcBorders>
            <w:shd w:val="clear" w:color="auto" w:fill="DA2031"/>
          </w:tcPr>
          <w:p>
            <w:pPr>
              <w:spacing w:after="0"/>
              <w:rPr>
                <w:sz w:val="15"/>
                <w:szCs w:val="15"/>
                <w:color w:val="auto"/>
              </w:rPr>
            </w:pPr>
          </w:p>
        </w:tc>
        <w:tc>
          <w:tcPr>
            <w:tcW w:w="1720" w:type="dxa"/>
            <w:vAlign w:val="bottom"/>
            <w:shd w:val="clear" w:color="auto" w:fill="DA2031"/>
          </w:tcPr>
          <w:p>
            <w:pPr>
              <w:spacing w:after="0"/>
              <w:rPr>
                <w:sz w:val="15"/>
                <w:szCs w:val="15"/>
                <w:color w:val="auto"/>
              </w:rPr>
            </w:pPr>
          </w:p>
        </w:tc>
        <w:tc>
          <w:tcPr>
            <w:tcW w:w="520" w:type="dxa"/>
            <w:vAlign w:val="bottom"/>
            <w:tcBorders>
              <w:right w:val="single" w:sz="8" w:color="DA2031"/>
            </w:tcBorders>
            <w:shd w:val="clear" w:color="auto" w:fill="DA2031"/>
          </w:tcPr>
          <w:p>
            <w:pPr>
              <w:spacing w:after="0"/>
              <w:rPr>
                <w:sz w:val="15"/>
                <w:szCs w:val="15"/>
                <w:color w:val="auto"/>
              </w:rPr>
            </w:pPr>
          </w:p>
        </w:tc>
        <w:tc>
          <w:tcPr>
            <w:tcW w:w="2260" w:type="dxa"/>
            <w:vAlign w:val="bottom"/>
            <w:tcBorders>
              <w:right w:val="single" w:sz="8" w:color="DA2031"/>
            </w:tcBorders>
            <w:gridSpan w:val="2"/>
            <w:shd w:val="clear" w:color="auto" w:fill="DA2031"/>
          </w:tcPr>
          <w:p>
            <w:pPr>
              <w:jc w:val="center"/>
              <w:ind w:right="40"/>
              <w:spacing w:after="0" w:line="181" w:lineRule="exact"/>
              <w:rPr>
                <w:sz w:val="20"/>
                <w:szCs w:val="20"/>
                <w:color w:val="auto"/>
              </w:rPr>
            </w:pPr>
            <w:r>
              <w:rPr>
                <w:rFonts w:ascii="Arial" w:cs="Arial" w:eastAsia="Arial" w:hAnsi="Arial"/>
                <w:sz w:val="18"/>
                <w:szCs w:val="18"/>
                <w:b w:val="1"/>
                <w:bCs w:val="1"/>
                <w:color w:val="FFFFFF"/>
                <w:w w:val="98"/>
              </w:rPr>
              <w:t>Years of</w:t>
            </w:r>
          </w:p>
        </w:tc>
        <w:tc>
          <w:tcPr>
            <w:tcW w:w="2240" w:type="dxa"/>
            <w:vAlign w:val="bottom"/>
            <w:tcBorders>
              <w:right w:val="single" w:sz="8" w:color="DA2031"/>
            </w:tcBorders>
            <w:gridSpan w:val="3"/>
            <w:vMerge w:val="restart"/>
            <w:shd w:val="clear" w:color="auto" w:fill="DA2031"/>
          </w:tcPr>
          <w:p>
            <w:pPr>
              <w:jc w:val="center"/>
              <w:ind w:right="40"/>
              <w:spacing w:after="0"/>
              <w:rPr>
                <w:sz w:val="20"/>
                <w:szCs w:val="20"/>
                <w:color w:val="auto"/>
              </w:rPr>
            </w:pPr>
            <w:r>
              <w:rPr>
                <w:rFonts w:ascii="Arial" w:cs="Arial" w:eastAsia="Arial" w:hAnsi="Arial"/>
                <w:sz w:val="18"/>
                <w:szCs w:val="18"/>
                <w:b w:val="1"/>
                <w:bCs w:val="1"/>
                <w:color w:val="FFFFFF"/>
                <w:w w:val="99"/>
              </w:rPr>
              <w:t>Present Value of</w:t>
            </w:r>
          </w:p>
        </w:tc>
        <w:tc>
          <w:tcPr>
            <w:tcW w:w="2260" w:type="dxa"/>
            <w:vAlign w:val="bottom"/>
            <w:tcBorders>
              <w:right w:val="single" w:sz="8" w:color="DA2031"/>
            </w:tcBorders>
            <w:gridSpan w:val="3"/>
            <w:vMerge w:val="restart"/>
            <w:shd w:val="clear" w:color="auto" w:fill="DA2031"/>
          </w:tcPr>
          <w:p>
            <w:pPr>
              <w:jc w:val="center"/>
              <w:ind w:right="20"/>
              <w:spacing w:after="0"/>
              <w:rPr>
                <w:sz w:val="20"/>
                <w:szCs w:val="20"/>
                <w:color w:val="auto"/>
              </w:rPr>
            </w:pPr>
            <w:r>
              <w:rPr>
                <w:rFonts w:ascii="Arial" w:cs="Arial" w:eastAsia="Arial" w:hAnsi="Arial"/>
                <w:sz w:val="18"/>
                <w:szCs w:val="18"/>
                <w:b w:val="1"/>
                <w:bCs w:val="1"/>
                <w:color w:val="FFFFFF"/>
                <w:w w:val="99"/>
              </w:rPr>
              <w:t>Payments During</w:t>
            </w:r>
          </w:p>
        </w:tc>
        <w:tc>
          <w:tcPr>
            <w:tcW w:w="0" w:type="dxa"/>
            <w:vAlign w:val="bottom"/>
          </w:tcPr>
          <w:p>
            <w:pPr>
              <w:spacing w:after="0"/>
              <w:rPr>
                <w:sz w:val="1"/>
                <w:szCs w:val="1"/>
                <w:color w:val="auto"/>
              </w:rPr>
            </w:pPr>
          </w:p>
        </w:tc>
      </w:tr>
      <w:tr>
        <w:trPr>
          <w:trHeight w:val="175"/>
        </w:trPr>
        <w:tc>
          <w:tcPr>
            <w:tcW w:w="2260" w:type="dxa"/>
            <w:vAlign w:val="bottom"/>
            <w:tcBorders>
              <w:left w:val="single" w:sz="8" w:color="DA2031"/>
              <w:right w:val="single" w:sz="8" w:color="DA2031"/>
            </w:tcBorders>
            <w:shd w:val="clear" w:color="auto" w:fill="DA2031"/>
          </w:tcPr>
          <w:p>
            <w:pPr>
              <w:spacing w:after="0"/>
              <w:rPr>
                <w:sz w:val="15"/>
                <w:szCs w:val="15"/>
                <w:color w:val="auto"/>
              </w:rPr>
            </w:pPr>
          </w:p>
        </w:tc>
        <w:tc>
          <w:tcPr>
            <w:tcW w:w="1720" w:type="dxa"/>
            <w:vAlign w:val="bottom"/>
            <w:shd w:val="clear" w:color="auto" w:fill="DA2031"/>
          </w:tcPr>
          <w:p>
            <w:pPr>
              <w:spacing w:after="0"/>
              <w:rPr>
                <w:sz w:val="15"/>
                <w:szCs w:val="15"/>
                <w:color w:val="auto"/>
              </w:rPr>
            </w:pPr>
          </w:p>
        </w:tc>
        <w:tc>
          <w:tcPr>
            <w:tcW w:w="520" w:type="dxa"/>
            <w:vAlign w:val="bottom"/>
            <w:tcBorders>
              <w:right w:val="single" w:sz="8" w:color="DA2031"/>
            </w:tcBorders>
            <w:shd w:val="clear" w:color="auto" w:fill="DA2031"/>
          </w:tcPr>
          <w:p>
            <w:pPr>
              <w:spacing w:after="0"/>
              <w:rPr>
                <w:sz w:val="15"/>
                <w:szCs w:val="15"/>
                <w:color w:val="auto"/>
              </w:rPr>
            </w:pPr>
          </w:p>
        </w:tc>
        <w:tc>
          <w:tcPr>
            <w:tcW w:w="2260" w:type="dxa"/>
            <w:vAlign w:val="bottom"/>
            <w:tcBorders>
              <w:right w:val="single" w:sz="8" w:color="DA2031"/>
            </w:tcBorders>
            <w:gridSpan w:val="2"/>
            <w:shd w:val="clear" w:color="auto" w:fill="DA2031"/>
          </w:tcPr>
          <w:p>
            <w:pPr>
              <w:jc w:val="center"/>
              <w:ind w:right="40"/>
              <w:spacing w:after="0" w:line="176" w:lineRule="exact"/>
              <w:rPr>
                <w:sz w:val="20"/>
                <w:szCs w:val="20"/>
                <w:color w:val="auto"/>
              </w:rPr>
            </w:pPr>
            <w:r>
              <w:rPr>
                <w:rFonts w:ascii="Arial" w:cs="Arial" w:eastAsia="Arial" w:hAnsi="Arial"/>
                <w:sz w:val="18"/>
                <w:szCs w:val="18"/>
                <w:b w:val="1"/>
                <w:bCs w:val="1"/>
                <w:color w:val="FFFFFF"/>
              </w:rPr>
              <w:t>Credited</w:t>
            </w:r>
          </w:p>
        </w:tc>
        <w:tc>
          <w:tcPr>
            <w:tcW w:w="2240" w:type="dxa"/>
            <w:vAlign w:val="bottom"/>
            <w:tcBorders>
              <w:right w:val="single" w:sz="8" w:color="DA2031"/>
            </w:tcBorders>
            <w:gridSpan w:val="3"/>
            <w:vMerge w:val="continue"/>
            <w:shd w:val="clear" w:color="auto" w:fill="DA2031"/>
          </w:tcPr>
          <w:p>
            <w:pPr>
              <w:spacing w:after="0"/>
              <w:rPr>
                <w:sz w:val="15"/>
                <w:szCs w:val="15"/>
                <w:color w:val="auto"/>
              </w:rPr>
            </w:pPr>
          </w:p>
        </w:tc>
        <w:tc>
          <w:tcPr>
            <w:tcW w:w="2260" w:type="dxa"/>
            <w:vAlign w:val="bottom"/>
            <w:tcBorders>
              <w:right w:val="single" w:sz="8" w:color="DA2031"/>
            </w:tcBorders>
            <w:gridSpan w:val="3"/>
            <w:vMerge w:val="continue"/>
            <w:shd w:val="clear" w:color="auto" w:fill="DA203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60" w:type="dxa"/>
            <w:vAlign w:val="bottom"/>
            <w:tcBorders>
              <w:left w:val="single" w:sz="8" w:color="DA2031"/>
              <w:right w:val="single" w:sz="8" w:color="DA2031"/>
            </w:tcBorders>
            <w:vMerge w:val="restart"/>
            <w:shd w:val="clear" w:color="auto" w:fill="DA2031"/>
          </w:tcPr>
          <w:p>
            <w:pPr>
              <w:ind w:left="20"/>
              <w:spacing w:after="0"/>
              <w:rPr>
                <w:sz w:val="20"/>
                <w:szCs w:val="20"/>
                <w:color w:val="auto"/>
              </w:rPr>
            </w:pPr>
            <w:r>
              <w:rPr>
                <w:rFonts w:ascii="Arial" w:cs="Arial" w:eastAsia="Arial" w:hAnsi="Arial"/>
                <w:sz w:val="18"/>
                <w:szCs w:val="18"/>
                <w:b w:val="1"/>
                <w:bCs w:val="1"/>
                <w:color w:val="FFFFFF"/>
              </w:rPr>
              <w:t>Name</w:t>
            </w:r>
          </w:p>
        </w:tc>
        <w:tc>
          <w:tcPr>
            <w:tcW w:w="2240" w:type="dxa"/>
            <w:vAlign w:val="bottom"/>
            <w:tcBorders>
              <w:right w:val="single" w:sz="8" w:color="DA2031"/>
            </w:tcBorders>
            <w:gridSpan w:val="2"/>
            <w:vMerge w:val="restart"/>
            <w:shd w:val="clear" w:color="auto" w:fill="DA2031"/>
          </w:tcPr>
          <w:p>
            <w:pPr>
              <w:ind w:left="640"/>
              <w:spacing w:after="0"/>
              <w:rPr>
                <w:sz w:val="20"/>
                <w:szCs w:val="20"/>
                <w:color w:val="auto"/>
              </w:rPr>
            </w:pPr>
            <w:r>
              <w:rPr>
                <w:rFonts w:ascii="Arial" w:cs="Arial" w:eastAsia="Arial" w:hAnsi="Arial"/>
                <w:sz w:val="18"/>
                <w:szCs w:val="18"/>
                <w:b w:val="1"/>
                <w:bCs w:val="1"/>
                <w:color w:val="FFFFFF"/>
              </w:rPr>
              <w:t>Plan Name</w:t>
            </w:r>
          </w:p>
        </w:tc>
        <w:tc>
          <w:tcPr>
            <w:tcW w:w="2260" w:type="dxa"/>
            <w:vAlign w:val="bottom"/>
            <w:tcBorders>
              <w:right w:val="single" w:sz="8" w:color="DA2031"/>
            </w:tcBorders>
            <w:gridSpan w:val="2"/>
            <w:shd w:val="clear" w:color="auto" w:fill="DA2031"/>
          </w:tcPr>
          <w:p>
            <w:pPr>
              <w:jc w:val="center"/>
              <w:ind w:right="20"/>
              <w:spacing w:after="0" w:line="189" w:lineRule="exact"/>
              <w:rPr>
                <w:sz w:val="20"/>
                <w:szCs w:val="20"/>
                <w:color w:val="auto"/>
              </w:rPr>
            </w:pPr>
            <w:r>
              <w:rPr>
                <w:rFonts w:ascii="Arial" w:cs="Arial" w:eastAsia="Arial" w:hAnsi="Arial"/>
                <w:sz w:val="18"/>
                <w:szCs w:val="18"/>
                <w:b w:val="1"/>
                <w:bCs w:val="1"/>
                <w:color w:val="FFFFFF"/>
                <w:w w:val="99"/>
              </w:rPr>
              <w:t>Service</w:t>
            </w:r>
          </w:p>
        </w:tc>
        <w:tc>
          <w:tcPr>
            <w:tcW w:w="2240" w:type="dxa"/>
            <w:vAlign w:val="bottom"/>
            <w:tcBorders>
              <w:right w:val="single" w:sz="8" w:color="DA2031"/>
            </w:tcBorders>
            <w:gridSpan w:val="3"/>
            <w:shd w:val="clear" w:color="auto" w:fill="DA2031"/>
          </w:tcPr>
          <w:p>
            <w:pPr>
              <w:jc w:val="center"/>
              <w:ind w:right="40"/>
              <w:spacing w:after="0" w:line="189" w:lineRule="exact"/>
              <w:rPr>
                <w:sz w:val="20"/>
                <w:szCs w:val="20"/>
                <w:color w:val="auto"/>
              </w:rPr>
            </w:pPr>
            <w:r>
              <w:rPr>
                <w:rFonts w:ascii="Arial" w:cs="Arial" w:eastAsia="Arial" w:hAnsi="Arial"/>
                <w:sz w:val="18"/>
                <w:szCs w:val="18"/>
                <w:b w:val="1"/>
                <w:bCs w:val="1"/>
                <w:color w:val="FFFFFF"/>
              </w:rPr>
              <w:t>Accumulated Benefit</w:t>
            </w:r>
          </w:p>
        </w:tc>
        <w:tc>
          <w:tcPr>
            <w:tcW w:w="2260" w:type="dxa"/>
            <w:vAlign w:val="bottom"/>
            <w:tcBorders>
              <w:right w:val="single" w:sz="8" w:color="DA2031"/>
            </w:tcBorders>
            <w:gridSpan w:val="3"/>
            <w:shd w:val="clear" w:color="auto" w:fill="DA2031"/>
          </w:tcPr>
          <w:p>
            <w:pPr>
              <w:jc w:val="center"/>
              <w:ind w:right="20"/>
              <w:spacing w:after="0" w:line="189" w:lineRule="exact"/>
              <w:rPr>
                <w:sz w:val="20"/>
                <w:szCs w:val="20"/>
                <w:color w:val="auto"/>
              </w:rPr>
            </w:pPr>
            <w:r>
              <w:rPr>
                <w:rFonts w:ascii="Arial" w:cs="Arial" w:eastAsia="Arial" w:hAnsi="Arial"/>
                <w:sz w:val="18"/>
                <w:szCs w:val="18"/>
                <w:b w:val="1"/>
                <w:bCs w:val="1"/>
                <w:color w:val="FFFFFF"/>
                <w:w w:val="99"/>
              </w:rPr>
              <w:t>Last Fiscal Year</w:t>
            </w:r>
          </w:p>
        </w:tc>
        <w:tc>
          <w:tcPr>
            <w:tcW w:w="0" w:type="dxa"/>
            <w:vAlign w:val="bottom"/>
          </w:tcPr>
          <w:p>
            <w:pPr>
              <w:spacing w:after="0"/>
              <w:rPr>
                <w:sz w:val="1"/>
                <w:szCs w:val="1"/>
                <w:color w:val="auto"/>
              </w:rPr>
            </w:pPr>
          </w:p>
        </w:tc>
      </w:tr>
      <w:tr>
        <w:trPr>
          <w:trHeight w:val="229"/>
        </w:trPr>
        <w:tc>
          <w:tcPr>
            <w:tcW w:w="2260" w:type="dxa"/>
            <w:vAlign w:val="bottom"/>
            <w:tcBorders>
              <w:left w:val="single" w:sz="8" w:color="DA2031"/>
              <w:bottom w:val="single" w:sz="8" w:color="B6B6B6"/>
              <w:right w:val="single" w:sz="8" w:color="DA2031"/>
            </w:tcBorders>
            <w:vMerge w:val="continue"/>
            <w:shd w:val="clear" w:color="auto" w:fill="DA2031"/>
          </w:tcPr>
          <w:p>
            <w:pPr>
              <w:spacing w:after="0"/>
              <w:rPr>
                <w:sz w:val="19"/>
                <w:szCs w:val="19"/>
                <w:color w:val="auto"/>
              </w:rPr>
            </w:pPr>
          </w:p>
        </w:tc>
        <w:tc>
          <w:tcPr>
            <w:tcW w:w="2240" w:type="dxa"/>
            <w:vAlign w:val="bottom"/>
            <w:tcBorders>
              <w:bottom w:val="single" w:sz="8" w:color="B6B6B6"/>
              <w:right w:val="single" w:sz="8" w:color="DA2031"/>
            </w:tcBorders>
            <w:gridSpan w:val="2"/>
            <w:vMerge w:val="continue"/>
            <w:shd w:val="clear" w:color="auto" w:fill="DA2031"/>
          </w:tcPr>
          <w:p>
            <w:pPr>
              <w:spacing w:after="0"/>
              <w:rPr>
                <w:sz w:val="19"/>
                <w:szCs w:val="19"/>
                <w:color w:val="auto"/>
              </w:rPr>
            </w:pPr>
          </w:p>
        </w:tc>
        <w:tc>
          <w:tcPr>
            <w:tcW w:w="1280" w:type="dxa"/>
            <w:vAlign w:val="bottom"/>
            <w:tcBorders>
              <w:bottom w:val="single" w:sz="8" w:color="B6B6B6"/>
            </w:tcBorders>
            <w:shd w:val="clear" w:color="auto" w:fill="DA2031"/>
          </w:tcPr>
          <w:p>
            <w:pPr>
              <w:jc w:val="center"/>
              <w:ind w:left="850"/>
              <w:spacing w:after="0"/>
              <w:rPr>
                <w:sz w:val="20"/>
                <w:szCs w:val="20"/>
                <w:color w:val="auto"/>
              </w:rPr>
            </w:pPr>
            <w:r>
              <w:rPr>
                <w:rFonts w:ascii="Arial" w:cs="Arial" w:eastAsia="Arial" w:hAnsi="Arial"/>
                <w:sz w:val="18"/>
                <w:szCs w:val="18"/>
                <w:b w:val="1"/>
                <w:bCs w:val="1"/>
                <w:color w:val="FFFFFF"/>
                <w:w w:val="99"/>
              </w:rPr>
              <w:t>(#)</w:t>
            </w:r>
          </w:p>
        </w:tc>
        <w:tc>
          <w:tcPr>
            <w:tcW w:w="980" w:type="dxa"/>
            <w:vAlign w:val="bottom"/>
            <w:tcBorders>
              <w:bottom w:val="single" w:sz="8" w:color="B6B6B6"/>
              <w:right w:val="single" w:sz="8" w:color="DA2031"/>
            </w:tcBorders>
            <w:shd w:val="clear" w:color="auto" w:fill="DA2031"/>
          </w:tcPr>
          <w:p>
            <w:pPr>
              <w:spacing w:after="0"/>
              <w:rPr>
                <w:sz w:val="19"/>
                <w:szCs w:val="19"/>
                <w:color w:val="auto"/>
              </w:rPr>
            </w:pPr>
          </w:p>
        </w:tc>
        <w:tc>
          <w:tcPr>
            <w:tcW w:w="1380" w:type="dxa"/>
            <w:vAlign w:val="bottom"/>
            <w:tcBorders>
              <w:bottom w:val="single" w:sz="8" w:color="B6B6B6"/>
            </w:tcBorders>
            <w:gridSpan w:val="2"/>
            <w:shd w:val="clear" w:color="auto" w:fill="DA2031"/>
          </w:tcPr>
          <w:p>
            <w:pPr>
              <w:jc w:val="center"/>
              <w:ind w:left="710"/>
              <w:spacing w:after="0"/>
              <w:rPr>
                <w:sz w:val="20"/>
                <w:szCs w:val="20"/>
                <w:color w:val="auto"/>
              </w:rPr>
            </w:pPr>
            <w:r>
              <w:rPr>
                <w:rFonts w:ascii="Arial" w:cs="Arial" w:eastAsia="Arial" w:hAnsi="Arial"/>
                <w:sz w:val="18"/>
                <w:szCs w:val="18"/>
                <w:b w:val="1"/>
                <w:bCs w:val="1"/>
                <w:color w:val="FFFFFF"/>
                <w:w w:val="99"/>
              </w:rPr>
              <w:t>($)</w:t>
            </w:r>
          </w:p>
        </w:tc>
        <w:tc>
          <w:tcPr>
            <w:tcW w:w="860" w:type="dxa"/>
            <w:vAlign w:val="bottom"/>
            <w:tcBorders>
              <w:bottom w:val="single" w:sz="8" w:color="B6B6B6"/>
              <w:right w:val="single" w:sz="8" w:color="DA2031"/>
            </w:tcBorders>
            <w:shd w:val="clear" w:color="auto" w:fill="DA2031"/>
          </w:tcPr>
          <w:p>
            <w:pPr>
              <w:spacing w:after="0"/>
              <w:rPr>
                <w:sz w:val="19"/>
                <w:szCs w:val="19"/>
                <w:color w:val="auto"/>
              </w:rPr>
            </w:pPr>
          </w:p>
        </w:tc>
        <w:tc>
          <w:tcPr>
            <w:tcW w:w="2260" w:type="dxa"/>
            <w:vAlign w:val="bottom"/>
            <w:tcBorders>
              <w:bottom w:val="single" w:sz="8" w:color="B6B6B6"/>
              <w:right w:val="single" w:sz="8" w:color="DA2031"/>
            </w:tcBorders>
            <w:gridSpan w:val="3"/>
            <w:shd w:val="clear" w:color="auto" w:fill="DA2031"/>
          </w:tcPr>
          <w:p>
            <w:pPr>
              <w:jc w:val="center"/>
              <w:ind w:right="40"/>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177"/>
        </w:trPr>
        <w:tc>
          <w:tcPr>
            <w:tcW w:w="2260" w:type="dxa"/>
            <w:vAlign w:val="bottom"/>
            <w:tcBorders>
              <w:left w:val="single" w:sz="8" w:color="B6B6B6"/>
              <w:right w:val="single" w:sz="8" w:color="B6B6B6"/>
            </w:tcBorders>
            <w:shd w:val="clear" w:color="auto" w:fill="DBDBDB"/>
          </w:tcPr>
          <w:p>
            <w:pPr>
              <w:ind w:left="40"/>
              <w:spacing w:after="0" w:line="177" w:lineRule="exact"/>
              <w:rPr>
                <w:sz w:val="20"/>
                <w:szCs w:val="20"/>
                <w:color w:val="auto"/>
              </w:rPr>
            </w:pPr>
            <w:r>
              <w:rPr>
                <w:rFonts w:ascii="Arial" w:cs="Arial" w:eastAsia="Arial" w:hAnsi="Arial"/>
                <w:sz w:val="18"/>
                <w:szCs w:val="18"/>
                <w:color w:val="auto"/>
              </w:rPr>
              <w:t>Xavier Heiss (A)</w:t>
            </w:r>
          </w:p>
        </w:tc>
        <w:tc>
          <w:tcPr>
            <w:tcW w:w="2240" w:type="dxa"/>
            <w:vAlign w:val="bottom"/>
            <w:tcBorders>
              <w:right w:val="single" w:sz="8" w:color="B6B6B6"/>
            </w:tcBorders>
            <w:gridSpan w:val="2"/>
            <w:shd w:val="clear" w:color="auto" w:fill="DBDBDB"/>
          </w:tcPr>
          <w:p>
            <w:pPr>
              <w:spacing w:after="0" w:line="177" w:lineRule="exact"/>
              <w:rPr>
                <w:sz w:val="20"/>
                <w:szCs w:val="20"/>
                <w:color w:val="auto"/>
              </w:rPr>
            </w:pPr>
            <w:r>
              <w:rPr>
                <w:rFonts w:ascii="Arial" w:cs="Arial" w:eastAsia="Arial" w:hAnsi="Arial"/>
                <w:sz w:val="18"/>
                <w:szCs w:val="18"/>
                <w:color w:val="auto"/>
              </w:rPr>
              <w:t>Retirement</w:t>
            </w:r>
          </w:p>
        </w:tc>
        <w:tc>
          <w:tcPr>
            <w:tcW w:w="1280" w:type="dxa"/>
            <w:vAlign w:val="bottom"/>
            <w:vMerge w:val="restart"/>
            <w:shd w:val="clear" w:color="auto" w:fill="DBDBDB"/>
          </w:tcPr>
          <w:p>
            <w:pPr>
              <w:jc w:val="center"/>
              <w:ind w:left="870"/>
              <w:spacing w:after="0"/>
              <w:rPr>
                <w:sz w:val="20"/>
                <w:szCs w:val="20"/>
                <w:color w:val="auto"/>
              </w:rPr>
            </w:pPr>
            <w:r>
              <w:rPr>
                <w:rFonts w:ascii="Arial" w:cs="Arial" w:eastAsia="Arial" w:hAnsi="Arial"/>
                <w:sz w:val="18"/>
                <w:szCs w:val="18"/>
                <w:color w:val="auto"/>
                <w:w w:val="99"/>
              </w:rPr>
              <w:t>36</w:t>
            </w:r>
          </w:p>
        </w:tc>
        <w:tc>
          <w:tcPr>
            <w:tcW w:w="980" w:type="dxa"/>
            <w:vAlign w:val="bottom"/>
            <w:tcBorders>
              <w:right w:val="single" w:sz="8" w:color="B6B6B6"/>
            </w:tcBorders>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1400" w:type="dxa"/>
            <w:vAlign w:val="bottom"/>
            <w:tcBorders>
              <w:right w:val="single" w:sz="8" w:color="B6B6B6"/>
            </w:tcBorders>
            <w:gridSpan w:val="2"/>
            <w:vMerge w:val="restart"/>
            <w:shd w:val="clear" w:color="auto" w:fill="DBDBDB"/>
          </w:tcPr>
          <w:p>
            <w:pPr>
              <w:jc w:val="center"/>
              <w:ind w:right="860"/>
              <w:spacing w:after="0"/>
              <w:rPr>
                <w:sz w:val="20"/>
                <w:szCs w:val="20"/>
                <w:color w:val="auto"/>
              </w:rPr>
            </w:pPr>
            <w:r>
              <w:rPr>
                <w:rFonts w:ascii="Arial" w:cs="Arial" w:eastAsia="Arial" w:hAnsi="Arial"/>
                <w:sz w:val="18"/>
                <w:szCs w:val="18"/>
                <w:color w:val="auto"/>
                <w:w w:val="99"/>
              </w:rPr>
              <w:t>—</w:t>
            </w:r>
          </w:p>
        </w:tc>
        <w:tc>
          <w:tcPr>
            <w:tcW w:w="2260" w:type="dxa"/>
            <w:vAlign w:val="bottom"/>
            <w:tcBorders>
              <w:right w:val="single" w:sz="8" w:color="B6B6B6"/>
            </w:tcBorders>
            <w:gridSpan w:val="3"/>
            <w:vMerge w:val="restart"/>
            <w:shd w:val="clear" w:color="auto" w:fill="DBDBDB"/>
          </w:tcPr>
          <w:p>
            <w:pPr>
              <w:jc w:val="center"/>
              <w:ind w:right="20"/>
              <w:spacing w:after="0"/>
              <w:rPr>
                <w:sz w:val="20"/>
                <w:szCs w:val="20"/>
                <w:color w:val="auto"/>
              </w:rPr>
            </w:pPr>
            <w:r>
              <w:rPr>
                <w:rFonts w:ascii="Arial" w:cs="Arial" w:eastAsia="Arial" w:hAnsi="Arial"/>
                <w:sz w:val="18"/>
                <w:szCs w:val="18"/>
                <w:color w:val="auto"/>
                <w:w w:val="99"/>
              </w:rPr>
              <w:t>1,679,030</w:t>
            </w:r>
          </w:p>
        </w:tc>
        <w:tc>
          <w:tcPr>
            <w:tcW w:w="0" w:type="dxa"/>
            <w:vAlign w:val="bottom"/>
          </w:tcPr>
          <w:p>
            <w:pPr>
              <w:spacing w:after="0"/>
              <w:rPr>
                <w:sz w:val="1"/>
                <w:szCs w:val="1"/>
                <w:color w:val="auto"/>
              </w:rPr>
            </w:pPr>
          </w:p>
        </w:tc>
      </w:tr>
      <w:tr>
        <w:trPr>
          <w:trHeight w:val="235"/>
        </w:trPr>
        <w:tc>
          <w:tcPr>
            <w:tcW w:w="2260" w:type="dxa"/>
            <w:vAlign w:val="bottom"/>
            <w:tcBorders>
              <w:left w:val="single" w:sz="8" w:color="B6B6B6"/>
              <w:bottom w:val="single" w:sz="8" w:color="B6B6B6"/>
              <w:right w:val="single" w:sz="8" w:color="B6B6B6"/>
            </w:tcBorders>
            <w:shd w:val="clear" w:color="auto" w:fill="DBDBDB"/>
          </w:tcPr>
          <w:p>
            <w:pPr>
              <w:spacing w:after="0"/>
              <w:rPr>
                <w:sz w:val="20"/>
                <w:szCs w:val="20"/>
                <w:color w:val="auto"/>
              </w:rPr>
            </w:pPr>
          </w:p>
        </w:tc>
        <w:tc>
          <w:tcPr>
            <w:tcW w:w="2240" w:type="dxa"/>
            <w:vAlign w:val="bottom"/>
            <w:tcBorders>
              <w:bottom w:val="single" w:sz="8" w:color="B6B6B6"/>
              <w:right w:val="single" w:sz="8" w:color="B6B6B6"/>
            </w:tcBorders>
            <w:gridSpan w:val="2"/>
            <w:shd w:val="clear" w:color="auto" w:fill="DBDBDB"/>
          </w:tcPr>
          <w:p>
            <w:pPr>
              <w:spacing w:after="0"/>
              <w:rPr>
                <w:sz w:val="20"/>
                <w:szCs w:val="20"/>
                <w:color w:val="auto"/>
              </w:rPr>
            </w:pPr>
            <w:r>
              <w:rPr>
                <w:rFonts w:ascii="Arial" w:cs="Arial" w:eastAsia="Arial" w:hAnsi="Arial"/>
                <w:sz w:val="18"/>
                <w:szCs w:val="18"/>
                <w:color w:val="auto"/>
              </w:rPr>
              <w:t>Indemnities Plan</w:t>
            </w:r>
          </w:p>
        </w:tc>
        <w:tc>
          <w:tcPr>
            <w:tcW w:w="1280" w:type="dxa"/>
            <w:vAlign w:val="bottom"/>
            <w:tcBorders>
              <w:bottom w:val="single" w:sz="8" w:color="B6B6B6"/>
            </w:tcBorders>
            <w:vMerge w:val="continue"/>
            <w:shd w:val="clear" w:color="auto" w:fill="DBDBDB"/>
          </w:tcPr>
          <w:p>
            <w:pPr>
              <w:spacing w:after="0"/>
              <w:rPr>
                <w:sz w:val="20"/>
                <w:szCs w:val="20"/>
                <w:color w:val="auto"/>
              </w:rPr>
            </w:pPr>
          </w:p>
        </w:tc>
        <w:tc>
          <w:tcPr>
            <w:tcW w:w="980" w:type="dxa"/>
            <w:vAlign w:val="bottom"/>
            <w:tcBorders>
              <w:bottom w:val="single" w:sz="8" w:color="B6B6B6"/>
              <w:right w:val="single" w:sz="8" w:color="B6B6B6"/>
            </w:tcBorders>
            <w:shd w:val="clear" w:color="auto" w:fill="DBDBDB"/>
          </w:tcPr>
          <w:p>
            <w:pPr>
              <w:spacing w:after="0"/>
              <w:rPr>
                <w:sz w:val="20"/>
                <w:szCs w:val="20"/>
                <w:color w:val="auto"/>
              </w:rPr>
            </w:pPr>
          </w:p>
        </w:tc>
        <w:tc>
          <w:tcPr>
            <w:tcW w:w="840" w:type="dxa"/>
            <w:vAlign w:val="bottom"/>
            <w:tcBorders>
              <w:bottom w:val="single" w:sz="8" w:color="B6B6B6"/>
            </w:tcBorders>
            <w:shd w:val="clear" w:color="auto" w:fill="DBDBDB"/>
          </w:tcPr>
          <w:p>
            <w:pPr>
              <w:spacing w:after="0"/>
              <w:rPr>
                <w:sz w:val="20"/>
                <w:szCs w:val="20"/>
                <w:color w:val="auto"/>
              </w:rPr>
            </w:pPr>
          </w:p>
        </w:tc>
        <w:tc>
          <w:tcPr>
            <w:tcW w:w="1400" w:type="dxa"/>
            <w:vAlign w:val="bottom"/>
            <w:tcBorders>
              <w:bottom w:val="single" w:sz="8" w:color="B6B6B6"/>
              <w:right w:val="single" w:sz="8" w:color="B6B6B6"/>
            </w:tcBorders>
            <w:gridSpan w:val="2"/>
            <w:vMerge w:val="continue"/>
            <w:shd w:val="clear" w:color="auto" w:fill="DBDBDB"/>
          </w:tcPr>
          <w:p>
            <w:pPr>
              <w:spacing w:after="0"/>
              <w:rPr>
                <w:sz w:val="20"/>
                <w:szCs w:val="20"/>
                <w:color w:val="auto"/>
              </w:rPr>
            </w:pPr>
          </w:p>
        </w:tc>
        <w:tc>
          <w:tcPr>
            <w:tcW w:w="2260" w:type="dxa"/>
            <w:vAlign w:val="bottom"/>
            <w:tcBorders>
              <w:bottom w:val="single" w:sz="8" w:color="B6B6B6"/>
              <w:right w:val="single" w:sz="8" w:color="B6B6B6"/>
            </w:tcBorders>
            <w:gridSpan w:val="3"/>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60" w:type="dxa"/>
            <w:vAlign w:val="bottom"/>
            <w:tcBorders>
              <w:left w:val="single" w:sz="8" w:color="B6B6B6"/>
              <w:right w:val="single" w:sz="8" w:color="B6B6B6"/>
            </w:tcBorders>
          </w:tcPr>
          <w:p>
            <w:pPr>
              <w:ind w:left="40"/>
              <w:spacing w:after="0" w:line="177" w:lineRule="exact"/>
              <w:rPr>
                <w:sz w:val="20"/>
                <w:szCs w:val="20"/>
                <w:color w:val="auto"/>
              </w:rPr>
            </w:pPr>
            <w:r>
              <w:rPr>
                <w:rFonts w:ascii="Arial" w:cs="Arial" w:eastAsia="Arial" w:hAnsi="Arial"/>
                <w:sz w:val="18"/>
                <w:szCs w:val="18"/>
                <w:color w:val="auto"/>
              </w:rPr>
              <w:t>Jacques-Edouard Gueden</w:t>
            </w:r>
          </w:p>
        </w:tc>
        <w:tc>
          <w:tcPr>
            <w:tcW w:w="2240" w:type="dxa"/>
            <w:vAlign w:val="bottom"/>
            <w:tcBorders>
              <w:right w:val="single" w:sz="8" w:color="B6B6B6"/>
            </w:tcBorders>
            <w:gridSpan w:val="2"/>
          </w:tcPr>
          <w:p>
            <w:pPr>
              <w:spacing w:after="0" w:line="177" w:lineRule="exact"/>
              <w:rPr>
                <w:sz w:val="20"/>
                <w:szCs w:val="20"/>
                <w:color w:val="auto"/>
              </w:rPr>
            </w:pPr>
            <w:r>
              <w:rPr>
                <w:rFonts w:ascii="Arial" w:cs="Arial" w:eastAsia="Arial" w:hAnsi="Arial"/>
                <w:sz w:val="18"/>
                <w:szCs w:val="18"/>
                <w:color w:val="auto"/>
              </w:rPr>
              <w:t>Retirement</w:t>
            </w:r>
          </w:p>
        </w:tc>
        <w:tc>
          <w:tcPr>
            <w:tcW w:w="1280" w:type="dxa"/>
            <w:vAlign w:val="bottom"/>
            <w:vMerge w:val="restart"/>
          </w:tcPr>
          <w:p>
            <w:pPr>
              <w:jc w:val="center"/>
              <w:ind w:left="870"/>
              <w:spacing w:after="0"/>
              <w:rPr>
                <w:sz w:val="20"/>
                <w:szCs w:val="20"/>
                <w:color w:val="auto"/>
              </w:rPr>
            </w:pPr>
            <w:r>
              <w:rPr>
                <w:rFonts w:ascii="Arial" w:cs="Arial" w:eastAsia="Arial" w:hAnsi="Arial"/>
                <w:sz w:val="18"/>
                <w:szCs w:val="18"/>
                <w:color w:val="auto"/>
                <w:w w:val="99"/>
              </w:rPr>
              <w:t>36</w:t>
            </w:r>
          </w:p>
        </w:tc>
        <w:tc>
          <w:tcPr>
            <w:tcW w:w="980" w:type="dxa"/>
            <w:vAlign w:val="bottom"/>
            <w:tcBorders>
              <w:right w:val="single" w:sz="8" w:color="B6B6B6"/>
            </w:tcBorders>
          </w:tcPr>
          <w:p>
            <w:pPr>
              <w:spacing w:after="0"/>
              <w:rPr>
                <w:sz w:val="15"/>
                <w:szCs w:val="15"/>
                <w:color w:val="auto"/>
              </w:rPr>
            </w:pPr>
          </w:p>
        </w:tc>
        <w:tc>
          <w:tcPr>
            <w:tcW w:w="2240" w:type="dxa"/>
            <w:vAlign w:val="bottom"/>
            <w:tcBorders>
              <w:right w:val="single" w:sz="8" w:color="B6B6B6"/>
            </w:tcBorders>
            <w:gridSpan w:val="3"/>
            <w:vMerge w:val="restart"/>
          </w:tcPr>
          <w:p>
            <w:pPr>
              <w:jc w:val="center"/>
              <w:ind w:right="40"/>
              <w:spacing w:after="0"/>
              <w:rPr>
                <w:sz w:val="20"/>
                <w:szCs w:val="20"/>
                <w:color w:val="auto"/>
              </w:rPr>
            </w:pPr>
            <w:r>
              <w:rPr>
                <w:rFonts w:ascii="Arial" w:cs="Arial" w:eastAsia="Arial" w:hAnsi="Arial"/>
                <w:sz w:val="18"/>
                <w:szCs w:val="18"/>
                <w:color w:val="auto"/>
                <w:w w:val="99"/>
              </w:rPr>
              <w:t>1,030,438</w:t>
            </w:r>
          </w:p>
        </w:tc>
        <w:tc>
          <w:tcPr>
            <w:tcW w:w="1020" w:type="dxa"/>
            <w:vAlign w:val="bottom"/>
          </w:tcPr>
          <w:p>
            <w:pPr>
              <w:spacing w:after="0"/>
              <w:rPr>
                <w:sz w:val="15"/>
                <w:szCs w:val="15"/>
                <w:color w:val="auto"/>
              </w:rPr>
            </w:pPr>
          </w:p>
        </w:tc>
        <w:tc>
          <w:tcPr>
            <w:tcW w:w="1240" w:type="dxa"/>
            <w:vAlign w:val="bottom"/>
            <w:tcBorders>
              <w:right w:val="single" w:sz="8" w:color="B6B6B6"/>
            </w:tcBorders>
            <w:gridSpan w:val="2"/>
            <w:vMerge w:val="restart"/>
          </w:tcPr>
          <w:p>
            <w:pPr>
              <w:jc w:val="center"/>
              <w:ind w:right="10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5"/>
        </w:trPr>
        <w:tc>
          <w:tcPr>
            <w:tcW w:w="22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(A)</w:t>
            </w:r>
          </w:p>
        </w:tc>
        <w:tc>
          <w:tcPr>
            <w:tcW w:w="2240" w:type="dxa"/>
            <w:vAlign w:val="bottom"/>
            <w:tcBorders>
              <w:bottom w:val="single" w:sz="8" w:color="B6B6B6"/>
              <w:right w:val="single" w:sz="8" w:color="B6B6B6"/>
            </w:tcBorders>
            <w:gridSpan w:val="2"/>
          </w:tcPr>
          <w:p>
            <w:pPr>
              <w:spacing w:after="0"/>
              <w:rPr>
                <w:sz w:val="20"/>
                <w:szCs w:val="20"/>
                <w:color w:val="auto"/>
              </w:rPr>
            </w:pPr>
            <w:r>
              <w:rPr>
                <w:rFonts w:ascii="Arial" w:cs="Arial" w:eastAsia="Arial" w:hAnsi="Arial"/>
                <w:sz w:val="18"/>
                <w:szCs w:val="18"/>
                <w:color w:val="auto"/>
              </w:rPr>
              <w:t>Indemnities Plan</w:t>
            </w:r>
          </w:p>
        </w:tc>
        <w:tc>
          <w:tcPr>
            <w:tcW w:w="1280" w:type="dxa"/>
            <w:vAlign w:val="bottom"/>
            <w:tcBorders>
              <w:bottom w:val="single" w:sz="8" w:color="B6B6B6"/>
            </w:tcBorders>
            <w:vMerge w:val="continue"/>
          </w:tcPr>
          <w:p>
            <w:pPr>
              <w:spacing w:after="0"/>
              <w:rPr>
                <w:sz w:val="20"/>
                <w:szCs w:val="20"/>
                <w:color w:val="auto"/>
              </w:rPr>
            </w:pPr>
          </w:p>
        </w:tc>
        <w:tc>
          <w:tcPr>
            <w:tcW w:w="980" w:type="dxa"/>
            <w:vAlign w:val="bottom"/>
            <w:tcBorders>
              <w:bottom w:val="single" w:sz="8" w:color="B6B6B6"/>
              <w:right w:val="single" w:sz="8" w:color="B6B6B6"/>
            </w:tcBorders>
          </w:tcPr>
          <w:p>
            <w:pPr>
              <w:spacing w:after="0"/>
              <w:rPr>
                <w:sz w:val="20"/>
                <w:szCs w:val="20"/>
                <w:color w:val="auto"/>
              </w:rPr>
            </w:pPr>
          </w:p>
        </w:tc>
        <w:tc>
          <w:tcPr>
            <w:tcW w:w="2240" w:type="dxa"/>
            <w:vAlign w:val="bottom"/>
            <w:tcBorders>
              <w:bottom w:val="single" w:sz="8" w:color="B6B6B6"/>
              <w:right w:val="single" w:sz="8" w:color="B6B6B6"/>
            </w:tcBorders>
            <w:gridSpan w:val="3"/>
            <w:vMerge w:val="continue"/>
          </w:tcPr>
          <w:p>
            <w:pPr>
              <w:spacing w:after="0"/>
              <w:rPr>
                <w:sz w:val="20"/>
                <w:szCs w:val="20"/>
                <w:color w:val="auto"/>
              </w:rPr>
            </w:pPr>
          </w:p>
        </w:tc>
        <w:tc>
          <w:tcPr>
            <w:tcW w:w="1020" w:type="dxa"/>
            <w:vAlign w:val="bottom"/>
            <w:tcBorders>
              <w:bottom w:val="single" w:sz="8" w:color="B6B6B6"/>
            </w:tcBorders>
          </w:tcPr>
          <w:p>
            <w:pPr>
              <w:spacing w:after="0"/>
              <w:rPr>
                <w:sz w:val="20"/>
                <w:szCs w:val="20"/>
                <w:color w:val="auto"/>
              </w:rPr>
            </w:pPr>
          </w:p>
        </w:tc>
        <w:tc>
          <w:tcPr>
            <w:tcW w:w="1240" w:type="dxa"/>
            <w:vAlign w:val="bottom"/>
            <w:tcBorders>
              <w:bottom w:val="single" w:sz="8" w:color="B6B6B6"/>
              <w:right w:val="single" w:sz="8" w:color="B6B6B6"/>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60" w:type="dxa"/>
            <w:vAlign w:val="bottom"/>
            <w:tcBorders>
              <w:left w:val="single" w:sz="8" w:color="B6B6B6"/>
              <w:right w:val="single" w:sz="8" w:color="B6B6B6"/>
            </w:tcBorders>
            <w:shd w:val="clear" w:color="auto" w:fill="DBDBDB"/>
          </w:tcPr>
          <w:p>
            <w:pPr>
              <w:ind w:left="40"/>
              <w:spacing w:after="0" w:line="196" w:lineRule="exact"/>
              <w:rPr>
                <w:sz w:val="20"/>
                <w:szCs w:val="20"/>
                <w:color w:val="auto"/>
              </w:rPr>
            </w:pPr>
            <w:r>
              <w:rPr>
                <w:rFonts w:ascii="Arial" w:cs="Arial" w:eastAsia="Arial" w:hAnsi="Arial"/>
                <w:sz w:val="18"/>
                <w:szCs w:val="18"/>
                <w:color w:val="auto"/>
                <w:highlight w:val="lightGray"/>
              </w:rPr>
              <w:t>Charles Butler (B)</w:t>
            </w:r>
          </w:p>
        </w:tc>
        <w:tc>
          <w:tcPr>
            <w:tcW w:w="1720" w:type="dxa"/>
            <w:vAlign w:val="bottom"/>
            <w:shd w:val="clear" w:color="auto" w:fill="DBDBDB"/>
          </w:tcPr>
          <w:p>
            <w:pPr>
              <w:spacing w:after="0" w:line="196" w:lineRule="exact"/>
              <w:rPr>
                <w:sz w:val="20"/>
                <w:szCs w:val="20"/>
                <w:color w:val="auto"/>
              </w:rPr>
            </w:pPr>
            <w:r>
              <w:rPr>
                <w:rFonts w:ascii="Arial" w:cs="Arial" w:eastAsia="Arial" w:hAnsi="Arial"/>
                <w:sz w:val="18"/>
                <w:szCs w:val="18"/>
                <w:color w:val="auto"/>
                <w:highlight w:val="lightGray"/>
              </w:rPr>
              <w:t>Lexmark Retirement</w:t>
            </w:r>
          </w:p>
        </w:tc>
        <w:tc>
          <w:tcPr>
            <w:tcW w:w="520" w:type="dxa"/>
            <w:vAlign w:val="bottom"/>
            <w:tcBorders>
              <w:right w:val="single" w:sz="8" w:color="B6B6B6"/>
            </w:tcBorders>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980" w:type="dxa"/>
            <w:vAlign w:val="bottom"/>
            <w:tcBorders>
              <w:right w:val="single" w:sz="8" w:color="B6B6B6"/>
            </w:tcBorders>
            <w:shd w:val="clear" w:color="auto" w:fill="DBDBDB"/>
          </w:tcPr>
          <w:p>
            <w:pPr>
              <w:spacing w:after="0"/>
              <w:rPr>
                <w:sz w:val="17"/>
                <w:szCs w:val="17"/>
                <w:color w:val="auto"/>
              </w:rPr>
            </w:pPr>
          </w:p>
        </w:tc>
        <w:tc>
          <w:tcPr>
            <w:tcW w:w="840" w:type="dxa"/>
            <w:vAlign w:val="bottom"/>
            <w:shd w:val="clear" w:color="auto" w:fill="D8D8D8"/>
          </w:tcPr>
          <w:p>
            <w:pPr>
              <w:spacing w:after="0"/>
              <w:rPr>
                <w:sz w:val="17"/>
                <w:szCs w:val="17"/>
                <w:color w:val="auto"/>
              </w:rPr>
            </w:pPr>
          </w:p>
        </w:tc>
        <w:tc>
          <w:tcPr>
            <w:tcW w:w="540" w:type="dxa"/>
            <w:vAlign w:val="bottom"/>
            <w:shd w:val="clear" w:color="auto" w:fill="D8D8D8"/>
          </w:tcPr>
          <w:p>
            <w:pPr>
              <w:spacing w:after="0"/>
              <w:rPr>
                <w:sz w:val="17"/>
                <w:szCs w:val="17"/>
                <w:color w:val="auto"/>
              </w:rPr>
            </w:pPr>
          </w:p>
        </w:tc>
        <w:tc>
          <w:tcPr>
            <w:tcW w:w="860" w:type="dxa"/>
            <w:vAlign w:val="bottom"/>
            <w:tcBorders>
              <w:right w:val="single" w:sz="8" w:color="B6B6B6"/>
            </w:tcBorders>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040" w:type="dxa"/>
            <w:vAlign w:val="bottom"/>
            <w:tcBorders>
              <w:right w:val="single" w:sz="8" w:color="B6B6B6"/>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B6B6B6"/>
              <w:bottom w:val="single" w:sz="8" w:color="B6B6B6"/>
              <w:right w:val="single" w:sz="8" w:color="B6B6B6"/>
            </w:tcBorders>
            <w:shd w:val="clear" w:color="auto" w:fill="DBDBDB"/>
          </w:tcPr>
          <w:p>
            <w:pPr>
              <w:spacing w:after="0"/>
              <w:rPr>
                <w:sz w:val="18"/>
                <w:szCs w:val="18"/>
                <w:color w:val="auto"/>
              </w:rPr>
            </w:pPr>
          </w:p>
        </w:tc>
        <w:tc>
          <w:tcPr>
            <w:tcW w:w="1720" w:type="dxa"/>
            <w:vAlign w:val="bottom"/>
            <w:tcBorders>
              <w:bottom w:val="single" w:sz="8" w:color="B6B6B6"/>
            </w:tcBorders>
            <w:shd w:val="clear" w:color="auto" w:fill="DBDBDB"/>
          </w:tcPr>
          <w:p>
            <w:pPr>
              <w:spacing w:after="0" w:line="202" w:lineRule="exact"/>
              <w:rPr>
                <w:sz w:val="20"/>
                <w:szCs w:val="20"/>
                <w:color w:val="auto"/>
              </w:rPr>
            </w:pPr>
            <w:r>
              <w:rPr>
                <w:rFonts w:ascii="Arial" w:cs="Arial" w:eastAsia="Arial" w:hAnsi="Arial"/>
                <w:sz w:val="18"/>
                <w:szCs w:val="18"/>
                <w:color w:val="auto"/>
                <w:highlight w:val="lightGray"/>
              </w:rPr>
              <w:t>Growth Account Plan</w:t>
            </w:r>
          </w:p>
        </w:tc>
        <w:tc>
          <w:tcPr>
            <w:tcW w:w="520" w:type="dxa"/>
            <w:vAlign w:val="bottom"/>
            <w:tcBorders>
              <w:bottom w:val="single" w:sz="8" w:color="B6B6B6"/>
              <w:right w:val="single" w:sz="8" w:color="B6B6B6"/>
            </w:tcBorders>
            <w:shd w:val="clear" w:color="auto" w:fill="DBDBDB"/>
          </w:tcPr>
          <w:p>
            <w:pPr>
              <w:ind w:left="20"/>
              <w:spacing w:after="0" w:line="202" w:lineRule="exact"/>
              <w:rPr>
                <w:sz w:val="20"/>
                <w:szCs w:val="20"/>
                <w:color w:val="auto"/>
              </w:rPr>
            </w:pPr>
            <w:r>
              <w:rPr>
                <w:rFonts w:ascii="Arial" w:cs="Arial" w:eastAsia="Arial" w:hAnsi="Arial"/>
                <w:sz w:val="18"/>
                <w:szCs w:val="18"/>
                <w:color w:val="auto"/>
                <w:highlight w:val="lightGray"/>
              </w:rPr>
              <w:t>II</w:t>
            </w:r>
          </w:p>
        </w:tc>
        <w:tc>
          <w:tcPr>
            <w:tcW w:w="1280" w:type="dxa"/>
            <w:vAlign w:val="bottom"/>
            <w:tcBorders>
              <w:bottom w:val="single" w:sz="8" w:color="B6B6B6"/>
            </w:tcBorders>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highlight w:val="lightGray"/>
                <w:w w:val="96"/>
              </w:rPr>
              <w:t>1.59</w:t>
            </w:r>
          </w:p>
        </w:tc>
        <w:tc>
          <w:tcPr>
            <w:tcW w:w="980" w:type="dxa"/>
            <w:vAlign w:val="bottom"/>
            <w:tcBorders>
              <w:bottom w:val="single" w:sz="8" w:color="B6B6B6"/>
              <w:right w:val="single" w:sz="8" w:color="B6B6B6"/>
            </w:tcBorders>
            <w:shd w:val="clear" w:color="auto" w:fill="DBDBDB"/>
          </w:tcPr>
          <w:p>
            <w:pPr>
              <w:spacing w:after="0"/>
              <w:rPr>
                <w:sz w:val="18"/>
                <w:szCs w:val="18"/>
                <w:color w:val="auto"/>
              </w:rPr>
            </w:pPr>
          </w:p>
        </w:tc>
        <w:tc>
          <w:tcPr>
            <w:tcW w:w="840" w:type="dxa"/>
            <w:vAlign w:val="bottom"/>
            <w:tcBorders>
              <w:bottom w:val="single" w:sz="8" w:color="B6B6B6"/>
            </w:tcBorders>
            <w:shd w:val="clear" w:color="auto" w:fill="D8D8D8"/>
          </w:tcPr>
          <w:p>
            <w:pPr>
              <w:spacing w:after="0"/>
              <w:rPr>
                <w:sz w:val="18"/>
                <w:szCs w:val="18"/>
                <w:color w:val="auto"/>
              </w:rPr>
            </w:pPr>
          </w:p>
        </w:tc>
        <w:tc>
          <w:tcPr>
            <w:tcW w:w="540" w:type="dxa"/>
            <w:vAlign w:val="bottom"/>
            <w:tcBorders>
              <w:bottom w:val="single" w:sz="8" w:color="B6B6B6"/>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highlight w:val="lightGray"/>
                <w:w w:val="98"/>
              </w:rPr>
              <w:t>14,796</w:t>
            </w:r>
          </w:p>
        </w:tc>
        <w:tc>
          <w:tcPr>
            <w:tcW w:w="860" w:type="dxa"/>
            <w:vAlign w:val="bottom"/>
            <w:tcBorders>
              <w:bottom w:val="single" w:sz="8" w:color="B6B6B6"/>
              <w:right w:val="single" w:sz="8" w:color="B6B6B6"/>
            </w:tcBorders>
            <w:shd w:val="clear" w:color="auto" w:fill="D8D8D8"/>
          </w:tcPr>
          <w:p>
            <w:pPr>
              <w:spacing w:after="0"/>
              <w:rPr>
                <w:sz w:val="18"/>
                <w:szCs w:val="18"/>
                <w:color w:val="auto"/>
              </w:rPr>
            </w:pPr>
          </w:p>
        </w:tc>
        <w:tc>
          <w:tcPr>
            <w:tcW w:w="1020" w:type="dxa"/>
            <w:vAlign w:val="bottom"/>
            <w:tcBorders>
              <w:bottom w:val="single" w:sz="8" w:color="B6B6B6"/>
            </w:tcBorders>
            <w:shd w:val="clear" w:color="auto" w:fill="D8D8D8"/>
          </w:tcPr>
          <w:p>
            <w:pPr>
              <w:spacing w:after="0"/>
              <w:rPr>
                <w:sz w:val="18"/>
                <w:szCs w:val="18"/>
                <w:color w:val="auto"/>
              </w:rPr>
            </w:pPr>
          </w:p>
        </w:tc>
        <w:tc>
          <w:tcPr>
            <w:tcW w:w="200" w:type="dxa"/>
            <w:vAlign w:val="bottom"/>
            <w:tcBorders>
              <w:bottom w:val="single" w:sz="8" w:color="B6B6B6"/>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highlight w:val="lightGray"/>
                <w:w w:val="99"/>
              </w:rPr>
              <w:t>—</w:t>
            </w:r>
          </w:p>
        </w:tc>
        <w:tc>
          <w:tcPr>
            <w:tcW w:w="1040" w:type="dxa"/>
            <w:vAlign w:val="bottom"/>
            <w:tcBorders>
              <w:bottom w:val="single" w:sz="8" w:color="B6B6B6"/>
              <w:right w:val="single" w:sz="8" w:color="B6B6B6"/>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B6B6B6"/>
              <w:right w:val="single" w:sz="8" w:color="B6B6B6"/>
            </w:tcBorders>
          </w:tcPr>
          <w:p>
            <w:pPr>
              <w:ind w:left="40"/>
              <w:spacing w:after="0" w:line="183" w:lineRule="exact"/>
              <w:rPr>
                <w:sz w:val="20"/>
                <w:szCs w:val="20"/>
                <w:color w:val="auto"/>
              </w:rPr>
            </w:pPr>
            <w:r>
              <w:rPr>
                <w:rFonts w:ascii="Arial" w:cs="Arial" w:eastAsia="Arial" w:hAnsi="Arial"/>
                <w:sz w:val="18"/>
                <w:szCs w:val="18"/>
                <w:color w:val="auto"/>
              </w:rPr>
              <w:t>Flor M. Colón (C)</w:t>
            </w:r>
          </w:p>
        </w:tc>
        <w:tc>
          <w:tcPr>
            <w:tcW w:w="2240" w:type="dxa"/>
            <w:vAlign w:val="bottom"/>
            <w:tcBorders>
              <w:right w:val="single" w:sz="8" w:color="B6B6B6"/>
            </w:tcBorders>
            <w:gridSpan w:val="2"/>
          </w:tcPr>
          <w:p>
            <w:pPr>
              <w:spacing w:after="0" w:line="183" w:lineRule="exact"/>
              <w:rPr>
                <w:sz w:val="20"/>
                <w:szCs w:val="20"/>
                <w:color w:val="auto"/>
              </w:rPr>
            </w:pPr>
            <w:r>
              <w:rPr>
                <w:rFonts w:ascii="Arial" w:cs="Arial" w:eastAsia="Arial" w:hAnsi="Arial"/>
                <w:sz w:val="18"/>
                <w:szCs w:val="18"/>
                <w:color w:val="auto"/>
              </w:rPr>
              <w:t>Xerox Corporation</w:t>
            </w:r>
          </w:p>
        </w:tc>
        <w:tc>
          <w:tcPr>
            <w:tcW w:w="1280" w:type="dxa"/>
            <w:vAlign w:val="bottom"/>
          </w:tcPr>
          <w:p>
            <w:pPr>
              <w:spacing w:after="0"/>
              <w:rPr>
                <w:sz w:val="15"/>
                <w:szCs w:val="15"/>
                <w:color w:val="auto"/>
              </w:rPr>
            </w:pPr>
          </w:p>
        </w:tc>
        <w:tc>
          <w:tcPr>
            <w:tcW w:w="980" w:type="dxa"/>
            <w:vAlign w:val="bottom"/>
            <w:tcBorders>
              <w:right w:val="single" w:sz="8" w:color="B6B6B6"/>
            </w:tcBorders>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Borders>
              <w:right w:val="single" w:sz="8" w:color="B6B6B6"/>
            </w:tcBorders>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60" w:type="dxa"/>
            <w:vAlign w:val="bottom"/>
            <w:tcBorders>
              <w:left w:val="single" w:sz="8" w:color="B6B6B6"/>
              <w:right w:val="single" w:sz="8" w:color="B6B6B6"/>
            </w:tcBorders>
          </w:tcPr>
          <w:p>
            <w:pPr>
              <w:spacing w:after="0"/>
              <w:rPr>
                <w:sz w:val="15"/>
                <w:szCs w:val="15"/>
                <w:color w:val="auto"/>
              </w:rPr>
            </w:pPr>
          </w:p>
        </w:tc>
        <w:tc>
          <w:tcPr>
            <w:tcW w:w="2240" w:type="dxa"/>
            <w:vAlign w:val="bottom"/>
            <w:tcBorders>
              <w:right w:val="single" w:sz="8" w:color="B6B6B6"/>
            </w:tcBorders>
            <w:gridSpan w:val="2"/>
          </w:tcPr>
          <w:p>
            <w:pPr>
              <w:spacing w:after="0" w:line="181" w:lineRule="exact"/>
              <w:rPr>
                <w:sz w:val="20"/>
                <w:szCs w:val="20"/>
                <w:color w:val="auto"/>
              </w:rPr>
            </w:pPr>
            <w:r>
              <w:rPr>
                <w:rFonts w:ascii="Arial" w:cs="Arial" w:eastAsia="Arial" w:hAnsi="Arial"/>
                <w:sz w:val="18"/>
                <w:szCs w:val="18"/>
                <w:color w:val="auto"/>
              </w:rPr>
              <w:t>Retirement Income</w:t>
            </w:r>
          </w:p>
        </w:tc>
        <w:tc>
          <w:tcPr>
            <w:tcW w:w="2260" w:type="dxa"/>
            <w:vAlign w:val="bottom"/>
            <w:tcBorders>
              <w:right w:val="single" w:sz="8" w:color="B6B6B6"/>
            </w:tcBorders>
            <w:gridSpan w:val="2"/>
            <w:vMerge w:val="restart"/>
          </w:tcPr>
          <w:p>
            <w:pPr>
              <w:jc w:val="center"/>
              <w:ind w:right="20"/>
              <w:spacing w:after="0"/>
              <w:rPr>
                <w:sz w:val="20"/>
                <w:szCs w:val="20"/>
                <w:color w:val="auto"/>
              </w:rPr>
            </w:pPr>
            <w:r>
              <w:rPr>
                <w:rFonts w:ascii="Arial" w:cs="Arial" w:eastAsia="Arial" w:hAnsi="Arial"/>
                <w:sz w:val="18"/>
                <w:szCs w:val="18"/>
                <w:color w:val="auto"/>
                <w:w w:val="97"/>
              </w:rPr>
              <w:t>13.83</w:t>
            </w:r>
          </w:p>
        </w:tc>
        <w:tc>
          <w:tcPr>
            <w:tcW w:w="2240" w:type="dxa"/>
            <w:vAlign w:val="bottom"/>
            <w:tcBorders>
              <w:right w:val="single" w:sz="8" w:color="B6B6B6"/>
            </w:tcBorders>
            <w:gridSpan w:val="3"/>
            <w:vMerge w:val="restart"/>
          </w:tcPr>
          <w:p>
            <w:pPr>
              <w:jc w:val="center"/>
              <w:ind w:right="20"/>
              <w:spacing w:after="0"/>
              <w:rPr>
                <w:sz w:val="20"/>
                <w:szCs w:val="20"/>
                <w:color w:val="auto"/>
              </w:rPr>
            </w:pPr>
            <w:r>
              <w:rPr>
                <w:rFonts w:ascii="Arial" w:cs="Arial" w:eastAsia="Arial" w:hAnsi="Arial"/>
                <w:sz w:val="18"/>
                <w:szCs w:val="18"/>
                <w:color w:val="auto"/>
              </w:rPr>
              <w:t>515,349</w:t>
            </w:r>
          </w:p>
        </w:tc>
        <w:tc>
          <w:tcPr>
            <w:tcW w:w="1020" w:type="dxa"/>
            <w:vAlign w:val="bottom"/>
          </w:tcPr>
          <w:p>
            <w:pPr>
              <w:spacing w:after="0"/>
              <w:rPr>
                <w:sz w:val="15"/>
                <w:szCs w:val="15"/>
                <w:color w:val="auto"/>
              </w:rPr>
            </w:pPr>
          </w:p>
        </w:tc>
        <w:tc>
          <w:tcPr>
            <w:tcW w:w="1240" w:type="dxa"/>
            <w:vAlign w:val="bottom"/>
            <w:tcBorders>
              <w:right w:val="single" w:sz="8" w:color="B6B6B6"/>
            </w:tcBorders>
            <w:gridSpan w:val="2"/>
            <w:vMerge w:val="restart"/>
          </w:tcPr>
          <w:p>
            <w:pPr>
              <w:jc w:val="center"/>
              <w:ind w:right="10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260" w:type="dxa"/>
            <w:vAlign w:val="bottom"/>
            <w:tcBorders>
              <w:left w:val="single" w:sz="8" w:color="B6B6B6"/>
              <w:bottom w:val="single" w:sz="8" w:color="B6B6B6"/>
              <w:right w:val="single" w:sz="8" w:color="B6B6B6"/>
            </w:tcBorders>
          </w:tcPr>
          <w:p>
            <w:pPr>
              <w:spacing w:after="0"/>
              <w:rPr>
                <w:sz w:val="19"/>
                <w:szCs w:val="19"/>
                <w:color w:val="auto"/>
              </w:rPr>
            </w:pPr>
          </w:p>
        </w:tc>
        <w:tc>
          <w:tcPr>
            <w:tcW w:w="2240" w:type="dxa"/>
            <w:vAlign w:val="bottom"/>
            <w:tcBorders>
              <w:bottom w:val="single" w:sz="8" w:color="B6B6B6"/>
              <w:right w:val="single" w:sz="8" w:color="B6B6B6"/>
            </w:tcBorders>
            <w:gridSpan w:val="2"/>
          </w:tcPr>
          <w:p>
            <w:pPr>
              <w:spacing w:after="0"/>
              <w:rPr>
                <w:sz w:val="20"/>
                <w:szCs w:val="20"/>
                <w:color w:val="auto"/>
              </w:rPr>
            </w:pPr>
            <w:r>
              <w:rPr>
                <w:rFonts w:ascii="Arial" w:cs="Arial" w:eastAsia="Arial" w:hAnsi="Arial"/>
                <w:sz w:val="18"/>
                <w:szCs w:val="18"/>
                <w:color w:val="auto"/>
              </w:rPr>
              <w:t>Guarantee Plan</w:t>
            </w:r>
          </w:p>
        </w:tc>
        <w:tc>
          <w:tcPr>
            <w:tcW w:w="2260" w:type="dxa"/>
            <w:vAlign w:val="bottom"/>
            <w:tcBorders>
              <w:bottom w:val="single" w:sz="8" w:color="B6B6B6"/>
              <w:right w:val="single" w:sz="8" w:color="B6B6B6"/>
            </w:tcBorders>
            <w:gridSpan w:val="2"/>
            <w:vMerge w:val="continue"/>
          </w:tcPr>
          <w:p>
            <w:pPr>
              <w:spacing w:after="0"/>
              <w:rPr>
                <w:sz w:val="19"/>
                <w:szCs w:val="19"/>
                <w:color w:val="auto"/>
              </w:rPr>
            </w:pPr>
          </w:p>
        </w:tc>
        <w:tc>
          <w:tcPr>
            <w:tcW w:w="2240" w:type="dxa"/>
            <w:vAlign w:val="bottom"/>
            <w:tcBorders>
              <w:bottom w:val="single" w:sz="8" w:color="B6B6B6"/>
              <w:right w:val="single" w:sz="8" w:color="B6B6B6"/>
            </w:tcBorders>
            <w:gridSpan w:val="3"/>
            <w:vMerge w:val="continue"/>
          </w:tcPr>
          <w:p>
            <w:pPr>
              <w:spacing w:after="0"/>
              <w:rPr>
                <w:sz w:val="19"/>
                <w:szCs w:val="19"/>
                <w:color w:val="auto"/>
              </w:rPr>
            </w:pPr>
          </w:p>
        </w:tc>
        <w:tc>
          <w:tcPr>
            <w:tcW w:w="1020" w:type="dxa"/>
            <w:vAlign w:val="bottom"/>
            <w:tcBorders>
              <w:bottom w:val="single" w:sz="8" w:color="B6B6B6"/>
            </w:tcBorders>
          </w:tcPr>
          <w:p>
            <w:pPr>
              <w:spacing w:after="0"/>
              <w:rPr>
                <w:sz w:val="19"/>
                <w:szCs w:val="19"/>
                <w:color w:val="auto"/>
              </w:rPr>
            </w:pPr>
          </w:p>
        </w:tc>
        <w:tc>
          <w:tcPr>
            <w:tcW w:w="1240" w:type="dxa"/>
            <w:vAlign w:val="bottom"/>
            <w:tcBorders>
              <w:bottom w:val="single" w:sz="8" w:color="B6B6B6"/>
              <w:right w:val="single" w:sz="8" w:color="B6B6B6"/>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260" w:type="dxa"/>
            <w:vAlign w:val="bottom"/>
            <w:tcBorders>
              <w:left w:val="single" w:sz="8" w:color="B6B6B6"/>
              <w:right w:val="single" w:sz="8" w:color="B6B6B6"/>
            </w:tcBorders>
            <w:shd w:val="clear" w:color="auto" w:fill="DBDBDB"/>
          </w:tcPr>
          <w:p>
            <w:pPr>
              <w:spacing w:after="0"/>
              <w:rPr>
                <w:sz w:val="15"/>
                <w:szCs w:val="15"/>
                <w:color w:val="auto"/>
              </w:rPr>
            </w:pPr>
          </w:p>
        </w:tc>
        <w:tc>
          <w:tcPr>
            <w:tcW w:w="1720" w:type="dxa"/>
            <w:vAlign w:val="bottom"/>
            <w:shd w:val="clear" w:color="auto" w:fill="DBDBDB"/>
          </w:tcPr>
          <w:p>
            <w:pPr>
              <w:spacing w:after="0" w:line="177" w:lineRule="exact"/>
              <w:rPr>
                <w:sz w:val="20"/>
                <w:szCs w:val="20"/>
                <w:color w:val="auto"/>
              </w:rPr>
            </w:pPr>
            <w:r>
              <w:rPr>
                <w:rFonts w:ascii="Arial" w:cs="Arial" w:eastAsia="Arial" w:hAnsi="Arial"/>
                <w:sz w:val="18"/>
                <w:szCs w:val="18"/>
                <w:color w:val="auto"/>
                <w:highlight w:val="lightGray"/>
              </w:rPr>
              <w:t>Xerox Corporation</w:t>
            </w:r>
          </w:p>
        </w:tc>
        <w:tc>
          <w:tcPr>
            <w:tcW w:w="520" w:type="dxa"/>
            <w:vAlign w:val="bottom"/>
            <w:tcBorders>
              <w:right w:val="single" w:sz="8" w:color="B6B6B6"/>
            </w:tcBorders>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980" w:type="dxa"/>
            <w:vAlign w:val="bottom"/>
            <w:tcBorders>
              <w:right w:val="single" w:sz="8" w:color="B6B6B6"/>
            </w:tcBorders>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860" w:type="dxa"/>
            <w:vAlign w:val="bottom"/>
            <w:tcBorders>
              <w:right w:val="single" w:sz="8" w:color="B6B6B6"/>
            </w:tcBorders>
            <w:shd w:val="clear" w:color="auto" w:fill="DBDBDB"/>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200" w:type="dxa"/>
            <w:vAlign w:val="bottom"/>
            <w:shd w:val="clear" w:color="auto" w:fill="D8D8D8"/>
          </w:tcPr>
          <w:p>
            <w:pPr>
              <w:spacing w:after="0"/>
              <w:rPr>
                <w:sz w:val="15"/>
                <w:szCs w:val="15"/>
                <w:color w:val="auto"/>
              </w:rPr>
            </w:pPr>
          </w:p>
        </w:tc>
        <w:tc>
          <w:tcPr>
            <w:tcW w:w="1040" w:type="dxa"/>
            <w:vAlign w:val="bottom"/>
            <w:tcBorders>
              <w:right w:val="single" w:sz="8" w:color="B6B6B6"/>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60" w:type="dxa"/>
            <w:vAlign w:val="bottom"/>
            <w:tcBorders>
              <w:left w:val="single" w:sz="8" w:color="B6B6B6"/>
              <w:right w:val="single" w:sz="8" w:color="B6B6B6"/>
            </w:tcBorders>
            <w:shd w:val="clear" w:color="auto" w:fill="DBDBDB"/>
          </w:tcPr>
          <w:p>
            <w:pPr>
              <w:spacing w:after="0"/>
              <w:rPr>
                <w:sz w:val="16"/>
                <w:szCs w:val="16"/>
                <w:color w:val="auto"/>
              </w:rPr>
            </w:pPr>
          </w:p>
        </w:tc>
        <w:tc>
          <w:tcPr>
            <w:tcW w:w="1720" w:type="dxa"/>
            <w:vAlign w:val="bottom"/>
            <w:shd w:val="clear" w:color="auto" w:fill="DBDBDB"/>
          </w:tcPr>
          <w:p>
            <w:pPr>
              <w:spacing w:after="0" w:line="195" w:lineRule="exact"/>
              <w:rPr>
                <w:sz w:val="20"/>
                <w:szCs w:val="20"/>
                <w:color w:val="auto"/>
              </w:rPr>
            </w:pPr>
            <w:r>
              <w:rPr>
                <w:rFonts w:ascii="Arial" w:cs="Arial" w:eastAsia="Arial" w:hAnsi="Arial"/>
                <w:sz w:val="18"/>
                <w:szCs w:val="18"/>
                <w:color w:val="auto"/>
                <w:highlight w:val="lightGray"/>
                <w:w w:val="99"/>
              </w:rPr>
              <w:t>Unfunded Retirement</w:t>
            </w:r>
          </w:p>
        </w:tc>
        <w:tc>
          <w:tcPr>
            <w:tcW w:w="520" w:type="dxa"/>
            <w:vAlign w:val="bottom"/>
            <w:tcBorders>
              <w:right w:val="single" w:sz="8" w:color="B6B6B6"/>
            </w:tcBorders>
            <w:shd w:val="clear" w:color="auto" w:fill="DBDBDB"/>
          </w:tcPr>
          <w:p>
            <w:pPr>
              <w:spacing w:after="0"/>
              <w:rPr>
                <w:sz w:val="16"/>
                <w:szCs w:val="16"/>
                <w:color w:val="auto"/>
              </w:rPr>
            </w:pPr>
          </w:p>
        </w:tc>
        <w:tc>
          <w:tcPr>
            <w:tcW w:w="2260" w:type="dxa"/>
            <w:vAlign w:val="bottom"/>
            <w:tcBorders>
              <w:right w:val="single" w:sz="8" w:color="B6B6B6"/>
            </w:tcBorders>
            <w:gridSpan w:val="2"/>
            <w:vMerge w:val="restart"/>
            <w:shd w:val="clear" w:color="auto" w:fill="DBDBDB"/>
          </w:tcPr>
          <w:p>
            <w:pPr>
              <w:jc w:val="center"/>
              <w:ind w:right="20"/>
              <w:spacing w:after="0"/>
              <w:rPr>
                <w:sz w:val="20"/>
                <w:szCs w:val="20"/>
                <w:color w:val="auto"/>
              </w:rPr>
            </w:pPr>
            <w:r>
              <w:rPr>
                <w:rFonts w:ascii="Arial" w:cs="Arial" w:eastAsia="Arial" w:hAnsi="Arial"/>
                <w:sz w:val="18"/>
                <w:szCs w:val="18"/>
                <w:color w:val="auto"/>
                <w:w w:val="97"/>
              </w:rPr>
              <w:t>13.83</w:t>
            </w:r>
          </w:p>
        </w:tc>
        <w:tc>
          <w:tcPr>
            <w:tcW w:w="1380" w:type="dxa"/>
            <w:vAlign w:val="bottom"/>
            <w:gridSpan w:val="2"/>
            <w:vMerge w:val="restart"/>
            <w:shd w:val="clear" w:color="auto" w:fill="DBDBDB"/>
          </w:tcPr>
          <w:p>
            <w:pPr>
              <w:jc w:val="center"/>
              <w:ind w:left="750"/>
              <w:spacing w:after="0"/>
              <w:rPr>
                <w:sz w:val="20"/>
                <w:szCs w:val="20"/>
                <w:color w:val="auto"/>
              </w:rPr>
            </w:pPr>
            <w:r>
              <w:rPr>
                <w:rFonts w:ascii="Arial" w:cs="Arial" w:eastAsia="Arial" w:hAnsi="Arial"/>
                <w:sz w:val="18"/>
                <w:szCs w:val="18"/>
                <w:color w:val="auto"/>
              </w:rPr>
              <w:t>9,334</w:t>
            </w:r>
          </w:p>
        </w:tc>
        <w:tc>
          <w:tcPr>
            <w:tcW w:w="860" w:type="dxa"/>
            <w:vAlign w:val="bottom"/>
            <w:tcBorders>
              <w:right w:val="single" w:sz="8" w:color="B6B6B6"/>
            </w:tcBorders>
            <w:shd w:val="clear" w:color="auto" w:fill="DBDBDB"/>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40" w:type="dxa"/>
            <w:vAlign w:val="bottom"/>
            <w:tcBorders>
              <w:right w:val="single" w:sz="8" w:color="B6B6B6"/>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B6B6B6"/>
              <w:bottom w:val="single" w:sz="8" w:color="B6B6B6"/>
              <w:right w:val="single" w:sz="8" w:color="B6B6B6"/>
            </w:tcBorders>
            <w:shd w:val="clear" w:color="auto" w:fill="DBDBDB"/>
          </w:tcPr>
          <w:p>
            <w:pPr>
              <w:ind w:left="40"/>
              <w:spacing w:after="0" w:line="202" w:lineRule="exact"/>
              <w:rPr>
                <w:sz w:val="20"/>
                <w:szCs w:val="20"/>
                <w:color w:val="auto"/>
              </w:rPr>
            </w:pPr>
            <w:r>
              <w:rPr>
                <w:rFonts w:ascii="Arial" w:cs="Arial" w:eastAsia="Arial" w:hAnsi="Arial"/>
                <w:sz w:val="18"/>
                <w:szCs w:val="18"/>
                <w:color w:val="auto"/>
                <w:highlight w:val="lightGray"/>
              </w:rPr>
              <w:t>Flor M. Colón (C)</w:t>
            </w:r>
          </w:p>
        </w:tc>
        <w:tc>
          <w:tcPr>
            <w:tcW w:w="2240" w:type="dxa"/>
            <w:vAlign w:val="bottom"/>
            <w:tcBorders>
              <w:bottom w:val="single" w:sz="8" w:color="B6B6B6"/>
              <w:right w:val="single" w:sz="8" w:color="B6B6B6"/>
            </w:tcBorders>
            <w:gridSpan w:val="2"/>
            <w:shd w:val="clear" w:color="auto" w:fill="DBDBDB"/>
          </w:tcPr>
          <w:p>
            <w:pPr>
              <w:spacing w:after="0" w:line="202" w:lineRule="exact"/>
              <w:rPr>
                <w:sz w:val="20"/>
                <w:szCs w:val="20"/>
                <w:color w:val="auto"/>
              </w:rPr>
            </w:pPr>
            <w:r>
              <w:rPr>
                <w:rFonts w:ascii="Arial" w:cs="Arial" w:eastAsia="Arial" w:hAnsi="Arial"/>
                <w:sz w:val="18"/>
                <w:szCs w:val="18"/>
                <w:color w:val="auto"/>
                <w:highlight w:val="lightGray"/>
              </w:rPr>
              <w:t>Income Guarantee Plan</w:t>
            </w:r>
          </w:p>
        </w:tc>
        <w:tc>
          <w:tcPr>
            <w:tcW w:w="2260" w:type="dxa"/>
            <w:vAlign w:val="bottom"/>
            <w:tcBorders>
              <w:bottom w:val="single" w:sz="8" w:color="B6B6B6"/>
              <w:right w:val="single" w:sz="8" w:color="B6B6B6"/>
            </w:tcBorders>
            <w:gridSpan w:val="2"/>
            <w:vMerge w:val="continue"/>
            <w:shd w:val="clear" w:color="auto" w:fill="DBDBDB"/>
          </w:tcPr>
          <w:p>
            <w:pPr>
              <w:spacing w:after="0"/>
              <w:rPr>
                <w:sz w:val="18"/>
                <w:szCs w:val="18"/>
                <w:color w:val="auto"/>
              </w:rPr>
            </w:pPr>
          </w:p>
        </w:tc>
        <w:tc>
          <w:tcPr>
            <w:tcW w:w="1380" w:type="dxa"/>
            <w:vAlign w:val="bottom"/>
            <w:tcBorders>
              <w:bottom w:val="single" w:sz="8" w:color="B6B6B6"/>
            </w:tcBorders>
            <w:gridSpan w:val="2"/>
            <w:vMerge w:val="continue"/>
            <w:shd w:val="clear" w:color="auto" w:fill="DBDBDB"/>
          </w:tcPr>
          <w:p>
            <w:pPr>
              <w:spacing w:after="0"/>
              <w:rPr>
                <w:sz w:val="18"/>
                <w:szCs w:val="18"/>
                <w:color w:val="auto"/>
              </w:rPr>
            </w:pPr>
          </w:p>
        </w:tc>
        <w:tc>
          <w:tcPr>
            <w:tcW w:w="860" w:type="dxa"/>
            <w:vAlign w:val="bottom"/>
            <w:tcBorders>
              <w:bottom w:val="single" w:sz="8" w:color="B6B6B6"/>
              <w:right w:val="single" w:sz="8" w:color="B6B6B6"/>
            </w:tcBorders>
            <w:shd w:val="clear" w:color="auto" w:fill="DBDBDB"/>
          </w:tcPr>
          <w:p>
            <w:pPr>
              <w:spacing w:after="0"/>
              <w:rPr>
                <w:sz w:val="18"/>
                <w:szCs w:val="18"/>
                <w:color w:val="auto"/>
              </w:rPr>
            </w:pPr>
          </w:p>
        </w:tc>
        <w:tc>
          <w:tcPr>
            <w:tcW w:w="1020" w:type="dxa"/>
            <w:vAlign w:val="bottom"/>
            <w:tcBorders>
              <w:bottom w:val="single" w:sz="8" w:color="B6B6B6"/>
            </w:tcBorders>
            <w:shd w:val="clear" w:color="auto" w:fill="D8D8D8"/>
          </w:tcPr>
          <w:p>
            <w:pPr>
              <w:spacing w:after="0"/>
              <w:rPr>
                <w:sz w:val="18"/>
                <w:szCs w:val="18"/>
                <w:color w:val="auto"/>
              </w:rPr>
            </w:pPr>
          </w:p>
        </w:tc>
        <w:tc>
          <w:tcPr>
            <w:tcW w:w="200" w:type="dxa"/>
            <w:vAlign w:val="bottom"/>
            <w:tcBorders>
              <w:bottom w:val="single" w:sz="8" w:color="B6B6B6"/>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highlight w:val="lightGray"/>
                <w:w w:val="99"/>
              </w:rPr>
              <w:t>—</w:t>
            </w:r>
          </w:p>
        </w:tc>
        <w:tc>
          <w:tcPr>
            <w:tcW w:w="1040" w:type="dxa"/>
            <w:vAlign w:val="bottom"/>
            <w:tcBorders>
              <w:bottom w:val="single" w:sz="8" w:color="B6B6B6"/>
              <w:right w:val="single" w:sz="8" w:color="B6B6B6"/>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4" w:lineRule="exact"/>
        <w:rPr>
          <w:sz w:val="20"/>
          <w:szCs w:val="20"/>
          <w:color w:val="auto"/>
        </w:rPr>
      </w:pPr>
    </w:p>
    <w:p>
      <w:pPr>
        <w:ind w:left="340" w:right="40" w:hanging="332"/>
        <w:spacing w:after="0" w:line="245" w:lineRule="auto"/>
        <w:tabs>
          <w:tab w:leader="none" w:pos="334" w:val="left"/>
        </w:tabs>
        <w:numPr>
          <w:ilvl w:val="0"/>
          <w:numId w:val="75"/>
        </w:numPr>
        <w:rPr>
          <w:rFonts w:ascii="Arial" w:cs="Arial" w:eastAsia="Arial" w:hAnsi="Arial"/>
          <w:sz w:val="20"/>
          <w:szCs w:val="20"/>
          <w:color w:val="auto"/>
        </w:rPr>
      </w:pPr>
      <w:r>
        <w:rPr>
          <w:rFonts w:ascii="Arial" w:cs="Arial" w:eastAsia="Arial" w:hAnsi="Arial"/>
          <w:sz w:val="18"/>
          <w:szCs w:val="18"/>
          <w:color w:val="auto"/>
        </w:rPr>
        <w:t>Pension benefits were accrued by Messrs. Heiss and Gueden under the Retirement Indemnities Plan during 2025. However, Mr. Heiss was paid his retirement indemnity upon his retirement on January 31, 2025, that payment converted to US dollars as of the payment date is shown above. The present value of the accumulated benefit for Mr. Gueden is the present value of their accumulated benefits payable at the plan’s earliest unreduced eligible retirement age. The critical assumptions are the: (i) discount rate of 3.50%; (ii) social charge rate of 47.5%; and (iii) exchange rate of 1.1746 USD per EUR (the December 31, 2025 exchange rate). The plan pays benefits only as a lump sum, calculated as monthly pay times a</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68" w:name="page69"/>
    <w:bookmarkEnd w:id="68"/>
    <w:p>
      <w:pPr>
        <w:ind w:left="332" w:right="340"/>
        <w:spacing w:after="0" w:line="271" w:lineRule="auto"/>
        <w:rPr>
          <w:sz w:val="20"/>
          <w:szCs w:val="20"/>
          <w:color w:val="auto"/>
        </w:rPr>
      </w:pPr>
      <w:r>
        <w:rPr>
          <w:rFonts w:ascii="Arial" w:cs="Arial" w:eastAsia="Arial" w:hAnsi="Arial"/>
          <w:sz w:val="18"/>
          <w:szCs w:val="18"/>
          <w:color w:val="auto"/>
        </w:rPr>
        <w:t>multiple, ranging from 0 to 8 based on years of service, plus the social charges on this payment. Monthly pay is one-twelfth of annual base salary plus annual incentive. At 36 years of service, the multiple of monthly salary is 7.75.</w:t>
      </w:r>
    </w:p>
    <w:p>
      <w:pPr>
        <w:spacing w:after="0" w:line="181" w:lineRule="exact"/>
        <w:rPr>
          <w:sz w:val="20"/>
          <w:szCs w:val="20"/>
          <w:color w:val="auto"/>
        </w:rPr>
      </w:pPr>
    </w:p>
    <w:p>
      <w:pPr>
        <w:ind w:left="332" w:right="80" w:hanging="332"/>
        <w:spacing w:after="0" w:line="238" w:lineRule="auto"/>
        <w:tabs>
          <w:tab w:leader="none" w:pos="329"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Pension benefits were accrued by Mr. Butler for the 1.59 years preceding April 3, 2006, when the Retirement Growth Account Plan was frozen (benefits for certain employees including Mr. Butler were later transferred to the Retirement Growth Account Plan II). This plan provided for credits of 6% of pay until April 3, 2006. Interest credits continue beyond April 3, 2006, and accumulate to benefit commencement date. Since the account balance can be received as a lump sum or converted to an annuity upon any future commencement date, Mr. Butler has been assumed to have reached unreduced retirement age for purposes of the present value of accumulated benefits. The critical assumptions are the: (i) discount rate of 5.40%; and (ii) interest crediting rate of 5.33% for 2025 which is the 1-year Constant Maturity Treasury yield + 1% for the November preceding the calendar year, but not less than 4.00%.</w:t>
      </w:r>
    </w:p>
    <w:p>
      <w:pPr>
        <w:spacing w:after="0" w:line="210" w:lineRule="exact"/>
        <w:rPr>
          <w:rFonts w:ascii="Arial" w:cs="Arial" w:eastAsia="Arial" w:hAnsi="Arial"/>
          <w:sz w:val="18"/>
          <w:szCs w:val="18"/>
          <w:color w:val="auto"/>
        </w:rPr>
      </w:pPr>
    </w:p>
    <w:p>
      <w:pPr>
        <w:jc w:val="both"/>
        <w:ind w:left="332" w:hanging="332"/>
        <w:spacing w:after="0" w:line="253" w:lineRule="auto"/>
        <w:tabs>
          <w:tab w:leader="none" w:pos="32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Pension benefits were accrued by Ms. Colón up to December 31, 2012. Effective December 31, 2012, all future accruals under the Xerox Corporation Retirement Income Guarantee Plan (RIGP) and Xerox Corporation Unfunded Retirement Income Guarantee Plan (Unfunded RIGP) were frozen and no future benefits have been (or will be) accrued following that date.</w:t>
      </w:r>
    </w:p>
    <w:p>
      <w:pPr>
        <w:spacing w:after="0" w:line="195" w:lineRule="exact"/>
        <w:rPr>
          <w:rFonts w:ascii="Arial" w:cs="Arial" w:eastAsia="Arial" w:hAnsi="Arial"/>
          <w:sz w:val="18"/>
          <w:szCs w:val="18"/>
          <w:color w:val="auto"/>
        </w:rPr>
      </w:pPr>
    </w:p>
    <w:p>
      <w:pPr>
        <w:ind w:left="332"/>
        <w:spacing w:after="0" w:line="237" w:lineRule="auto"/>
        <w:rPr>
          <w:rFonts w:ascii="Arial" w:cs="Arial" w:eastAsia="Arial" w:hAnsi="Arial"/>
          <w:sz w:val="18"/>
          <w:szCs w:val="18"/>
          <w:color w:val="auto"/>
        </w:rPr>
      </w:pPr>
      <w:r>
        <w:rPr>
          <w:rFonts w:ascii="Arial" w:cs="Arial" w:eastAsia="Arial" w:hAnsi="Arial"/>
          <w:sz w:val="18"/>
          <w:szCs w:val="18"/>
          <w:color w:val="auto"/>
        </w:rPr>
        <w:t>The present value of the accumulated benefit is the present value of the benefit payable at the earliest unreduced retirement age (age 65 for Ms. Colón) based on the following assumptions: 75% of RIGP benefits are elected to be paid as a lump sum from RIGP; Unfunded RIGP benefits which are generally not available as single sum payments are assumed to be paid as 50% Joint and Survivor annuities; discount rate of 5.30% for RIGP (6.25% for RIGP lump sums) and discount rate of 5.15% for Unfunded RIGP; no pre-retirement mortality or turnover assumed; post-retirement mortality for RIGP lump sums is pursuant to the 2026 applicable mortality table projected forward to date of retirement at the IRS modified version of scale MP-2021. For annuities payable from RIGP, the Pre-2012 amounts-weighted base tables, projected forward from 2012 with future mortality improvements according to Scale MP-2021. For Unfunded RIGP, the white-collar version of the Pre-2012 amounts-weighted base tables, projected forward from 2012 with future mortality improvements according to Scale MP-2021.</w:t>
      </w:r>
    </w:p>
    <w:p>
      <w:pPr>
        <w:spacing w:after="0" w:line="225" w:lineRule="exact"/>
        <w:rPr>
          <w:rFonts w:ascii="Arial" w:cs="Arial" w:eastAsia="Arial" w:hAnsi="Arial"/>
          <w:sz w:val="18"/>
          <w:szCs w:val="18"/>
          <w:color w:val="auto"/>
        </w:rPr>
      </w:pPr>
    </w:p>
    <w:p>
      <w:pPr>
        <w:ind w:left="332" w:right="20"/>
        <w:spacing w:after="0" w:line="256" w:lineRule="auto"/>
        <w:rPr>
          <w:rFonts w:ascii="Arial" w:cs="Arial" w:eastAsia="Arial" w:hAnsi="Arial"/>
          <w:sz w:val="18"/>
          <w:szCs w:val="18"/>
          <w:color w:val="auto"/>
        </w:rPr>
      </w:pPr>
      <w:r>
        <w:rPr>
          <w:rFonts w:ascii="Arial" w:cs="Arial" w:eastAsia="Arial" w:hAnsi="Arial"/>
          <w:sz w:val="18"/>
          <w:szCs w:val="18"/>
          <w:color w:val="auto"/>
        </w:rPr>
        <w:t>RIGP benefits are determined as the greatest of a Highest Average Pay formula benefit (1.4% of five-year Highest Average Pay multiplied by benefit service of up to 30 years), a Cash Balance Retirement Account, and for some participants, a retirement account that was transferred to RIGP in 1990 (Ms. Colón does not have this retirement account). The RIGP benefits are generally based on total pay, subject to IRS limits on the compensation that can be reflected in a qualified plan. Early retirement benefits under RIGP are available for employees who leave the Company at age 55 with 10 years of service or later and the Highest Average Pay formula is reduced from age 65 (or age 62 with 30 years of service) at 5% per year based on age at commencement. Ms. Colón is currently eligible for early retirement but with reduced benefits.</w:t>
      </w:r>
    </w:p>
    <w:p>
      <w:pPr>
        <w:spacing w:after="0" w:line="196" w:lineRule="exact"/>
        <w:rPr>
          <w:rFonts w:ascii="Arial" w:cs="Arial" w:eastAsia="Arial" w:hAnsi="Arial"/>
          <w:sz w:val="18"/>
          <w:szCs w:val="18"/>
          <w:color w:val="auto"/>
        </w:rPr>
      </w:pPr>
    </w:p>
    <w:p>
      <w:pPr>
        <w:ind w:left="332"/>
        <w:spacing w:after="0" w:line="242" w:lineRule="auto"/>
        <w:rPr>
          <w:rFonts w:ascii="Arial" w:cs="Arial" w:eastAsia="Arial" w:hAnsi="Arial"/>
          <w:sz w:val="18"/>
          <w:szCs w:val="18"/>
          <w:color w:val="auto"/>
        </w:rPr>
      </w:pPr>
      <w:r>
        <w:rPr>
          <w:rFonts w:ascii="Arial" w:cs="Arial" w:eastAsia="Arial" w:hAnsi="Arial"/>
          <w:sz w:val="18"/>
          <w:szCs w:val="18"/>
          <w:color w:val="auto"/>
        </w:rPr>
        <w:t>Unfunded RIGP benefits are generally determined under the same terms as the RIGP benefit, except the pay used in the Highest Average Pay formula is not subject to IRS limits. Unfunded RIGP also provides for an Unfunded RIGP Cash Balance Retirement Account (CBRA). This Unfunded RIGP CBRA provides pay credits on pay in excess of the IRS limits for years 2003 and later and interest on these pay credits while the Highest Average Pay formula reflects all years of service. The purpose of Unfunded RIGP is to replace benefits that cannot be provided in RIGP due to IRS compensation limits. Ms. Colón is eligible to commence Unfunded RIGP benefits upon retirement (with a 6-month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17"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D92231"/>
        </w:rPr>
        <w:t>NON-QUALIFIED DEFERRED COMPENSATION FOR THE 2025 FISCAL YEAR</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Non -Qualified Deferred Compensation table discloses executive and employer contributions, as applicable, withdrawals and earnings, if any, and fiscal year-end balances under the Defined Contribution Pension Plan for Directors of Xerox SAS, France (French DC Plan). Messrs. Heiss and Gueden participated in the French DC Plan during 2025 as shown below. None of our NEOs, other than Messrs. Heiss and Gueden, had any amounts deferred pursuant to a non-qualified deferred compensation plan or arrangement as of December 31, 2025.</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600" w:type="dxa"/>
            <w:vAlign w:val="bottom"/>
            <w:tcBorders>
              <w:left w:val="single" w:sz="8" w:color="DA2031"/>
              <w:right w:val="single" w:sz="8" w:color="DA2031"/>
            </w:tcBorders>
            <w:shd w:val="clear" w:color="auto" w:fill="DA2031"/>
          </w:tcPr>
          <w:p>
            <w:pPr>
              <w:spacing w:after="0"/>
              <w:rPr>
                <w:sz w:val="19"/>
                <w:szCs w:val="19"/>
                <w:color w:val="auto"/>
              </w:rPr>
            </w:pPr>
          </w:p>
        </w:tc>
        <w:tc>
          <w:tcPr>
            <w:tcW w:w="1600" w:type="dxa"/>
            <w:vAlign w:val="bottom"/>
            <w:tcBorders>
              <w:right w:val="single" w:sz="8" w:color="DA2031"/>
            </w:tcBorders>
            <w:shd w:val="clear" w:color="auto" w:fill="DA2031"/>
          </w:tcPr>
          <w:p>
            <w:pPr>
              <w:spacing w:after="0"/>
              <w:rPr>
                <w:sz w:val="19"/>
                <w:szCs w:val="19"/>
                <w:color w:val="auto"/>
              </w:rPr>
            </w:pP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Executive</w:t>
            </w:r>
          </w:p>
        </w:tc>
        <w:tc>
          <w:tcPr>
            <w:tcW w:w="16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Registrant</w:t>
            </w: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Aggregate</w:t>
            </w:r>
          </w:p>
        </w:tc>
        <w:tc>
          <w:tcPr>
            <w:tcW w:w="1600" w:type="dxa"/>
            <w:vAlign w:val="bottom"/>
            <w:tcBorders>
              <w:right w:val="single" w:sz="8" w:color="DA2031"/>
            </w:tcBorders>
            <w:shd w:val="clear" w:color="auto" w:fill="DA2031"/>
          </w:tcPr>
          <w:p>
            <w:pPr>
              <w:spacing w:after="0"/>
              <w:rPr>
                <w:sz w:val="19"/>
                <w:szCs w:val="19"/>
                <w:color w:val="auto"/>
              </w:rPr>
            </w:pPr>
          </w:p>
        </w:tc>
        <w:tc>
          <w:tcPr>
            <w:tcW w:w="164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Aggregate</w:t>
            </w:r>
          </w:p>
        </w:tc>
        <w:tc>
          <w:tcPr>
            <w:tcW w:w="0" w:type="dxa"/>
            <w:vAlign w:val="bottom"/>
          </w:tcPr>
          <w:p>
            <w:pPr>
              <w:spacing w:after="0"/>
              <w:rPr>
                <w:sz w:val="1"/>
                <w:szCs w:val="1"/>
                <w:color w:val="auto"/>
              </w:rPr>
            </w:pPr>
          </w:p>
        </w:tc>
      </w:tr>
      <w:tr>
        <w:trPr>
          <w:trHeight w:val="216"/>
        </w:trPr>
        <w:tc>
          <w:tcPr>
            <w:tcW w:w="1600" w:type="dxa"/>
            <w:vAlign w:val="bottom"/>
            <w:tcBorders>
              <w:left w:val="single" w:sz="8" w:color="DA2031"/>
              <w:right w:val="single" w:sz="8" w:color="DA2031"/>
            </w:tcBorders>
            <w:shd w:val="clear" w:color="auto" w:fill="DA2031"/>
          </w:tcPr>
          <w:p>
            <w:pPr>
              <w:spacing w:after="0"/>
              <w:rPr>
                <w:sz w:val="18"/>
                <w:szCs w:val="18"/>
                <w:color w:val="auto"/>
              </w:rPr>
            </w:pPr>
          </w:p>
        </w:tc>
        <w:tc>
          <w:tcPr>
            <w:tcW w:w="1600" w:type="dxa"/>
            <w:vAlign w:val="bottom"/>
            <w:tcBorders>
              <w:right w:val="single" w:sz="8" w:color="DA2031"/>
            </w:tcBorders>
            <w:shd w:val="clear" w:color="auto" w:fill="DA2031"/>
          </w:tcPr>
          <w:p>
            <w:pPr>
              <w:spacing w:after="0"/>
              <w:rPr>
                <w:sz w:val="18"/>
                <w:szCs w:val="18"/>
                <w:color w:val="auto"/>
              </w:rPr>
            </w:pP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Contributions</w:t>
            </w:r>
          </w:p>
        </w:tc>
        <w:tc>
          <w:tcPr>
            <w:tcW w:w="16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Contributions</w:t>
            </w: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Earnings in</w:t>
            </w: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Aggregate</w:t>
            </w:r>
          </w:p>
        </w:tc>
        <w:tc>
          <w:tcPr>
            <w:tcW w:w="164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Balance at</w:t>
            </w:r>
          </w:p>
        </w:tc>
        <w:tc>
          <w:tcPr>
            <w:tcW w:w="0" w:type="dxa"/>
            <w:vAlign w:val="bottom"/>
          </w:tcPr>
          <w:p>
            <w:pPr>
              <w:spacing w:after="0"/>
              <w:rPr>
                <w:sz w:val="1"/>
                <w:szCs w:val="1"/>
                <w:color w:val="auto"/>
              </w:rPr>
            </w:pPr>
          </w:p>
        </w:tc>
      </w:tr>
      <w:tr>
        <w:trPr>
          <w:trHeight w:val="216"/>
        </w:trPr>
        <w:tc>
          <w:tcPr>
            <w:tcW w:w="1600" w:type="dxa"/>
            <w:vAlign w:val="bottom"/>
            <w:tcBorders>
              <w:left w:val="single" w:sz="8" w:color="DA2031"/>
              <w:right w:val="single" w:sz="8" w:color="DA2031"/>
            </w:tcBorders>
            <w:shd w:val="clear" w:color="auto" w:fill="DA2031"/>
          </w:tcPr>
          <w:p>
            <w:pPr>
              <w:spacing w:after="0"/>
              <w:rPr>
                <w:sz w:val="18"/>
                <w:szCs w:val="18"/>
                <w:color w:val="auto"/>
              </w:rPr>
            </w:pP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Plan</w:t>
            </w: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in Last FY</w:t>
            </w:r>
          </w:p>
        </w:tc>
        <w:tc>
          <w:tcPr>
            <w:tcW w:w="162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in Last FY</w:t>
            </w: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Last FY</w:t>
            </w:r>
          </w:p>
        </w:tc>
        <w:tc>
          <w:tcPr>
            <w:tcW w:w="16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Withdrawals/</w:t>
            </w:r>
          </w:p>
        </w:tc>
        <w:tc>
          <w:tcPr>
            <w:tcW w:w="164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Last FYE</w:t>
            </w:r>
          </w:p>
        </w:tc>
        <w:tc>
          <w:tcPr>
            <w:tcW w:w="0" w:type="dxa"/>
            <w:vAlign w:val="bottom"/>
          </w:tcPr>
          <w:p>
            <w:pPr>
              <w:spacing w:after="0"/>
              <w:rPr>
                <w:sz w:val="1"/>
                <w:szCs w:val="1"/>
                <w:color w:val="auto"/>
              </w:rPr>
            </w:pPr>
          </w:p>
        </w:tc>
      </w:tr>
      <w:tr>
        <w:trPr>
          <w:trHeight w:val="255"/>
        </w:trPr>
        <w:tc>
          <w:tcPr>
            <w:tcW w:w="1600" w:type="dxa"/>
            <w:vAlign w:val="bottom"/>
            <w:tcBorders>
              <w:left w:val="single" w:sz="8" w:color="DA2031"/>
              <w:bottom w:val="single" w:sz="8" w:color="B6B6B6"/>
              <w:right w:val="single" w:sz="8" w:color="DA2031"/>
            </w:tcBorders>
            <w:shd w:val="clear" w:color="auto" w:fill="DA2031"/>
          </w:tcPr>
          <w:p>
            <w:pPr>
              <w:ind w:left="20"/>
              <w:spacing w:after="0"/>
              <w:rPr>
                <w:sz w:val="20"/>
                <w:szCs w:val="20"/>
                <w:color w:val="auto"/>
              </w:rPr>
            </w:pPr>
            <w:r>
              <w:rPr>
                <w:rFonts w:ascii="Arial" w:cs="Arial" w:eastAsia="Arial" w:hAnsi="Arial"/>
                <w:sz w:val="18"/>
                <w:szCs w:val="18"/>
                <w:b w:val="1"/>
                <w:bCs w:val="1"/>
                <w:color w:val="FFFFFF"/>
              </w:rPr>
              <w:t>Name</w:t>
            </w:r>
          </w:p>
        </w:tc>
        <w:tc>
          <w:tcPr>
            <w:tcW w:w="160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7"/>
              </w:rPr>
              <w:t>Name</w:t>
            </w:r>
          </w:p>
        </w:tc>
        <w:tc>
          <w:tcPr>
            <w:tcW w:w="160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w:t>
            </w:r>
          </w:p>
        </w:tc>
        <w:tc>
          <w:tcPr>
            <w:tcW w:w="162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w:t>
            </w:r>
          </w:p>
        </w:tc>
        <w:tc>
          <w:tcPr>
            <w:tcW w:w="160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($)(A)</w:t>
            </w:r>
          </w:p>
        </w:tc>
        <w:tc>
          <w:tcPr>
            <w:tcW w:w="160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Distributions ($)</w:t>
            </w:r>
          </w:p>
        </w:tc>
        <w:tc>
          <w:tcPr>
            <w:tcW w:w="164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184"/>
        </w:trPr>
        <w:tc>
          <w:tcPr>
            <w:tcW w:w="1600" w:type="dxa"/>
            <w:vAlign w:val="bottom"/>
            <w:tcBorders>
              <w:left w:val="single" w:sz="8" w:color="B6B6B6"/>
              <w:right w:val="single" w:sz="8" w:color="B6B6B6"/>
            </w:tcBorders>
          </w:tcPr>
          <w:p>
            <w:pPr>
              <w:ind w:left="40"/>
              <w:spacing w:after="0" w:line="183" w:lineRule="exact"/>
              <w:rPr>
                <w:sz w:val="20"/>
                <w:szCs w:val="20"/>
                <w:color w:val="auto"/>
              </w:rPr>
            </w:pPr>
            <w:r>
              <w:rPr>
                <w:rFonts w:ascii="Arial" w:cs="Arial" w:eastAsia="Arial" w:hAnsi="Arial"/>
                <w:sz w:val="18"/>
                <w:szCs w:val="18"/>
                <w:color w:val="auto"/>
              </w:rPr>
              <w:t>Jacques-Edouard</w:t>
            </w:r>
          </w:p>
        </w:tc>
        <w:tc>
          <w:tcPr>
            <w:tcW w:w="160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rPr>
              <w:t>DC France(B)</w:t>
            </w:r>
          </w:p>
        </w:tc>
        <w:tc>
          <w:tcPr>
            <w:tcW w:w="1600" w:type="dxa"/>
            <w:vAlign w:val="bottom"/>
            <w:tcBorders>
              <w:right w:val="single" w:sz="8" w:color="B6B6B6"/>
            </w:tcBorders>
            <w:vMerge w:val="restart"/>
          </w:tcPr>
          <w:p>
            <w:pPr>
              <w:jc w:val="right"/>
              <w:spacing w:after="0"/>
              <w:rPr>
                <w:sz w:val="20"/>
                <w:szCs w:val="20"/>
                <w:color w:val="auto"/>
              </w:rPr>
            </w:pPr>
            <w:r>
              <w:rPr>
                <w:rFonts w:ascii="Arial" w:cs="Arial" w:eastAsia="Arial" w:hAnsi="Arial"/>
                <w:sz w:val="18"/>
                <w:szCs w:val="18"/>
                <w:color w:val="auto"/>
              </w:rPr>
              <w:t>2,658</w:t>
            </w:r>
          </w:p>
        </w:tc>
        <w:tc>
          <w:tcPr>
            <w:tcW w:w="1620" w:type="dxa"/>
            <w:vAlign w:val="bottom"/>
            <w:tcBorders>
              <w:right w:val="single" w:sz="8" w:color="B6B6B6"/>
            </w:tcBorders>
            <w:vMerge w:val="restart"/>
          </w:tcPr>
          <w:p>
            <w:pPr>
              <w:jc w:val="right"/>
              <w:ind w:right="10"/>
              <w:spacing w:after="0"/>
              <w:rPr>
                <w:sz w:val="20"/>
                <w:szCs w:val="20"/>
                <w:color w:val="auto"/>
              </w:rPr>
            </w:pPr>
            <w:r>
              <w:rPr>
                <w:rFonts w:ascii="Arial" w:cs="Arial" w:eastAsia="Arial" w:hAnsi="Arial"/>
                <w:sz w:val="18"/>
                <w:szCs w:val="18"/>
                <w:color w:val="auto"/>
              </w:rPr>
              <w:t>7,975</w:t>
            </w:r>
          </w:p>
        </w:tc>
        <w:tc>
          <w:tcPr>
            <w:tcW w:w="1600" w:type="dxa"/>
            <w:vAlign w:val="bottom"/>
            <w:tcBorders>
              <w:right w:val="single" w:sz="8" w:color="B6B6B6"/>
            </w:tcBorders>
            <w:vMerge w:val="restart"/>
          </w:tcPr>
          <w:p>
            <w:pPr>
              <w:jc w:val="right"/>
              <w:ind w:right="10"/>
              <w:spacing w:after="0"/>
              <w:rPr>
                <w:sz w:val="20"/>
                <w:szCs w:val="20"/>
                <w:color w:val="auto"/>
              </w:rPr>
            </w:pPr>
            <w:r>
              <w:rPr>
                <w:rFonts w:ascii="Arial" w:cs="Arial" w:eastAsia="Arial" w:hAnsi="Arial"/>
                <w:sz w:val="18"/>
                <w:szCs w:val="18"/>
                <w:color w:val="auto"/>
              </w:rPr>
              <w:t>18,026</w:t>
            </w:r>
          </w:p>
        </w:tc>
        <w:tc>
          <w:tcPr>
            <w:tcW w:w="1600" w:type="dxa"/>
            <w:vAlign w:val="bottom"/>
            <w:tcBorders>
              <w:right w:val="single" w:sz="8" w:color="B6B6B6"/>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B6B6B6"/>
            </w:tcBorders>
            <w:vMerge w:val="restart"/>
          </w:tcPr>
          <w:p>
            <w:pPr>
              <w:jc w:val="right"/>
              <w:ind w:right="10"/>
              <w:spacing w:after="0"/>
              <w:rPr>
                <w:sz w:val="20"/>
                <w:szCs w:val="20"/>
                <w:color w:val="auto"/>
              </w:rPr>
            </w:pPr>
            <w:r>
              <w:rPr>
                <w:rFonts w:ascii="Arial" w:cs="Arial" w:eastAsia="Arial" w:hAnsi="Arial"/>
                <w:sz w:val="18"/>
                <w:szCs w:val="18"/>
                <w:color w:val="auto"/>
              </w:rPr>
              <w:t>344,305</w:t>
            </w:r>
          </w:p>
        </w:tc>
        <w:tc>
          <w:tcPr>
            <w:tcW w:w="0" w:type="dxa"/>
            <w:vAlign w:val="bottom"/>
          </w:tcPr>
          <w:p>
            <w:pPr>
              <w:spacing w:after="0"/>
              <w:rPr>
                <w:sz w:val="1"/>
                <w:szCs w:val="1"/>
                <w:color w:val="auto"/>
              </w:rPr>
            </w:pPr>
          </w:p>
        </w:tc>
      </w:tr>
      <w:tr>
        <w:trPr>
          <w:trHeight w:val="235"/>
        </w:trPr>
        <w:tc>
          <w:tcPr>
            <w:tcW w:w="160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Gueden</w:t>
            </w:r>
          </w:p>
        </w:tc>
        <w:tc>
          <w:tcPr>
            <w:tcW w:w="1600" w:type="dxa"/>
            <w:vAlign w:val="bottom"/>
            <w:tcBorders>
              <w:bottom w:val="single" w:sz="8" w:color="B6B6B6"/>
              <w:right w:val="single" w:sz="8" w:color="B6B6B6"/>
            </w:tcBorders>
            <w:vMerge w:val="continue"/>
          </w:tcPr>
          <w:p>
            <w:pPr>
              <w:spacing w:after="0"/>
              <w:rPr>
                <w:sz w:val="20"/>
                <w:szCs w:val="20"/>
                <w:color w:val="auto"/>
              </w:rPr>
            </w:pPr>
          </w:p>
        </w:tc>
        <w:tc>
          <w:tcPr>
            <w:tcW w:w="1600" w:type="dxa"/>
            <w:vAlign w:val="bottom"/>
            <w:tcBorders>
              <w:bottom w:val="single" w:sz="8" w:color="B6B6B6"/>
              <w:right w:val="single" w:sz="8" w:color="B6B6B6"/>
            </w:tcBorders>
            <w:vMerge w:val="continue"/>
          </w:tcPr>
          <w:p>
            <w:pPr>
              <w:spacing w:after="0"/>
              <w:rPr>
                <w:sz w:val="20"/>
                <w:szCs w:val="20"/>
                <w:color w:val="auto"/>
              </w:rPr>
            </w:pPr>
          </w:p>
        </w:tc>
        <w:tc>
          <w:tcPr>
            <w:tcW w:w="1620" w:type="dxa"/>
            <w:vAlign w:val="bottom"/>
            <w:tcBorders>
              <w:bottom w:val="single" w:sz="8" w:color="B6B6B6"/>
              <w:right w:val="single" w:sz="8" w:color="B6B6B6"/>
            </w:tcBorders>
            <w:vMerge w:val="continue"/>
          </w:tcPr>
          <w:p>
            <w:pPr>
              <w:spacing w:after="0"/>
              <w:rPr>
                <w:sz w:val="20"/>
                <w:szCs w:val="20"/>
                <w:color w:val="auto"/>
              </w:rPr>
            </w:pPr>
          </w:p>
        </w:tc>
        <w:tc>
          <w:tcPr>
            <w:tcW w:w="1600" w:type="dxa"/>
            <w:vAlign w:val="bottom"/>
            <w:tcBorders>
              <w:bottom w:val="single" w:sz="8" w:color="B6B6B6"/>
              <w:right w:val="single" w:sz="8" w:color="B6B6B6"/>
            </w:tcBorders>
            <w:vMerge w:val="continue"/>
          </w:tcPr>
          <w:p>
            <w:pPr>
              <w:spacing w:after="0"/>
              <w:rPr>
                <w:sz w:val="20"/>
                <w:szCs w:val="20"/>
                <w:color w:val="auto"/>
              </w:rPr>
            </w:pPr>
          </w:p>
        </w:tc>
        <w:tc>
          <w:tcPr>
            <w:tcW w:w="1600" w:type="dxa"/>
            <w:vAlign w:val="bottom"/>
            <w:tcBorders>
              <w:bottom w:val="single" w:sz="8" w:color="B6B6B6"/>
              <w:right w:val="single" w:sz="8" w:color="B6B6B6"/>
            </w:tcBorders>
            <w:vMerge w:val="continue"/>
          </w:tcPr>
          <w:p>
            <w:pPr>
              <w:spacing w:after="0"/>
              <w:rPr>
                <w:sz w:val="20"/>
                <w:szCs w:val="20"/>
                <w:color w:val="auto"/>
              </w:rPr>
            </w:pPr>
          </w:p>
        </w:tc>
        <w:tc>
          <w:tcPr>
            <w:tcW w:w="1640" w:type="dxa"/>
            <w:vAlign w:val="bottom"/>
            <w:tcBorders>
              <w:bottom w:val="single" w:sz="8" w:color="B6B6B6"/>
              <w:right w:val="single" w:sz="8" w:color="B6B6B6"/>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0" w:type="dxa"/>
            <w:vAlign w:val="bottom"/>
            <w:tcBorders>
              <w:left w:val="single" w:sz="8" w:color="B6B6B6"/>
              <w:bottom w:val="single" w:sz="8" w:color="B6B6B6"/>
              <w:right w:val="single" w:sz="8" w:color="B6B6B6"/>
            </w:tcBorders>
            <w:shd w:val="clear" w:color="auto" w:fill="DBDBDB"/>
          </w:tcPr>
          <w:p>
            <w:pPr>
              <w:ind w:left="40"/>
              <w:spacing w:after="0"/>
              <w:rPr>
                <w:sz w:val="20"/>
                <w:szCs w:val="20"/>
                <w:color w:val="auto"/>
              </w:rPr>
            </w:pPr>
            <w:r>
              <w:rPr>
                <w:rFonts w:ascii="Arial" w:cs="Arial" w:eastAsia="Arial" w:hAnsi="Arial"/>
                <w:sz w:val="18"/>
                <w:szCs w:val="18"/>
                <w:color w:val="auto"/>
              </w:rPr>
              <w:t>Xavier Heiss</w:t>
            </w:r>
          </w:p>
        </w:tc>
        <w:tc>
          <w:tcPr>
            <w:tcW w:w="1600" w:type="dxa"/>
            <w:vAlign w:val="bottom"/>
            <w:tcBorders>
              <w:bottom w:val="single" w:sz="8" w:color="B6B6B6"/>
              <w:right w:val="single" w:sz="8" w:color="B6B6B6"/>
            </w:tcBorders>
            <w:shd w:val="clear" w:color="auto" w:fill="DBDBDB"/>
          </w:tcPr>
          <w:p>
            <w:pPr>
              <w:jc w:val="center"/>
              <w:spacing w:after="0"/>
              <w:rPr>
                <w:sz w:val="20"/>
                <w:szCs w:val="20"/>
                <w:color w:val="auto"/>
              </w:rPr>
            </w:pPr>
            <w:r>
              <w:rPr>
                <w:rFonts w:ascii="Arial" w:cs="Arial" w:eastAsia="Arial" w:hAnsi="Arial"/>
                <w:sz w:val="18"/>
                <w:szCs w:val="18"/>
                <w:color w:val="auto"/>
              </w:rPr>
              <w:t>DC France(B)</w:t>
            </w:r>
          </w:p>
        </w:tc>
        <w:tc>
          <w:tcPr>
            <w:tcW w:w="1600" w:type="dxa"/>
            <w:vAlign w:val="bottom"/>
            <w:tcBorders>
              <w:bottom w:val="single" w:sz="8" w:color="B6B6B6"/>
              <w:right w:val="single" w:sz="8" w:color="B6B6B6"/>
            </w:tcBorders>
            <w:shd w:val="clear" w:color="auto" w:fill="DBDBDB"/>
          </w:tcPr>
          <w:p>
            <w:pPr>
              <w:jc w:val="right"/>
              <w:spacing w:after="0"/>
              <w:rPr>
                <w:sz w:val="20"/>
                <w:szCs w:val="20"/>
                <w:color w:val="auto"/>
              </w:rPr>
            </w:pPr>
            <w:r>
              <w:rPr>
                <w:rFonts w:ascii="Arial" w:cs="Arial" w:eastAsia="Arial" w:hAnsi="Arial"/>
                <w:sz w:val="18"/>
                <w:szCs w:val="18"/>
                <w:color w:val="auto"/>
              </w:rPr>
              <w:t>2,658</w:t>
            </w:r>
          </w:p>
        </w:tc>
        <w:tc>
          <w:tcPr>
            <w:tcW w:w="1620" w:type="dxa"/>
            <w:vAlign w:val="bottom"/>
            <w:tcBorders>
              <w:bottom w:val="single" w:sz="8" w:color="B6B6B6"/>
              <w:right w:val="single" w:sz="8" w:color="B6B6B6"/>
            </w:tcBorders>
            <w:shd w:val="clear" w:color="auto" w:fill="DBDBDB"/>
          </w:tcPr>
          <w:p>
            <w:pPr>
              <w:jc w:val="right"/>
              <w:ind w:right="10"/>
              <w:spacing w:after="0"/>
              <w:rPr>
                <w:sz w:val="20"/>
                <w:szCs w:val="20"/>
                <w:color w:val="auto"/>
              </w:rPr>
            </w:pPr>
            <w:r>
              <w:rPr>
                <w:rFonts w:ascii="Arial" w:cs="Arial" w:eastAsia="Arial" w:hAnsi="Arial"/>
                <w:sz w:val="18"/>
                <w:szCs w:val="18"/>
                <w:color w:val="auto"/>
              </w:rPr>
              <w:t>7,975</w:t>
            </w:r>
          </w:p>
        </w:tc>
        <w:tc>
          <w:tcPr>
            <w:tcW w:w="1600" w:type="dxa"/>
            <w:vAlign w:val="bottom"/>
            <w:tcBorders>
              <w:bottom w:val="single" w:sz="8" w:color="B6B6B6"/>
              <w:right w:val="single" w:sz="8" w:color="B6B6B6"/>
            </w:tcBorders>
            <w:shd w:val="clear" w:color="auto" w:fill="DBDBDB"/>
          </w:tcPr>
          <w:p>
            <w:pPr>
              <w:jc w:val="right"/>
              <w:ind w:right="10"/>
              <w:spacing w:after="0"/>
              <w:rPr>
                <w:sz w:val="20"/>
                <w:szCs w:val="20"/>
                <w:color w:val="auto"/>
              </w:rPr>
            </w:pPr>
            <w:r>
              <w:rPr>
                <w:rFonts w:ascii="Arial" w:cs="Arial" w:eastAsia="Arial" w:hAnsi="Arial"/>
                <w:sz w:val="18"/>
                <w:szCs w:val="18"/>
                <w:color w:val="auto"/>
              </w:rPr>
              <w:t>16,767</w:t>
            </w:r>
          </w:p>
        </w:tc>
        <w:tc>
          <w:tcPr>
            <w:tcW w:w="1600" w:type="dxa"/>
            <w:vAlign w:val="bottom"/>
            <w:tcBorders>
              <w:bottom w:val="single" w:sz="8" w:color="B6B6B6"/>
              <w:right w:val="single" w:sz="8" w:color="B6B6B6"/>
            </w:tcBorders>
            <w:shd w:val="clear" w:color="auto" w:fill="DBDBDB"/>
          </w:tcPr>
          <w:p>
            <w:pPr>
              <w:jc w:val="right"/>
              <w:ind w:right="10"/>
              <w:spacing w:after="0"/>
              <w:rPr>
                <w:sz w:val="20"/>
                <w:szCs w:val="20"/>
                <w:color w:val="auto"/>
              </w:rPr>
            </w:pPr>
            <w:r>
              <w:rPr>
                <w:rFonts w:ascii="Arial" w:cs="Arial" w:eastAsia="Arial" w:hAnsi="Arial"/>
                <w:sz w:val="18"/>
                <w:szCs w:val="18"/>
                <w:color w:val="auto"/>
              </w:rPr>
              <w:t>338,564</w:t>
            </w:r>
          </w:p>
        </w:tc>
        <w:tc>
          <w:tcPr>
            <w:tcW w:w="1640" w:type="dxa"/>
            <w:vAlign w:val="bottom"/>
            <w:tcBorders>
              <w:bottom w:val="single" w:sz="8" w:color="B6B6B6"/>
              <w:right w:val="single" w:sz="8" w:color="B6B6B6"/>
            </w:tcBorders>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7"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portion of the amounts shown in this column is reported as above-market interest in the Summary Compensation Table.</w:t>
      </w:r>
    </w:p>
    <w:p>
      <w:pPr>
        <w:spacing w:after="0" w:line="99" w:lineRule="exact"/>
        <w:rPr>
          <w:rFonts w:ascii="Arial" w:cs="Arial" w:eastAsia="Arial" w:hAnsi="Arial"/>
          <w:sz w:val="18"/>
          <w:szCs w:val="18"/>
          <w:color w:val="auto"/>
        </w:rPr>
      </w:pPr>
    </w:p>
    <w:p>
      <w:pPr>
        <w:ind w:left="340" w:right="180" w:hanging="332"/>
        <w:spacing w:after="0" w:line="262" w:lineRule="auto"/>
        <w:tabs>
          <w:tab w:leader="none" w:pos="33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French DC Plan is denominated and paid in EUR. The amounts shown as contributions in USD reflect the 2025 average exchange rate of 1.1288, USD per EUR. The aggregate balance reflects the spot rate of 1.1746 USD per EUR as of December 31, 2025. The exchange rate used for the distribution to Mr. Heiss as of November 26, 2025 is 1.159 USD per EUR based on the spot rate as of that date.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Pension Plan for Directors of Xerox SAS, France (French DC Plan)</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Directors of Xerox France are eligible for this plan. The total annual contribution is equal to 4% of gross annual remuneration (including bonus), up to a maximum remuneration of €235,500 in 2025. The Company contributes 75% of the total annual contribution, and the employee contributes 25%. The accumulated savings are converted into an annuity commencing at eligible retirement age.</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D92231"/>
        </w:rPr>
        <w:t>POTENTIAL PAYMENTS UPON TERMINATION OR CHANGE IN CONTROL</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Xerox has entered into certain agreements and maintains certain plans that require the Company to provide compensation to NEOs in the event of a termination of employment or a change in control. The table below reflects the amount of compensation payable to each NEO assuming that each of the hypothetical termination or change-in-control events listed in the table occurred on December 31, 2025. The equity award values presented in this table reflect unvested grants held by the applicable NEO as of December 31, 2025, and are based on the closing market price of Xerox Common Stock of $2.37 as of December 31, 2025, the last trading day in 2025.</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20" w:type="dxa"/>
            <w:vAlign w:val="bottom"/>
            <w:tcBorders>
              <w:left w:val="single" w:sz="8" w:color="DA2031"/>
            </w:tcBorders>
            <w:shd w:val="clear" w:color="auto" w:fill="DA2031"/>
          </w:tcPr>
          <w:p>
            <w:pPr>
              <w:spacing w:after="0"/>
              <w:rPr>
                <w:sz w:val="16"/>
                <w:szCs w:val="16"/>
                <w:color w:val="auto"/>
              </w:rPr>
            </w:pPr>
          </w:p>
        </w:tc>
        <w:tc>
          <w:tcPr>
            <w:tcW w:w="4220" w:type="dxa"/>
            <w:vAlign w:val="bottom"/>
            <w:tcBorders>
              <w:right w:val="single" w:sz="8" w:color="DA2031"/>
            </w:tcBorders>
            <w:shd w:val="clear" w:color="auto" w:fill="DA2031"/>
          </w:tcPr>
          <w:p>
            <w:pPr>
              <w:spacing w:after="0"/>
              <w:rPr>
                <w:sz w:val="16"/>
                <w:szCs w:val="16"/>
                <w:color w:val="auto"/>
              </w:rPr>
            </w:pPr>
          </w:p>
        </w:tc>
        <w:tc>
          <w:tcPr>
            <w:tcW w:w="1360" w:type="dxa"/>
            <w:vAlign w:val="bottom"/>
            <w:tcBorders>
              <w:right w:val="single" w:sz="8" w:color="DA2031"/>
            </w:tcBorders>
            <w:shd w:val="clear" w:color="auto" w:fill="DA2031"/>
          </w:tcPr>
          <w:p>
            <w:pPr>
              <w:spacing w:after="0"/>
              <w:rPr>
                <w:sz w:val="16"/>
                <w:szCs w:val="16"/>
                <w:color w:val="auto"/>
              </w:rPr>
            </w:pPr>
          </w:p>
        </w:tc>
        <w:tc>
          <w:tcPr>
            <w:tcW w:w="1060" w:type="dxa"/>
            <w:vAlign w:val="bottom"/>
            <w:shd w:val="clear" w:color="auto" w:fill="DA2031"/>
          </w:tcPr>
          <w:p>
            <w:pPr>
              <w:spacing w:after="0"/>
              <w:rPr>
                <w:sz w:val="16"/>
                <w:szCs w:val="16"/>
                <w:color w:val="auto"/>
              </w:rPr>
            </w:pPr>
          </w:p>
        </w:tc>
        <w:tc>
          <w:tcPr>
            <w:tcW w:w="300" w:type="dxa"/>
            <w:vAlign w:val="bottom"/>
            <w:tcBorders>
              <w:right w:val="single" w:sz="8" w:color="DA2031"/>
            </w:tcBorders>
            <w:shd w:val="clear" w:color="auto" w:fill="DA2031"/>
          </w:tcPr>
          <w:p>
            <w:pPr>
              <w:spacing w:after="0"/>
              <w:rPr>
                <w:sz w:val="16"/>
                <w:szCs w:val="16"/>
                <w:color w:val="auto"/>
              </w:rPr>
            </w:pPr>
          </w:p>
        </w:tc>
        <w:tc>
          <w:tcPr>
            <w:tcW w:w="1380" w:type="dxa"/>
            <w:vAlign w:val="bottom"/>
            <w:tcBorders>
              <w:right w:val="single" w:sz="8" w:color="DA2031"/>
            </w:tcBorders>
            <w:shd w:val="clear" w:color="auto" w:fill="DA2031"/>
          </w:tcPr>
          <w:p>
            <w:pPr>
              <w:spacing w:after="0"/>
              <w:rPr>
                <w:sz w:val="16"/>
                <w:szCs w:val="16"/>
                <w:color w:val="auto"/>
              </w:rPr>
            </w:pP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Healthcare/</w:t>
            </w:r>
          </w:p>
        </w:tc>
        <w:tc>
          <w:tcPr>
            <w:tcW w:w="1360" w:type="dxa"/>
            <w:vAlign w:val="bottom"/>
            <w:tcBorders>
              <w:right w:val="single" w:sz="8" w:color="DA2031"/>
            </w:tcBorders>
            <w:shd w:val="clear" w:color="auto" w:fill="DA2031"/>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 w:type="dxa"/>
            <w:vAlign w:val="bottom"/>
            <w:tcBorders>
              <w:left w:val="single" w:sz="8" w:color="DA2031"/>
            </w:tcBorders>
            <w:shd w:val="clear" w:color="auto" w:fill="DA2031"/>
          </w:tcPr>
          <w:p>
            <w:pPr>
              <w:spacing w:after="0"/>
              <w:rPr>
                <w:sz w:val="15"/>
                <w:szCs w:val="15"/>
                <w:color w:val="auto"/>
              </w:rPr>
            </w:pPr>
          </w:p>
        </w:tc>
        <w:tc>
          <w:tcPr>
            <w:tcW w:w="4220" w:type="dxa"/>
            <w:vAlign w:val="bottom"/>
            <w:tcBorders>
              <w:right w:val="single" w:sz="8" w:color="DA2031"/>
            </w:tcBorders>
            <w:shd w:val="clear" w:color="auto" w:fill="DA2031"/>
          </w:tcPr>
          <w:p>
            <w:pPr>
              <w:spacing w:after="0"/>
              <w:rPr>
                <w:sz w:val="15"/>
                <w:szCs w:val="15"/>
                <w:color w:val="auto"/>
              </w:rPr>
            </w:pPr>
          </w:p>
        </w:tc>
        <w:tc>
          <w:tcPr>
            <w:tcW w:w="1360" w:type="dxa"/>
            <w:vAlign w:val="bottom"/>
            <w:tcBorders>
              <w:right w:val="single" w:sz="8" w:color="DA2031"/>
            </w:tcBorders>
            <w:shd w:val="clear" w:color="auto" w:fill="DA2031"/>
          </w:tcPr>
          <w:p>
            <w:pPr>
              <w:spacing w:after="0"/>
              <w:rPr>
                <w:sz w:val="15"/>
                <w:szCs w:val="15"/>
                <w:color w:val="auto"/>
              </w:rPr>
            </w:pPr>
          </w:p>
        </w:tc>
        <w:tc>
          <w:tcPr>
            <w:tcW w:w="1060" w:type="dxa"/>
            <w:vAlign w:val="bottom"/>
            <w:shd w:val="clear" w:color="auto" w:fill="DA2031"/>
          </w:tcPr>
          <w:p>
            <w:pPr>
              <w:jc w:val="center"/>
              <w:ind w:left="168"/>
              <w:spacing w:after="0"/>
              <w:rPr>
                <w:sz w:val="20"/>
                <w:szCs w:val="20"/>
                <w:color w:val="auto"/>
              </w:rPr>
            </w:pPr>
            <w:r>
              <w:rPr>
                <w:rFonts w:ascii="Arial" w:cs="Arial" w:eastAsia="Arial" w:hAnsi="Arial"/>
                <w:sz w:val="14"/>
                <w:szCs w:val="14"/>
                <w:b w:val="1"/>
                <w:bCs w:val="1"/>
                <w:color w:val="FFFFFF"/>
              </w:rPr>
              <w:t>Non-</w:t>
            </w:r>
          </w:p>
        </w:tc>
        <w:tc>
          <w:tcPr>
            <w:tcW w:w="300" w:type="dxa"/>
            <w:vAlign w:val="bottom"/>
            <w:tcBorders>
              <w:right w:val="single" w:sz="8" w:color="DA2031"/>
            </w:tcBorders>
            <w:shd w:val="clear" w:color="auto" w:fill="DA2031"/>
          </w:tcPr>
          <w:p>
            <w:pPr>
              <w:spacing w:after="0"/>
              <w:rPr>
                <w:sz w:val="15"/>
                <w:szCs w:val="15"/>
                <w:color w:val="auto"/>
              </w:rPr>
            </w:pPr>
          </w:p>
        </w:tc>
        <w:tc>
          <w:tcPr>
            <w:tcW w:w="1380" w:type="dxa"/>
            <w:vAlign w:val="bottom"/>
            <w:tcBorders>
              <w:right w:val="single" w:sz="8" w:color="DA2031"/>
            </w:tcBorders>
            <w:shd w:val="clear" w:color="auto" w:fill="DA2031"/>
          </w:tcPr>
          <w:p>
            <w:pPr>
              <w:spacing w:after="0"/>
              <w:rPr>
                <w:sz w:val="15"/>
                <w:szCs w:val="15"/>
                <w:color w:val="auto"/>
              </w:rPr>
            </w:pP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Life</w:t>
            </w:r>
          </w:p>
        </w:tc>
        <w:tc>
          <w:tcPr>
            <w:tcW w:w="1360" w:type="dxa"/>
            <w:vAlign w:val="bottom"/>
            <w:tcBorders>
              <w:right w:val="single" w:sz="8" w:color="DA2031"/>
            </w:tcBorders>
            <w:shd w:val="clear" w:color="auto" w:fill="DA2031"/>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 w:type="dxa"/>
            <w:vAlign w:val="bottom"/>
            <w:tcBorders>
              <w:left w:val="single" w:sz="8" w:color="DA2031"/>
            </w:tcBorders>
            <w:shd w:val="clear" w:color="auto" w:fill="DA2031"/>
          </w:tcPr>
          <w:p>
            <w:pPr>
              <w:spacing w:after="0"/>
              <w:rPr>
                <w:sz w:val="15"/>
                <w:szCs w:val="15"/>
                <w:color w:val="auto"/>
              </w:rPr>
            </w:pPr>
          </w:p>
        </w:tc>
        <w:tc>
          <w:tcPr>
            <w:tcW w:w="4220" w:type="dxa"/>
            <w:vAlign w:val="bottom"/>
            <w:tcBorders>
              <w:right w:val="single" w:sz="8" w:color="DA2031"/>
            </w:tcBorders>
            <w:shd w:val="clear" w:color="auto" w:fill="DA2031"/>
          </w:tcPr>
          <w:p>
            <w:pPr>
              <w:spacing w:after="0"/>
              <w:rPr>
                <w:sz w:val="15"/>
                <w:szCs w:val="15"/>
                <w:color w:val="auto"/>
              </w:rPr>
            </w:pPr>
          </w:p>
        </w:tc>
        <w:tc>
          <w:tcPr>
            <w:tcW w:w="1360" w:type="dxa"/>
            <w:vAlign w:val="bottom"/>
            <w:tcBorders>
              <w:right w:val="single" w:sz="8" w:color="DA2031"/>
            </w:tcBorders>
            <w:shd w:val="clear" w:color="auto" w:fill="DA2031"/>
          </w:tcPr>
          <w:p>
            <w:pPr>
              <w:spacing w:after="0"/>
              <w:rPr>
                <w:sz w:val="15"/>
                <w:szCs w:val="15"/>
                <w:color w:val="auto"/>
              </w:rPr>
            </w:pPr>
          </w:p>
        </w:tc>
        <w:tc>
          <w:tcPr>
            <w:tcW w:w="1060" w:type="dxa"/>
            <w:vAlign w:val="bottom"/>
            <w:shd w:val="clear" w:color="auto" w:fill="DA2031"/>
          </w:tcPr>
          <w:p>
            <w:pPr>
              <w:jc w:val="center"/>
              <w:ind w:left="188"/>
              <w:spacing w:after="0"/>
              <w:rPr>
                <w:sz w:val="20"/>
                <w:szCs w:val="20"/>
                <w:color w:val="auto"/>
              </w:rPr>
            </w:pPr>
            <w:r>
              <w:rPr>
                <w:rFonts w:ascii="Arial" w:cs="Arial" w:eastAsia="Arial" w:hAnsi="Arial"/>
                <w:sz w:val="14"/>
                <w:szCs w:val="14"/>
                <w:b w:val="1"/>
                <w:bCs w:val="1"/>
                <w:color w:val="FFFFFF"/>
              </w:rPr>
              <w:t>Equity</w:t>
            </w:r>
          </w:p>
        </w:tc>
        <w:tc>
          <w:tcPr>
            <w:tcW w:w="300" w:type="dxa"/>
            <w:vAlign w:val="bottom"/>
            <w:tcBorders>
              <w:right w:val="single" w:sz="8" w:color="DA2031"/>
            </w:tcBorders>
            <w:shd w:val="clear" w:color="auto" w:fill="DA2031"/>
          </w:tcPr>
          <w:p>
            <w:pPr>
              <w:spacing w:after="0"/>
              <w:rPr>
                <w:sz w:val="15"/>
                <w:szCs w:val="15"/>
                <w:color w:val="auto"/>
              </w:rPr>
            </w:pPr>
          </w:p>
        </w:tc>
        <w:tc>
          <w:tcPr>
            <w:tcW w:w="138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Equity</w:t>
            </w:r>
          </w:p>
        </w:tc>
        <w:tc>
          <w:tcPr>
            <w:tcW w:w="1360" w:type="dxa"/>
            <w:vAlign w:val="bottom"/>
            <w:tcBorders>
              <w:right w:val="single" w:sz="8" w:color="DA2031"/>
            </w:tcBorders>
            <w:shd w:val="clear" w:color="auto" w:fill="DA2031"/>
          </w:tcPr>
          <w:p>
            <w:pPr>
              <w:jc w:val="center"/>
              <w:ind w:right="8"/>
              <w:spacing w:after="0"/>
              <w:rPr>
                <w:sz w:val="20"/>
                <w:szCs w:val="20"/>
                <w:color w:val="auto"/>
              </w:rPr>
            </w:pPr>
            <w:r>
              <w:rPr>
                <w:rFonts w:ascii="Arial" w:cs="Arial" w:eastAsia="Arial" w:hAnsi="Arial"/>
                <w:sz w:val="14"/>
                <w:szCs w:val="14"/>
                <w:b w:val="1"/>
                <w:bCs w:val="1"/>
                <w:color w:val="FFFFFF"/>
              </w:rPr>
              <w:t>Insurance</w:t>
            </w: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76"/>
        </w:trPr>
        <w:tc>
          <w:tcPr>
            <w:tcW w:w="220" w:type="dxa"/>
            <w:vAlign w:val="bottom"/>
            <w:tcBorders>
              <w:left w:val="single" w:sz="8" w:color="DA2031"/>
            </w:tcBorders>
            <w:shd w:val="clear" w:color="auto" w:fill="DA2031"/>
          </w:tcPr>
          <w:p>
            <w:pPr>
              <w:spacing w:after="0"/>
              <w:rPr>
                <w:sz w:val="15"/>
                <w:szCs w:val="15"/>
                <w:color w:val="auto"/>
              </w:rPr>
            </w:pPr>
          </w:p>
        </w:tc>
        <w:tc>
          <w:tcPr>
            <w:tcW w:w="4220" w:type="dxa"/>
            <w:vAlign w:val="bottom"/>
            <w:tcBorders>
              <w:right w:val="single" w:sz="8" w:color="DA2031"/>
            </w:tcBorders>
            <w:shd w:val="clear" w:color="auto" w:fill="DA2031"/>
          </w:tcPr>
          <w:p>
            <w:pPr>
              <w:spacing w:after="0"/>
              <w:rPr>
                <w:sz w:val="15"/>
                <w:szCs w:val="15"/>
                <w:color w:val="auto"/>
              </w:rPr>
            </w:pP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Lump</w:t>
            </w:r>
          </w:p>
        </w:tc>
        <w:tc>
          <w:tcPr>
            <w:tcW w:w="1060" w:type="dxa"/>
            <w:vAlign w:val="bottom"/>
            <w:shd w:val="clear" w:color="auto" w:fill="DA2031"/>
          </w:tcPr>
          <w:p>
            <w:pPr>
              <w:jc w:val="center"/>
              <w:ind w:left="208"/>
              <w:spacing w:after="0"/>
              <w:rPr>
                <w:sz w:val="20"/>
                <w:szCs w:val="20"/>
                <w:color w:val="auto"/>
              </w:rPr>
            </w:pPr>
            <w:r>
              <w:rPr>
                <w:rFonts w:ascii="Arial" w:cs="Arial" w:eastAsia="Arial" w:hAnsi="Arial"/>
                <w:sz w:val="14"/>
                <w:szCs w:val="14"/>
                <w:b w:val="1"/>
                <w:bCs w:val="1"/>
                <w:color w:val="FFFFFF"/>
              </w:rPr>
              <w:t>Incentive</w:t>
            </w:r>
          </w:p>
        </w:tc>
        <w:tc>
          <w:tcPr>
            <w:tcW w:w="300" w:type="dxa"/>
            <w:vAlign w:val="bottom"/>
            <w:tcBorders>
              <w:right w:val="single" w:sz="8" w:color="DA2031"/>
            </w:tcBorders>
            <w:shd w:val="clear" w:color="auto" w:fill="DA2031"/>
          </w:tcPr>
          <w:p>
            <w:pPr>
              <w:spacing w:after="0"/>
              <w:rPr>
                <w:sz w:val="15"/>
                <w:szCs w:val="15"/>
                <w:color w:val="auto"/>
              </w:rPr>
            </w:pPr>
          </w:p>
        </w:tc>
        <w:tc>
          <w:tcPr>
            <w:tcW w:w="138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Incentive</w:t>
            </w: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 Other</w:t>
            </w: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0" w:type="dxa"/>
            <w:vAlign w:val="bottom"/>
          </w:tcPr>
          <w:p>
            <w:pPr>
              <w:spacing w:after="0"/>
              <w:rPr>
                <w:sz w:val="1"/>
                <w:szCs w:val="1"/>
                <w:color w:val="auto"/>
              </w:rPr>
            </w:pPr>
          </w:p>
        </w:tc>
      </w:tr>
      <w:tr>
        <w:trPr>
          <w:trHeight w:val="162"/>
        </w:trPr>
        <w:tc>
          <w:tcPr>
            <w:tcW w:w="220" w:type="dxa"/>
            <w:vAlign w:val="bottom"/>
            <w:tcBorders>
              <w:left w:val="single" w:sz="8" w:color="DA2031"/>
            </w:tcBorders>
            <w:shd w:val="clear" w:color="auto" w:fill="DA2031"/>
          </w:tcPr>
          <w:p>
            <w:pPr>
              <w:spacing w:after="0"/>
              <w:rPr>
                <w:sz w:val="14"/>
                <w:szCs w:val="14"/>
                <w:color w:val="auto"/>
              </w:rPr>
            </w:pPr>
          </w:p>
        </w:tc>
        <w:tc>
          <w:tcPr>
            <w:tcW w:w="4220" w:type="dxa"/>
            <w:vAlign w:val="bottom"/>
            <w:tcBorders>
              <w:right w:val="single" w:sz="8" w:color="DA2031"/>
            </w:tcBorders>
            <w:shd w:val="clear" w:color="auto" w:fill="DA2031"/>
          </w:tcPr>
          <w:p>
            <w:pPr>
              <w:spacing w:after="0"/>
              <w:rPr>
                <w:sz w:val="14"/>
                <w:szCs w:val="14"/>
                <w:color w:val="auto"/>
              </w:rPr>
            </w:pP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Payments</w:t>
            </w:r>
          </w:p>
        </w:tc>
        <w:tc>
          <w:tcPr>
            <w:tcW w:w="1060" w:type="dxa"/>
            <w:vAlign w:val="bottom"/>
            <w:shd w:val="clear" w:color="auto" w:fill="DA2031"/>
          </w:tcPr>
          <w:p>
            <w:pPr>
              <w:jc w:val="center"/>
              <w:ind w:left="188"/>
              <w:spacing w:after="0"/>
              <w:rPr>
                <w:sz w:val="20"/>
                <w:szCs w:val="20"/>
                <w:color w:val="auto"/>
              </w:rPr>
            </w:pPr>
            <w:r>
              <w:rPr>
                <w:rFonts w:ascii="Arial" w:cs="Arial" w:eastAsia="Arial" w:hAnsi="Arial"/>
                <w:sz w:val="14"/>
                <w:szCs w:val="14"/>
                <w:b w:val="1"/>
                <w:bCs w:val="1"/>
                <w:color w:val="FFFFFF"/>
              </w:rPr>
              <w:t>Awards</w:t>
            </w:r>
          </w:p>
        </w:tc>
        <w:tc>
          <w:tcPr>
            <w:tcW w:w="300" w:type="dxa"/>
            <w:vAlign w:val="bottom"/>
            <w:tcBorders>
              <w:right w:val="single" w:sz="8" w:color="DA2031"/>
            </w:tcBorders>
            <w:shd w:val="clear" w:color="auto" w:fill="DA2031"/>
          </w:tcPr>
          <w:p>
            <w:pPr>
              <w:spacing w:after="0"/>
              <w:rPr>
                <w:sz w:val="14"/>
                <w:szCs w:val="14"/>
                <w:color w:val="auto"/>
              </w:rPr>
            </w:pPr>
          </w:p>
        </w:tc>
        <w:tc>
          <w:tcPr>
            <w:tcW w:w="138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Benefits</w:t>
            </w:r>
          </w:p>
        </w:tc>
        <w:tc>
          <w:tcPr>
            <w:tcW w:w="136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Benefit</w:t>
            </w:r>
          </w:p>
        </w:tc>
        <w:tc>
          <w:tcPr>
            <w:tcW w:w="0" w:type="dxa"/>
            <w:vAlign w:val="bottom"/>
          </w:tcPr>
          <w:p>
            <w:pPr>
              <w:spacing w:after="0"/>
              <w:rPr>
                <w:sz w:val="1"/>
                <w:szCs w:val="1"/>
                <w:color w:val="auto"/>
              </w:rPr>
            </w:pPr>
          </w:p>
        </w:tc>
      </w:tr>
      <w:tr>
        <w:trPr>
          <w:trHeight w:val="211"/>
        </w:trPr>
        <w:tc>
          <w:tcPr>
            <w:tcW w:w="4440" w:type="dxa"/>
            <w:vAlign w:val="bottom"/>
            <w:tcBorders>
              <w:left w:val="single" w:sz="8" w:color="DA2031"/>
              <w:bottom w:val="single" w:sz="8" w:color="B6B6B6"/>
              <w:right w:val="single" w:sz="8" w:color="DA2031"/>
            </w:tcBorders>
            <w:gridSpan w:val="2"/>
            <w:shd w:val="clear" w:color="auto" w:fill="DA2031"/>
          </w:tcPr>
          <w:p>
            <w:pPr>
              <w:ind w:left="20"/>
              <w:spacing w:after="0"/>
              <w:rPr>
                <w:sz w:val="20"/>
                <w:szCs w:val="20"/>
                <w:color w:val="auto"/>
              </w:rPr>
            </w:pPr>
            <w:r>
              <w:rPr>
                <w:rFonts w:ascii="Arial" w:cs="Arial" w:eastAsia="Arial" w:hAnsi="Arial"/>
                <w:sz w:val="14"/>
                <w:szCs w:val="14"/>
                <w:b w:val="1"/>
                <w:bCs w:val="1"/>
                <w:color w:val="FFFFFF"/>
              </w:rPr>
              <w:t>Name</w:t>
            </w:r>
          </w:p>
        </w:tc>
        <w:tc>
          <w:tcPr>
            <w:tcW w:w="136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B6B6B6"/>
            </w:tcBorders>
            <w:shd w:val="clear" w:color="auto" w:fill="DA2031"/>
          </w:tcPr>
          <w:p>
            <w:pPr>
              <w:jc w:val="center"/>
              <w:ind w:left="208"/>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B6B6B6"/>
              <w:right w:val="single" w:sz="8" w:color="DA2031"/>
            </w:tcBorders>
            <w:shd w:val="clear" w:color="auto" w:fill="DA2031"/>
          </w:tcPr>
          <w:p>
            <w:pPr>
              <w:spacing w:after="0"/>
              <w:rPr>
                <w:sz w:val="18"/>
                <w:szCs w:val="18"/>
                <w:color w:val="auto"/>
              </w:rPr>
            </w:pPr>
          </w:p>
        </w:tc>
        <w:tc>
          <w:tcPr>
            <w:tcW w:w="138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96"/>
        </w:trPr>
        <w:tc>
          <w:tcPr>
            <w:tcW w:w="4440" w:type="dxa"/>
            <w:vAlign w:val="bottom"/>
            <w:tcBorders>
              <w:left w:val="single" w:sz="8" w:color="B6B6B6"/>
              <w:bottom w:val="single" w:sz="8" w:color="B6B6B6"/>
              <w:right w:val="single" w:sz="8" w:color="B6B6B6"/>
            </w:tcBorders>
            <w:gridSpan w:val="2"/>
          </w:tcPr>
          <w:p>
            <w:pPr>
              <w:ind w:left="40"/>
              <w:spacing w:after="0"/>
              <w:rPr>
                <w:sz w:val="20"/>
                <w:szCs w:val="20"/>
                <w:color w:val="auto"/>
              </w:rPr>
            </w:pPr>
            <w:r>
              <w:rPr>
                <w:rFonts w:ascii="Arial" w:cs="Arial" w:eastAsia="Arial" w:hAnsi="Arial"/>
                <w:sz w:val="14"/>
                <w:szCs w:val="14"/>
                <w:b w:val="1"/>
                <w:bCs w:val="1"/>
                <w:color w:val="auto"/>
              </w:rPr>
              <w:t>Steven J. Bandrowczak</w:t>
            </w:r>
          </w:p>
        </w:tc>
        <w:tc>
          <w:tcPr>
            <w:tcW w:w="1360" w:type="dxa"/>
            <w:vAlign w:val="bottom"/>
            <w:tcBorders>
              <w:bottom w:val="single" w:sz="8" w:color="B6B6B6"/>
              <w:right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300" w:type="dxa"/>
            <w:vAlign w:val="bottom"/>
            <w:tcBorders>
              <w:bottom w:val="single" w:sz="8" w:color="B6B6B6"/>
              <w:right w:val="single" w:sz="8" w:color="B6B6B6"/>
            </w:tcBorders>
          </w:tcPr>
          <w:p>
            <w:pPr>
              <w:spacing w:after="0"/>
              <w:rPr>
                <w:sz w:val="17"/>
                <w:szCs w:val="17"/>
                <w:color w:val="auto"/>
              </w:rPr>
            </w:pPr>
          </w:p>
        </w:tc>
        <w:tc>
          <w:tcPr>
            <w:tcW w:w="1380" w:type="dxa"/>
            <w:vAlign w:val="bottom"/>
            <w:tcBorders>
              <w:bottom w:val="single" w:sz="8" w:color="B6B6B6"/>
              <w:right w:val="single" w:sz="8" w:color="B6B6B6"/>
            </w:tcBorders>
          </w:tcPr>
          <w:p>
            <w:pPr>
              <w:spacing w:after="0"/>
              <w:rPr>
                <w:sz w:val="17"/>
                <w:szCs w:val="17"/>
                <w:color w:val="auto"/>
              </w:rPr>
            </w:pPr>
          </w:p>
        </w:tc>
        <w:tc>
          <w:tcPr>
            <w:tcW w:w="1360" w:type="dxa"/>
            <w:vAlign w:val="bottom"/>
            <w:tcBorders>
              <w:bottom w:val="single" w:sz="8" w:color="B6B6B6"/>
              <w:right w:val="single" w:sz="8" w:color="B6B6B6"/>
            </w:tcBorders>
          </w:tcPr>
          <w:p>
            <w:pPr>
              <w:spacing w:after="0"/>
              <w:rPr>
                <w:sz w:val="17"/>
                <w:szCs w:val="17"/>
                <w:color w:val="auto"/>
              </w:rPr>
            </w:pPr>
          </w:p>
        </w:tc>
        <w:tc>
          <w:tcPr>
            <w:tcW w:w="1360" w:type="dxa"/>
            <w:vAlign w:val="bottom"/>
            <w:tcBorders>
              <w:bottom w:val="single" w:sz="8" w:color="B6B6B6"/>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 Voluntary Termination/Retirement (A)</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2,926,410</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2,926,410</w:t>
            </w:r>
          </w:p>
        </w:tc>
        <w:tc>
          <w:tcPr>
            <w:tcW w:w="0" w:type="dxa"/>
            <w:vAlign w:val="bottom"/>
          </w:tcPr>
          <w:p>
            <w:pPr>
              <w:spacing w:after="0"/>
              <w:rPr>
                <w:sz w:val="1"/>
                <w:szCs w:val="1"/>
                <w:color w:val="auto"/>
              </w:rPr>
            </w:pPr>
          </w:p>
        </w:tc>
      </w:tr>
      <w:tr>
        <w:trPr>
          <w:trHeight w:val="196"/>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 Involuntary Termination not for Cause or for Good Reason (B)</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2,200,000</w:t>
            </w:r>
          </w:p>
        </w:tc>
        <w:tc>
          <w:tcPr>
            <w:tcW w:w="1060" w:type="dxa"/>
            <w:vAlign w:val="bottom"/>
            <w:tcBorders>
              <w:bottom w:val="single" w:sz="8" w:color="B6B6B6"/>
            </w:tcBorders>
          </w:tcPr>
          <w:p>
            <w:pPr>
              <w:spacing w:after="0"/>
              <w:rPr>
                <w:sz w:val="17"/>
                <w:szCs w:val="17"/>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5,862,631</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39,191</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8,101,822</w:t>
            </w:r>
          </w:p>
        </w:tc>
        <w:tc>
          <w:tcPr>
            <w:tcW w:w="0" w:type="dxa"/>
            <w:vAlign w:val="bottom"/>
          </w:tcPr>
          <w:p>
            <w:pPr>
              <w:spacing w:after="0"/>
              <w:rPr>
                <w:sz w:val="1"/>
                <w:szCs w:val="1"/>
                <w:color w:val="auto"/>
              </w:rPr>
            </w:pPr>
          </w:p>
        </w:tc>
      </w:tr>
      <w:tr>
        <w:trPr>
          <w:trHeight w:val="150"/>
        </w:trPr>
        <w:tc>
          <w:tcPr>
            <w:tcW w:w="220" w:type="dxa"/>
            <w:vAlign w:val="bottom"/>
            <w:tcBorders>
              <w:left w:val="single" w:sz="8" w:color="B6B6B6"/>
            </w:tcBorders>
          </w:tcPr>
          <w:p>
            <w:pPr>
              <w:ind w:left="40"/>
              <w:spacing w:after="0" w:line="151" w:lineRule="exact"/>
              <w:rPr>
                <w:sz w:val="20"/>
                <w:szCs w:val="20"/>
                <w:color w:val="auto"/>
              </w:rPr>
            </w:pPr>
            <w:r>
              <w:rPr>
                <w:rFonts w:ascii="Arial" w:cs="Arial" w:eastAsia="Arial" w:hAnsi="Arial"/>
                <w:sz w:val="14"/>
                <w:szCs w:val="14"/>
                <w:color w:val="auto"/>
              </w:rPr>
              <w:t>•</w:t>
            </w:r>
          </w:p>
        </w:tc>
        <w:tc>
          <w:tcPr>
            <w:tcW w:w="4220" w:type="dxa"/>
            <w:vAlign w:val="bottom"/>
            <w:tcBorders>
              <w:right w:val="single" w:sz="8" w:color="B6B6B6"/>
            </w:tcBorders>
          </w:tcPr>
          <w:p>
            <w:pPr>
              <w:ind w:left="140"/>
              <w:spacing w:after="0" w:line="151" w:lineRule="exact"/>
              <w:rPr>
                <w:sz w:val="20"/>
                <w:szCs w:val="20"/>
                <w:color w:val="auto"/>
              </w:rPr>
            </w:pPr>
            <w:r>
              <w:rPr>
                <w:rFonts w:ascii="Arial" w:cs="Arial" w:eastAsia="Arial" w:hAnsi="Arial"/>
                <w:sz w:val="14"/>
                <w:szCs w:val="14"/>
                <w:color w:val="auto"/>
              </w:rPr>
              <w:t> Involuntary or Good Reason Termination after Change in</w:t>
            </w:r>
          </w:p>
        </w:tc>
        <w:tc>
          <w:tcPr>
            <w:tcW w:w="1360" w:type="dxa"/>
            <w:vAlign w:val="bottom"/>
            <w:tcBorders>
              <w:right w:val="single" w:sz="8" w:color="B6B6B6"/>
            </w:tcBorders>
            <w:vMerge w:val="restart"/>
          </w:tcPr>
          <w:p>
            <w:pPr>
              <w:jc w:val="right"/>
              <w:ind w:right="8"/>
              <w:spacing w:after="0"/>
              <w:rPr>
                <w:sz w:val="20"/>
                <w:szCs w:val="20"/>
                <w:color w:val="auto"/>
              </w:rPr>
            </w:pPr>
            <w:r>
              <w:rPr>
                <w:rFonts w:ascii="Arial" w:cs="Arial" w:eastAsia="Arial" w:hAnsi="Arial"/>
                <w:sz w:val="14"/>
                <w:szCs w:val="14"/>
                <w:color w:val="auto"/>
              </w:rPr>
              <w:t>5,940,000</w:t>
            </w:r>
          </w:p>
        </w:tc>
        <w:tc>
          <w:tcPr>
            <w:tcW w:w="1060" w:type="dxa"/>
            <w:vAlign w:val="bottom"/>
          </w:tcPr>
          <w:p>
            <w:pPr>
              <w:spacing w:after="0"/>
              <w:rPr>
                <w:sz w:val="13"/>
                <w:szCs w:val="13"/>
                <w:color w:val="auto"/>
              </w:rPr>
            </w:pPr>
          </w:p>
        </w:tc>
        <w:tc>
          <w:tcPr>
            <w:tcW w:w="300" w:type="dxa"/>
            <w:vAlign w:val="bottom"/>
            <w:tcBorders>
              <w:right w:val="single" w:sz="8" w:color="B6B6B6"/>
            </w:tcBorders>
            <w:vMerge w:val="restart"/>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B6B6B6"/>
            </w:tcBorders>
            <w:vMerge w:val="restart"/>
          </w:tcPr>
          <w:p>
            <w:pPr>
              <w:jc w:val="right"/>
              <w:ind w:right="28"/>
              <w:spacing w:after="0"/>
              <w:rPr>
                <w:sz w:val="20"/>
                <w:szCs w:val="20"/>
                <w:color w:val="auto"/>
              </w:rPr>
            </w:pPr>
            <w:r>
              <w:rPr>
                <w:rFonts w:ascii="Arial" w:cs="Arial" w:eastAsia="Arial" w:hAnsi="Arial"/>
                <w:sz w:val="14"/>
                <w:szCs w:val="14"/>
                <w:color w:val="auto"/>
              </w:rPr>
              <w:t>5,862,631</w:t>
            </w:r>
          </w:p>
        </w:tc>
        <w:tc>
          <w:tcPr>
            <w:tcW w:w="1360" w:type="dxa"/>
            <w:vAlign w:val="bottom"/>
            <w:tcBorders>
              <w:right w:val="single" w:sz="8" w:color="B6B6B6"/>
            </w:tcBorders>
            <w:vMerge w:val="restart"/>
          </w:tcPr>
          <w:p>
            <w:pPr>
              <w:jc w:val="right"/>
              <w:ind w:right="28"/>
              <w:spacing w:after="0"/>
              <w:rPr>
                <w:sz w:val="20"/>
                <w:szCs w:val="20"/>
                <w:color w:val="auto"/>
              </w:rPr>
            </w:pPr>
            <w:r>
              <w:rPr>
                <w:rFonts w:ascii="Arial" w:cs="Arial" w:eastAsia="Arial" w:hAnsi="Arial"/>
                <w:sz w:val="14"/>
                <w:szCs w:val="14"/>
                <w:color w:val="auto"/>
              </w:rPr>
              <w:t>39,191</w:t>
            </w:r>
          </w:p>
        </w:tc>
        <w:tc>
          <w:tcPr>
            <w:tcW w:w="1360" w:type="dxa"/>
            <w:vAlign w:val="bottom"/>
            <w:tcBorders>
              <w:right w:val="single" w:sz="8" w:color="B6B6B6"/>
            </w:tcBorders>
            <w:vMerge w:val="restart"/>
          </w:tcPr>
          <w:p>
            <w:pPr>
              <w:jc w:val="right"/>
              <w:ind w:right="8"/>
              <w:spacing w:after="0"/>
              <w:rPr>
                <w:sz w:val="20"/>
                <w:szCs w:val="20"/>
                <w:color w:val="auto"/>
              </w:rPr>
            </w:pPr>
            <w:r>
              <w:rPr>
                <w:rFonts w:ascii="Arial" w:cs="Arial" w:eastAsia="Arial" w:hAnsi="Arial"/>
                <w:sz w:val="14"/>
                <w:szCs w:val="14"/>
                <w:color w:val="auto"/>
              </w:rPr>
              <w:t>11,841,822</w:t>
            </w:r>
          </w:p>
        </w:tc>
        <w:tc>
          <w:tcPr>
            <w:tcW w:w="0" w:type="dxa"/>
            <w:vAlign w:val="bottom"/>
          </w:tcPr>
          <w:p>
            <w:pPr>
              <w:spacing w:after="0"/>
              <w:rPr>
                <w:sz w:val="1"/>
                <w:szCs w:val="1"/>
                <w:color w:val="auto"/>
              </w:rPr>
            </w:pPr>
          </w:p>
        </w:tc>
      </w:tr>
      <w:tr>
        <w:trPr>
          <w:trHeight w:val="185"/>
        </w:trPr>
        <w:tc>
          <w:tcPr>
            <w:tcW w:w="220" w:type="dxa"/>
            <w:vAlign w:val="bottom"/>
            <w:tcBorders>
              <w:left w:val="single" w:sz="8" w:color="B6B6B6"/>
              <w:bottom w:val="single" w:sz="8" w:color="B6B6B6"/>
            </w:tcBorders>
          </w:tcPr>
          <w:p>
            <w:pPr>
              <w:spacing w:after="0"/>
              <w:rPr>
                <w:sz w:val="16"/>
                <w:szCs w:val="16"/>
                <w:color w:val="auto"/>
              </w:rPr>
            </w:pP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Control (C)</w:t>
            </w: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vMerge w:val="continue"/>
          </w:tcPr>
          <w:p>
            <w:pPr>
              <w:spacing w:after="0"/>
              <w:rPr>
                <w:sz w:val="16"/>
                <w:szCs w:val="16"/>
                <w:color w:val="auto"/>
              </w:rPr>
            </w:pPr>
          </w:p>
        </w:tc>
        <w:tc>
          <w:tcPr>
            <w:tcW w:w="1380" w:type="dxa"/>
            <w:vAlign w:val="bottom"/>
            <w:tcBorders>
              <w:bottom w:val="single" w:sz="8" w:color="B6B6B6"/>
              <w:right w:val="single" w:sz="8" w:color="B6B6B6"/>
            </w:tcBorders>
            <w:vMerge w:val="continue"/>
          </w:tcPr>
          <w:p>
            <w:pPr>
              <w:spacing w:after="0"/>
              <w:rPr>
                <w:sz w:val="16"/>
                <w:szCs w:val="16"/>
                <w:color w:val="auto"/>
              </w:rPr>
            </w:pP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 Death (D)</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5,862,631</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5,862,631</w:t>
            </w:r>
          </w:p>
        </w:tc>
        <w:tc>
          <w:tcPr>
            <w:tcW w:w="0" w:type="dxa"/>
            <w:vAlign w:val="bottom"/>
          </w:tcPr>
          <w:p>
            <w:pPr>
              <w:spacing w:after="0"/>
              <w:rPr>
                <w:sz w:val="1"/>
                <w:szCs w:val="1"/>
                <w:color w:val="auto"/>
              </w:rPr>
            </w:pPr>
          </w:p>
        </w:tc>
      </w:tr>
      <w:tr>
        <w:trPr>
          <w:trHeight w:val="205"/>
        </w:trPr>
        <w:tc>
          <w:tcPr>
            <w:tcW w:w="4440" w:type="dxa"/>
            <w:vAlign w:val="bottom"/>
            <w:tcBorders>
              <w:left w:val="single" w:sz="8" w:color="B6B6B6"/>
              <w:bottom w:val="single" w:sz="8" w:color="DBDBDB"/>
              <w:right w:val="single" w:sz="8" w:color="B6B6B6"/>
            </w:tcBorders>
            <w:gridSpan w:val="2"/>
            <w:shd w:val="clear" w:color="auto" w:fill="DBDBDB"/>
          </w:tcPr>
          <w:p>
            <w:pPr>
              <w:ind w:left="40"/>
              <w:spacing w:after="0"/>
              <w:rPr>
                <w:sz w:val="20"/>
                <w:szCs w:val="20"/>
                <w:color w:val="auto"/>
              </w:rPr>
            </w:pPr>
            <w:r>
              <w:rPr>
                <w:rFonts w:ascii="Arial" w:cs="Arial" w:eastAsia="Arial" w:hAnsi="Arial"/>
                <w:sz w:val="14"/>
                <w:szCs w:val="14"/>
                <w:b w:val="1"/>
                <w:bCs w:val="1"/>
                <w:color w:val="auto"/>
                <w:highlight w:val="lightGray"/>
              </w:rPr>
              <w:t>Louis J. Pastor</w:t>
            </w:r>
          </w:p>
        </w:tc>
        <w:tc>
          <w:tcPr>
            <w:tcW w:w="1360" w:type="dxa"/>
            <w:vAlign w:val="bottom"/>
            <w:tcBorders>
              <w:bottom w:val="single" w:sz="8" w:color="DBDBDB"/>
              <w:right w:val="single" w:sz="8" w:color="B6B6B6"/>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right w:val="single" w:sz="8" w:color="B6B6B6"/>
            </w:tcBorders>
            <w:shd w:val="clear" w:color="auto" w:fill="DBDBDB"/>
          </w:tcPr>
          <w:p>
            <w:pPr>
              <w:spacing w:after="0"/>
              <w:rPr>
                <w:sz w:val="17"/>
                <w:szCs w:val="17"/>
                <w:color w:val="auto"/>
              </w:rPr>
            </w:pPr>
          </w:p>
        </w:tc>
        <w:tc>
          <w:tcPr>
            <w:tcW w:w="1380" w:type="dxa"/>
            <w:vAlign w:val="bottom"/>
            <w:tcBorders>
              <w:bottom w:val="single" w:sz="8" w:color="DBDBDB"/>
              <w:right w:val="single" w:sz="8" w:color="B6B6B6"/>
            </w:tcBorders>
            <w:shd w:val="clear" w:color="auto" w:fill="DBDBDB"/>
          </w:tcPr>
          <w:p>
            <w:pPr>
              <w:spacing w:after="0"/>
              <w:rPr>
                <w:sz w:val="17"/>
                <w:szCs w:val="17"/>
                <w:color w:val="auto"/>
              </w:rPr>
            </w:pPr>
          </w:p>
        </w:tc>
        <w:tc>
          <w:tcPr>
            <w:tcW w:w="1360" w:type="dxa"/>
            <w:vAlign w:val="bottom"/>
            <w:tcBorders>
              <w:bottom w:val="single" w:sz="8" w:color="DBDBDB"/>
              <w:right w:val="single" w:sz="8" w:color="B6B6B6"/>
            </w:tcBorders>
            <w:shd w:val="clear" w:color="auto" w:fill="DBDBDB"/>
          </w:tcPr>
          <w:p>
            <w:pPr>
              <w:spacing w:after="0"/>
              <w:rPr>
                <w:sz w:val="17"/>
                <w:szCs w:val="17"/>
                <w:color w:val="auto"/>
              </w:rPr>
            </w:pPr>
          </w:p>
        </w:tc>
        <w:tc>
          <w:tcPr>
            <w:tcW w:w="1360" w:type="dxa"/>
            <w:vAlign w:val="bottom"/>
            <w:tcBorders>
              <w:bottom w:val="single" w:sz="8" w:color="DBDBDB"/>
              <w:right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Borders>
              <w:top w:val="single" w:sz="8" w:color="B6B6B6"/>
              <w:left w:val="single" w:sz="8" w:color="B6B6B6"/>
              <w:bottom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top w:val="single" w:sz="8" w:color="B6B6B6"/>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4"/>
                <w:szCs w:val="14"/>
                <w:color w:val="auto"/>
              </w:rPr>
              <w:t> Voluntary Termination/Retirement (A)</w:t>
            </w:r>
          </w:p>
        </w:tc>
        <w:tc>
          <w:tcPr>
            <w:tcW w:w="1360" w:type="dxa"/>
            <w:vAlign w:val="bottom"/>
            <w:tcBorders>
              <w:top w:val="single" w:sz="8" w:color="B6B6B6"/>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6B6B6"/>
              <w:bottom w:val="single" w:sz="8" w:color="B6B6B6"/>
            </w:tcBorders>
            <w:shd w:val="clear" w:color="auto" w:fill="DBDBDB"/>
          </w:tcPr>
          <w:p>
            <w:pPr>
              <w:spacing w:after="0"/>
              <w:rPr>
                <w:sz w:val="16"/>
                <w:szCs w:val="16"/>
                <w:color w:val="auto"/>
              </w:rPr>
            </w:pPr>
          </w:p>
        </w:tc>
        <w:tc>
          <w:tcPr>
            <w:tcW w:w="300" w:type="dxa"/>
            <w:vAlign w:val="bottom"/>
            <w:tcBorders>
              <w:top w:val="single" w:sz="8" w:color="B6B6B6"/>
              <w:bottom w:val="single" w:sz="8" w:color="B6B6B6"/>
              <w:right w:val="single" w:sz="8" w:color="B6B6B6"/>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B6B6B6"/>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B6B6B6"/>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B6B6B6"/>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20" w:type="dxa"/>
            <w:vAlign w:val="bottom"/>
            <w:tcBorders>
              <w:left w:val="single" w:sz="8" w:color="B6B6B6"/>
              <w:bottom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4"/>
                <w:szCs w:val="14"/>
                <w:color w:val="auto"/>
              </w:rPr>
              <w:t> Involuntary Termination not for Cause (B)</w:t>
            </w:r>
          </w:p>
        </w:tc>
        <w:tc>
          <w:tcPr>
            <w:tcW w:w="1360" w:type="dxa"/>
            <w:vAlign w:val="bottom"/>
            <w:tcBorders>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625,000</w:t>
            </w:r>
          </w:p>
        </w:tc>
        <w:tc>
          <w:tcPr>
            <w:tcW w:w="1060" w:type="dxa"/>
            <w:vAlign w:val="bottom"/>
            <w:tcBorders>
              <w:bottom w:val="single" w:sz="8" w:color="B6B6B6"/>
            </w:tcBorders>
            <w:shd w:val="clear" w:color="auto" w:fill="DBDBDB"/>
          </w:tcPr>
          <w:p>
            <w:pPr>
              <w:spacing w:after="0"/>
              <w:rPr>
                <w:sz w:val="17"/>
                <w:szCs w:val="17"/>
                <w:color w:val="auto"/>
              </w:rPr>
            </w:pPr>
          </w:p>
        </w:tc>
        <w:tc>
          <w:tcPr>
            <w:tcW w:w="300" w:type="dxa"/>
            <w:vAlign w:val="bottom"/>
            <w:tcBorders>
              <w:bottom w:val="single" w:sz="8" w:color="B6B6B6"/>
              <w:right w:val="single" w:sz="8" w:color="B6B6B6"/>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1,136,032</w:t>
            </w:r>
          </w:p>
        </w:tc>
        <w:tc>
          <w:tcPr>
            <w:tcW w:w="1360" w:type="dxa"/>
            <w:vAlign w:val="bottom"/>
            <w:tcBorders>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20,465</w:t>
            </w:r>
          </w:p>
        </w:tc>
        <w:tc>
          <w:tcPr>
            <w:tcW w:w="1360" w:type="dxa"/>
            <w:vAlign w:val="bottom"/>
            <w:tcBorders>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1,781,497</w:t>
            </w:r>
          </w:p>
        </w:tc>
        <w:tc>
          <w:tcPr>
            <w:tcW w:w="0" w:type="dxa"/>
            <w:vAlign w:val="bottom"/>
          </w:tcPr>
          <w:p>
            <w:pPr>
              <w:spacing w:after="0"/>
              <w:rPr>
                <w:sz w:val="1"/>
                <w:szCs w:val="1"/>
                <w:color w:val="auto"/>
              </w:rPr>
            </w:pPr>
          </w:p>
        </w:tc>
      </w:tr>
      <w:tr>
        <w:trPr>
          <w:trHeight w:val="150"/>
        </w:trPr>
        <w:tc>
          <w:tcPr>
            <w:tcW w:w="220" w:type="dxa"/>
            <w:vAlign w:val="bottom"/>
            <w:tcBorders>
              <w:left w:val="single" w:sz="8" w:color="B6B6B6"/>
            </w:tcBorders>
            <w:shd w:val="clear" w:color="auto" w:fill="DBDBDB"/>
          </w:tcPr>
          <w:p>
            <w:pPr>
              <w:ind w:left="40"/>
              <w:spacing w:after="0" w:line="151" w:lineRule="exact"/>
              <w:rPr>
                <w:sz w:val="20"/>
                <w:szCs w:val="20"/>
                <w:color w:val="auto"/>
              </w:rPr>
            </w:pPr>
            <w:r>
              <w:rPr>
                <w:rFonts w:ascii="Arial" w:cs="Arial" w:eastAsia="Arial" w:hAnsi="Arial"/>
                <w:sz w:val="14"/>
                <w:szCs w:val="14"/>
                <w:color w:val="auto"/>
              </w:rPr>
              <w:t>•</w:t>
            </w:r>
          </w:p>
        </w:tc>
        <w:tc>
          <w:tcPr>
            <w:tcW w:w="4220" w:type="dxa"/>
            <w:vAlign w:val="bottom"/>
            <w:tcBorders>
              <w:right w:val="single" w:sz="8" w:color="B6B6B6"/>
            </w:tcBorders>
            <w:shd w:val="clear" w:color="auto" w:fill="DBDBDB"/>
          </w:tcPr>
          <w:p>
            <w:pPr>
              <w:ind w:left="140"/>
              <w:spacing w:after="0" w:line="151" w:lineRule="exact"/>
              <w:rPr>
                <w:sz w:val="20"/>
                <w:szCs w:val="20"/>
                <w:color w:val="auto"/>
              </w:rPr>
            </w:pPr>
            <w:r>
              <w:rPr>
                <w:rFonts w:ascii="Arial" w:cs="Arial" w:eastAsia="Arial" w:hAnsi="Arial"/>
                <w:sz w:val="14"/>
                <w:szCs w:val="14"/>
                <w:color w:val="auto"/>
              </w:rPr>
              <w:t> Involuntary or Good Reason Termination after Change in</w:t>
            </w:r>
          </w:p>
        </w:tc>
        <w:tc>
          <w:tcPr>
            <w:tcW w:w="1360" w:type="dxa"/>
            <w:vAlign w:val="bottom"/>
            <w:tcBorders>
              <w:right w:val="single" w:sz="8" w:color="B6B6B6"/>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2,500,000</w:t>
            </w:r>
          </w:p>
        </w:tc>
        <w:tc>
          <w:tcPr>
            <w:tcW w:w="1060" w:type="dxa"/>
            <w:vAlign w:val="bottom"/>
            <w:shd w:val="clear" w:color="auto" w:fill="DBDBDB"/>
          </w:tcPr>
          <w:p>
            <w:pPr>
              <w:spacing w:after="0"/>
              <w:rPr>
                <w:sz w:val="13"/>
                <w:szCs w:val="13"/>
                <w:color w:val="auto"/>
              </w:rPr>
            </w:pPr>
          </w:p>
        </w:tc>
        <w:tc>
          <w:tcPr>
            <w:tcW w:w="300" w:type="dxa"/>
            <w:vAlign w:val="bottom"/>
            <w:tcBorders>
              <w:right w:val="single" w:sz="8" w:color="B6B6B6"/>
            </w:tcBorders>
            <w:vMerge w:val="restart"/>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B6B6B6"/>
            </w:tcBorders>
            <w:vMerge w:val="restart"/>
            <w:shd w:val="clear" w:color="auto" w:fill="DBDBDB"/>
          </w:tcPr>
          <w:p>
            <w:pPr>
              <w:jc w:val="right"/>
              <w:ind w:right="28"/>
              <w:spacing w:after="0"/>
              <w:rPr>
                <w:sz w:val="20"/>
                <w:szCs w:val="20"/>
                <w:color w:val="auto"/>
              </w:rPr>
            </w:pPr>
            <w:r>
              <w:rPr>
                <w:rFonts w:ascii="Arial" w:cs="Arial" w:eastAsia="Arial" w:hAnsi="Arial"/>
                <w:sz w:val="14"/>
                <w:szCs w:val="14"/>
                <w:color w:val="auto"/>
              </w:rPr>
              <w:t>1,634,148</w:t>
            </w:r>
          </w:p>
        </w:tc>
        <w:tc>
          <w:tcPr>
            <w:tcW w:w="1360" w:type="dxa"/>
            <w:vAlign w:val="bottom"/>
            <w:tcBorders>
              <w:right w:val="single" w:sz="8" w:color="B6B6B6"/>
            </w:tcBorders>
            <w:vMerge w:val="restart"/>
            <w:shd w:val="clear" w:color="auto" w:fill="DBDBDB"/>
          </w:tcPr>
          <w:p>
            <w:pPr>
              <w:jc w:val="right"/>
              <w:ind w:right="28"/>
              <w:spacing w:after="0"/>
              <w:rPr>
                <w:sz w:val="20"/>
                <w:szCs w:val="20"/>
                <w:color w:val="auto"/>
              </w:rPr>
            </w:pPr>
            <w:r>
              <w:rPr>
                <w:rFonts w:ascii="Arial" w:cs="Arial" w:eastAsia="Arial" w:hAnsi="Arial"/>
                <w:sz w:val="14"/>
                <w:szCs w:val="14"/>
                <w:color w:val="auto"/>
              </w:rPr>
              <w:t>20,465</w:t>
            </w:r>
          </w:p>
        </w:tc>
        <w:tc>
          <w:tcPr>
            <w:tcW w:w="1360" w:type="dxa"/>
            <w:vAlign w:val="bottom"/>
            <w:tcBorders>
              <w:right w:val="single" w:sz="8" w:color="B6B6B6"/>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4,154,613</w:t>
            </w:r>
          </w:p>
        </w:tc>
        <w:tc>
          <w:tcPr>
            <w:tcW w:w="0" w:type="dxa"/>
            <w:vAlign w:val="bottom"/>
          </w:tcPr>
          <w:p>
            <w:pPr>
              <w:spacing w:after="0"/>
              <w:rPr>
                <w:sz w:val="1"/>
                <w:szCs w:val="1"/>
                <w:color w:val="auto"/>
              </w:rPr>
            </w:pPr>
          </w:p>
        </w:tc>
      </w:tr>
      <w:tr>
        <w:trPr>
          <w:trHeight w:val="185"/>
        </w:trPr>
        <w:tc>
          <w:tcPr>
            <w:tcW w:w="220" w:type="dxa"/>
            <w:vAlign w:val="bottom"/>
            <w:tcBorders>
              <w:left w:val="single" w:sz="8" w:color="B6B6B6"/>
              <w:bottom w:val="single" w:sz="8" w:color="B6B6B6"/>
            </w:tcBorders>
            <w:shd w:val="clear" w:color="auto" w:fill="DBDBDB"/>
          </w:tcPr>
          <w:p>
            <w:pPr>
              <w:spacing w:after="0"/>
              <w:rPr>
                <w:sz w:val="16"/>
                <w:szCs w:val="16"/>
                <w:color w:val="auto"/>
              </w:rPr>
            </w:pPr>
          </w:p>
        </w:tc>
        <w:tc>
          <w:tcPr>
            <w:tcW w:w="4220" w:type="dxa"/>
            <w:vAlign w:val="bottom"/>
            <w:tcBorders>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4"/>
                <w:szCs w:val="14"/>
                <w:color w:val="auto"/>
              </w:rPr>
              <w:t>Control (C)</w:t>
            </w:r>
          </w:p>
        </w:tc>
        <w:tc>
          <w:tcPr>
            <w:tcW w:w="136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1060" w:type="dxa"/>
            <w:vAlign w:val="bottom"/>
            <w:tcBorders>
              <w:bottom w:val="single" w:sz="8" w:color="B6B6B6"/>
            </w:tcBorders>
            <w:shd w:val="clear" w:color="auto" w:fill="DBDBDB"/>
          </w:tcPr>
          <w:p>
            <w:pPr>
              <w:spacing w:after="0"/>
              <w:rPr>
                <w:sz w:val="16"/>
                <w:szCs w:val="16"/>
                <w:color w:val="auto"/>
              </w:rPr>
            </w:pPr>
          </w:p>
        </w:tc>
        <w:tc>
          <w:tcPr>
            <w:tcW w:w="30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138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136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136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 w:type="dxa"/>
            <w:vAlign w:val="bottom"/>
            <w:tcBorders>
              <w:left w:val="single" w:sz="8" w:color="B6B6B6"/>
              <w:bottom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4"/>
                <w:szCs w:val="14"/>
                <w:color w:val="auto"/>
              </w:rPr>
              <w:t> Death (D)</w:t>
            </w:r>
          </w:p>
        </w:tc>
        <w:tc>
          <w:tcPr>
            <w:tcW w:w="1360" w:type="dxa"/>
            <w:vAlign w:val="bottom"/>
            <w:tcBorders>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6B6B6"/>
            </w:tcBorders>
            <w:shd w:val="clear" w:color="auto" w:fill="DBDBDB"/>
          </w:tcPr>
          <w:p>
            <w:pPr>
              <w:spacing w:after="0"/>
              <w:rPr>
                <w:sz w:val="16"/>
                <w:szCs w:val="16"/>
                <w:color w:val="auto"/>
              </w:rPr>
            </w:pPr>
          </w:p>
        </w:tc>
        <w:tc>
          <w:tcPr>
            <w:tcW w:w="300" w:type="dxa"/>
            <w:vAlign w:val="bottom"/>
            <w:tcBorders>
              <w:bottom w:val="single" w:sz="8" w:color="B6B6B6"/>
              <w:right w:val="single" w:sz="8" w:color="B6B6B6"/>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1,634,148</w:t>
            </w:r>
          </w:p>
        </w:tc>
        <w:tc>
          <w:tcPr>
            <w:tcW w:w="1360" w:type="dxa"/>
            <w:vAlign w:val="bottom"/>
            <w:tcBorders>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1,634,148</w:t>
            </w:r>
          </w:p>
        </w:tc>
        <w:tc>
          <w:tcPr>
            <w:tcW w:w="0" w:type="dxa"/>
            <w:vAlign w:val="bottom"/>
          </w:tcPr>
          <w:p>
            <w:pPr>
              <w:spacing w:after="0"/>
              <w:rPr>
                <w:sz w:val="1"/>
                <w:szCs w:val="1"/>
                <w:color w:val="auto"/>
              </w:rPr>
            </w:pPr>
          </w:p>
        </w:tc>
      </w:tr>
      <w:tr>
        <w:trPr>
          <w:trHeight w:val="199"/>
        </w:trPr>
        <w:tc>
          <w:tcPr>
            <w:tcW w:w="4440" w:type="dxa"/>
            <w:vAlign w:val="bottom"/>
            <w:tcBorders>
              <w:left w:val="single" w:sz="8" w:color="B6B6B6"/>
              <w:bottom w:val="single" w:sz="8" w:color="B6B6B6"/>
              <w:right w:val="single" w:sz="8" w:color="B6B6B6"/>
            </w:tcBorders>
            <w:gridSpan w:val="2"/>
          </w:tcPr>
          <w:p>
            <w:pPr>
              <w:ind w:left="40"/>
              <w:spacing w:after="0"/>
              <w:rPr>
                <w:sz w:val="20"/>
                <w:szCs w:val="20"/>
                <w:color w:val="auto"/>
              </w:rPr>
            </w:pPr>
            <w:r>
              <w:rPr>
                <w:rFonts w:ascii="Arial" w:cs="Arial" w:eastAsia="Arial" w:hAnsi="Arial"/>
                <w:sz w:val="14"/>
                <w:szCs w:val="14"/>
                <w:b w:val="1"/>
                <w:bCs w:val="1"/>
                <w:color w:val="auto"/>
              </w:rPr>
              <w:t>Charles Butler</w:t>
            </w:r>
          </w:p>
        </w:tc>
        <w:tc>
          <w:tcPr>
            <w:tcW w:w="1360" w:type="dxa"/>
            <w:vAlign w:val="bottom"/>
            <w:tcBorders>
              <w:bottom w:val="single" w:sz="8" w:color="B6B6B6"/>
              <w:right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300" w:type="dxa"/>
            <w:vAlign w:val="bottom"/>
            <w:tcBorders>
              <w:bottom w:val="single" w:sz="8" w:color="B6B6B6"/>
              <w:right w:val="single" w:sz="8" w:color="B6B6B6"/>
            </w:tcBorders>
          </w:tcPr>
          <w:p>
            <w:pPr>
              <w:spacing w:after="0"/>
              <w:rPr>
                <w:sz w:val="17"/>
                <w:szCs w:val="17"/>
                <w:color w:val="auto"/>
              </w:rPr>
            </w:pPr>
          </w:p>
        </w:tc>
        <w:tc>
          <w:tcPr>
            <w:tcW w:w="1380" w:type="dxa"/>
            <w:vAlign w:val="bottom"/>
            <w:tcBorders>
              <w:bottom w:val="single" w:sz="8" w:color="B6B6B6"/>
              <w:right w:val="single" w:sz="8" w:color="B6B6B6"/>
            </w:tcBorders>
          </w:tcPr>
          <w:p>
            <w:pPr>
              <w:spacing w:after="0"/>
              <w:rPr>
                <w:sz w:val="17"/>
                <w:szCs w:val="17"/>
                <w:color w:val="auto"/>
              </w:rPr>
            </w:pPr>
          </w:p>
        </w:tc>
        <w:tc>
          <w:tcPr>
            <w:tcW w:w="1360" w:type="dxa"/>
            <w:vAlign w:val="bottom"/>
            <w:tcBorders>
              <w:bottom w:val="single" w:sz="8" w:color="B6B6B6"/>
              <w:right w:val="single" w:sz="8" w:color="B6B6B6"/>
            </w:tcBorders>
          </w:tcPr>
          <w:p>
            <w:pPr>
              <w:spacing w:after="0"/>
              <w:rPr>
                <w:sz w:val="17"/>
                <w:szCs w:val="17"/>
                <w:color w:val="auto"/>
              </w:rPr>
            </w:pPr>
          </w:p>
        </w:tc>
        <w:tc>
          <w:tcPr>
            <w:tcW w:w="1360" w:type="dxa"/>
            <w:vAlign w:val="bottom"/>
            <w:tcBorders>
              <w:bottom w:val="single" w:sz="8" w:color="B6B6B6"/>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 Voluntary Termination/Retirement (A)</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 Involuntary Termination not for Cause (B)</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550,000</w:t>
            </w:r>
          </w:p>
        </w:tc>
        <w:tc>
          <w:tcPr>
            <w:tcW w:w="1060" w:type="dxa"/>
            <w:vAlign w:val="bottom"/>
            <w:tcBorders>
              <w:bottom w:val="single" w:sz="8" w:color="B6B6B6"/>
            </w:tcBorders>
          </w:tcPr>
          <w:p>
            <w:pPr>
              <w:spacing w:after="0"/>
              <w:rPr>
                <w:sz w:val="17"/>
                <w:szCs w:val="17"/>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34,778</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584,778</w:t>
            </w:r>
          </w:p>
        </w:tc>
        <w:tc>
          <w:tcPr>
            <w:tcW w:w="0" w:type="dxa"/>
            <w:vAlign w:val="bottom"/>
          </w:tcPr>
          <w:p>
            <w:pPr>
              <w:spacing w:after="0"/>
              <w:rPr>
                <w:sz w:val="1"/>
                <w:szCs w:val="1"/>
                <w:color w:val="auto"/>
              </w:rPr>
            </w:pPr>
          </w:p>
        </w:tc>
      </w:tr>
      <w:tr>
        <w:trPr>
          <w:trHeight w:val="150"/>
        </w:trPr>
        <w:tc>
          <w:tcPr>
            <w:tcW w:w="220" w:type="dxa"/>
            <w:vAlign w:val="bottom"/>
            <w:tcBorders>
              <w:left w:val="single" w:sz="8" w:color="B6B6B6"/>
            </w:tcBorders>
          </w:tcPr>
          <w:p>
            <w:pPr>
              <w:ind w:left="40"/>
              <w:spacing w:after="0" w:line="151" w:lineRule="exact"/>
              <w:rPr>
                <w:sz w:val="20"/>
                <w:szCs w:val="20"/>
                <w:color w:val="auto"/>
              </w:rPr>
            </w:pPr>
            <w:r>
              <w:rPr>
                <w:rFonts w:ascii="Arial" w:cs="Arial" w:eastAsia="Arial" w:hAnsi="Arial"/>
                <w:sz w:val="14"/>
                <w:szCs w:val="14"/>
                <w:color w:val="auto"/>
              </w:rPr>
              <w:t>•</w:t>
            </w:r>
          </w:p>
        </w:tc>
        <w:tc>
          <w:tcPr>
            <w:tcW w:w="4220" w:type="dxa"/>
            <w:vAlign w:val="bottom"/>
            <w:tcBorders>
              <w:right w:val="single" w:sz="8" w:color="B6B6B6"/>
            </w:tcBorders>
          </w:tcPr>
          <w:p>
            <w:pPr>
              <w:ind w:left="140"/>
              <w:spacing w:after="0" w:line="151" w:lineRule="exact"/>
              <w:rPr>
                <w:sz w:val="20"/>
                <w:szCs w:val="20"/>
                <w:color w:val="auto"/>
              </w:rPr>
            </w:pPr>
            <w:r>
              <w:rPr>
                <w:rFonts w:ascii="Arial" w:cs="Arial" w:eastAsia="Arial" w:hAnsi="Arial"/>
                <w:sz w:val="14"/>
                <w:szCs w:val="14"/>
                <w:color w:val="auto"/>
              </w:rPr>
              <w:t> Involuntary or Good Reason Termination after Change in</w:t>
            </w:r>
          </w:p>
        </w:tc>
        <w:tc>
          <w:tcPr>
            <w:tcW w:w="1360" w:type="dxa"/>
            <w:vAlign w:val="bottom"/>
            <w:tcBorders>
              <w:right w:val="single" w:sz="8" w:color="B6B6B6"/>
            </w:tcBorders>
            <w:vMerge w:val="restart"/>
          </w:tcPr>
          <w:p>
            <w:pPr>
              <w:jc w:val="right"/>
              <w:ind w:right="8"/>
              <w:spacing w:after="0"/>
              <w:rPr>
                <w:sz w:val="20"/>
                <w:szCs w:val="20"/>
                <w:color w:val="auto"/>
              </w:rPr>
            </w:pPr>
            <w:r>
              <w:rPr>
                <w:rFonts w:ascii="Arial" w:cs="Arial" w:eastAsia="Arial" w:hAnsi="Arial"/>
                <w:sz w:val="14"/>
                <w:szCs w:val="14"/>
                <w:color w:val="auto"/>
              </w:rPr>
              <w:t>2,200,000</w:t>
            </w:r>
          </w:p>
        </w:tc>
        <w:tc>
          <w:tcPr>
            <w:tcW w:w="1060" w:type="dxa"/>
            <w:vAlign w:val="bottom"/>
          </w:tcPr>
          <w:p>
            <w:pPr>
              <w:spacing w:after="0"/>
              <w:rPr>
                <w:sz w:val="13"/>
                <w:szCs w:val="13"/>
                <w:color w:val="auto"/>
              </w:rPr>
            </w:pPr>
          </w:p>
        </w:tc>
        <w:tc>
          <w:tcPr>
            <w:tcW w:w="300" w:type="dxa"/>
            <w:vAlign w:val="bottom"/>
            <w:tcBorders>
              <w:right w:val="single" w:sz="8" w:color="B6B6B6"/>
            </w:tcBorders>
            <w:vMerge w:val="restart"/>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B6B6B6"/>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B6B6B6"/>
            </w:tcBorders>
            <w:vMerge w:val="restart"/>
          </w:tcPr>
          <w:p>
            <w:pPr>
              <w:jc w:val="right"/>
              <w:ind w:right="28"/>
              <w:spacing w:after="0"/>
              <w:rPr>
                <w:sz w:val="20"/>
                <w:szCs w:val="20"/>
                <w:color w:val="auto"/>
              </w:rPr>
            </w:pPr>
            <w:r>
              <w:rPr>
                <w:rFonts w:ascii="Arial" w:cs="Arial" w:eastAsia="Arial" w:hAnsi="Arial"/>
                <w:sz w:val="14"/>
                <w:szCs w:val="14"/>
                <w:color w:val="auto"/>
              </w:rPr>
              <w:t>34,778</w:t>
            </w:r>
          </w:p>
        </w:tc>
        <w:tc>
          <w:tcPr>
            <w:tcW w:w="1360" w:type="dxa"/>
            <w:vAlign w:val="bottom"/>
            <w:tcBorders>
              <w:right w:val="single" w:sz="8" w:color="B6B6B6"/>
            </w:tcBorders>
            <w:vMerge w:val="restart"/>
          </w:tcPr>
          <w:p>
            <w:pPr>
              <w:jc w:val="right"/>
              <w:ind w:right="8"/>
              <w:spacing w:after="0"/>
              <w:rPr>
                <w:sz w:val="20"/>
                <w:szCs w:val="20"/>
                <w:color w:val="auto"/>
              </w:rPr>
            </w:pPr>
            <w:r>
              <w:rPr>
                <w:rFonts w:ascii="Arial" w:cs="Arial" w:eastAsia="Arial" w:hAnsi="Arial"/>
                <w:sz w:val="14"/>
                <w:szCs w:val="14"/>
                <w:color w:val="auto"/>
              </w:rPr>
              <w:t>2,234,778</w:t>
            </w:r>
          </w:p>
        </w:tc>
        <w:tc>
          <w:tcPr>
            <w:tcW w:w="0" w:type="dxa"/>
            <w:vAlign w:val="bottom"/>
          </w:tcPr>
          <w:p>
            <w:pPr>
              <w:spacing w:after="0"/>
              <w:rPr>
                <w:sz w:val="1"/>
                <w:szCs w:val="1"/>
                <w:color w:val="auto"/>
              </w:rPr>
            </w:pPr>
          </w:p>
        </w:tc>
      </w:tr>
      <w:tr>
        <w:trPr>
          <w:trHeight w:val="185"/>
        </w:trPr>
        <w:tc>
          <w:tcPr>
            <w:tcW w:w="220" w:type="dxa"/>
            <w:vAlign w:val="bottom"/>
            <w:tcBorders>
              <w:left w:val="single" w:sz="8" w:color="B6B6B6"/>
              <w:bottom w:val="single" w:sz="8" w:color="B6B6B6"/>
            </w:tcBorders>
          </w:tcPr>
          <w:p>
            <w:pPr>
              <w:spacing w:after="0"/>
              <w:rPr>
                <w:sz w:val="16"/>
                <w:szCs w:val="16"/>
                <w:color w:val="auto"/>
              </w:rPr>
            </w:pP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Control (C)</w:t>
            </w: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vMerge w:val="continue"/>
          </w:tcPr>
          <w:p>
            <w:pPr>
              <w:spacing w:after="0"/>
              <w:rPr>
                <w:sz w:val="16"/>
                <w:szCs w:val="16"/>
                <w:color w:val="auto"/>
              </w:rPr>
            </w:pPr>
          </w:p>
        </w:tc>
        <w:tc>
          <w:tcPr>
            <w:tcW w:w="1380" w:type="dxa"/>
            <w:vAlign w:val="bottom"/>
            <w:tcBorders>
              <w:bottom w:val="single" w:sz="8" w:color="B6B6B6"/>
              <w:right w:val="single" w:sz="8" w:color="B6B6B6"/>
            </w:tcBorders>
            <w:vMerge w:val="continue"/>
          </w:tcPr>
          <w:p>
            <w:pPr>
              <w:spacing w:after="0"/>
              <w:rPr>
                <w:sz w:val="16"/>
                <w:szCs w:val="16"/>
                <w:color w:val="auto"/>
              </w:rPr>
            </w:pP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 Death (D)</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4440" w:type="dxa"/>
            <w:vAlign w:val="bottom"/>
            <w:tcBorders>
              <w:left w:val="single" w:sz="8" w:color="B6B6B6"/>
              <w:bottom w:val="single" w:sz="8" w:color="DBDBDB"/>
              <w:right w:val="single" w:sz="8" w:color="B6B6B6"/>
            </w:tcBorders>
            <w:gridSpan w:val="2"/>
            <w:shd w:val="clear" w:color="auto" w:fill="DBDBDB"/>
          </w:tcPr>
          <w:p>
            <w:pPr>
              <w:ind w:left="40"/>
              <w:spacing w:after="0"/>
              <w:rPr>
                <w:sz w:val="20"/>
                <w:szCs w:val="20"/>
                <w:color w:val="auto"/>
              </w:rPr>
            </w:pPr>
            <w:r>
              <w:rPr>
                <w:rFonts w:ascii="Arial" w:cs="Arial" w:eastAsia="Arial" w:hAnsi="Arial"/>
                <w:sz w:val="14"/>
                <w:szCs w:val="14"/>
                <w:b w:val="1"/>
                <w:bCs w:val="1"/>
                <w:color w:val="auto"/>
                <w:highlight w:val="lightGray"/>
              </w:rPr>
              <w:t>Jacques-Edouard Gueden</w:t>
            </w:r>
          </w:p>
        </w:tc>
        <w:tc>
          <w:tcPr>
            <w:tcW w:w="1360" w:type="dxa"/>
            <w:vAlign w:val="bottom"/>
            <w:tcBorders>
              <w:bottom w:val="single" w:sz="8" w:color="DBDBDB"/>
              <w:right w:val="single" w:sz="8" w:color="B6B6B6"/>
            </w:tcBorders>
            <w:shd w:val="clear" w:color="auto" w:fill="DBDBDB"/>
          </w:tcPr>
          <w:p>
            <w:pPr>
              <w:spacing w:after="0"/>
              <w:rPr>
                <w:sz w:val="17"/>
                <w:szCs w:val="17"/>
                <w:color w:val="auto"/>
              </w:rPr>
            </w:pPr>
          </w:p>
        </w:tc>
        <w:tc>
          <w:tcPr>
            <w:tcW w:w="106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right w:val="single" w:sz="8" w:color="B6B6B6"/>
            </w:tcBorders>
            <w:shd w:val="clear" w:color="auto" w:fill="DBDBDB"/>
          </w:tcPr>
          <w:p>
            <w:pPr>
              <w:spacing w:after="0"/>
              <w:rPr>
                <w:sz w:val="17"/>
                <w:szCs w:val="17"/>
                <w:color w:val="auto"/>
              </w:rPr>
            </w:pPr>
          </w:p>
        </w:tc>
        <w:tc>
          <w:tcPr>
            <w:tcW w:w="1380" w:type="dxa"/>
            <w:vAlign w:val="bottom"/>
            <w:tcBorders>
              <w:bottom w:val="single" w:sz="8" w:color="DBDBDB"/>
              <w:right w:val="single" w:sz="8" w:color="B6B6B6"/>
            </w:tcBorders>
            <w:shd w:val="clear" w:color="auto" w:fill="DBDBDB"/>
          </w:tcPr>
          <w:p>
            <w:pPr>
              <w:spacing w:after="0"/>
              <w:rPr>
                <w:sz w:val="17"/>
                <w:szCs w:val="17"/>
                <w:color w:val="auto"/>
              </w:rPr>
            </w:pPr>
          </w:p>
        </w:tc>
        <w:tc>
          <w:tcPr>
            <w:tcW w:w="1360" w:type="dxa"/>
            <w:vAlign w:val="bottom"/>
            <w:tcBorders>
              <w:bottom w:val="single" w:sz="8" w:color="DBDBDB"/>
              <w:right w:val="single" w:sz="8" w:color="B6B6B6"/>
            </w:tcBorders>
            <w:shd w:val="clear" w:color="auto" w:fill="DBDBDB"/>
          </w:tcPr>
          <w:p>
            <w:pPr>
              <w:spacing w:after="0"/>
              <w:rPr>
                <w:sz w:val="17"/>
                <w:szCs w:val="17"/>
                <w:color w:val="auto"/>
              </w:rPr>
            </w:pPr>
          </w:p>
        </w:tc>
        <w:tc>
          <w:tcPr>
            <w:tcW w:w="1360" w:type="dxa"/>
            <w:vAlign w:val="bottom"/>
            <w:tcBorders>
              <w:bottom w:val="single" w:sz="8" w:color="DBDBDB"/>
              <w:right w:val="single" w:sz="8" w:color="B6B6B6"/>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Borders>
              <w:top w:val="single" w:sz="8" w:color="B6B6B6"/>
              <w:left w:val="single" w:sz="8" w:color="B6B6B6"/>
              <w:bottom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top w:val="single" w:sz="8" w:color="B6B6B6"/>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4"/>
                <w:szCs w:val="14"/>
                <w:color w:val="auto"/>
              </w:rPr>
              <w:t> Voluntary Termination/Retirement (A)</w:t>
            </w:r>
          </w:p>
        </w:tc>
        <w:tc>
          <w:tcPr>
            <w:tcW w:w="1360" w:type="dxa"/>
            <w:vAlign w:val="bottom"/>
            <w:tcBorders>
              <w:top w:val="single" w:sz="8" w:color="B6B6B6"/>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6B6B6"/>
              <w:bottom w:val="single" w:sz="8" w:color="B6B6B6"/>
            </w:tcBorders>
            <w:shd w:val="clear" w:color="auto" w:fill="DBDBDB"/>
          </w:tcPr>
          <w:p>
            <w:pPr>
              <w:spacing w:after="0"/>
              <w:rPr>
                <w:sz w:val="16"/>
                <w:szCs w:val="16"/>
                <w:color w:val="auto"/>
              </w:rPr>
            </w:pPr>
          </w:p>
        </w:tc>
        <w:tc>
          <w:tcPr>
            <w:tcW w:w="300" w:type="dxa"/>
            <w:vAlign w:val="bottom"/>
            <w:tcBorders>
              <w:top w:val="single" w:sz="8" w:color="B6B6B6"/>
              <w:bottom w:val="single" w:sz="8" w:color="B6B6B6"/>
              <w:right w:val="single" w:sz="8" w:color="B6B6B6"/>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B6B6B6"/>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594,078</w:t>
            </w:r>
          </w:p>
        </w:tc>
        <w:tc>
          <w:tcPr>
            <w:tcW w:w="1360" w:type="dxa"/>
            <w:vAlign w:val="bottom"/>
            <w:tcBorders>
              <w:top w:val="single" w:sz="8" w:color="B6B6B6"/>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B6B6B6"/>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594,078</w:t>
            </w:r>
          </w:p>
        </w:tc>
        <w:tc>
          <w:tcPr>
            <w:tcW w:w="0" w:type="dxa"/>
            <w:vAlign w:val="bottom"/>
          </w:tcPr>
          <w:p>
            <w:pPr>
              <w:spacing w:after="0"/>
              <w:rPr>
                <w:sz w:val="1"/>
                <w:szCs w:val="1"/>
                <w:color w:val="auto"/>
              </w:rPr>
            </w:pPr>
          </w:p>
        </w:tc>
      </w:tr>
      <w:tr>
        <w:trPr>
          <w:trHeight w:val="196"/>
        </w:trPr>
        <w:tc>
          <w:tcPr>
            <w:tcW w:w="220" w:type="dxa"/>
            <w:vAlign w:val="bottom"/>
            <w:tcBorders>
              <w:left w:val="single" w:sz="8" w:color="B6B6B6"/>
              <w:bottom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4"/>
                <w:szCs w:val="14"/>
                <w:color w:val="auto"/>
              </w:rPr>
              <w:t> Involuntary Termination not for Cause (B)</w:t>
            </w:r>
          </w:p>
        </w:tc>
        <w:tc>
          <w:tcPr>
            <w:tcW w:w="1360" w:type="dxa"/>
            <w:vAlign w:val="bottom"/>
            <w:tcBorders>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590,071</w:t>
            </w:r>
          </w:p>
        </w:tc>
        <w:tc>
          <w:tcPr>
            <w:tcW w:w="1060" w:type="dxa"/>
            <w:vAlign w:val="bottom"/>
            <w:tcBorders>
              <w:bottom w:val="single" w:sz="8" w:color="B6B6B6"/>
            </w:tcBorders>
            <w:shd w:val="clear" w:color="auto" w:fill="DBDBDB"/>
          </w:tcPr>
          <w:p>
            <w:pPr>
              <w:spacing w:after="0"/>
              <w:rPr>
                <w:sz w:val="17"/>
                <w:szCs w:val="17"/>
                <w:color w:val="auto"/>
              </w:rPr>
            </w:pPr>
          </w:p>
        </w:tc>
        <w:tc>
          <w:tcPr>
            <w:tcW w:w="300" w:type="dxa"/>
            <w:vAlign w:val="bottom"/>
            <w:tcBorders>
              <w:bottom w:val="single" w:sz="8" w:color="B6B6B6"/>
              <w:right w:val="single" w:sz="8" w:color="B6B6B6"/>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832,848</w:t>
            </w:r>
          </w:p>
        </w:tc>
        <w:tc>
          <w:tcPr>
            <w:tcW w:w="1360" w:type="dxa"/>
            <w:vAlign w:val="bottom"/>
            <w:tcBorders>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172,909</w:t>
            </w:r>
          </w:p>
        </w:tc>
        <w:tc>
          <w:tcPr>
            <w:tcW w:w="1360" w:type="dxa"/>
            <w:vAlign w:val="bottom"/>
            <w:tcBorders>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1,595,828</w:t>
            </w:r>
          </w:p>
        </w:tc>
        <w:tc>
          <w:tcPr>
            <w:tcW w:w="0" w:type="dxa"/>
            <w:vAlign w:val="bottom"/>
          </w:tcPr>
          <w:p>
            <w:pPr>
              <w:spacing w:after="0"/>
              <w:rPr>
                <w:sz w:val="1"/>
                <w:szCs w:val="1"/>
                <w:color w:val="auto"/>
              </w:rPr>
            </w:pPr>
          </w:p>
        </w:tc>
      </w:tr>
      <w:tr>
        <w:trPr>
          <w:trHeight w:val="150"/>
        </w:trPr>
        <w:tc>
          <w:tcPr>
            <w:tcW w:w="220" w:type="dxa"/>
            <w:vAlign w:val="bottom"/>
            <w:tcBorders>
              <w:left w:val="single" w:sz="8" w:color="B6B6B6"/>
            </w:tcBorders>
            <w:shd w:val="clear" w:color="auto" w:fill="DBDBDB"/>
          </w:tcPr>
          <w:p>
            <w:pPr>
              <w:ind w:left="40"/>
              <w:spacing w:after="0" w:line="151" w:lineRule="exact"/>
              <w:rPr>
                <w:sz w:val="20"/>
                <w:szCs w:val="20"/>
                <w:color w:val="auto"/>
              </w:rPr>
            </w:pPr>
            <w:r>
              <w:rPr>
                <w:rFonts w:ascii="Arial" w:cs="Arial" w:eastAsia="Arial" w:hAnsi="Arial"/>
                <w:sz w:val="14"/>
                <w:szCs w:val="14"/>
                <w:color w:val="auto"/>
              </w:rPr>
              <w:t>•</w:t>
            </w:r>
          </w:p>
        </w:tc>
        <w:tc>
          <w:tcPr>
            <w:tcW w:w="4220" w:type="dxa"/>
            <w:vAlign w:val="bottom"/>
            <w:tcBorders>
              <w:right w:val="single" w:sz="8" w:color="B6B6B6"/>
            </w:tcBorders>
            <w:shd w:val="clear" w:color="auto" w:fill="DBDBDB"/>
          </w:tcPr>
          <w:p>
            <w:pPr>
              <w:ind w:left="140"/>
              <w:spacing w:after="0" w:line="151" w:lineRule="exact"/>
              <w:rPr>
                <w:sz w:val="20"/>
                <w:szCs w:val="20"/>
                <w:color w:val="auto"/>
              </w:rPr>
            </w:pPr>
            <w:r>
              <w:rPr>
                <w:rFonts w:ascii="Arial" w:cs="Arial" w:eastAsia="Arial" w:hAnsi="Arial"/>
                <w:sz w:val="14"/>
                <w:szCs w:val="14"/>
                <w:color w:val="auto"/>
              </w:rPr>
              <w:t> Involuntary or Good Reason Termination after Change in</w:t>
            </w:r>
          </w:p>
        </w:tc>
        <w:tc>
          <w:tcPr>
            <w:tcW w:w="1360" w:type="dxa"/>
            <w:vAlign w:val="bottom"/>
            <w:tcBorders>
              <w:right w:val="single" w:sz="8" w:color="B6B6B6"/>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2,360,284</w:t>
            </w:r>
          </w:p>
        </w:tc>
        <w:tc>
          <w:tcPr>
            <w:tcW w:w="1060" w:type="dxa"/>
            <w:vAlign w:val="bottom"/>
            <w:shd w:val="clear" w:color="auto" w:fill="DBDBDB"/>
          </w:tcPr>
          <w:p>
            <w:pPr>
              <w:spacing w:after="0"/>
              <w:rPr>
                <w:sz w:val="13"/>
                <w:szCs w:val="13"/>
                <w:color w:val="auto"/>
              </w:rPr>
            </w:pPr>
          </w:p>
        </w:tc>
        <w:tc>
          <w:tcPr>
            <w:tcW w:w="300" w:type="dxa"/>
            <w:vAlign w:val="bottom"/>
            <w:tcBorders>
              <w:right w:val="single" w:sz="8" w:color="B6B6B6"/>
            </w:tcBorders>
            <w:vMerge w:val="restart"/>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B6B6B6"/>
            </w:tcBorders>
            <w:vMerge w:val="restart"/>
            <w:shd w:val="clear" w:color="auto" w:fill="DBDBDB"/>
          </w:tcPr>
          <w:p>
            <w:pPr>
              <w:jc w:val="right"/>
              <w:ind w:right="28"/>
              <w:spacing w:after="0"/>
              <w:rPr>
                <w:sz w:val="20"/>
                <w:szCs w:val="20"/>
                <w:color w:val="auto"/>
              </w:rPr>
            </w:pPr>
            <w:r>
              <w:rPr>
                <w:rFonts w:ascii="Arial" w:cs="Arial" w:eastAsia="Arial" w:hAnsi="Arial"/>
                <w:sz w:val="14"/>
                <w:szCs w:val="14"/>
                <w:color w:val="auto"/>
              </w:rPr>
              <w:t>1,179,070</w:t>
            </w:r>
          </w:p>
        </w:tc>
        <w:tc>
          <w:tcPr>
            <w:tcW w:w="1360" w:type="dxa"/>
            <w:vAlign w:val="bottom"/>
            <w:tcBorders>
              <w:right w:val="single" w:sz="8" w:color="B6B6B6"/>
            </w:tcBorders>
            <w:vMerge w:val="restart"/>
            <w:shd w:val="clear" w:color="auto" w:fill="DBDBDB"/>
          </w:tcPr>
          <w:p>
            <w:pPr>
              <w:jc w:val="right"/>
              <w:ind w:right="28"/>
              <w:spacing w:after="0"/>
              <w:rPr>
                <w:sz w:val="20"/>
                <w:szCs w:val="20"/>
                <w:color w:val="auto"/>
              </w:rPr>
            </w:pPr>
            <w:r>
              <w:rPr>
                <w:rFonts w:ascii="Arial" w:cs="Arial" w:eastAsia="Arial" w:hAnsi="Arial"/>
                <w:sz w:val="14"/>
                <w:szCs w:val="14"/>
                <w:color w:val="auto"/>
              </w:rPr>
              <w:t>188,776</w:t>
            </w:r>
          </w:p>
        </w:tc>
        <w:tc>
          <w:tcPr>
            <w:tcW w:w="1360" w:type="dxa"/>
            <w:vAlign w:val="bottom"/>
            <w:tcBorders>
              <w:right w:val="single" w:sz="8" w:color="B6B6B6"/>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auto"/>
              </w:rPr>
              <w:t>3,728,130</w:t>
            </w:r>
          </w:p>
        </w:tc>
        <w:tc>
          <w:tcPr>
            <w:tcW w:w="0" w:type="dxa"/>
            <w:vAlign w:val="bottom"/>
          </w:tcPr>
          <w:p>
            <w:pPr>
              <w:spacing w:after="0"/>
              <w:rPr>
                <w:sz w:val="1"/>
                <w:szCs w:val="1"/>
                <w:color w:val="auto"/>
              </w:rPr>
            </w:pPr>
          </w:p>
        </w:tc>
      </w:tr>
      <w:tr>
        <w:trPr>
          <w:trHeight w:val="185"/>
        </w:trPr>
        <w:tc>
          <w:tcPr>
            <w:tcW w:w="220" w:type="dxa"/>
            <w:vAlign w:val="bottom"/>
            <w:tcBorders>
              <w:left w:val="single" w:sz="8" w:color="B6B6B6"/>
              <w:bottom w:val="single" w:sz="8" w:color="B6B6B6"/>
            </w:tcBorders>
            <w:shd w:val="clear" w:color="auto" w:fill="DBDBDB"/>
          </w:tcPr>
          <w:p>
            <w:pPr>
              <w:spacing w:after="0"/>
              <w:rPr>
                <w:sz w:val="16"/>
                <w:szCs w:val="16"/>
                <w:color w:val="auto"/>
              </w:rPr>
            </w:pPr>
          </w:p>
        </w:tc>
        <w:tc>
          <w:tcPr>
            <w:tcW w:w="4220" w:type="dxa"/>
            <w:vAlign w:val="bottom"/>
            <w:tcBorders>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4"/>
                <w:szCs w:val="14"/>
                <w:color w:val="auto"/>
              </w:rPr>
              <w:t>Control (C)</w:t>
            </w:r>
          </w:p>
        </w:tc>
        <w:tc>
          <w:tcPr>
            <w:tcW w:w="136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1060" w:type="dxa"/>
            <w:vAlign w:val="bottom"/>
            <w:tcBorders>
              <w:bottom w:val="single" w:sz="8" w:color="B6B6B6"/>
            </w:tcBorders>
            <w:shd w:val="clear" w:color="auto" w:fill="DBDBDB"/>
          </w:tcPr>
          <w:p>
            <w:pPr>
              <w:spacing w:after="0"/>
              <w:rPr>
                <w:sz w:val="16"/>
                <w:szCs w:val="16"/>
                <w:color w:val="auto"/>
              </w:rPr>
            </w:pPr>
          </w:p>
        </w:tc>
        <w:tc>
          <w:tcPr>
            <w:tcW w:w="30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138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136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1360" w:type="dxa"/>
            <w:vAlign w:val="bottom"/>
            <w:tcBorders>
              <w:bottom w:val="single" w:sz="8" w:color="B6B6B6"/>
              <w:right w:val="single" w:sz="8" w:color="B6B6B6"/>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 w:type="dxa"/>
            <w:vAlign w:val="bottom"/>
            <w:tcBorders>
              <w:left w:val="single" w:sz="8" w:color="B6B6B6"/>
              <w:bottom w:val="single" w:sz="8" w:color="B6B6B6"/>
            </w:tcBorders>
            <w:shd w:val="clear" w:color="auto" w:fill="DBDBDB"/>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shd w:val="clear" w:color="auto" w:fill="DBDBDB"/>
          </w:tcPr>
          <w:p>
            <w:pPr>
              <w:ind w:left="140"/>
              <w:spacing w:after="0"/>
              <w:rPr>
                <w:sz w:val="20"/>
                <w:szCs w:val="20"/>
                <w:color w:val="auto"/>
              </w:rPr>
            </w:pPr>
            <w:r>
              <w:rPr>
                <w:rFonts w:ascii="Arial" w:cs="Arial" w:eastAsia="Arial" w:hAnsi="Arial"/>
                <w:sz w:val="14"/>
                <w:szCs w:val="14"/>
                <w:color w:val="auto"/>
              </w:rPr>
              <w:t> Death (D)</w:t>
            </w:r>
          </w:p>
        </w:tc>
        <w:tc>
          <w:tcPr>
            <w:tcW w:w="1360" w:type="dxa"/>
            <w:vAlign w:val="bottom"/>
            <w:tcBorders>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6B6B6"/>
            </w:tcBorders>
            <w:shd w:val="clear" w:color="auto" w:fill="DBDBDB"/>
          </w:tcPr>
          <w:p>
            <w:pPr>
              <w:spacing w:after="0"/>
              <w:rPr>
                <w:sz w:val="16"/>
                <w:szCs w:val="16"/>
                <w:color w:val="auto"/>
              </w:rPr>
            </w:pPr>
          </w:p>
        </w:tc>
        <w:tc>
          <w:tcPr>
            <w:tcW w:w="300" w:type="dxa"/>
            <w:vAlign w:val="bottom"/>
            <w:tcBorders>
              <w:bottom w:val="single" w:sz="8" w:color="B6B6B6"/>
              <w:right w:val="single" w:sz="8" w:color="B6B6B6"/>
            </w:tcBorders>
            <w:shd w:val="clear" w:color="auto" w:fill="DBDBDB"/>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1,179,070</w:t>
            </w:r>
          </w:p>
        </w:tc>
        <w:tc>
          <w:tcPr>
            <w:tcW w:w="1360" w:type="dxa"/>
            <w:vAlign w:val="bottom"/>
            <w:tcBorders>
              <w:bottom w:val="single" w:sz="8" w:color="B6B6B6"/>
              <w:right w:val="single" w:sz="8" w:color="B6B6B6"/>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shd w:val="clear" w:color="auto" w:fill="DBDBDB"/>
          </w:tcPr>
          <w:p>
            <w:pPr>
              <w:jc w:val="right"/>
              <w:ind w:right="8"/>
              <w:spacing w:after="0"/>
              <w:rPr>
                <w:sz w:val="20"/>
                <w:szCs w:val="20"/>
                <w:color w:val="auto"/>
              </w:rPr>
            </w:pPr>
            <w:r>
              <w:rPr>
                <w:rFonts w:ascii="Arial" w:cs="Arial" w:eastAsia="Arial" w:hAnsi="Arial"/>
                <w:sz w:val="14"/>
                <w:szCs w:val="14"/>
                <w:color w:val="auto"/>
              </w:rPr>
              <w:t>1,179,070</w:t>
            </w:r>
          </w:p>
        </w:tc>
        <w:tc>
          <w:tcPr>
            <w:tcW w:w="0" w:type="dxa"/>
            <w:vAlign w:val="bottom"/>
          </w:tcPr>
          <w:p>
            <w:pPr>
              <w:spacing w:after="0"/>
              <w:rPr>
                <w:sz w:val="1"/>
                <w:szCs w:val="1"/>
                <w:color w:val="auto"/>
              </w:rPr>
            </w:pPr>
          </w:p>
        </w:tc>
      </w:tr>
      <w:tr>
        <w:trPr>
          <w:trHeight w:val="199"/>
        </w:trPr>
        <w:tc>
          <w:tcPr>
            <w:tcW w:w="4440" w:type="dxa"/>
            <w:vAlign w:val="bottom"/>
            <w:tcBorders>
              <w:left w:val="single" w:sz="8" w:color="B6B6B6"/>
              <w:bottom w:val="single" w:sz="8" w:color="B6B6B6"/>
              <w:right w:val="single" w:sz="8" w:color="B6B6B6"/>
            </w:tcBorders>
            <w:gridSpan w:val="2"/>
          </w:tcPr>
          <w:p>
            <w:pPr>
              <w:ind w:left="40"/>
              <w:spacing w:after="0"/>
              <w:rPr>
                <w:sz w:val="20"/>
                <w:szCs w:val="20"/>
                <w:color w:val="auto"/>
              </w:rPr>
            </w:pPr>
            <w:r>
              <w:rPr>
                <w:rFonts w:ascii="Arial" w:cs="Arial" w:eastAsia="Arial" w:hAnsi="Arial"/>
                <w:sz w:val="14"/>
                <w:szCs w:val="14"/>
                <w:b w:val="1"/>
                <w:bCs w:val="1"/>
                <w:color w:val="auto"/>
              </w:rPr>
              <w:t>Flor M. Colón</w:t>
            </w:r>
          </w:p>
        </w:tc>
        <w:tc>
          <w:tcPr>
            <w:tcW w:w="1360" w:type="dxa"/>
            <w:vAlign w:val="bottom"/>
            <w:tcBorders>
              <w:bottom w:val="single" w:sz="8" w:color="B6B6B6"/>
              <w:right w:val="single" w:sz="8" w:color="B6B6B6"/>
            </w:tcBorders>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300" w:type="dxa"/>
            <w:vAlign w:val="bottom"/>
            <w:tcBorders>
              <w:bottom w:val="single" w:sz="8" w:color="B6B6B6"/>
              <w:right w:val="single" w:sz="8" w:color="B6B6B6"/>
            </w:tcBorders>
          </w:tcPr>
          <w:p>
            <w:pPr>
              <w:spacing w:after="0"/>
              <w:rPr>
                <w:sz w:val="17"/>
                <w:szCs w:val="17"/>
                <w:color w:val="auto"/>
              </w:rPr>
            </w:pPr>
          </w:p>
        </w:tc>
        <w:tc>
          <w:tcPr>
            <w:tcW w:w="1380" w:type="dxa"/>
            <w:vAlign w:val="bottom"/>
            <w:tcBorders>
              <w:bottom w:val="single" w:sz="8" w:color="B6B6B6"/>
              <w:right w:val="single" w:sz="8" w:color="B6B6B6"/>
            </w:tcBorders>
          </w:tcPr>
          <w:p>
            <w:pPr>
              <w:spacing w:after="0"/>
              <w:rPr>
                <w:sz w:val="17"/>
                <w:szCs w:val="17"/>
                <w:color w:val="auto"/>
              </w:rPr>
            </w:pPr>
          </w:p>
        </w:tc>
        <w:tc>
          <w:tcPr>
            <w:tcW w:w="1360" w:type="dxa"/>
            <w:vAlign w:val="bottom"/>
            <w:tcBorders>
              <w:bottom w:val="single" w:sz="8" w:color="B6B6B6"/>
              <w:right w:val="single" w:sz="8" w:color="B6B6B6"/>
            </w:tcBorders>
          </w:tcPr>
          <w:p>
            <w:pPr>
              <w:spacing w:after="0"/>
              <w:rPr>
                <w:sz w:val="17"/>
                <w:szCs w:val="17"/>
                <w:color w:val="auto"/>
              </w:rPr>
            </w:pPr>
          </w:p>
        </w:tc>
        <w:tc>
          <w:tcPr>
            <w:tcW w:w="1360" w:type="dxa"/>
            <w:vAlign w:val="bottom"/>
            <w:tcBorders>
              <w:bottom w:val="single" w:sz="8" w:color="B6B6B6"/>
              <w:right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 Voluntary Termination/Retirement (A)</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256,083</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256,083</w:t>
            </w:r>
          </w:p>
        </w:tc>
        <w:tc>
          <w:tcPr>
            <w:tcW w:w="0" w:type="dxa"/>
            <w:vAlign w:val="bottom"/>
          </w:tcPr>
          <w:p>
            <w:pPr>
              <w:spacing w:after="0"/>
              <w:rPr>
                <w:sz w:val="1"/>
                <w:szCs w:val="1"/>
                <w:color w:val="auto"/>
              </w:rPr>
            </w:pPr>
          </w:p>
        </w:tc>
      </w:tr>
      <w:tr>
        <w:trPr>
          <w:trHeight w:val="196"/>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 Involuntary Termination not for Cause (B)</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505,000</w:t>
            </w:r>
          </w:p>
        </w:tc>
        <w:tc>
          <w:tcPr>
            <w:tcW w:w="1060" w:type="dxa"/>
            <w:vAlign w:val="bottom"/>
            <w:tcBorders>
              <w:bottom w:val="single" w:sz="8" w:color="B6B6B6"/>
            </w:tcBorders>
          </w:tcPr>
          <w:p>
            <w:pPr>
              <w:spacing w:after="0"/>
              <w:rPr>
                <w:sz w:val="17"/>
                <w:szCs w:val="17"/>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284,710</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2,419</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792,129</w:t>
            </w:r>
          </w:p>
        </w:tc>
        <w:tc>
          <w:tcPr>
            <w:tcW w:w="0" w:type="dxa"/>
            <w:vAlign w:val="bottom"/>
          </w:tcPr>
          <w:p>
            <w:pPr>
              <w:spacing w:after="0"/>
              <w:rPr>
                <w:sz w:val="1"/>
                <w:szCs w:val="1"/>
                <w:color w:val="auto"/>
              </w:rPr>
            </w:pPr>
          </w:p>
        </w:tc>
      </w:tr>
      <w:tr>
        <w:trPr>
          <w:trHeight w:val="150"/>
        </w:trPr>
        <w:tc>
          <w:tcPr>
            <w:tcW w:w="220" w:type="dxa"/>
            <w:vAlign w:val="bottom"/>
            <w:tcBorders>
              <w:left w:val="single" w:sz="8" w:color="B6B6B6"/>
            </w:tcBorders>
          </w:tcPr>
          <w:p>
            <w:pPr>
              <w:ind w:left="40"/>
              <w:spacing w:after="0" w:line="150" w:lineRule="exact"/>
              <w:rPr>
                <w:sz w:val="20"/>
                <w:szCs w:val="20"/>
                <w:color w:val="auto"/>
              </w:rPr>
            </w:pPr>
            <w:r>
              <w:rPr>
                <w:rFonts w:ascii="Arial" w:cs="Arial" w:eastAsia="Arial" w:hAnsi="Arial"/>
                <w:sz w:val="14"/>
                <w:szCs w:val="14"/>
                <w:color w:val="auto"/>
              </w:rPr>
              <w:t>•</w:t>
            </w:r>
          </w:p>
        </w:tc>
        <w:tc>
          <w:tcPr>
            <w:tcW w:w="4220" w:type="dxa"/>
            <w:vAlign w:val="bottom"/>
            <w:tcBorders>
              <w:right w:val="single" w:sz="8" w:color="B6B6B6"/>
            </w:tcBorders>
          </w:tcPr>
          <w:p>
            <w:pPr>
              <w:ind w:left="140"/>
              <w:spacing w:after="0" w:line="150" w:lineRule="exact"/>
              <w:rPr>
                <w:sz w:val="20"/>
                <w:szCs w:val="20"/>
                <w:color w:val="auto"/>
              </w:rPr>
            </w:pPr>
            <w:r>
              <w:rPr>
                <w:rFonts w:ascii="Arial" w:cs="Arial" w:eastAsia="Arial" w:hAnsi="Arial"/>
                <w:sz w:val="14"/>
                <w:szCs w:val="14"/>
                <w:color w:val="auto"/>
              </w:rPr>
              <w:t> Involuntary or Good Reason Termination after Change in</w:t>
            </w:r>
          </w:p>
        </w:tc>
        <w:tc>
          <w:tcPr>
            <w:tcW w:w="1360" w:type="dxa"/>
            <w:vAlign w:val="bottom"/>
            <w:tcBorders>
              <w:right w:val="single" w:sz="8" w:color="B6B6B6"/>
            </w:tcBorders>
            <w:vMerge w:val="restart"/>
          </w:tcPr>
          <w:p>
            <w:pPr>
              <w:jc w:val="right"/>
              <w:ind w:right="8"/>
              <w:spacing w:after="0"/>
              <w:rPr>
                <w:sz w:val="20"/>
                <w:szCs w:val="20"/>
                <w:color w:val="auto"/>
              </w:rPr>
            </w:pPr>
            <w:r>
              <w:rPr>
                <w:rFonts w:ascii="Arial" w:cs="Arial" w:eastAsia="Arial" w:hAnsi="Arial"/>
                <w:sz w:val="14"/>
                <w:szCs w:val="14"/>
                <w:color w:val="auto"/>
              </w:rPr>
              <w:t>2,020,000</w:t>
            </w:r>
          </w:p>
        </w:tc>
        <w:tc>
          <w:tcPr>
            <w:tcW w:w="1060" w:type="dxa"/>
            <w:vAlign w:val="bottom"/>
          </w:tcPr>
          <w:p>
            <w:pPr>
              <w:spacing w:after="0"/>
              <w:rPr>
                <w:sz w:val="13"/>
                <w:szCs w:val="13"/>
                <w:color w:val="auto"/>
              </w:rPr>
            </w:pPr>
          </w:p>
        </w:tc>
        <w:tc>
          <w:tcPr>
            <w:tcW w:w="300" w:type="dxa"/>
            <w:vAlign w:val="bottom"/>
            <w:tcBorders>
              <w:right w:val="single" w:sz="8" w:color="B6B6B6"/>
            </w:tcBorders>
            <w:vMerge w:val="restart"/>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B6B6B6"/>
            </w:tcBorders>
            <w:vMerge w:val="restart"/>
          </w:tcPr>
          <w:p>
            <w:pPr>
              <w:jc w:val="right"/>
              <w:ind w:right="28"/>
              <w:spacing w:after="0"/>
              <w:rPr>
                <w:sz w:val="20"/>
                <w:szCs w:val="20"/>
                <w:color w:val="auto"/>
              </w:rPr>
            </w:pPr>
            <w:r>
              <w:rPr>
                <w:rFonts w:ascii="Arial" w:cs="Arial" w:eastAsia="Arial" w:hAnsi="Arial"/>
                <w:sz w:val="14"/>
                <w:szCs w:val="14"/>
                <w:color w:val="auto"/>
              </w:rPr>
              <w:t>456,137</w:t>
            </w:r>
          </w:p>
        </w:tc>
        <w:tc>
          <w:tcPr>
            <w:tcW w:w="1360" w:type="dxa"/>
            <w:vAlign w:val="bottom"/>
            <w:tcBorders>
              <w:right w:val="single" w:sz="8" w:color="B6B6B6"/>
            </w:tcBorders>
            <w:vMerge w:val="restart"/>
          </w:tcPr>
          <w:p>
            <w:pPr>
              <w:jc w:val="right"/>
              <w:ind w:right="28"/>
              <w:spacing w:after="0"/>
              <w:rPr>
                <w:sz w:val="20"/>
                <w:szCs w:val="20"/>
                <w:color w:val="auto"/>
              </w:rPr>
            </w:pPr>
            <w:r>
              <w:rPr>
                <w:rFonts w:ascii="Arial" w:cs="Arial" w:eastAsia="Arial" w:hAnsi="Arial"/>
                <w:sz w:val="14"/>
                <w:szCs w:val="14"/>
                <w:color w:val="auto"/>
              </w:rPr>
              <w:t>2,419</w:t>
            </w:r>
          </w:p>
        </w:tc>
        <w:tc>
          <w:tcPr>
            <w:tcW w:w="1360" w:type="dxa"/>
            <w:vAlign w:val="bottom"/>
            <w:tcBorders>
              <w:right w:val="single" w:sz="8" w:color="B6B6B6"/>
            </w:tcBorders>
            <w:vMerge w:val="restart"/>
          </w:tcPr>
          <w:p>
            <w:pPr>
              <w:jc w:val="right"/>
              <w:ind w:right="8"/>
              <w:spacing w:after="0"/>
              <w:rPr>
                <w:sz w:val="20"/>
                <w:szCs w:val="20"/>
                <w:color w:val="auto"/>
              </w:rPr>
            </w:pPr>
            <w:r>
              <w:rPr>
                <w:rFonts w:ascii="Arial" w:cs="Arial" w:eastAsia="Arial" w:hAnsi="Arial"/>
                <w:sz w:val="14"/>
                <w:szCs w:val="14"/>
                <w:color w:val="auto"/>
              </w:rPr>
              <w:t>2,478,556</w:t>
            </w:r>
          </w:p>
        </w:tc>
        <w:tc>
          <w:tcPr>
            <w:tcW w:w="0" w:type="dxa"/>
            <w:vAlign w:val="bottom"/>
          </w:tcPr>
          <w:p>
            <w:pPr>
              <w:spacing w:after="0"/>
              <w:rPr>
                <w:sz w:val="1"/>
                <w:szCs w:val="1"/>
                <w:color w:val="auto"/>
              </w:rPr>
            </w:pPr>
          </w:p>
        </w:tc>
      </w:tr>
      <w:tr>
        <w:trPr>
          <w:trHeight w:val="185"/>
        </w:trPr>
        <w:tc>
          <w:tcPr>
            <w:tcW w:w="220" w:type="dxa"/>
            <w:vAlign w:val="bottom"/>
            <w:tcBorders>
              <w:left w:val="single" w:sz="8" w:color="B6B6B6"/>
              <w:bottom w:val="single" w:sz="8" w:color="B6B6B6"/>
            </w:tcBorders>
          </w:tcPr>
          <w:p>
            <w:pPr>
              <w:spacing w:after="0"/>
              <w:rPr>
                <w:sz w:val="16"/>
                <w:szCs w:val="16"/>
                <w:color w:val="auto"/>
              </w:rPr>
            </w:pP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Control (C)</w:t>
            </w: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vMerge w:val="continue"/>
          </w:tcPr>
          <w:p>
            <w:pPr>
              <w:spacing w:after="0"/>
              <w:rPr>
                <w:sz w:val="16"/>
                <w:szCs w:val="16"/>
                <w:color w:val="auto"/>
              </w:rPr>
            </w:pPr>
          </w:p>
        </w:tc>
        <w:tc>
          <w:tcPr>
            <w:tcW w:w="1380" w:type="dxa"/>
            <w:vAlign w:val="bottom"/>
            <w:tcBorders>
              <w:bottom w:val="single" w:sz="8" w:color="B6B6B6"/>
              <w:right w:val="single" w:sz="8" w:color="B6B6B6"/>
            </w:tcBorders>
            <w:vMerge w:val="continue"/>
          </w:tcPr>
          <w:p>
            <w:pPr>
              <w:spacing w:after="0"/>
              <w:rPr>
                <w:sz w:val="16"/>
                <w:szCs w:val="16"/>
                <w:color w:val="auto"/>
              </w:rPr>
            </w:pP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1360" w:type="dxa"/>
            <w:vAlign w:val="bottom"/>
            <w:tcBorders>
              <w:bottom w:val="single" w:sz="8" w:color="B6B6B6"/>
              <w:right w:val="single" w:sz="8" w:color="B6B6B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 w:type="dxa"/>
            <w:vAlign w:val="bottom"/>
            <w:tcBorders>
              <w:left w:val="single" w:sz="8" w:color="B6B6B6"/>
              <w:bottom w:val="single" w:sz="8" w:color="B6B6B6"/>
            </w:tcBorders>
          </w:tcPr>
          <w:p>
            <w:pPr>
              <w:ind w:left="40"/>
              <w:spacing w:after="0"/>
              <w:rPr>
                <w:sz w:val="20"/>
                <w:szCs w:val="20"/>
                <w:color w:val="auto"/>
              </w:rPr>
            </w:pPr>
            <w:r>
              <w:rPr>
                <w:rFonts w:ascii="Arial" w:cs="Arial" w:eastAsia="Arial" w:hAnsi="Arial"/>
                <w:sz w:val="14"/>
                <w:szCs w:val="14"/>
                <w:color w:val="auto"/>
              </w:rPr>
              <w:t>•</w:t>
            </w:r>
          </w:p>
        </w:tc>
        <w:tc>
          <w:tcPr>
            <w:tcW w:w="4220" w:type="dxa"/>
            <w:vAlign w:val="bottom"/>
            <w:tcBorders>
              <w:bottom w:val="single" w:sz="8" w:color="B6B6B6"/>
              <w:right w:val="single" w:sz="8" w:color="B6B6B6"/>
            </w:tcBorders>
          </w:tcPr>
          <w:p>
            <w:pPr>
              <w:ind w:left="140"/>
              <w:spacing w:after="0"/>
              <w:rPr>
                <w:sz w:val="20"/>
                <w:szCs w:val="20"/>
                <w:color w:val="auto"/>
              </w:rPr>
            </w:pPr>
            <w:r>
              <w:rPr>
                <w:rFonts w:ascii="Arial" w:cs="Arial" w:eastAsia="Arial" w:hAnsi="Arial"/>
                <w:sz w:val="14"/>
                <w:szCs w:val="14"/>
                <w:color w:val="auto"/>
              </w:rPr>
              <w:t> Death (D)</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6B6B6"/>
            </w:tcBorders>
          </w:tcPr>
          <w:p>
            <w:pPr>
              <w:spacing w:after="0"/>
              <w:rPr>
                <w:sz w:val="16"/>
                <w:szCs w:val="16"/>
                <w:color w:val="auto"/>
              </w:rPr>
            </w:pPr>
          </w:p>
        </w:tc>
        <w:tc>
          <w:tcPr>
            <w:tcW w:w="30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456,137</w:t>
            </w:r>
          </w:p>
        </w:tc>
        <w:tc>
          <w:tcPr>
            <w:tcW w:w="1360" w:type="dxa"/>
            <w:vAlign w:val="bottom"/>
            <w:tcBorders>
              <w:bottom w:val="single" w:sz="8" w:color="B6B6B6"/>
              <w:right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B6B6B6"/>
              <w:right w:val="single" w:sz="8" w:color="B6B6B6"/>
            </w:tcBorders>
          </w:tcPr>
          <w:p>
            <w:pPr>
              <w:jc w:val="right"/>
              <w:ind w:right="8"/>
              <w:spacing w:after="0"/>
              <w:rPr>
                <w:sz w:val="20"/>
                <w:szCs w:val="20"/>
                <w:color w:val="auto"/>
              </w:rPr>
            </w:pPr>
            <w:r>
              <w:rPr>
                <w:rFonts w:ascii="Arial" w:cs="Arial" w:eastAsia="Arial" w:hAnsi="Arial"/>
                <w:sz w:val="14"/>
                <w:szCs w:val="14"/>
                <w:color w:val="auto"/>
              </w:rPr>
              <w:t>456,137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Upon the termination events listed above, in addition to the benefits reflected in the above table, each NEO would also be entitled to the balance of his deferred compensation account, if any, under our non-qualified deferred compensation plans. Deferred compensation balances are reported in the “Aggregate Balance at Last FYE” column of the </w:t>
      </w:r>
      <w:r>
        <w:rPr>
          <w:rFonts w:ascii="Arial" w:cs="Arial" w:eastAsia="Arial" w:hAnsi="Arial"/>
          <w:sz w:val="18"/>
          <w:szCs w:val="18"/>
          <w:i w:val="1"/>
          <w:iCs w:val="1"/>
          <w:color w:val="auto"/>
        </w:rPr>
        <w:t>Non-Qualified Deferred Compensation</w:t>
      </w:r>
      <w:r>
        <w:rPr>
          <w:rFonts w:ascii="Arial" w:cs="Arial" w:eastAsia="Arial" w:hAnsi="Arial"/>
          <w:sz w:val="18"/>
          <w:szCs w:val="18"/>
          <w:color w:val="auto"/>
        </w:rPr>
        <w:t xml:space="preserve"> table above.</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accordance with SEC rules, the table above reflects estimated severance payments and benefits to which our NEOs would be entitled upon hypothetical termination events occurring on December 31, 2025. These amounts reflect estimates only, and actual payments and benefits to which an NEO may be entitled upon termination of employment with the Company depend upon a number of factors not reflected in the table.</w:t>
      </w:r>
    </w:p>
    <w:p>
      <w:pPr>
        <w:spacing w:after="0" w:line="237" w:lineRule="auto"/>
        <w:rPr>
          <w:sz w:val="20"/>
          <w:szCs w:val="20"/>
          <w:color w:val="auto"/>
        </w:rPr>
      </w:pPr>
      <w:r>
        <w:rPr>
          <w:rFonts w:ascii="Arial" w:cs="Arial" w:eastAsia="Arial" w:hAnsi="Arial"/>
          <w:sz w:val="18"/>
          <w:szCs w:val="18"/>
          <w:color w:val="auto"/>
        </w:rPr>
        <w:t>________</w:t>
      </w:r>
    </w:p>
    <w:p>
      <w:pPr>
        <w:ind w:left="340" w:right="300" w:hanging="332"/>
        <w:spacing w:after="0" w:line="266" w:lineRule="auto"/>
        <w:tabs>
          <w:tab w:leader="none" w:pos="3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December 31, 2025, Messrs. Pastor and Butler were not retirement eligible, and would not receive any payments in the event of voluntary termination.</w:t>
      </w:r>
    </w:p>
    <w:p>
      <w:pPr>
        <w:spacing w:after="0" w:line="63" w:lineRule="exact"/>
        <w:rPr>
          <w:rFonts w:ascii="Arial" w:cs="Arial" w:eastAsia="Arial" w:hAnsi="Arial"/>
          <w:sz w:val="18"/>
          <w:szCs w:val="18"/>
          <w:color w:val="auto"/>
        </w:rPr>
      </w:pPr>
    </w:p>
    <w:p>
      <w:pPr>
        <w:ind w:left="340" w:right="360"/>
        <w:spacing w:after="0" w:line="287" w:lineRule="auto"/>
        <w:rPr>
          <w:rFonts w:ascii="Arial" w:cs="Arial" w:eastAsia="Arial" w:hAnsi="Arial"/>
          <w:sz w:val="18"/>
          <w:szCs w:val="18"/>
          <w:color w:val="auto"/>
        </w:rPr>
      </w:pPr>
      <w:r>
        <w:rPr>
          <w:rFonts w:ascii="Arial" w:cs="Arial" w:eastAsia="Arial" w:hAnsi="Arial"/>
          <w:sz w:val="18"/>
          <w:szCs w:val="18"/>
          <w:color w:val="auto"/>
        </w:rPr>
        <w:t>Messrs. Bandrowczak and Gueden and Ms. Colón are retirement eligible under the terms of our equity award agreements and, in the event of their retirement on December 31, 2025, would receive prorated</w:t>
      </w:r>
    </w:p>
    <w:p>
      <w:pPr>
        <w:sectPr>
          <w:pgSz w:w="11900" w:h="16838" w:orient="portrait"/>
          <w:cols w:equalWidth="0" w:num="1">
            <w:col w:w="11260"/>
          </w:cols>
          <w:pgMar w:left="320" w:top="1039" w:right="31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type w:val="continuous"/>
        </w:sectPr>
      </w:pPr>
    </w:p>
    <w:bookmarkStart w:id="71" w:name="page72"/>
    <w:bookmarkEnd w:id="71"/>
    <w:p>
      <w:pPr>
        <w:ind w:left="332" w:right="80"/>
        <w:spacing w:after="0" w:line="268" w:lineRule="auto"/>
        <w:rPr>
          <w:sz w:val="20"/>
          <w:szCs w:val="20"/>
          <w:color w:val="auto"/>
        </w:rPr>
      </w:pPr>
      <w:r>
        <w:rPr>
          <w:rFonts w:ascii="Arial" w:cs="Arial" w:eastAsia="Arial" w:hAnsi="Arial"/>
          <w:sz w:val="18"/>
          <w:szCs w:val="18"/>
          <w:color w:val="auto"/>
        </w:rPr>
        <w:t>vesting of outstanding equity awards (based on the number of full months of service as an employee during the vesting period commencing on the grant date), including PSUs based on actual performance results but reflected at target performance for purposes of the table.</w:t>
      </w:r>
    </w:p>
    <w:p>
      <w:pPr>
        <w:spacing w:after="0" w:line="63" w:lineRule="exact"/>
        <w:rPr>
          <w:sz w:val="20"/>
          <w:szCs w:val="20"/>
          <w:color w:val="auto"/>
        </w:rPr>
      </w:pPr>
    </w:p>
    <w:p>
      <w:pPr>
        <w:ind w:left="332" w:right="180" w:hanging="332"/>
        <w:spacing w:after="0" w:line="262" w:lineRule="auto"/>
        <w:tabs>
          <w:tab w:leader="none" w:pos="32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Under the Company’s Officer Severance Program (as described in the </w:t>
      </w:r>
      <w:r>
        <w:rPr>
          <w:rFonts w:ascii="Arial" w:cs="Arial" w:eastAsia="Arial" w:hAnsi="Arial"/>
          <w:sz w:val="18"/>
          <w:szCs w:val="18"/>
          <w:i w:val="1"/>
          <w:iCs w:val="1"/>
          <w:color w:val="auto"/>
        </w:rPr>
        <w:t>Employment and Separation</w:t>
      </w:r>
      <w:r>
        <w:rPr>
          <w:rFonts w:ascii="Arial" w:cs="Arial" w:eastAsia="Arial" w:hAnsi="Arial"/>
          <w:sz w:val="18"/>
          <w:szCs w:val="18"/>
          <w:color w:val="auto"/>
        </w:rPr>
        <w:t xml:space="preserve"> section of the CD&amp;A), Messrs. Pastor, Butler, Gueden, and Ms. Colón would each receive payment equal to one year (for Mr. Bandrowczak, two years) of their current annual base salary. Although the amounts reported in the table above assume such benefit is paid as a lump sum, it is generally paid periodically, consistent with the normal payroll cycle. In addition, each of these NEOs would receive:</w:t>
      </w:r>
    </w:p>
    <w:p>
      <w:pPr>
        <w:spacing w:after="0" w:line="68" w:lineRule="exact"/>
        <w:rPr>
          <w:rFonts w:ascii="Arial" w:cs="Arial" w:eastAsia="Arial" w:hAnsi="Arial"/>
          <w:sz w:val="18"/>
          <w:szCs w:val="18"/>
          <w:color w:val="auto"/>
        </w:rPr>
      </w:pPr>
    </w:p>
    <w:p>
      <w:pPr>
        <w:ind w:left="812" w:right="200" w:hanging="326"/>
        <w:spacing w:after="0" w:line="268" w:lineRule="auto"/>
        <w:tabs>
          <w:tab w:leader="none" w:pos="807"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Under the terms of the Officer Severance Program, the NEO’s annual incentive (Non-Equity Incentive Award) for 2025, based on actual achievement against performance goals (as described in the 2025 </w:t>
      </w:r>
      <w:r>
        <w:rPr>
          <w:rFonts w:ascii="Arial" w:cs="Arial" w:eastAsia="Arial" w:hAnsi="Arial"/>
          <w:sz w:val="18"/>
          <w:szCs w:val="18"/>
          <w:i w:val="1"/>
          <w:iCs w:val="1"/>
          <w:color w:val="auto"/>
        </w:rPr>
        <w:t>Compensation Actions</w:t>
      </w:r>
      <w:r>
        <w:rPr>
          <w:rFonts w:ascii="Arial" w:cs="Arial" w:eastAsia="Arial" w:hAnsi="Arial"/>
          <w:sz w:val="18"/>
          <w:szCs w:val="18"/>
          <w:color w:val="auto"/>
        </w:rPr>
        <w:t xml:space="preserve"> section of the CD&amp;A), prorated through last day of active service;</w:t>
      </w:r>
    </w:p>
    <w:p>
      <w:pPr>
        <w:spacing w:after="0" w:line="62" w:lineRule="exact"/>
        <w:rPr>
          <w:rFonts w:ascii="Arial" w:cs="Arial" w:eastAsia="Arial" w:hAnsi="Arial"/>
          <w:sz w:val="18"/>
          <w:szCs w:val="18"/>
          <w:color w:val="auto"/>
        </w:rPr>
      </w:pPr>
    </w:p>
    <w:p>
      <w:pPr>
        <w:ind w:left="812" w:right="20" w:hanging="326"/>
        <w:spacing w:after="0" w:line="257" w:lineRule="auto"/>
        <w:tabs>
          <w:tab w:leader="none" w:pos="807" w:val="left"/>
        </w:tabs>
        <w:numPr>
          <w:ilvl w:val="1"/>
          <w:numId w:val="79"/>
        </w:numPr>
        <w:rPr>
          <w:rFonts w:ascii="Arial" w:cs="Arial" w:eastAsia="Arial" w:hAnsi="Arial"/>
          <w:sz w:val="18"/>
          <w:szCs w:val="18"/>
          <w:color w:val="auto"/>
        </w:rPr>
      </w:pPr>
      <w:r>
        <w:rPr>
          <w:rFonts w:ascii="Arial" w:cs="Arial" w:eastAsia="Arial" w:hAnsi="Arial"/>
          <w:sz w:val="18"/>
          <w:szCs w:val="18"/>
          <w:color w:val="auto"/>
        </w:rPr>
        <w:t>Mr. Bandrowczak's equity award agreements provide continued vesting of any outstanding equity awards in the event of involuntary termination without Cause or Good Reason. For all other NEOs, equity award agreements provide prorated vesting of outstanding equity awards, with such proration based on the number of full months of service as an employee during the vesting period (including, at the Committee’s discretion, the one-year severance period). PSU awards would be earned based on actual performance but the table above reflects target performance. The table above assumes proration through the end of the severance period; and</w:t>
      </w:r>
    </w:p>
    <w:p>
      <w:pPr>
        <w:spacing w:after="0" w:line="74" w:lineRule="exact"/>
        <w:rPr>
          <w:rFonts w:ascii="Arial" w:cs="Arial" w:eastAsia="Arial" w:hAnsi="Arial"/>
          <w:sz w:val="18"/>
          <w:szCs w:val="18"/>
          <w:color w:val="auto"/>
        </w:rPr>
      </w:pPr>
    </w:p>
    <w:p>
      <w:pPr>
        <w:ind w:left="812" w:right="660" w:hanging="326"/>
        <w:spacing w:after="0" w:line="287" w:lineRule="auto"/>
        <w:tabs>
          <w:tab w:leader="none" w:pos="807"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Continuation of specified welfare benefits at active employee rates during the one-year severance period (two-years for Mr. Bandrowczak, if allowed under specific plans).</w:t>
      </w:r>
    </w:p>
    <w:p>
      <w:pPr>
        <w:spacing w:after="0" w:line="45" w:lineRule="exact"/>
        <w:rPr>
          <w:sz w:val="20"/>
          <w:szCs w:val="20"/>
          <w:color w:val="auto"/>
        </w:rPr>
      </w:pPr>
    </w:p>
    <w:p>
      <w:pPr>
        <w:ind w:left="332" w:right="260"/>
        <w:spacing w:after="0" w:line="287" w:lineRule="auto"/>
        <w:rPr>
          <w:sz w:val="20"/>
          <w:szCs w:val="20"/>
          <w:color w:val="auto"/>
        </w:rPr>
      </w:pPr>
      <w:r>
        <w:rPr>
          <w:rFonts w:ascii="Arial" w:cs="Arial" w:eastAsia="Arial" w:hAnsi="Arial"/>
          <w:sz w:val="18"/>
          <w:szCs w:val="18"/>
          <w:color w:val="auto"/>
        </w:rPr>
        <w:t>These payments and benefits would be conditioned upon the NEO’s execution of a release of claims against the Company and a non-competition/non-solicitation agreement.</w:t>
      </w:r>
    </w:p>
    <w:p>
      <w:pPr>
        <w:spacing w:after="0" w:line="45" w:lineRule="exact"/>
        <w:rPr>
          <w:sz w:val="20"/>
          <w:szCs w:val="20"/>
          <w:color w:val="auto"/>
        </w:rPr>
      </w:pPr>
    </w:p>
    <w:p>
      <w:pPr>
        <w:ind w:left="332" w:right="80"/>
        <w:spacing w:after="0" w:line="256" w:lineRule="auto"/>
        <w:rPr>
          <w:sz w:val="20"/>
          <w:szCs w:val="20"/>
          <w:color w:val="auto"/>
        </w:rPr>
      </w:pPr>
      <w:r>
        <w:rPr>
          <w:rFonts w:ascii="Arial" w:cs="Arial" w:eastAsia="Arial" w:hAnsi="Arial"/>
          <w:sz w:val="18"/>
          <w:szCs w:val="18"/>
          <w:color w:val="auto"/>
        </w:rPr>
        <w:t>Mr. Gueden would not receive a benefit under the Officer Severance Program due to the program’s provision for non-duplication of benefits. Mr. Gueden would instead receive benefits under the Convention Collective d’Enterprise Xerox S.A.S. (10 December 2015) (XF-CBA), a collective bargaining agreement between the Company’s French subsidiary and certain French trade unions. Under the XF-CBA, Mr. Gueden would be entitled to a 3-month notice period during which his base salary and benefits would continue and at the end of which he would receive a dismissal indemnity equal to 12 months of his monthly average gross salary (the calculation of which would include their actual 2024, short-term incentive payment, and certain other amounts paid to him during 2025). In addition, Mr. Gueden would receive:</w:t>
      </w:r>
    </w:p>
    <w:p>
      <w:pPr>
        <w:spacing w:after="0" w:line="75" w:lineRule="exact"/>
        <w:rPr>
          <w:sz w:val="20"/>
          <w:szCs w:val="20"/>
          <w:color w:val="auto"/>
        </w:rPr>
      </w:pPr>
    </w:p>
    <w:p>
      <w:pPr>
        <w:ind w:left="812" w:right="80" w:hanging="326"/>
        <w:spacing w:after="0" w:line="287" w:lineRule="auto"/>
        <w:tabs>
          <w:tab w:leader="none" w:pos="8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Annual incentive (Non-Equity Incentive Award) for 2025, based on actual achievement against performance goals (as described in the </w:t>
      </w:r>
      <w:r>
        <w:rPr>
          <w:rFonts w:ascii="Arial" w:cs="Arial" w:eastAsia="Arial" w:hAnsi="Arial"/>
          <w:sz w:val="18"/>
          <w:szCs w:val="18"/>
          <w:i w:val="1"/>
          <w:iCs w:val="1"/>
          <w:color w:val="auto"/>
        </w:rPr>
        <w:t>2025 Compensation Actions</w:t>
      </w:r>
      <w:r>
        <w:rPr>
          <w:rFonts w:ascii="Arial" w:cs="Arial" w:eastAsia="Arial" w:hAnsi="Arial"/>
          <w:sz w:val="18"/>
          <w:szCs w:val="18"/>
          <w:color w:val="auto"/>
        </w:rPr>
        <w:t xml:space="preserve"> section of the CD&amp;A);</w:t>
      </w:r>
    </w:p>
    <w:p>
      <w:pPr>
        <w:spacing w:after="0" w:line="44" w:lineRule="exact"/>
        <w:rPr>
          <w:rFonts w:ascii="Arial" w:cs="Arial" w:eastAsia="Arial" w:hAnsi="Arial"/>
          <w:sz w:val="18"/>
          <w:szCs w:val="18"/>
          <w:color w:val="auto"/>
        </w:rPr>
      </w:pPr>
    </w:p>
    <w:p>
      <w:pPr>
        <w:ind w:left="812" w:hanging="326"/>
        <w:spacing w:after="0" w:line="259" w:lineRule="auto"/>
        <w:tabs>
          <w:tab w:leader="none" w:pos="8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Under the terms of our equity award agreements, prorated vesting of outstanding equity awards, with such proration based on the number of full months of service as an employee during the vesting period (including the 3-month notice period and, at the Committee’s discretion, any applicable salary continuance/dismissal indemnity period). PSU awards would be earned based on actual performance, but the table above reflects target performance. The table above assumes proration through the end of the 15-month notice / dismissal indemnity period; and</w:t>
      </w:r>
    </w:p>
    <w:p>
      <w:pPr>
        <w:spacing w:after="0" w:line="71" w:lineRule="exact"/>
        <w:rPr>
          <w:rFonts w:ascii="Arial" w:cs="Arial" w:eastAsia="Arial" w:hAnsi="Arial"/>
          <w:sz w:val="18"/>
          <w:szCs w:val="18"/>
          <w:color w:val="auto"/>
        </w:rPr>
      </w:pPr>
    </w:p>
    <w:p>
      <w:pPr>
        <w:ind w:left="812" w:hanging="326"/>
        <w:spacing w:after="0"/>
        <w:tabs>
          <w:tab w:leader="none" w:pos="812"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Continuation of specified welfare benefits for up to a one-year period following the end of the 3-month notice period.</w:t>
      </w:r>
    </w:p>
    <w:p>
      <w:pPr>
        <w:spacing w:after="0" w:line="117" w:lineRule="exact"/>
        <w:rPr>
          <w:rFonts w:ascii="Arial" w:cs="Arial" w:eastAsia="Arial" w:hAnsi="Arial"/>
          <w:sz w:val="18"/>
          <w:szCs w:val="18"/>
          <w:color w:val="auto"/>
        </w:rPr>
      </w:pPr>
    </w:p>
    <w:p>
      <w:pPr>
        <w:ind w:left="332" w:right="200" w:hanging="332"/>
        <w:spacing w:after="0" w:line="268" w:lineRule="auto"/>
        <w:tabs>
          <w:tab w:leader="none" w:pos="32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Change-in-Control (CIC) severance agreements for Messrs. Bandrowczak, Pastor, Butler, Gueden and Ms. Colón provide the following severance benefits in the event of an involuntary termination (other than for cause, disability, or death) or a voluntary termination for Good Reason within two years following a CIC (in either case, a “qualifying termination”):</w:t>
      </w:r>
    </w:p>
    <w:p>
      <w:pPr>
        <w:spacing w:after="0" w:line="62" w:lineRule="exact"/>
        <w:rPr>
          <w:rFonts w:ascii="Arial" w:cs="Arial" w:eastAsia="Arial" w:hAnsi="Arial"/>
          <w:sz w:val="18"/>
          <w:szCs w:val="18"/>
          <w:color w:val="auto"/>
        </w:rPr>
      </w:pPr>
    </w:p>
    <w:p>
      <w:pPr>
        <w:ind w:left="812" w:hanging="326"/>
        <w:spacing w:after="0"/>
        <w:tabs>
          <w:tab w:leader="none" w:pos="812" w:val="left"/>
        </w:tabs>
        <w:numPr>
          <w:ilvl w:val="1"/>
          <w:numId w:val="80"/>
        </w:numPr>
        <w:rPr>
          <w:rFonts w:ascii="Arial" w:cs="Arial" w:eastAsia="Arial" w:hAnsi="Arial"/>
          <w:sz w:val="18"/>
          <w:szCs w:val="18"/>
          <w:color w:val="auto"/>
        </w:rPr>
      </w:pPr>
      <w:r>
        <w:rPr>
          <w:rFonts w:ascii="Arial" w:cs="Arial" w:eastAsia="Arial" w:hAnsi="Arial"/>
          <w:sz w:val="18"/>
          <w:szCs w:val="18"/>
          <w:color w:val="auto"/>
        </w:rPr>
        <w:t>Lump-sum cash payment equal to two times the sum of annual base salary and annual incentive award target;</w:t>
      </w:r>
    </w:p>
    <w:p>
      <w:pPr>
        <w:spacing w:after="0" w:line="117" w:lineRule="exact"/>
        <w:rPr>
          <w:rFonts w:ascii="Arial" w:cs="Arial" w:eastAsia="Arial" w:hAnsi="Arial"/>
          <w:sz w:val="18"/>
          <w:szCs w:val="18"/>
          <w:color w:val="auto"/>
        </w:rPr>
      </w:pPr>
    </w:p>
    <w:p>
      <w:pPr>
        <w:ind w:left="812" w:hanging="326"/>
        <w:spacing w:after="0"/>
        <w:tabs>
          <w:tab w:leader="none" w:pos="812"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Continuation of specified welfare benefits at active employee rates for 18 to 24 months, as applicable;</w:t>
      </w:r>
    </w:p>
    <w:p>
      <w:pPr>
        <w:spacing w:after="0" w:line="117" w:lineRule="exact"/>
        <w:rPr>
          <w:rFonts w:ascii="Arial" w:cs="Arial" w:eastAsia="Arial" w:hAnsi="Arial"/>
          <w:sz w:val="18"/>
          <w:szCs w:val="18"/>
          <w:color w:val="auto"/>
        </w:rPr>
      </w:pPr>
    </w:p>
    <w:p>
      <w:pPr>
        <w:ind w:left="812" w:right="40" w:hanging="326"/>
        <w:spacing w:after="0" w:line="287" w:lineRule="auto"/>
        <w:tabs>
          <w:tab w:leader="none" w:pos="8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Payment of reasonable legal fees and expenses incurred if the NEO, in good faith, is involved in a dispute while seeking to enforce the benefits and rights provided by the CIC severance agreement; and</w:t>
      </w:r>
    </w:p>
    <w:p>
      <w:pPr>
        <w:spacing w:after="0" w:line="200" w:lineRule="exact"/>
        <w:rPr>
          <w:sz w:val="20"/>
          <w:szCs w:val="20"/>
          <w:color w:val="auto"/>
        </w:rPr>
      </w:pPr>
    </w:p>
    <w:p>
      <w:pPr>
        <w:spacing w:after="0" w:line="3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39" w:right="339" w:bottom="1440" w:gutter="0" w:footer="0" w:header="0"/>
        </w:sectPr>
      </w:pPr>
    </w:p>
    <w:bookmarkStart w:id="72" w:name="page73"/>
    <w:bookmarkEnd w:id="72"/>
    <w:p>
      <w:pPr>
        <w:jc w:val="both"/>
        <w:ind w:left="820" w:right="120" w:hanging="326"/>
        <w:spacing w:after="0" w:line="268" w:lineRule="auto"/>
        <w:tabs>
          <w:tab w:leader="none" w:pos="8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addition, pursuant to the terms of the 2004 Performance Incentive Plan and its successor plan, the Xerox Holdings Corporation Performance Incentive Plan, as Amended Through October 21, 2021, in the event of a change in control as defined therein, these NEOs would be entitled to full vesting of outstanding equity awards.</w:t>
      </w:r>
    </w:p>
    <w:p>
      <w:pPr>
        <w:spacing w:after="0" w:line="63"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color w:val="auto"/>
        </w:rPr>
        <w:t xml:space="preserve">The CIC severance agreements for Messrs. Bandrowczak, Pastor, Butler, Gueden and Ms. Colón each contain an offset provision, pursuant to which payments and benefits are reduced by any payments or benefits required to be paid to the NEO as severance, or during a notice period, under any other agreement or program or by operation of law. Thus, in the event of a qualifying termination that is also an involuntary termination under the Officer Severance Program or, as applicable, the XF-CBA, Messrs. Bandrowczak, Pastor, Butler, Gueden, and Ms. Colón would receive the payments described in (B) above for an </w:t>
      </w:r>
      <w:r>
        <w:rPr>
          <w:rFonts w:ascii="Arial" w:cs="Arial" w:eastAsia="Arial" w:hAnsi="Arial"/>
          <w:sz w:val="18"/>
          <w:szCs w:val="18"/>
          <w:i w:val="1"/>
          <w:iCs w:val="1"/>
          <w:color w:val="auto"/>
        </w:rPr>
        <w:t>Involuntary Termination Not for Cause</w:t>
      </w:r>
      <w:r>
        <w:rPr>
          <w:rFonts w:ascii="Arial" w:cs="Arial" w:eastAsia="Arial" w:hAnsi="Arial"/>
          <w:sz w:val="18"/>
          <w:szCs w:val="18"/>
          <w:color w:val="auto"/>
        </w:rPr>
        <w:t>, and would receive payments or benefits under their CIC severance agreements only to the extent the CIC severance agreements provided for greater amounts.</w:t>
      </w:r>
    </w:p>
    <w:p>
      <w:pPr>
        <w:spacing w:after="0" w:line="75" w:lineRule="exact"/>
        <w:rPr>
          <w:sz w:val="20"/>
          <w:szCs w:val="20"/>
          <w:color w:val="auto"/>
        </w:rPr>
      </w:pPr>
    </w:p>
    <w:p>
      <w:pPr>
        <w:ind w:left="340" w:right="140"/>
        <w:spacing w:after="0" w:line="268" w:lineRule="auto"/>
        <w:rPr>
          <w:sz w:val="20"/>
          <w:szCs w:val="20"/>
          <w:color w:val="auto"/>
        </w:rPr>
      </w:pPr>
      <w:r>
        <w:rPr>
          <w:rFonts w:ascii="Arial" w:cs="Arial" w:eastAsia="Arial" w:hAnsi="Arial"/>
          <w:sz w:val="18"/>
          <w:szCs w:val="18"/>
          <w:color w:val="auto"/>
        </w:rPr>
        <w:t>For all of the NEOs, if excise tax under Code Sections 280G and 4999 would be payable, the Company will reduce the NEO’s CIC payment to a level that will not trigger such excise tax, if it is determined that doing so will result in a greater net after-tax amount for the NEO.</w:t>
      </w:r>
    </w:p>
    <w:p>
      <w:pPr>
        <w:spacing w:after="0" w:line="63" w:lineRule="exact"/>
        <w:rPr>
          <w:sz w:val="20"/>
          <w:szCs w:val="20"/>
          <w:color w:val="auto"/>
        </w:rPr>
      </w:pPr>
    </w:p>
    <w:p>
      <w:pPr>
        <w:ind w:left="340" w:right="140" w:hanging="332"/>
        <w:spacing w:after="0" w:line="262" w:lineRule="auto"/>
        <w:tabs>
          <w:tab w:leader="none" w:pos="333"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an NEO’s death, the NEO’s estate (or, with respect to certain types of payments and elections made, the NEO’s spouse) would receive: the NEO’s 2025 short-term incentive, based on actual achievement against performance goals; accelerated vesting of outstanding equity awards; and, for Mr. Gueden, payment of his vested pension benefits, if any, in accordance with the plan’s terms and the proceeds of a life insurance policy per the XF-CBA.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Following Disability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Assuming termination following disability, all NEOs would be eligible for prorated vesting of equity awards under the terms of our award agreements, with such proration based on the number of full months of service as an employee since the applicable grant date (based on monthly anniversaries of the grant date, not calendar months), including PSUs based on actual performance achievement against performance goals, their deferred compensation balance, if any, and vested retirement benefits, if any, as shown in (A) above for a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Termination/Retirement</w:t>
      </w:r>
      <w:r>
        <w:rPr>
          <w:rFonts w:ascii="Arial" w:cs="Arial" w:eastAsia="Arial" w:hAnsi="Arial"/>
          <w:sz w:val="18"/>
          <w:szCs w:val="18"/>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Involuntary Termination for Cause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If an NEO is involuntarily terminated for cause, or it is determined by the Committee or plan administrator that the NEO engaged in detrimental activity against the Company, as provided under our plans, such NEO would not receive any payments other than his or her deferred compensation plan account balance, if any (and for the SSP, such balance would be reduced by the amount of the Company matching contributions), and vested tax-qualified pension benefits, if any. All unvested equity awards and any non-qualified pension benefits would be immediately cancelled upon involuntary termination for cause for all NEOs. See the </w:t>
      </w:r>
      <w:r>
        <w:rPr>
          <w:rFonts w:ascii="Arial" w:cs="Arial" w:eastAsia="Arial" w:hAnsi="Arial"/>
          <w:sz w:val="18"/>
          <w:szCs w:val="18"/>
          <w:i w:val="1"/>
          <w:iCs w:val="1"/>
          <w:color w:val="auto"/>
        </w:rPr>
        <w:t>Compensation Recovery Policy</w:t>
      </w:r>
      <w:r>
        <w:rPr>
          <w:rFonts w:ascii="Arial" w:cs="Arial" w:eastAsia="Arial" w:hAnsi="Arial"/>
          <w:sz w:val="18"/>
          <w:szCs w:val="18"/>
          <w:color w:val="auto"/>
        </w:rPr>
        <w:t xml:space="preserve"> section of the CD&amp;A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Payments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Similar to other employees, the NEOs would be eligible for payment of accrued but unused vacation due as of the date of the separation from employment (or last day worked prior to severance, if applicable) under the terms of the Company’s vacation policy and applicable law.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(CIC) Severance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the CIC severance agreements, a CIC generally is deemed to have occurred, subject to specific exceptions, if:</w:t>
      </w:r>
    </w:p>
    <w:p>
      <w:pPr>
        <w:spacing w:after="0" w:line="117" w:lineRule="exact"/>
        <w:rPr>
          <w:sz w:val="20"/>
          <w:szCs w:val="20"/>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person beneficially acquires 20% or more of the combined voting power of our outstanding securities.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majority of our directors are replaced under specific circumstances.</w:t>
      </w:r>
    </w:p>
    <w:p>
      <w:pPr>
        <w:spacing w:after="0" w:line="117" w:lineRule="exact"/>
        <w:rPr>
          <w:rFonts w:ascii="Arial" w:cs="Arial" w:eastAsia="Arial" w:hAnsi="Arial"/>
          <w:sz w:val="18"/>
          <w:szCs w:val="18"/>
          <w:color w:val="auto"/>
        </w:rPr>
      </w:pPr>
    </w:p>
    <w:p>
      <w:pPr>
        <w:ind w:left="820" w:right="40" w:hanging="326"/>
        <w:spacing w:after="0" w:line="262" w:lineRule="auto"/>
        <w:tabs>
          <w:tab w:leader="none" w:pos="8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is a merger or consolidation involving the Company unless (i) the directors of the Company who were members of the Board immediately before the merger/consolidation continue to constitute a majority of the Board of Directors, or (ii) the merger/consolidation is effected to implement a recapitalization and no person becomes the beneficial owner of 20% or more of the combined voting power of the Company’s then outstanding voting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3" w:name="page74"/>
    <w:bookmarkEnd w:id="73"/>
    <w:p>
      <w:pPr>
        <w:ind w:left="820" w:right="180" w:hanging="326"/>
        <w:spacing w:after="0" w:line="287" w:lineRule="auto"/>
        <w:tabs>
          <w:tab w:leader="none" w:pos="8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or substantially all of the Company’s assets are sold, or the Company’s shareholders approve a plan of complete liquidation or dissolution.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Under the CIC severance agreements, Good Reason generally means:</w:t>
      </w:r>
    </w:p>
    <w:p>
      <w:pPr>
        <w:spacing w:after="0" w:line="117" w:lineRule="exact"/>
        <w:rPr>
          <w:sz w:val="20"/>
          <w:szCs w:val="20"/>
          <w:color w:val="auto"/>
        </w:rPr>
      </w:pPr>
    </w:p>
    <w:p>
      <w:pPr>
        <w:ind w:left="820" w:right="180" w:hanging="326"/>
        <w:spacing w:after="0" w:line="262" w:lineRule="auto"/>
        <w:tabs>
          <w:tab w:leader="none" w:pos="8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material diminution of authority, duties, or responsibilities, including being an executive officer of the Company before a change in control and ceasing to be an executive officer of the surviving company. However, change-in-control benefits will be triggered by this provision only if the executive officer has not voluntarily terminated his employment and the “material diminution” has not been remedied, in either case, before the second anniversary of a change in control.</w:t>
      </w:r>
    </w:p>
    <w:p>
      <w:pPr>
        <w:spacing w:after="0" w:line="68" w:lineRule="exact"/>
        <w:rPr>
          <w:rFonts w:ascii="Arial" w:cs="Arial" w:eastAsia="Arial" w:hAnsi="Arial"/>
          <w:sz w:val="18"/>
          <w:szCs w:val="18"/>
          <w:color w:val="auto"/>
        </w:rPr>
      </w:pPr>
    </w:p>
    <w:p>
      <w:pPr>
        <w:ind w:left="820" w:right="220" w:hanging="326"/>
        <w:spacing w:after="0" w:line="287" w:lineRule="auto"/>
        <w:tabs>
          <w:tab w:leader="none" w:pos="8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material reduction in annual base salary or annual target short-term incentive, except to the extent such reduction is consistent with an across-the-board reduction for employees.</w:t>
      </w:r>
    </w:p>
    <w:p>
      <w:pPr>
        <w:spacing w:after="0" w:line="44" w:lineRule="exact"/>
        <w:rPr>
          <w:rFonts w:ascii="Arial" w:cs="Arial" w:eastAsia="Arial" w:hAnsi="Arial"/>
          <w:sz w:val="18"/>
          <w:szCs w:val="18"/>
          <w:color w:val="auto"/>
        </w:rPr>
      </w:pPr>
    </w:p>
    <w:p>
      <w:pPr>
        <w:ind w:left="820" w:hanging="32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material change in the geographic location where the executive is required to be based.</w:t>
      </w:r>
    </w:p>
    <w:p>
      <w:pPr>
        <w:spacing w:after="0" w:line="117" w:lineRule="exact"/>
        <w:rPr>
          <w:rFonts w:ascii="Arial" w:cs="Arial" w:eastAsia="Arial" w:hAnsi="Arial"/>
          <w:sz w:val="18"/>
          <w:szCs w:val="18"/>
          <w:color w:val="auto"/>
        </w:rPr>
      </w:pPr>
    </w:p>
    <w:p>
      <w:pPr>
        <w:ind w:left="820" w:right="160" w:hanging="326"/>
        <w:spacing w:after="0" w:line="287" w:lineRule="auto"/>
        <w:tabs>
          <w:tab w:leader="none" w:pos="8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Failure by the Company to continue any material compensation or benefit plan, vacation policy, or any material perquisites unless an alternative plan is provided, or failure to continue the executive’s participation in these plans.</w:t>
      </w:r>
    </w:p>
    <w:p>
      <w:pPr>
        <w:spacing w:after="0" w:line="44" w:lineRule="exact"/>
        <w:rPr>
          <w:rFonts w:ascii="Arial" w:cs="Arial" w:eastAsia="Arial" w:hAnsi="Arial"/>
          <w:sz w:val="18"/>
          <w:szCs w:val="18"/>
          <w:color w:val="auto"/>
        </w:rPr>
      </w:pPr>
    </w:p>
    <w:p>
      <w:pPr>
        <w:ind w:left="820" w:right="600" w:hanging="326"/>
        <w:spacing w:after="0" w:line="287" w:lineRule="auto"/>
        <w:tabs>
          <w:tab w:leader="none" w:pos="8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Failure of the Company to obtain a satisfactory agreement from any successor to assume and agree to perform in a manner consistent with the CIC severance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EQUITY COMPENSATION PLAN INFORMATION</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Equity Compensation Plan Information</w:t>
      </w:r>
      <w:r>
        <w:rPr>
          <w:rFonts w:ascii="Arial" w:cs="Arial" w:eastAsia="Arial" w:hAnsi="Arial"/>
          <w:sz w:val="18"/>
          <w:szCs w:val="18"/>
          <w:color w:val="auto"/>
        </w:rPr>
        <w:t xml:space="preserve"> table provides information as of December 31, 2025, with respect to shares of Xerox Common Stock that may be issued under the Xerox Corporation 2004 Performance Incentive Plan, the Xerox Holdings Corporation Performance Incentive Plan, as Amended Through October 21, 2021, the 2021 Amendment and Restatement of the Xerox Holdings Corporation 2004 Equity Compensation Plan for Non-Employee Directors, and the Xerox Holdings Corporation 2024 Equity and Performance Incentive Plan. Each of these plans has been approved by shareholders.</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060" w:type="dxa"/>
            <w:vAlign w:val="bottom"/>
            <w:tcBorders>
              <w:left w:val="single" w:sz="8" w:color="DA2031"/>
              <w:right w:val="single" w:sz="8" w:color="DA2031"/>
            </w:tcBorders>
            <w:shd w:val="clear" w:color="auto" w:fill="DA2031"/>
          </w:tcPr>
          <w:p>
            <w:pPr>
              <w:spacing w:after="0"/>
              <w:rPr>
                <w:sz w:val="17"/>
                <w:szCs w:val="17"/>
                <w:color w:val="auto"/>
              </w:rPr>
            </w:pPr>
          </w:p>
        </w:tc>
        <w:tc>
          <w:tcPr>
            <w:tcW w:w="250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Number of Securities</w:t>
            </w:r>
          </w:p>
        </w:tc>
        <w:tc>
          <w:tcPr>
            <w:tcW w:w="2520" w:type="dxa"/>
            <w:vAlign w:val="bottom"/>
            <w:tcBorders>
              <w:right w:val="single" w:sz="8" w:color="DA2031"/>
            </w:tcBorders>
            <w:shd w:val="clear" w:color="auto" w:fill="DA2031"/>
          </w:tcPr>
          <w:p>
            <w:pPr>
              <w:spacing w:after="0"/>
              <w:rPr>
                <w:sz w:val="17"/>
                <w:szCs w:val="17"/>
                <w:color w:val="auto"/>
              </w:rPr>
            </w:pPr>
          </w:p>
        </w:tc>
        <w:tc>
          <w:tcPr>
            <w:tcW w:w="3180" w:type="dxa"/>
            <w:vAlign w:val="bottom"/>
            <w:tcBorders>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rPr>
              <w:t>Number of Securities</w:t>
            </w:r>
          </w:p>
        </w:tc>
        <w:tc>
          <w:tcPr>
            <w:tcW w:w="0" w:type="dxa"/>
            <w:vAlign w:val="bottom"/>
          </w:tcPr>
          <w:p>
            <w:pPr>
              <w:spacing w:after="0"/>
              <w:rPr>
                <w:sz w:val="1"/>
                <w:szCs w:val="1"/>
                <w:color w:val="auto"/>
              </w:rPr>
            </w:pPr>
          </w:p>
        </w:tc>
      </w:tr>
      <w:tr>
        <w:trPr>
          <w:trHeight w:val="184"/>
        </w:trPr>
        <w:tc>
          <w:tcPr>
            <w:tcW w:w="3060" w:type="dxa"/>
            <w:vAlign w:val="bottom"/>
            <w:tcBorders>
              <w:left w:val="single" w:sz="8" w:color="DA2031"/>
              <w:right w:val="single" w:sz="8" w:color="DA2031"/>
            </w:tcBorders>
            <w:shd w:val="clear" w:color="auto" w:fill="DA2031"/>
          </w:tcPr>
          <w:p>
            <w:pPr>
              <w:spacing w:after="0"/>
              <w:rPr>
                <w:sz w:val="15"/>
                <w:szCs w:val="15"/>
                <w:color w:val="auto"/>
              </w:rPr>
            </w:pPr>
          </w:p>
        </w:tc>
        <w:tc>
          <w:tcPr>
            <w:tcW w:w="2500" w:type="dxa"/>
            <w:vAlign w:val="bottom"/>
            <w:tcBorders>
              <w:right w:val="single" w:sz="8" w:color="DA2031"/>
            </w:tcBorders>
            <w:shd w:val="clear" w:color="auto" w:fill="DA2031"/>
          </w:tcPr>
          <w:p>
            <w:pPr>
              <w:jc w:val="center"/>
              <w:spacing w:after="0" w:line="183" w:lineRule="exact"/>
              <w:rPr>
                <w:sz w:val="20"/>
                <w:szCs w:val="20"/>
                <w:color w:val="auto"/>
              </w:rPr>
            </w:pPr>
            <w:r>
              <w:rPr>
                <w:rFonts w:ascii="Arial" w:cs="Arial" w:eastAsia="Arial" w:hAnsi="Arial"/>
                <w:sz w:val="18"/>
                <w:szCs w:val="18"/>
                <w:b w:val="1"/>
                <w:bCs w:val="1"/>
                <w:color w:val="FFFFFF"/>
              </w:rPr>
              <w:t>to be Issued</w:t>
            </w:r>
          </w:p>
        </w:tc>
        <w:tc>
          <w:tcPr>
            <w:tcW w:w="2520" w:type="dxa"/>
            <w:vAlign w:val="bottom"/>
            <w:tcBorders>
              <w:right w:val="single" w:sz="8" w:color="DA2031"/>
            </w:tcBorders>
            <w:vMerge w:val="restart"/>
            <w:shd w:val="clear" w:color="auto" w:fill="DA2031"/>
          </w:tcPr>
          <w:p>
            <w:pPr>
              <w:jc w:val="center"/>
              <w:spacing w:after="0"/>
              <w:rPr>
                <w:sz w:val="20"/>
                <w:szCs w:val="20"/>
                <w:color w:val="auto"/>
              </w:rPr>
            </w:pPr>
            <w:r>
              <w:rPr>
                <w:rFonts w:ascii="Arial" w:cs="Arial" w:eastAsia="Arial" w:hAnsi="Arial"/>
                <w:sz w:val="18"/>
                <w:szCs w:val="18"/>
                <w:b w:val="1"/>
                <w:bCs w:val="1"/>
                <w:color w:val="FFFFFF"/>
                <w:w w:val="98"/>
              </w:rPr>
              <w:t>Weighted-Average</w:t>
            </w:r>
          </w:p>
        </w:tc>
        <w:tc>
          <w:tcPr>
            <w:tcW w:w="3180" w:type="dxa"/>
            <w:vAlign w:val="bottom"/>
            <w:tcBorders>
              <w:right w:val="single" w:sz="8" w:color="DA2031"/>
            </w:tcBorders>
            <w:shd w:val="clear" w:color="auto" w:fill="DA2031"/>
          </w:tcPr>
          <w:p>
            <w:pPr>
              <w:jc w:val="center"/>
              <w:spacing w:after="0" w:line="183" w:lineRule="exact"/>
              <w:rPr>
                <w:sz w:val="20"/>
                <w:szCs w:val="20"/>
                <w:color w:val="auto"/>
              </w:rPr>
            </w:pPr>
            <w:r>
              <w:rPr>
                <w:rFonts w:ascii="Arial" w:cs="Arial" w:eastAsia="Arial" w:hAnsi="Arial"/>
                <w:sz w:val="18"/>
                <w:szCs w:val="18"/>
                <w:b w:val="1"/>
                <w:bCs w:val="1"/>
                <w:color w:val="FFFFFF"/>
                <w:w w:val="99"/>
              </w:rPr>
              <w:t>Remaining Available for</w:t>
            </w:r>
          </w:p>
        </w:tc>
        <w:tc>
          <w:tcPr>
            <w:tcW w:w="0" w:type="dxa"/>
            <w:vAlign w:val="bottom"/>
          </w:tcPr>
          <w:p>
            <w:pPr>
              <w:spacing w:after="0"/>
              <w:rPr>
                <w:sz w:val="1"/>
                <w:szCs w:val="1"/>
                <w:color w:val="auto"/>
              </w:rPr>
            </w:pPr>
          </w:p>
        </w:tc>
      </w:tr>
      <w:tr>
        <w:trPr>
          <w:trHeight w:val="181"/>
        </w:trPr>
        <w:tc>
          <w:tcPr>
            <w:tcW w:w="3060" w:type="dxa"/>
            <w:vAlign w:val="bottom"/>
            <w:tcBorders>
              <w:left w:val="single" w:sz="8" w:color="DA2031"/>
              <w:right w:val="single" w:sz="8" w:color="DA2031"/>
            </w:tcBorders>
            <w:shd w:val="clear" w:color="auto" w:fill="DA2031"/>
          </w:tcPr>
          <w:p>
            <w:pPr>
              <w:spacing w:after="0"/>
              <w:rPr>
                <w:sz w:val="15"/>
                <w:szCs w:val="15"/>
                <w:color w:val="auto"/>
              </w:rPr>
            </w:pPr>
          </w:p>
        </w:tc>
        <w:tc>
          <w:tcPr>
            <w:tcW w:w="2500" w:type="dxa"/>
            <w:vAlign w:val="bottom"/>
            <w:tcBorders>
              <w:right w:val="single" w:sz="8" w:color="DA2031"/>
            </w:tcBorders>
            <w:shd w:val="clear" w:color="auto" w:fill="DA2031"/>
          </w:tcPr>
          <w:p>
            <w:pPr>
              <w:jc w:val="center"/>
              <w:spacing w:after="0" w:line="181" w:lineRule="exact"/>
              <w:rPr>
                <w:sz w:val="20"/>
                <w:szCs w:val="20"/>
                <w:color w:val="auto"/>
              </w:rPr>
            </w:pPr>
            <w:r>
              <w:rPr>
                <w:rFonts w:ascii="Arial" w:cs="Arial" w:eastAsia="Arial" w:hAnsi="Arial"/>
                <w:sz w:val="18"/>
                <w:szCs w:val="18"/>
                <w:b w:val="1"/>
                <w:bCs w:val="1"/>
                <w:color w:val="FFFFFF"/>
              </w:rPr>
              <w:t>upon Exercise of</w:t>
            </w:r>
          </w:p>
        </w:tc>
        <w:tc>
          <w:tcPr>
            <w:tcW w:w="2520" w:type="dxa"/>
            <w:vAlign w:val="bottom"/>
            <w:tcBorders>
              <w:right w:val="single" w:sz="8" w:color="DA2031"/>
            </w:tcBorders>
            <w:vMerge w:val="continue"/>
            <w:shd w:val="clear" w:color="auto" w:fill="DA2031"/>
          </w:tcPr>
          <w:p>
            <w:pPr>
              <w:spacing w:after="0"/>
              <w:rPr>
                <w:sz w:val="15"/>
                <w:szCs w:val="15"/>
                <w:color w:val="auto"/>
              </w:rPr>
            </w:pPr>
          </w:p>
        </w:tc>
        <w:tc>
          <w:tcPr>
            <w:tcW w:w="3180" w:type="dxa"/>
            <w:vAlign w:val="bottom"/>
            <w:tcBorders>
              <w:right w:val="single" w:sz="8" w:color="DA2031"/>
            </w:tcBorders>
            <w:shd w:val="clear" w:color="auto" w:fill="DA2031"/>
          </w:tcPr>
          <w:p>
            <w:pPr>
              <w:jc w:val="center"/>
              <w:spacing w:after="0" w:line="181" w:lineRule="exact"/>
              <w:rPr>
                <w:sz w:val="20"/>
                <w:szCs w:val="20"/>
                <w:color w:val="auto"/>
              </w:rPr>
            </w:pPr>
            <w:r>
              <w:rPr>
                <w:rFonts w:ascii="Arial" w:cs="Arial" w:eastAsia="Arial" w:hAnsi="Arial"/>
                <w:sz w:val="18"/>
                <w:szCs w:val="18"/>
                <w:b w:val="1"/>
                <w:bCs w:val="1"/>
                <w:color w:val="FFFFFF"/>
              </w:rPr>
              <w:t>Future Issuance under</w:t>
            </w:r>
          </w:p>
        </w:tc>
        <w:tc>
          <w:tcPr>
            <w:tcW w:w="0" w:type="dxa"/>
            <w:vAlign w:val="bottom"/>
          </w:tcPr>
          <w:p>
            <w:pPr>
              <w:spacing w:after="0"/>
              <w:rPr>
                <w:sz w:val="1"/>
                <w:szCs w:val="1"/>
                <w:color w:val="auto"/>
              </w:rPr>
            </w:pPr>
          </w:p>
        </w:tc>
      </w:tr>
      <w:tr>
        <w:trPr>
          <w:trHeight w:val="175"/>
        </w:trPr>
        <w:tc>
          <w:tcPr>
            <w:tcW w:w="3060" w:type="dxa"/>
            <w:vAlign w:val="bottom"/>
            <w:tcBorders>
              <w:left w:val="single" w:sz="8" w:color="DA2031"/>
              <w:right w:val="single" w:sz="8" w:color="DA2031"/>
            </w:tcBorders>
            <w:shd w:val="clear" w:color="auto" w:fill="DA2031"/>
          </w:tcPr>
          <w:p>
            <w:pPr>
              <w:spacing w:after="0"/>
              <w:rPr>
                <w:sz w:val="15"/>
                <w:szCs w:val="15"/>
                <w:color w:val="auto"/>
              </w:rPr>
            </w:pPr>
          </w:p>
        </w:tc>
        <w:tc>
          <w:tcPr>
            <w:tcW w:w="250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w w:val="99"/>
              </w:rPr>
              <w:t>Outstanding Options,</w:t>
            </w:r>
          </w:p>
        </w:tc>
        <w:tc>
          <w:tcPr>
            <w:tcW w:w="252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rPr>
              <w:t>Exercise Price</w:t>
            </w:r>
          </w:p>
        </w:tc>
        <w:tc>
          <w:tcPr>
            <w:tcW w:w="318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rPr>
              <w:t>Equity Compensation</w:t>
            </w:r>
          </w:p>
        </w:tc>
        <w:tc>
          <w:tcPr>
            <w:tcW w:w="0" w:type="dxa"/>
            <w:vAlign w:val="bottom"/>
          </w:tcPr>
          <w:p>
            <w:pPr>
              <w:spacing w:after="0"/>
              <w:rPr>
                <w:sz w:val="1"/>
                <w:szCs w:val="1"/>
                <w:color w:val="auto"/>
              </w:rPr>
            </w:pPr>
          </w:p>
        </w:tc>
      </w:tr>
      <w:tr>
        <w:trPr>
          <w:trHeight w:val="175"/>
        </w:trPr>
        <w:tc>
          <w:tcPr>
            <w:tcW w:w="3060" w:type="dxa"/>
            <w:vAlign w:val="bottom"/>
            <w:tcBorders>
              <w:left w:val="single" w:sz="8" w:color="DA2031"/>
              <w:right w:val="single" w:sz="8" w:color="DA2031"/>
            </w:tcBorders>
            <w:shd w:val="clear" w:color="auto" w:fill="DA2031"/>
          </w:tcPr>
          <w:p>
            <w:pPr>
              <w:spacing w:after="0"/>
              <w:rPr>
                <w:sz w:val="15"/>
                <w:szCs w:val="15"/>
                <w:color w:val="auto"/>
              </w:rPr>
            </w:pPr>
          </w:p>
        </w:tc>
        <w:tc>
          <w:tcPr>
            <w:tcW w:w="250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w w:val="99"/>
              </w:rPr>
              <w:t>Rights, RSUs, PSUs,</w:t>
            </w:r>
          </w:p>
        </w:tc>
        <w:tc>
          <w:tcPr>
            <w:tcW w:w="252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w w:val="99"/>
              </w:rPr>
              <w:t>of Outstanding</w:t>
            </w:r>
          </w:p>
        </w:tc>
        <w:tc>
          <w:tcPr>
            <w:tcW w:w="3180" w:type="dxa"/>
            <w:vAlign w:val="bottom"/>
            <w:tcBorders>
              <w:right w:val="single" w:sz="8" w:color="DA2031"/>
            </w:tcBorders>
            <w:shd w:val="clear" w:color="auto" w:fill="DA2031"/>
          </w:tcPr>
          <w:p>
            <w:pPr>
              <w:jc w:val="center"/>
              <w:spacing w:after="0" w:line="176" w:lineRule="exact"/>
              <w:rPr>
                <w:sz w:val="20"/>
                <w:szCs w:val="20"/>
                <w:color w:val="auto"/>
              </w:rPr>
            </w:pPr>
            <w:r>
              <w:rPr>
                <w:rFonts w:ascii="Arial" w:cs="Arial" w:eastAsia="Arial" w:hAnsi="Arial"/>
                <w:sz w:val="18"/>
                <w:szCs w:val="18"/>
                <w:b w:val="1"/>
                <w:bCs w:val="1"/>
                <w:color w:val="FFFFFF"/>
                <w:w w:val="99"/>
              </w:rPr>
              <w:t>Plans (Excluding Securities</w:t>
            </w:r>
          </w:p>
        </w:tc>
        <w:tc>
          <w:tcPr>
            <w:tcW w:w="0" w:type="dxa"/>
            <w:vAlign w:val="bottom"/>
          </w:tcPr>
          <w:p>
            <w:pPr>
              <w:spacing w:after="0"/>
              <w:rPr>
                <w:sz w:val="1"/>
                <w:szCs w:val="1"/>
                <w:color w:val="auto"/>
              </w:rPr>
            </w:pPr>
          </w:p>
        </w:tc>
      </w:tr>
      <w:tr>
        <w:trPr>
          <w:trHeight w:val="189"/>
        </w:trPr>
        <w:tc>
          <w:tcPr>
            <w:tcW w:w="3060" w:type="dxa"/>
            <w:vAlign w:val="bottom"/>
            <w:tcBorders>
              <w:left w:val="single" w:sz="8" w:color="DA2031"/>
              <w:right w:val="single" w:sz="8" w:color="DA2031"/>
            </w:tcBorders>
            <w:vMerge w:val="restart"/>
            <w:shd w:val="clear" w:color="auto" w:fill="DA2031"/>
          </w:tcPr>
          <w:p>
            <w:pPr>
              <w:ind w:left="20"/>
              <w:spacing w:after="0"/>
              <w:rPr>
                <w:sz w:val="20"/>
                <w:szCs w:val="20"/>
                <w:color w:val="auto"/>
              </w:rPr>
            </w:pPr>
            <w:r>
              <w:rPr>
                <w:rFonts w:ascii="Arial" w:cs="Arial" w:eastAsia="Arial" w:hAnsi="Arial"/>
                <w:sz w:val="18"/>
                <w:szCs w:val="18"/>
                <w:b w:val="1"/>
                <w:bCs w:val="1"/>
                <w:color w:val="FFFFFF"/>
              </w:rPr>
              <w:t>Plan Category</w:t>
            </w:r>
          </w:p>
        </w:tc>
        <w:tc>
          <w:tcPr>
            <w:tcW w:w="2500" w:type="dxa"/>
            <w:vAlign w:val="bottom"/>
            <w:tcBorders>
              <w:right w:val="single" w:sz="8" w:color="DA2031"/>
            </w:tcBorders>
            <w:shd w:val="clear" w:color="auto" w:fill="DA2031"/>
          </w:tcPr>
          <w:p>
            <w:pPr>
              <w:jc w:val="center"/>
              <w:spacing w:after="0" w:line="189" w:lineRule="exact"/>
              <w:rPr>
                <w:sz w:val="20"/>
                <w:szCs w:val="20"/>
                <w:color w:val="auto"/>
              </w:rPr>
            </w:pPr>
            <w:r>
              <w:rPr>
                <w:rFonts w:ascii="Arial" w:cs="Arial" w:eastAsia="Arial" w:hAnsi="Arial"/>
                <w:sz w:val="18"/>
                <w:szCs w:val="18"/>
                <w:b w:val="1"/>
                <w:bCs w:val="1"/>
                <w:color w:val="FFFFFF"/>
              </w:rPr>
              <w:t>and DSUs</w:t>
            </w:r>
          </w:p>
        </w:tc>
        <w:tc>
          <w:tcPr>
            <w:tcW w:w="2520" w:type="dxa"/>
            <w:vAlign w:val="bottom"/>
            <w:tcBorders>
              <w:right w:val="single" w:sz="8" w:color="DA2031"/>
            </w:tcBorders>
            <w:shd w:val="clear" w:color="auto" w:fill="DA2031"/>
          </w:tcPr>
          <w:p>
            <w:pPr>
              <w:jc w:val="center"/>
              <w:spacing w:after="0" w:line="189" w:lineRule="exact"/>
              <w:rPr>
                <w:sz w:val="20"/>
                <w:szCs w:val="20"/>
                <w:color w:val="auto"/>
              </w:rPr>
            </w:pPr>
            <w:r>
              <w:rPr>
                <w:rFonts w:ascii="Arial" w:cs="Arial" w:eastAsia="Arial" w:hAnsi="Arial"/>
                <w:sz w:val="18"/>
                <w:szCs w:val="18"/>
                <w:b w:val="1"/>
                <w:bCs w:val="1"/>
                <w:color w:val="FFFFFF"/>
                <w:w w:val="99"/>
              </w:rPr>
              <w:t>Options and Rights</w:t>
            </w:r>
          </w:p>
        </w:tc>
        <w:tc>
          <w:tcPr>
            <w:tcW w:w="3180" w:type="dxa"/>
            <w:vAlign w:val="bottom"/>
            <w:tcBorders>
              <w:right w:val="single" w:sz="8" w:color="DA2031"/>
            </w:tcBorders>
            <w:shd w:val="clear" w:color="auto" w:fill="DA2031"/>
          </w:tcPr>
          <w:p>
            <w:pPr>
              <w:jc w:val="center"/>
              <w:spacing w:after="0" w:line="189" w:lineRule="exact"/>
              <w:rPr>
                <w:sz w:val="20"/>
                <w:szCs w:val="20"/>
                <w:color w:val="auto"/>
              </w:rPr>
            </w:pPr>
            <w:r>
              <w:rPr>
                <w:rFonts w:ascii="Arial" w:cs="Arial" w:eastAsia="Arial" w:hAnsi="Arial"/>
                <w:sz w:val="18"/>
                <w:szCs w:val="18"/>
                <w:b w:val="1"/>
                <w:bCs w:val="1"/>
                <w:color w:val="FFFFFF"/>
                <w:w w:val="99"/>
              </w:rPr>
              <w:t>Reflected in Column A)</w:t>
            </w:r>
          </w:p>
        </w:tc>
        <w:tc>
          <w:tcPr>
            <w:tcW w:w="0" w:type="dxa"/>
            <w:vAlign w:val="bottom"/>
          </w:tcPr>
          <w:p>
            <w:pPr>
              <w:spacing w:after="0"/>
              <w:rPr>
                <w:sz w:val="1"/>
                <w:szCs w:val="1"/>
                <w:color w:val="auto"/>
              </w:rPr>
            </w:pPr>
          </w:p>
        </w:tc>
      </w:tr>
      <w:tr>
        <w:trPr>
          <w:trHeight w:val="230"/>
        </w:trPr>
        <w:tc>
          <w:tcPr>
            <w:tcW w:w="3060" w:type="dxa"/>
            <w:vAlign w:val="bottom"/>
            <w:tcBorders>
              <w:left w:val="single" w:sz="8" w:color="DA2031"/>
              <w:bottom w:val="single" w:sz="8" w:color="B6B6B6"/>
              <w:right w:val="single" w:sz="8" w:color="DA2031"/>
            </w:tcBorders>
            <w:vMerge w:val="continue"/>
            <w:shd w:val="clear" w:color="auto" w:fill="DA2031"/>
          </w:tcPr>
          <w:p>
            <w:pPr>
              <w:spacing w:after="0"/>
              <w:rPr>
                <w:sz w:val="19"/>
                <w:szCs w:val="19"/>
                <w:color w:val="auto"/>
              </w:rPr>
            </w:pPr>
          </w:p>
        </w:tc>
        <w:tc>
          <w:tcPr>
            <w:tcW w:w="2500" w:type="dxa"/>
            <w:vAlign w:val="bottom"/>
            <w:tcBorders>
              <w:bottom w:val="single" w:sz="8" w:color="B6B6B6"/>
              <w:right w:val="single" w:sz="8" w:color="DA2031"/>
            </w:tcBorders>
            <w:shd w:val="clear" w:color="auto" w:fill="DA2031"/>
          </w:tcPr>
          <w:p>
            <w:pPr>
              <w:jc w:val="center"/>
              <w:spacing w:after="0" w:line="230" w:lineRule="exact"/>
              <w:rPr>
                <w:sz w:val="20"/>
                <w:szCs w:val="20"/>
                <w:color w:val="auto"/>
              </w:rPr>
            </w:pPr>
            <w:r>
              <w:rPr>
                <w:rFonts w:ascii="Arial" w:cs="Arial" w:eastAsia="Arial" w:hAnsi="Arial"/>
                <w:sz w:val="26"/>
                <w:szCs w:val="26"/>
                <w:b w:val="1"/>
                <w:bCs w:val="1"/>
                <w:color w:val="FFFFFF"/>
                <w:vertAlign w:val="subscript"/>
              </w:rPr>
              <w:t>(#) (A)</w:t>
            </w:r>
            <w:r>
              <w:rPr>
                <w:rFonts w:ascii="Arial" w:cs="Arial" w:eastAsia="Arial" w:hAnsi="Arial"/>
                <w:sz w:val="10"/>
                <w:szCs w:val="10"/>
                <w:b w:val="1"/>
                <w:bCs w:val="1"/>
                <w:color w:val="FFFFFF"/>
              </w:rPr>
              <w:t>(1),(2)</w:t>
            </w:r>
          </w:p>
        </w:tc>
        <w:tc>
          <w:tcPr>
            <w:tcW w:w="2520" w:type="dxa"/>
            <w:vAlign w:val="bottom"/>
            <w:tcBorders>
              <w:bottom w:val="single" w:sz="8" w:color="B6B6B6"/>
              <w:right w:val="single" w:sz="8" w:color="DA2031"/>
            </w:tcBorders>
            <w:shd w:val="clear" w:color="auto" w:fill="DA2031"/>
          </w:tcPr>
          <w:p>
            <w:pPr>
              <w:jc w:val="center"/>
              <w:spacing w:after="0"/>
              <w:rPr>
                <w:sz w:val="20"/>
                <w:szCs w:val="20"/>
                <w:color w:val="auto"/>
              </w:rPr>
            </w:pPr>
            <w:r>
              <w:rPr>
                <w:rFonts w:ascii="Arial" w:cs="Arial" w:eastAsia="Arial" w:hAnsi="Arial"/>
                <w:sz w:val="18"/>
                <w:szCs w:val="18"/>
                <w:b w:val="1"/>
                <w:bCs w:val="1"/>
                <w:color w:val="FFFFFF"/>
                <w:w w:val="99"/>
              </w:rPr>
              <w:t>($) (B)</w:t>
            </w:r>
          </w:p>
        </w:tc>
        <w:tc>
          <w:tcPr>
            <w:tcW w:w="3180" w:type="dxa"/>
            <w:vAlign w:val="bottom"/>
            <w:tcBorders>
              <w:bottom w:val="single" w:sz="8" w:color="B6B6B6"/>
              <w:right w:val="single" w:sz="8" w:color="DA2031"/>
            </w:tcBorders>
            <w:shd w:val="clear" w:color="auto" w:fill="DA2031"/>
          </w:tcPr>
          <w:p>
            <w:pPr>
              <w:jc w:val="center"/>
              <w:spacing w:after="0" w:line="230" w:lineRule="exact"/>
              <w:rPr>
                <w:sz w:val="20"/>
                <w:szCs w:val="20"/>
                <w:color w:val="auto"/>
              </w:rPr>
            </w:pPr>
            <w:r>
              <w:rPr>
                <w:rFonts w:ascii="Arial" w:cs="Arial" w:eastAsia="Arial" w:hAnsi="Arial"/>
                <w:sz w:val="18"/>
                <w:szCs w:val="18"/>
                <w:b w:val="1"/>
                <w:bCs w:val="1"/>
                <w:color w:val="FFFFFF"/>
                <w:w w:val="89"/>
              </w:rPr>
              <w:t>(#) (C)</w:t>
            </w:r>
            <w:r>
              <w:rPr>
                <w:rFonts w:ascii="Arial" w:cs="Arial" w:eastAsia="Arial" w:hAnsi="Arial"/>
                <w:sz w:val="23"/>
                <w:szCs w:val="23"/>
                <w:b w:val="1"/>
                <w:bCs w:val="1"/>
                <w:color w:val="FFFFFF"/>
                <w:w w:val="89"/>
                <w:vertAlign w:val="superscript"/>
              </w:rPr>
              <w:t>(3)(4)</w:t>
            </w:r>
          </w:p>
        </w:tc>
        <w:tc>
          <w:tcPr>
            <w:tcW w:w="0" w:type="dxa"/>
            <w:vAlign w:val="bottom"/>
          </w:tcPr>
          <w:p>
            <w:pPr>
              <w:spacing w:after="0"/>
              <w:rPr>
                <w:sz w:val="1"/>
                <w:szCs w:val="1"/>
                <w:color w:val="auto"/>
              </w:rPr>
            </w:pPr>
          </w:p>
        </w:tc>
      </w:tr>
      <w:tr>
        <w:trPr>
          <w:trHeight w:val="169"/>
        </w:trPr>
        <w:tc>
          <w:tcPr>
            <w:tcW w:w="3060" w:type="dxa"/>
            <w:vAlign w:val="bottom"/>
            <w:tcBorders>
              <w:left w:val="single" w:sz="8" w:color="B6B6B6"/>
              <w:right w:val="single" w:sz="8" w:color="B6B6B6"/>
            </w:tcBorders>
          </w:tcPr>
          <w:p>
            <w:pPr>
              <w:ind w:left="40"/>
              <w:spacing w:after="0" w:line="169" w:lineRule="exact"/>
              <w:rPr>
                <w:sz w:val="20"/>
                <w:szCs w:val="20"/>
                <w:color w:val="auto"/>
              </w:rPr>
            </w:pPr>
            <w:r>
              <w:rPr>
                <w:rFonts w:ascii="Arial" w:cs="Arial" w:eastAsia="Arial" w:hAnsi="Arial"/>
                <w:sz w:val="18"/>
                <w:szCs w:val="18"/>
                <w:color w:val="auto"/>
              </w:rPr>
              <w:t>Equity Compensation Plans</w:t>
            </w:r>
          </w:p>
        </w:tc>
        <w:tc>
          <w:tcPr>
            <w:tcW w:w="250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14,394,788</w:t>
            </w:r>
          </w:p>
        </w:tc>
        <w:tc>
          <w:tcPr>
            <w:tcW w:w="252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8"/>
              </w:rPr>
              <w:t>$26.23</w:t>
            </w:r>
          </w:p>
        </w:tc>
        <w:tc>
          <w:tcPr>
            <w:tcW w:w="3180" w:type="dxa"/>
            <w:vAlign w:val="bottom"/>
            <w:tcBorders>
              <w:right w:val="single" w:sz="8" w:color="B6B6B6"/>
            </w:tcBorders>
            <w:vMerge w:val="restart"/>
          </w:tcPr>
          <w:p>
            <w:pPr>
              <w:jc w:val="center"/>
              <w:spacing w:after="0"/>
              <w:rPr>
                <w:sz w:val="20"/>
                <w:szCs w:val="20"/>
                <w:color w:val="auto"/>
              </w:rPr>
            </w:pPr>
            <w:r>
              <w:rPr>
                <w:rFonts w:ascii="Arial" w:cs="Arial" w:eastAsia="Arial" w:hAnsi="Arial"/>
                <w:sz w:val="18"/>
                <w:szCs w:val="18"/>
                <w:color w:val="auto"/>
                <w:w w:val="99"/>
              </w:rPr>
              <w:t>2,729,368</w:t>
            </w:r>
          </w:p>
        </w:tc>
        <w:tc>
          <w:tcPr>
            <w:tcW w:w="0" w:type="dxa"/>
            <w:vAlign w:val="bottom"/>
          </w:tcPr>
          <w:p>
            <w:pPr>
              <w:spacing w:after="0"/>
              <w:rPr>
                <w:sz w:val="1"/>
                <w:szCs w:val="1"/>
                <w:color w:val="auto"/>
              </w:rPr>
            </w:pPr>
          </w:p>
        </w:tc>
      </w:tr>
      <w:tr>
        <w:trPr>
          <w:trHeight w:val="243"/>
        </w:trPr>
        <w:tc>
          <w:tcPr>
            <w:tcW w:w="3060" w:type="dxa"/>
            <w:vAlign w:val="bottom"/>
            <w:tcBorders>
              <w:left w:val="single" w:sz="8" w:color="B6B6B6"/>
              <w:bottom w:val="single" w:sz="8" w:color="B6B6B6"/>
              <w:right w:val="single" w:sz="8" w:color="B6B6B6"/>
            </w:tcBorders>
          </w:tcPr>
          <w:p>
            <w:pPr>
              <w:ind w:left="40"/>
              <w:spacing w:after="0" w:line="243" w:lineRule="exact"/>
              <w:rPr>
                <w:sz w:val="20"/>
                <w:szCs w:val="20"/>
                <w:color w:val="auto"/>
              </w:rPr>
            </w:pPr>
            <w:r>
              <w:rPr>
                <w:rFonts w:ascii="Arial" w:cs="Arial" w:eastAsia="Arial" w:hAnsi="Arial"/>
                <w:sz w:val="18"/>
                <w:szCs w:val="18"/>
                <w:color w:val="auto"/>
              </w:rPr>
              <w:t>Approved by Shareholders</w:t>
            </w:r>
            <w:r>
              <w:rPr>
                <w:rFonts w:ascii="Arial" w:cs="Arial" w:eastAsia="Arial" w:hAnsi="Arial"/>
                <w:sz w:val="23"/>
                <w:szCs w:val="23"/>
                <w:color w:val="auto"/>
                <w:vertAlign w:val="superscript"/>
              </w:rPr>
              <w:t>(3)</w:t>
            </w:r>
          </w:p>
        </w:tc>
        <w:tc>
          <w:tcPr>
            <w:tcW w:w="2500" w:type="dxa"/>
            <w:vAlign w:val="bottom"/>
            <w:tcBorders>
              <w:bottom w:val="single" w:sz="8" w:color="B6B6B6"/>
              <w:right w:val="single" w:sz="8" w:color="B6B6B6"/>
            </w:tcBorders>
            <w:vMerge w:val="continue"/>
          </w:tcPr>
          <w:p>
            <w:pPr>
              <w:spacing w:after="0"/>
              <w:rPr>
                <w:sz w:val="21"/>
                <w:szCs w:val="21"/>
                <w:color w:val="auto"/>
              </w:rPr>
            </w:pPr>
          </w:p>
        </w:tc>
        <w:tc>
          <w:tcPr>
            <w:tcW w:w="2520" w:type="dxa"/>
            <w:vAlign w:val="bottom"/>
            <w:tcBorders>
              <w:bottom w:val="single" w:sz="8" w:color="B6B6B6"/>
              <w:right w:val="single" w:sz="8" w:color="B6B6B6"/>
            </w:tcBorders>
            <w:vMerge w:val="continue"/>
          </w:tcPr>
          <w:p>
            <w:pPr>
              <w:spacing w:after="0"/>
              <w:rPr>
                <w:sz w:val="21"/>
                <w:szCs w:val="21"/>
                <w:color w:val="auto"/>
              </w:rPr>
            </w:pPr>
          </w:p>
        </w:tc>
        <w:tc>
          <w:tcPr>
            <w:tcW w:w="3180" w:type="dxa"/>
            <w:vAlign w:val="bottom"/>
            <w:tcBorders>
              <w:bottom w:val="single" w:sz="8" w:color="B6B6B6"/>
              <w:right w:val="single" w:sz="8" w:color="B6B6B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060" w:type="dxa"/>
            <w:vAlign w:val="bottom"/>
            <w:tcBorders>
              <w:left w:val="single" w:sz="8" w:color="B6B6B6"/>
              <w:right w:val="single" w:sz="8" w:color="B6B6B6"/>
            </w:tcBorders>
            <w:shd w:val="clear" w:color="auto" w:fill="DBDBDB"/>
          </w:tcPr>
          <w:p>
            <w:pPr>
              <w:ind w:left="40"/>
              <w:spacing w:after="0" w:line="169" w:lineRule="exact"/>
              <w:rPr>
                <w:sz w:val="20"/>
                <w:szCs w:val="20"/>
                <w:color w:val="auto"/>
              </w:rPr>
            </w:pPr>
            <w:r>
              <w:rPr>
                <w:rFonts w:ascii="Arial" w:cs="Arial" w:eastAsia="Arial" w:hAnsi="Arial"/>
                <w:sz w:val="18"/>
                <w:szCs w:val="18"/>
                <w:color w:val="auto"/>
              </w:rPr>
              <w:t>Equity Compensation Plans Not</w:t>
            </w:r>
          </w:p>
        </w:tc>
        <w:tc>
          <w:tcPr>
            <w:tcW w:w="2500" w:type="dxa"/>
            <w:vAlign w:val="bottom"/>
            <w:tcBorders>
              <w:right w:val="single" w:sz="8" w:color="B6B6B6"/>
            </w:tcBorders>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w:t>
            </w:r>
          </w:p>
        </w:tc>
        <w:tc>
          <w:tcPr>
            <w:tcW w:w="2520" w:type="dxa"/>
            <w:vAlign w:val="bottom"/>
            <w:tcBorders>
              <w:right w:val="single" w:sz="8" w:color="B6B6B6"/>
            </w:tcBorders>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w:t>
            </w:r>
          </w:p>
        </w:tc>
        <w:tc>
          <w:tcPr>
            <w:tcW w:w="3180" w:type="dxa"/>
            <w:vAlign w:val="bottom"/>
            <w:tcBorders>
              <w:right w:val="single" w:sz="8" w:color="B6B6B6"/>
            </w:tcBorders>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3"/>
        </w:trPr>
        <w:tc>
          <w:tcPr>
            <w:tcW w:w="3060" w:type="dxa"/>
            <w:vAlign w:val="bottom"/>
            <w:tcBorders>
              <w:left w:val="single" w:sz="8" w:color="B6B6B6"/>
              <w:right w:val="single" w:sz="8" w:color="B6B6B6"/>
            </w:tcBorders>
            <w:vMerge w:val="restart"/>
            <w:shd w:val="clear" w:color="auto" w:fill="DBDBDB"/>
          </w:tcPr>
          <w:p>
            <w:pPr>
              <w:ind w:left="40"/>
              <w:spacing w:after="0"/>
              <w:rPr>
                <w:sz w:val="20"/>
                <w:szCs w:val="20"/>
                <w:color w:val="auto"/>
              </w:rPr>
            </w:pPr>
            <w:r>
              <w:rPr>
                <w:rFonts w:ascii="Arial" w:cs="Arial" w:eastAsia="Arial" w:hAnsi="Arial"/>
                <w:sz w:val="18"/>
                <w:szCs w:val="18"/>
                <w:color w:val="auto"/>
              </w:rPr>
              <w:t>Approved by Shareholders</w:t>
            </w:r>
          </w:p>
        </w:tc>
        <w:tc>
          <w:tcPr>
            <w:tcW w:w="2500" w:type="dxa"/>
            <w:vAlign w:val="bottom"/>
            <w:tcBorders>
              <w:right w:val="single" w:sz="8" w:color="B6B6B6"/>
            </w:tcBorders>
            <w:vMerge w:val="continue"/>
            <w:shd w:val="clear" w:color="auto" w:fill="D8D8D8"/>
          </w:tcPr>
          <w:p>
            <w:pPr>
              <w:spacing w:after="0"/>
              <w:rPr>
                <w:sz w:val="13"/>
                <w:szCs w:val="13"/>
                <w:color w:val="auto"/>
              </w:rPr>
            </w:pPr>
          </w:p>
        </w:tc>
        <w:tc>
          <w:tcPr>
            <w:tcW w:w="2520" w:type="dxa"/>
            <w:vAlign w:val="bottom"/>
            <w:tcBorders>
              <w:right w:val="single" w:sz="8" w:color="B6B6B6"/>
            </w:tcBorders>
            <w:vMerge w:val="continue"/>
            <w:shd w:val="clear" w:color="auto" w:fill="D8D8D8"/>
          </w:tcPr>
          <w:p>
            <w:pPr>
              <w:spacing w:after="0"/>
              <w:rPr>
                <w:sz w:val="13"/>
                <w:szCs w:val="13"/>
                <w:color w:val="auto"/>
              </w:rPr>
            </w:pPr>
          </w:p>
        </w:tc>
        <w:tc>
          <w:tcPr>
            <w:tcW w:w="3180" w:type="dxa"/>
            <w:vAlign w:val="bottom"/>
            <w:tcBorders>
              <w:right w:val="single" w:sz="8" w:color="B6B6B6"/>
            </w:tcBorders>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060" w:type="dxa"/>
            <w:vAlign w:val="bottom"/>
            <w:tcBorders>
              <w:left w:val="single" w:sz="8" w:color="B6B6B6"/>
              <w:bottom w:val="single" w:sz="8" w:color="B6B6B6"/>
              <w:right w:val="single" w:sz="8" w:color="B6B6B6"/>
            </w:tcBorders>
            <w:vMerge w:val="continue"/>
            <w:shd w:val="clear" w:color="auto" w:fill="DBDBDB"/>
          </w:tcPr>
          <w:p>
            <w:pPr>
              <w:spacing w:after="0"/>
              <w:rPr>
                <w:sz w:val="7"/>
                <w:szCs w:val="7"/>
                <w:color w:val="auto"/>
              </w:rPr>
            </w:pPr>
          </w:p>
        </w:tc>
        <w:tc>
          <w:tcPr>
            <w:tcW w:w="2500" w:type="dxa"/>
            <w:vAlign w:val="bottom"/>
            <w:tcBorders>
              <w:bottom w:val="single" w:sz="8" w:color="B6B6B6"/>
              <w:right w:val="single" w:sz="8" w:color="B6B6B6"/>
            </w:tcBorders>
            <w:shd w:val="clear" w:color="auto" w:fill="D8D8D8"/>
          </w:tcPr>
          <w:p>
            <w:pPr>
              <w:spacing w:after="0"/>
              <w:rPr>
                <w:sz w:val="7"/>
                <w:szCs w:val="7"/>
                <w:color w:val="auto"/>
              </w:rPr>
            </w:pPr>
          </w:p>
        </w:tc>
        <w:tc>
          <w:tcPr>
            <w:tcW w:w="2520" w:type="dxa"/>
            <w:vAlign w:val="bottom"/>
            <w:tcBorders>
              <w:bottom w:val="single" w:sz="8" w:color="B6B6B6"/>
              <w:right w:val="single" w:sz="8" w:color="B6B6B6"/>
            </w:tcBorders>
            <w:shd w:val="clear" w:color="auto" w:fill="D8D8D8"/>
          </w:tcPr>
          <w:p>
            <w:pPr>
              <w:spacing w:after="0"/>
              <w:rPr>
                <w:sz w:val="7"/>
                <w:szCs w:val="7"/>
                <w:color w:val="auto"/>
              </w:rPr>
            </w:pPr>
          </w:p>
        </w:tc>
        <w:tc>
          <w:tcPr>
            <w:tcW w:w="3180" w:type="dxa"/>
            <w:vAlign w:val="bottom"/>
            <w:tcBorders>
              <w:bottom w:val="single" w:sz="8" w:color="B6B6B6"/>
              <w:right w:val="single" w:sz="8" w:color="B6B6B6"/>
            </w:tcBorders>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06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14,394,788</w:t>
            </w:r>
          </w:p>
        </w:tc>
        <w:tc>
          <w:tcPr>
            <w:tcW w:w="252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8"/>
              </w:rPr>
              <w:t>$26.23</w:t>
            </w:r>
          </w:p>
        </w:tc>
        <w:tc>
          <w:tcPr>
            <w:tcW w:w="3180" w:type="dxa"/>
            <w:vAlign w:val="bottom"/>
            <w:tcBorders>
              <w:bottom w:val="single" w:sz="8" w:color="B6B6B6"/>
              <w:right w:val="single" w:sz="8" w:color="B6B6B6"/>
            </w:tcBorders>
          </w:tcPr>
          <w:p>
            <w:pPr>
              <w:jc w:val="center"/>
              <w:spacing w:after="0"/>
              <w:rPr>
                <w:sz w:val="20"/>
                <w:szCs w:val="20"/>
                <w:color w:val="auto"/>
              </w:rPr>
            </w:pPr>
            <w:r>
              <w:rPr>
                <w:rFonts w:ascii="Arial" w:cs="Arial" w:eastAsia="Arial" w:hAnsi="Arial"/>
                <w:sz w:val="18"/>
                <w:szCs w:val="18"/>
                <w:color w:val="auto"/>
                <w:w w:val="99"/>
              </w:rPr>
              <w:t>2,729,368</w:t>
            </w:r>
          </w:p>
        </w:tc>
        <w:tc>
          <w:tcPr>
            <w:tcW w:w="0" w:type="dxa"/>
            <w:vAlign w:val="bottom"/>
          </w:tcPr>
          <w:p>
            <w:pPr>
              <w:spacing w:after="0"/>
              <w:rPr>
                <w:sz w:val="1"/>
                <w:szCs w:val="1"/>
                <w:color w:val="auto"/>
              </w:rPr>
            </w:pPr>
          </w:p>
        </w:tc>
      </w:tr>
      <w:tr>
        <w:trPr>
          <w:trHeight w:val="293"/>
        </w:trPr>
        <w:tc>
          <w:tcPr>
            <w:tcW w:w="3060" w:type="dxa"/>
            <w:vAlign w:val="bottom"/>
          </w:tcPr>
          <w:p>
            <w:pPr>
              <w:spacing w:after="0"/>
              <w:rPr>
                <w:sz w:val="20"/>
                <w:szCs w:val="20"/>
                <w:color w:val="auto"/>
              </w:rPr>
            </w:pPr>
            <w:r>
              <w:rPr>
                <w:rFonts w:ascii="Arial" w:cs="Arial" w:eastAsia="Arial" w:hAnsi="Arial"/>
                <w:sz w:val="18"/>
                <w:szCs w:val="18"/>
                <w:color w:val="auto"/>
              </w:rPr>
              <w:t>________</w:t>
            </w:r>
          </w:p>
        </w:tc>
        <w:tc>
          <w:tcPr>
            <w:tcW w:w="2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100" w:hanging="172"/>
        <w:spacing w:after="0" w:line="255" w:lineRule="auto"/>
        <w:tabs>
          <w:tab w:leader="none" w:pos="193" w:val="left"/>
        </w:tabs>
        <w:numPr>
          <w:ilvl w:val="0"/>
          <w:numId w:val="86"/>
        </w:numPr>
        <w:rPr>
          <w:rFonts w:ascii="Arial" w:cs="Arial" w:eastAsia="Arial" w:hAnsi="Arial"/>
          <w:sz w:val="22"/>
          <w:szCs w:val="22"/>
          <w:color w:val="auto"/>
          <w:vertAlign w:val="superscript"/>
        </w:rPr>
      </w:pPr>
      <w:r>
        <w:rPr>
          <w:rFonts w:ascii="Arial" w:cs="Arial" w:eastAsia="Arial" w:hAnsi="Arial"/>
          <w:sz w:val="17"/>
          <w:szCs w:val="17"/>
          <w:color w:val="auto"/>
        </w:rPr>
        <w:t>Consists of (i) 11,339,065 RSUs, (ii) 2,417,910 PSUs at target level performance, and (iii) 92,359 stock options outstanding under the Xerox Corporation 2004 Performance Incentive Plan and Xerox Holdings Corporation Performance Incentive Plan, as Amended Through October 21, 2021. The amount also includes 541,336 DSUs and 4,118 DEUs outstanding under the 2021 Amendment and Restatement of the Xerox Holdings Corporation 2004 Equity Compensation Plan for Non-Employee Directors. Because there is no exercise price associated with RSUs, PSUs, DSUs or DEUs, these stock awards are not included in the weighted-average exercise price calculation presented in column (B).</w:t>
      </w:r>
    </w:p>
    <w:p>
      <w:pPr>
        <w:spacing w:after="0" w:line="206" w:lineRule="exact"/>
        <w:rPr>
          <w:rFonts w:ascii="Arial" w:cs="Arial" w:eastAsia="Arial" w:hAnsi="Arial"/>
          <w:sz w:val="22"/>
          <w:szCs w:val="22"/>
          <w:color w:val="auto"/>
          <w:vertAlign w:val="superscript"/>
        </w:rPr>
      </w:pPr>
    </w:p>
    <w:p>
      <w:pPr>
        <w:ind w:left="180" w:right="780" w:hanging="172"/>
        <w:spacing w:after="0" w:line="231" w:lineRule="auto"/>
        <w:tabs>
          <w:tab w:leader="none" w:pos="193" w:val="left"/>
        </w:tabs>
        <w:numPr>
          <w:ilvl w:val="0"/>
          <w:numId w:val="86"/>
        </w:numPr>
        <w:rPr>
          <w:rFonts w:ascii="Arial" w:cs="Arial" w:eastAsia="Arial" w:hAnsi="Arial"/>
          <w:sz w:val="22"/>
          <w:szCs w:val="22"/>
          <w:color w:val="auto"/>
          <w:vertAlign w:val="superscript"/>
        </w:rPr>
      </w:pPr>
      <w:r>
        <w:rPr>
          <w:rFonts w:ascii="Arial" w:cs="Arial" w:eastAsia="Arial" w:hAnsi="Arial"/>
          <w:sz w:val="17"/>
          <w:szCs w:val="17"/>
          <w:color w:val="auto"/>
        </w:rPr>
        <w:t>Any awards made on or after May 22, 2024, are being made under the Xerox Holdings Corporation 2024 Equity and Performance Incentive Plan (EPIP).</w:t>
      </w:r>
    </w:p>
    <w:p>
      <w:pPr>
        <w:ind w:left="180" w:right="60" w:hanging="172"/>
        <w:spacing w:after="0" w:line="247" w:lineRule="auto"/>
        <w:tabs>
          <w:tab w:leader="none" w:pos="193" w:val="left"/>
        </w:tabs>
        <w:numPr>
          <w:ilvl w:val="0"/>
          <w:numId w:val="86"/>
        </w:numPr>
        <w:rPr>
          <w:rFonts w:ascii="Arial" w:cs="Arial" w:eastAsia="Arial" w:hAnsi="Arial"/>
          <w:sz w:val="22"/>
          <w:szCs w:val="22"/>
          <w:color w:val="auto"/>
          <w:vertAlign w:val="superscript"/>
        </w:rPr>
      </w:pPr>
      <w:r>
        <w:rPr>
          <w:rFonts w:ascii="Arial" w:cs="Arial" w:eastAsia="Arial" w:hAnsi="Arial"/>
          <w:sz w:val="17"/>
          <w:szCs w:val="17"/>
          <w:color w:val="auto"/>
        </w:rPr>
        <w:t>In May 2024, shareholders approved a new plan, the Xerox Holdings Corporation 2024 Equity and Performance Incentive Plan, and any awards granted on or after May 22, 2024, are being made under the new plan. The number of shares available for issuance as of March 27, 2026 will be nearly exhausted after the March 2026 annual grant. Please see Proposal 4 in this proxy to increase the number of shares available for future issuance under Xerox's 2024 Equity and Performance Incentive Plan.</w:t>
      </w:r>
    </w:p>
    <w:p>
      <w:pPr>
        <w:ind w:left="180" w:right="180" w:hanging="172"/>
        <w:spacing w:after="0"/>
        <w:tabs>
          <w:tab w:leader="none" w:pos="193" w:val="left"/>
        </w:tabs>
        <w:numPr>
          <w:ilvl w:val="0"/>
          <w:numId w:val="86"/>
        </w:numPr>
        <w:rPr>
          <w:rFonts w:ascii="Arial" w:cs="Arial" w:eastAsia="Arial" w:hAnsi="Arial"/>
          <w:sz w:val="22"/>
          <w:szCs w:val="22"/>
          <w:color w:val="auto"/>
          <w:vertAlign w:val="superscript"/>
        </w:rPr>
      </w:pPr>
      <w:r>
        <w:rPr>
          <w:rFonts w:ascii="Arial" w:cs="Arial" w:eastAsia="Arial" w:hAnsi="Arial"/>
          <w:sz w:val="17"/>
          <w:szCs w:val="17"/>
          <w:color w:val="auto"/>
        </w:rPr>
        <w:t>As of the March 2026 annual grant, all but a nominal amount of securities remaining available for future issue have been granted, leaving minimal securities remaining as of the date of this filing. This is due to the substantial decline in stock price since the March 2025 annual grant.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D92231"/>
        </w:rPr>
        <w:t>CEO PAY RATIO</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accordance with Section 953(b) of the Dodd-Frank Wall Street Reform and Consumer Protection Act of 2012 and SEC rules adopted thereunder, the Company is disclosing the ratio of the annual total compensation of the Chief Executive Officer during fiscal year 2025, Mr. Bandrowczak, to the annual total compensation of the Company’s median employee (excluding the Chief Executive Officer). Mr. Bandrowczak served as the Company’s Chief Executive Officer for the entirety of fiscal year 2025. As disclosed elsewhere in this Proxy Statement, effective March 31, 2026, Mr. Pastor succeeded Mr. Bandrowczak as Chief Executive Officer.</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identified a new median employee since our 2024 pay ratio calculation because there have been changes to our employee population over the last year which would result in a change to our pay ratio disclosure for fiscal year 2025. We identified our median compensated employee using our employee population as of November 30, 2025 using annual total cash compensation as our Consistently Applied Compensation Measure (CACM) for all of our employees. Total cash compensation for these purposes included base salary, annual incentive compensation, any cash commission payments, change in pension value, overtime, and mandated wages paid through December 31, 2025.</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Once the median employee was identified applying our CACM methodology, we calculated the median employee total 2025 annual compensation of $57,753 using the same components of compensation as used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for our NEOs. This total compensation amount was then compared to the total compensation of the CEO disclosed in the Summary Compensation Table in the amount of $ 12,581,826. Based on this information for 2025, the ratio of the CEO’s annual total compensation to the median employee’s annual total compensation was 218 to 1.</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here, as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D92231"/>
        </w:rPr>
        <w:t>PAY VERSUS PERFORMANCE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Pursuant to Section 953(a) of the Dodd-Frank Act and Item 402(v) of SEC Regulation S-K, we are providing the following information about the relationship between executive “Compensation Actually Paid” (CAP) to the Company’s Principal Executive Officer (PEO) and Non-PEO Named Executive Officers (Non-PEO NEOs), and certain aspects of the financial performance of the Company. The Committee does not utilize CAP as the basis for making compensation decisions. For further information concerning our compensation philosophy and how we align executive compensation with our performance, please see our Compensation Discussion &amp; Analysis.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Versus Performance Table</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600" w:type="dxa"/>
            <w:vAlign w:val="bottom"/>
            <w:tcBorders>
              <w:left w:val="single" w:sz="8" w:color="DA2031"/>
              <w:right w:val="single" w:sz="8" w:color="DA2031"/>
            </w:tcBorders>
            <w:shd w:val="clear" w:color="auto" w:fill="DA2031"/>
          </w:tcPr>
          <w:p>
            <w:pPr>
              <w:spacing w:after="0"/>
              <w:rPr>
                <w:sz w:val="13"/>
                <w:szCs w:val="13"/>
                <w:color w:val="auto"/>
              </w:rPr>
            </w:pPr>
          </w:p>
        </w:tc>
        <w:tc>
          <w:tcPr>
            <w:tcW w:w="1200" w:type="dxa"/>
            <w:vAlign w:val="bottom"/>
            <w:tcBorders>
              <w:right w:val="single" w:sz="8" w:color="DA2031"/>
            </w:tcBorders>
            <w:shd w:val="clear" w:color="auto" w:fill="DA2031"/>
          </w:tcPr>
          <w:p>
            <w:pPr>
              <w:spacing w:after="0"/>
              <w:rPr>
                <w:sz w:val="13"/>
                <w:szCs w:val="13"/>
                <w:color w:val="auto"/>
              </w:rPr>
            </w:pPr>
          </w:p>
        </w:tc>
        <w:tc>
          <w:tcPr>
            <w:tcW w:w="1200" w:type="dxa"/>
            <w:vAlign w:val="bottom"/>
            <w:tcBorders>
              <w:right w:val="single" w:sz="8" w:color="DA2031"/>
            </w:tcBorders>
            <w:shd w:val="clear" w:color="auto" w:fill="DA2031"/>
          </w:tcPr>
          <w:p>
            <w:pPr>
              <w:spacing w:after="0"/>
              <w:rPr>
                <w:sz w:val="13"/>
                <w:szCs w:val="13"/>
                <w:color w:val="auto"/>
              </w:rPr>
            </w:pPr>
          </w:p>
        </w:tc>
        <w:tc>
          <w:tcPr>
            <w:tcW w:w="1200" w:type="dxa"/>
            <w:vAlign w:val="bottom"/>
            <w:tcBorders>
              <w:right w:val="single" w:sz="8" w:color="DA2031"/>
            </w:tcBorders>
            <w:shd w:val="clear" w:color="auto" w:fill="DA2031"/>
          </w:tcPr>
          <w:p>
            <w:pPr>
              <w:spacing w:after="0"/>
              <w:rPr>
                <w:sz w:val="13"/>
                <w:szCs w:val="13"/>
                <w:color w:val="auto"/>
              </w:rPr>
            </w:pPr>
          </w:p>
        </w:tc>
        <w:tc>
          <w:tcPr>
            <w:tcW w:w="1140" w:type="dxa"/>
            <w:vAlign w:val="bottom"/>
            <w:tcBorders>
              <w:right w:val="single" w:sz="8" w:color="DA2031"/>
            </w:tcBorders>
            <w:shd w:val="clear" w:color="auto" w:fill="DA2031"/>
          </w:tcPr>
          <w:p>
            <w:pPr>
              <w:spacing w:after="0"/>
              <w:rPr>
                <w:sz w:val="13"/>
                <w:szCs w:val="13"/>
                <w:color w:val="auto"/>
              </w:rPr>
            </w:pPr>
          </w:p>
        </w:tc>
        <w:tc>
          <w:tcPr>
            <w:tcW w:w="1120" w:type="dxa"/>
            <w:vAlign w:val="bottom"/>
            <w:tcBorders>
              <w:right w:val="single" w:sz="8" w:color="DA2031"/>
            </w:tcBorders>
            <w:shd w:val="clear" w:color="auto" w:fill="DA2031"/>
          </w:tcPr>
          <w:p>
            <w:pPr>
              <w:spacing w:after="0"/>
              <w:rPr>
                <w:sz w:val="13"/>
                <w:szCs w:val="13"/>
                <w:color w:val="auto"/>
              </w:rPr>
            </w:pPr>
          </w:p>
        </w:tc>
        <w:tc>
          <w:tcPr>
            <w:tcW w:w="1160" w:type="dxa"/>
            <w:vAlign w:val="bottom"/>
            <w:tcBorders>
              <w:right w:val="single" w:sz="8" w:color="DBDBDB"/>
            </w:tcBorders>
            <w:shd w:val="clear" w:color="auto" w:fill="DA2031"/>
          </w:tcPr>
          <w:p>
            <w:pPr>
              <w:spacing w:after="0"/>
              <w:rPr>
                <w:sz w:val="13"/>
                <w:szCs w:val="13"/>
                <w:color w:val="auto"/>
              </w:rPr>
            </w:pPr>
          </w:p>
        </w:tc>
        <w:tc>
          <w:tcPr>
            <w:tcW w:w="1940" w:type="dxa"/>
            <w:vAlign w:val="bottom"/>
            <w:tcBorders>
              <w:right w:val="single" w:sz="8" w:color="DBDBDB"/>
            </w:tcBorders>
            <w:gridSpan w:val="2"/>
            <w:shd w:val="clear" w:color="auto" w:fill="DA2031"/>
          </w:tcPr>
          <w:p>
            <w:pPr>
              <w:jc w:val="center"/>
              <w:spacing w:after="0"/>
              <w:rPr>
                <w:sz w:val="20"/>
                <w:szCs w:val="20"/>
                <w:color w:val="auto"/>
              </w:rPr>
            </w:pPr>
            <w:r>
              <w:rPr>
                <w:rFonts w:ascii="Arial" w:cs="Arial" w:eastAsia="Arial" w:hAnsi="Arial"/>
                <w:sz w:val="13"/>
                <w:szCs w:val="13"/>
                <w:color w:val="FFFFFF"/>
                <w:w w:val="96"/>
              </w:rPr>
              <w:t>Value of Initial Fixed $100</w:t>
            </w:r>
          </w:p>
        </w:tc>
        <w:tc>
          <w:tcPr>
            <w:tcW w:w="840" w:type="dxa"/>
            <w:vAlign w:val="bottom"/>
            <w:tcBorders>
              <w:right w:val="single" w:sz="8" w:color="DA2031"/>
            </w:tcBorders>
            <w:shd w:val="clear" w:color="auto" w:fill="DA2031"/>
          </w:tcPr>
          <w:p>
            <w:pPr>
              <w:spacing w:after="0"/>
              <w:rPr>
                <w:sz w:val="13"/>
                <w:szCs w:val="13"/>
                <w:color w:val="auto"/>
              </w:rPr>
            </w:pPr>
          </w:p>
        </w:tc>
        <w:tc>
          <w:tcPr>
            <w:tcW w:w="860" w:type="dxa"/>
            <w:vAlign w:val="bottom"/>
            <w:tcBorders>
              <w:right w:val="single" w:sz="8" w:color="DA2031"/>
            </w:tcBorders>
            <w:shd w:val="clear" w:color="auto" w:fill="DA2031"/>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 w:type="dxa"/>
            <w:vAlign w:val="bottom"/>
            <w:tcBorders>
              <w:left w:val="single" w:sz="8" w:color="DA2031"/>
              <w:bottom w:val="single" w:sz="8" w:color="DA2031"/>
              <w:right w:val="single" w:sz="8" w:color="DA2031"/>
            </w:tcBorders>
            <w:shd w:val="clear" w:color="auto" w:fill="DA2031"/>
          </w:tcPr>
          <w:p>
            <w:pPr>
              <w:spacing w:after="0"/>
              <w:rPr>
                <w:sz w:val="15"/>
                <w:szCs w:val="15"/>
                <w:color w:val="auto"/>
              </w:rPr>
            </w:pPr>
          </w:p>
        </w:tc>
        <w:tc>
          <w:tcPr>
            <w:tcW w:w="1200" w:type="dxa"/>
            <w:vAlign w:val="bottom"/>
            <w:tcBorders>
              <w:bottom w:val="single" w:sz="8" w:color="DA2031"/>
              <w:right w:val="single" w:sz="8" w:color="DA2031"/>
            </w:tcBorders>
            <w:shd w:val="clear" w:color="auto" w:fill="DA2031"/>
          </w:tcPr>
          <w:p>
            <w:pPr>
              <w:spacing w:after="0"/>
              <w:rPr>
                <w:sz w:val="15"/>
                <w:szCs w:val="15"/>
                <w:color w:val="auto"/>
              </w:rPr>
            </w:pPr>
          </w:p>
        </w:tc>
        <w:tc>
          <w:tcPr>
            <w:tcW w:w="1200" w:type="dxa"/>
            <w:vAlign w:val="bottom"/>
            <w:tcBorders>
              <w:bottom w:val="single" w:sz="8" w:color="DA2031"/>
              <w:right w:val="single" w:sz="8" w:color="DA2031"/>
            </w:tcBorders>
            <w:shd w:val="clear" w:color="auto" w:fill="DA2031"/>
          </w:tcPr>
          <w:p>
            <w:pPr>
              <w:spacing w:after="0"/>
              <w:rPr>
                <w:sz w:val="15"/>
                <w:szCs w:val="15"/>
                <w:color w:val="auto"/>
              </w:rPr>
            </w:pPr>
          </w:p>
        </w:tc>
        <w:tc>
          <w:tcPr>
            <w:tcW w:w="1200" w:type="dxa"/>
            <w:vAlign w:val="bottom"/>
            <w:tcBorders>
              <w:bottom w:val="single" w:sz="8" w:color="DA2031"/>
              <w:right w:val="single" w:sz="8" w:color="DA2031"/>
            </w:tcBorders>
            <w:shd w:val="clear" w:color="auto" w:fill="DA2031"/>
          </w:tcPr>
          <w:p>
            <w:pPr>
              <w:spacing w:after="0"/>
              <w:rPr>
                <w:sz w:val="15"/>
                <w:szCs w:val="15"/>
                <w:color w:val="auto"/>
              </w:rPr>
            </w:pPr>
          </w:p>
        </w:tc>
        <w:tc>
          <w:tcPr>
            <w:tcW w:w="1140" w:type="dxa"/>
            <w:vAlign w:val="bottom"/>
            <w:tcBorders>
              <w:bottom w:val="single" w:sz="8" w:color="DA2031"/>
              <w:right w:val="single" w:sz="8" w:color="DA2031"/>
            </w:tcBorders>
            <w:shd w:val="clear" w:color="auto" w:fill="DA2031"/>
          </w:tcPr>
          <w:p>
            <w:pPr>
              <w:spacing w:after="0"/>
              <w:rPr>
                <w:sz w:val="15"/>
                <w:szCs w:val="15"/>
                <w:color w:val="auto"/>
              </w:rPr>
            </w:pPr>
          </w:p>
        </w:tc>
        <w:tc>
          <w:tcPr>
            <w:tcW w:w="1120" w:type="dxa"/>
            <w:vAlign w:val="bottom"/>
            <w:tcBorders>
              <w:bottom w:val="single" w:sz="8" w:color="DA2031"/>
              <w:right w:val="single" w:sz="8" w:color="DA2031"/>
            </w:tcBorders>
            <w:shd w:val="clear" w:color="auto" w:fill="DA2031"/>
          </w:tcPr>
          <w:p>
            <w:pPr>
              <w:spacing w:after="0"/>
              <w:rPr>
                <w:sz w:val="15"/>
                <w:szCs w:val="15"/>
                <w:color w:val="auto"/>
              </w:rPr>
            </w:pPr>
          </w:p>
        </w:tc>
        <w:tc>
          <w:tcPr>
            <w:tcW w:w="1160" w:type="dxa"/>
            <w:vAlign w:val="bottom"/>
            <w:tcBorders>
              <w:bottom w:val="single" w:sz="8" w:color="DA2031"/>
              <w:right w:val="single" w:sz="8" w:color="DBDBDB"/>
            </w:tcBorders>
            <w:shd w:val="clear" w:color="auto" w:fill="DA2031"/>
          </w:tcPr>
          <w:p>
            <w:pPr>
              <w:spacing w:after="0"/>
              <w:rPr>
                <w:sz w:val="15"/>
                <w:szCs w:val="15"/>
                <w:color w:val="auto"/>
              </w:rPr>
            </w:pPr>
          </w:p>
        </w:tc>
        <w:tc>
          <w:tcPr>
            <w:tcW w:w="1940" w:type="dxa"/>
            <w:vAlign w:val="bottom"/>
            <w:tcBorders>
              <w:bottom w:val="single" w:sz="8" w:color="DA2031"/>
              <w:right w:val="single" w:sz="8" w:color="DBDBDB"/>
            </w:tcBorders>
            <w:gridSpan w:val="2"/>
            <w:shd w:val="clear" w:color="auto" w:fill="DA2031"/>
          </w:tcPr>
          <w:p>
            <w:pPr>
              <w:jc w:val="center"/>
              <w:spacing w:after="0"/>
              <w:rPr>
                <w:sz w:val="20"/>
                <w:szCs w:val="20"/>
                <w:color w:val="auto"/>
              </w:rPr>
            </w:pPr>
            <w:r>
              <w:rPr>
                <w:rFonts w:ascii="Arial" w:cs="Arial" w:eastAsia="Arial" w:hAnsi="Arial"/>
                <w:sz w:val="13"/>
                <w:szCs w:val="13"/>
                <w:color w:val="FFFFFF"/>
                <w:w w:val="96"/>
              </w:rPr>
              <w:t>Investment Based on:</w:t>
            </w:r>
          </w:p>
        </w:tc>
        <w:tc>
          <w:tcPr>
            <w:tcW w:w="840" w:type="dxa"/>
            <w:vAlign w:val="bottom"/>
            <w:tcBorders>
              <w:bottom w:val="single" w:sz="8" w:color="DA2031"/>
              <w:right w:val="single" w:sz="8" w:color="DA2031"/>
            </w:tcBorders>
            <w:shd w:val="clear" w:color="auto" w:fill="DA2031"/>
          </w:tcPr>
          <w:p>
            <w:pPr>
              <w:spacing w:after="0"/>
              <w:rPr>
                <w:sz w:val="15"/>
                <w:szCs w:val="15"/>
                <w:color w:val="auto"/>
              </w:rPr>
            </w:pPr>
          </w:p>
        </w:tc>
        <w:tc>
          <w:tcPr>
            <w:tcW w:w="860" w:type="dxa"/>
            <w:vAlign w:val="bottom"/>
            <w:tcBorders>
              <w:bottom w:val="single" w:sz="8" w:color="DA2031"/>
              <w:right w:val="single" w:sz="8" w:color="DA2031"/>
            </w:tcBorders>
            <w:shd w:val="clear" w:color="auto" w:fill="DA2031"/>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DBDBDB"/>
              <w:right w:val="single" w:sz="8" w:color="DBDBDB"/>
            </w:tcBorders>
            <w:shd w:val="clear" w:color="auto" w:fill="DA2031"/>
          </w:tcPr>
          <w:p>
            <w:pPr>
              <w:spacing w:after="0"/>
              <w:rPr>
                <w:sz w:val="14"/>
                <w:szCs w:val="14"/>
                <w:color w:val="auto"/>
              </w:rPr>
            </w:pPr>
          </w:p>
        </w:tc>
        <w:tc>
          <w:tcPr>
            <w:tcW w:w="120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7"/>
              </w:rPr>
              <w:t>Summary</w:t>
            </w:r>
          </w:p>
        </w:tc>
        <w:tc>
          <w:tcPr>
            <w:tcW w:w="1200" w:type="dxa"/>
            <w:vAlign w:val="bottom"/>
            <w:tcBorders>
              <w:right w:val="single" w:sz="8" w:color="DBDBDB"/>
            </w:tcBorders>
            <w:shd w:val="clear" w:color="auto" w:fill="DA2031"/>
          </w:tcPr>
          <w:p>
            <w:pPr>
              <w:spacing w:after="0"/>
              <w:rPr>
                <w:sz w:val="14"/>
                <w:szCs w:val="14"/>
                <w:color w:val="auto"/>
              </w:rPr>
            </w:pPr>
          </w:p>
        </w:tc>
        <w:tc>
          <w:tcPr>
            <w:tcW w:w="120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7"/>
              </w:rPr>
              <w:t>Summary</w:t>
            </w:r>
          </w:p>
        </w:tc>
        <w:tc>
          <w:tcPr>
            <w:tcW w:w="114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5"/>
              </w:rPr>
              <w:t>Compensation</w:t>
            </w:r>
          </w:p>
        </w:tc>
        <w:tc>
          <w:tcPr>
            <w:tcW w:w="112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6"/>
              </w:rPr>
              <w:t>Average Summary</w:t>
            </w:r>
          </w:p>
        </w:tc>
        <w:tc>
          <w:tcPr>
            <w:tcW w:w="116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4"/>
              </w:rPr>
              <w:t>Average</w:t>
            </w:r>
          </w:p>
        </w:tc>
        <w:tc>
          <w:tcPr>
            <w:tcW w:w="960" w:type="dxa"/>
            <w:vAlign w:val="bottom"/>
            <w:tcBorders>
              <w:right w:val="single" w:sz="8" w:color="DBDBDB"/>
            </w:tcBorders>
            <w:shd w:val="clear" w:color="auto" w:fill="DA2031"/>
          </w:tcPr>
          <w:p>
            <w:pPr>
              <w:spacing w:after="0"/>
              <w:rPr>
                <w:sz w:val="14"/>
                <w:szCs w:val="14"/>
                <w:color w:val="auto"/>
              </w:rPr>
            </w:pPr>
          </w:p>
        </w:tc>
        <w:tc>
          <w:tcPr>
            <w:tcW w:w="98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5"/>
              </w:rPr>
              <w:t>Peer Group</w:t>
            </w:r>
          </w:p>
        </w:tc>
        <w:tc>
          <w:tcPr>
            <w:tcW w:w="840" w:type="dxa"/>
            <w:vAlign w:val="bottom"/>
            <w:tcBorders>
              <w:right w:val="single" w:sz="8" w:color="DBDBDB"/>
            </w:tcBorders>
            <w:shd w:val="clear" w:color="auto" w:fill="DA2031"/>
          </w:tcPr>
          <w:p>
            <w:pPr>
              <w:spacing w:after="0"/>
              <w:rPr>
                <w:sz w:val="14"/>
                <w:szCs w:val="14"/>
                <w:color w:val="auto"/>
              </w:rPr>
            </w:pPr>
          </w:p>
        </w:tc>
        <w:tc>
          <w:tcPr>
            <w:tcW w:w="860" w:type="dxa"/>
            <w:vAlign w:val="bottom"/>
            <w:tcBorders>
              <w:right w:val="single" w:sz="8" w:color="DBDBDB"/>
            </w:tcBorders>
            <w:vMerge w:val="restart"/>
            <w:shd w:val="clear" w:color="auto" w:fill="DA2031"/>
          </w:tcPr>
          <w:p>
            <w:pPr>
              <w:jc w:val="center"/>
              <w:spacing w:after="0"/>
              <w:rPr>
                <w:sz w:val="20"/>
                <w:szCs w:val="20"/>
                <w:color w:val="auto"/>
              </w:rPr>
            </w:pPr>
            <w:r>
              <w:rPr>
                <w:rFonts w:ascii="Arial" w:cs="Arial" w:eastAsia="Arial" w:hAnsi="Arial"/>
                <w:sz w:val="13"/>
                <w:szCs w:val="13"/>
                <w:color w:val="FFFFFF"/>
                <w:w w:val="94"/>
              </w:rPr>
              <w:t xml:space="preserve">Adj. </w:t>
            </w:r>
            <w:r>
              <w:rPr>
                <w:rFonts w:ascii="Arial" w:cs="Arial" w:eastAsia="Arial" w:hAnsi="Arial"/>
                <w:sz w:val="21"/>
                <w:szCs w:val="21"/>
                <w:color w:val="FFFFFF"/>
                <w:w w:val="94"/>
                <w:vertAlign w:val="superscript"/>
              </w:rPr>
              <w:t>6</w:t>
            </w:r>
          </w:p>
        </w:tc>
        <w:tc>
          <w:tcPr>
            <w:tcW w:w="0" w:type="dxa"/>
            <w:vAlign w:val="bottom"/>
          </w:tcPr>
          <w:p>
            <w:pPr>
              <w:spacing w:after="0"/>
              <w:rPr>
                <w:sz w:val="1"/>
                <w:szCs w:val="1"/>
                <w:color w:val="auto"/>
              </w:rPr>
            </w:pPr>
          </w:p>
        </w:tc>
      </w:tr>
      <w:tr>
        <w:trPr>
          <w:trHeight w:val="148"/>
        </w:trPr>
        <w:tc>
          <w:tcPr>
            <w:tcW w:w="600" w:type="dxa"/>
            <w:vAlign w:val="bottom"/>
            <w:tcBorders>
              <w:left w:val="single" w:sz="8" w:color="DBDBDB"/>
              <w:right w:val="single" w:sz="8" w:color="DBDBDB"/>
            </w:tcBorders>
            <w:shd w:val="clear" w:color="auto" w:fill="DA2031"/>
          </w:tcPr>
          <w:p>
            <w:pPr>
              <w:spacing w:after="0"/>
              <w:rPr>
                <w:sz w:val="12"/>
                <w:szCs w:val="12"/>
                <w:color w:val="auto"/>
              </w:rPr>
            </w:pPr>
          </w:p>
        </w:tc>
        <w:tc>
          <w:tcPr>
            <w:tcW w:w="120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6"/>
              </w:rPr>
              <w:t>Compensation Table</w:t>
            </w:r>
          </w:p>
        </w:tc>
        <w:tc>
          <w:tcPr>
            <w:tcW w:w="120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7"/>
              </w:rPr>
              <w:t>Compensation</w:t>
            </w:r>
          </w:p>
        </w:tc>
        <w:tc>
          <w:tcPr>
            <w:tcW w:w="120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5"/>
              </w:rPr>
              <w:t>Compensation Table</w:t>
            </w:r>
          </w:p>
        </w:tc>
        <w:tc>
          <w:tcPr>
            <w:tcW w:w="114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6"/>
              </w:rPr>
              <w:t>Actually Paid to Mr.</w:t>
            </w:r>
          </w:p>
        </w:tc>
        <w:tc>
          <w:tcPr>
            <w:tcW w:w="112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7"/>
              </w:rPr>
              <w:t>Compensation</w:t>
            </w:r>
          </w:p>
        </w:tc>
        <w:tc>
          <w:tcPr>
            <w:tcW w:w="116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7"/>
              </w:rPr>
              <w:t>Compensation</w:t>
            </w:r>
          </w:p>
        </w:tc>
        <w:tc>
          <w:tcPr>
            <w:tcW w:w="96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89"/>
              </w:rPr>
              <w:t>Total</w:t>
            </w:r>
          </w:p>
        </w:tc>
        <w:tc>
          <w:tcPr>
            <w:tcW w:w="98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6"/>
              </w:rPr>
              <w:t>Total</w:t>
            </w:r>
          </w:p>
        </w:tc>
        <w:tc>
          <w:tcPr>
            <w:tcW w:w="84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6"/>
              </w:rPr>
              <w:t>GAAP Net</w:t>
            </w:r>
          </w:p>
        </w:tc>
        <w:tc>
          <w:tcPr>
            <w:tcW w:w="860" w:type="dxa"/>
            <w:vAlign w:val="bottom"/>
            <w:tcBorders>
              <w:right w:val="single" w:sz="8" w:color="DBDBDB"/>
            </w:tcBorders>
            <w:vMerge w:val="continue"/>
            <w:shd w:val="clear" w:color="auto" w:fill="DA2031"/>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00" w:type="dxa"/>
            <w:vAlign w:val="bottom"/>
            <w:tcBorders>
              <w:left w:val="single" w:sz="8" w:color="DBDBDB"/>
              <w:right w:val="single" w:sz="8" w:color="DBDBDB"/>
            </w:tcBorders>
            <w:shd w:val="clear" w:color="auto" w:fill="DA2031"/>
          </w:tcPr>
          <w:p>
            <w:pPr>
              <w:spacing w:after="0"/>
              <w:rPr>
                <w:sz w:val="10"/>
                <w:szCs w:val="10"/>
                <w:color w:val="auto"/>
              </w:rPr>
            </w:pPr>
          </w:p>
        </w:tc>
        <w:tc>
          <w:tcPr>
            <w:tcW w:w="120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5"/>
              </w:rPr>
              <w:t>Total for Mr. Visentin</w:t>
            </w:r>
          </w:p>
        </w:tc>
        <w:tc>
          <w:tcPr>
            <w:tcW w:w="120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6"/>
              </w:rPr>
              <w:t>Actually Paid to Mr.</w:t>
            </w:r>
          </w:p>
        </w:tc>
        <w:tc>
          <w:tcPr>
            <w:tcW w:w="120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4"/>
              </w:rPr>
              <w:t>Total for Mr.</w:t>
            </w:r>
          </w:p>
        </w:tc>
        <w:tc>
          <w:tcPr>
            <w:tcW w:w="114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7"/>
              </w:rPr>
              <w:t>Bandrowczak</w:t>
            </w:r>
          </w:p>
        </w:tc>
        <w:tc>
          <w:tcPr>
            <w:tcW w:w="112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3"/>
              </w:rPr>
              <w:t>Table Total for</w:t>
            </w:r>
          </w:p>
        </w:tc>
        <w:tc>
          <w:tcPr>
            <w:tcW w:w="116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5"/>
              </w:rPr>
              <w:t>Actually Paid to</w:t>
            </w:r>
          </w:p>
        </w:tc>
        <w:tc>
          <w:tcPr>
            <w:tcW w:w="96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8"/>
              </w:rPr>
              <w:t>Shareholder</w:t>
            </w:r>
          </w:p>
        </w:tc>
        <w:tc>
          <w:tcPr>
            <w:tcW w:w="98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5"/>
              </w:rPr>
              <w:t>Shareholder</w:t>
            </w:r>
          </w:p>
        </w:tc>
        <w:tc>
          <w:tcPr>
            <w:tcW w:w="84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7"/>
              </w:rPr>
              <w:t>(Loss) Income</w:t>
            </w:r>
          </w:p>
        </w:tc>
        <w:tc>
          <w:tcPr>
            <w:tcW w:w="860" w:type="dxa"/>
            <w:vAlign w:val="bottom"/>
            <w:tcBorders>
              <w:right w:val="single" w:sz="8" w:color="DBDBDB"/>
            </w:tcBorders>
            <w:shd w:val="clear" w:color="auto" w:fill="DA2031"/>
          </w:tcPr>
          <w:p>
            <w:pPr>
              <w:jc w:val="center"/>
              <w:spacing w:after="0" w:line="126" w:lineRule="exact"/>
              <w:rPr>
                <w:sz w:val="20"/>
                <w:szCs w:val="20"/>
                <w:color w:val="auto"/>
              </w:rPr>
            </w:pPr>
            <w:r>
              <w:rPr>
                <w:rFonts w:ascii="Arial" w:cs="Arial" w:eastAsia="Arial" w:hAnsi="Arial"/>
                <w:sz w:val="13"/>
                <w:szCs w:val="13"/>
                <w:color w:val="FFFFFF"/>
                <w:w w:val="93"/>
              </w:rPr>
              <w:t>EBITDA</w:t>
            </w:r>
          </w:p>
        </w:tc>
        <w:tc>
          <w:tcPr>
            <w:tcW w:w="0" w:type="dxa"/>
            <w:vAlign w:val="bottom"/>
          </w:tcPr>
          <w:p>
            <w:pPr>
              <w:spacing w:after="0"/>
              <w:rPr>
                <w:sz w:val="1"/>
                <w:szCs w:val="1"/>
                <w:color w:val="auto"/>
              </w:rPr>
            </w:pPr>
          </w:p>
        </w:tc>
      </w:tr>
      <w:tr>
        <w:trPr>
          <w:trHeight w:val="229"/>
        </w:trPr>
        <w:tc>
          <w:tcPr>
            <w:tcW w:w="600" w:type="dxa"/>
            <w:vAlign w:val="bottom"/>
            <w:tcBorders>
              <w:left w:val="single" w:sz="8" w:color="DBDBDB"/>
              <w:right w:val="single" w:sz="8" w:color="DBDBDB"/>
            </w:tcBorders>
            <w:shd w:val="clear" w:color="auto" w:fill="DA2031"/>
          </w:tcPr>
          <w:p>
            <w:pPr>
              <w:ind w:left="40"/>
              <w:spacing w:after="0" w:line="230" w:lineRule="exact"/>
              <w:rPr>
                <w:sz w:val="20"/>
                <w:szCs w:val="20"/>
                <w:color w:val="auto"/>
              </w:rPr>
            </w:pPr>
            <w:r>
              <w:rPr>
                <w:rFonts w:ascii="Arial" w:cs="Arial" w:eastAsia="Arial" w:hAnsi="Arial"/>
                <w:sz w:val="13"/>
                <w:szCs w:val="13"/>
                <w:color w:val="FFFFFF"/>
              </w:rPr>
              <w:t>Year</w:t>
            </w:r>
            <w:r>
              <w:rPr>
                <w:rFonts w:ascii="Arial" w:cs="Arial" w:eastAsia="Arial" w:hAnsi="Arial"/>
                <w:sz w:val="21"/>
                <w:szCs w:val="21"/>
                <w:color w:val="FFFFFF"/>
                <w:vertAlign w:val="superscript"/>
              </w:rPr>
              <w:t>1</w:t>
            </w:r>
          </w:p>
        </w:tc>
        <w:tc>
          <w:tcPr>
            <w:tcW w:w="1200" w:type="dxa"/>
            <w:vAlign w:val="bottom"/>
            <w:tcBorders>
              <w:right w:val="single" w:sz="8" w:color="DBDBDB"/>
            </w:tcBorders>
            <w:shd w:val="clear" w:color="auto" w:fill="DA2031"/>
          </w:tcPr>
          <w:p>
            <w:pPr>
              <w:jc w:val="center"/>
              <w:spacing w:after="0" w:line="230" w:lineRule="exact"/>
              <w:rPr>
                <w:sz w:val="20"/>
                <w:szCs w:val="20"/>
                <w:color w:val="auto"/>
              </w:rPr>
            </w:pPr>
            <w:r>
              <w:rPr>
                <w:rFonts w:ascii="Arial" w:cs="Arial" w:eastAsia="Arial" w:hAnsi="Arial"/>
                <w:sz w:val="13"/>
                <w:szCs w:val="13"/>
                <w:color w:val="FFFFFF"/>
                <w:w w:val="90"/>
              </w:rPr>
              <w:t>PEO</w:t>
            </w:r>
            <w:r>
              <w:rPr>
                <w:rFonts w:ascii="Arial" w:cs="Arial" w:eastAsia="Arial" w:hAnsi="Arial"/>
                <w:sz w:val="21"/>
                <w:szCs w:val="21"/>
                <w:color w:val="FFFFFF"/>
                <w:w w:val="90"/>
                <w:vertAlign w:val="superscript"/>
              </w:rPr>
              <w:t>2</w:t>
            </w:r>
          </w:p>
        </w:tc>
        <w:tc>
          <w:tcPr>
            <w:tcW w:w="1200" w:type="dxa"/>
            <w:vAlign w:val="bottom"/>
            <w:tcBorders>
              <w:right w:val="single" w:sz="8" w:color="DBDBDB"/>
            </w:tcBorders>
            <w:shd w:val="clear" w:color="auto" w:fill="DA2031"/>
          </w:tcPr>
          <w:p>
            <w:pPr>
              <w:jc w:val="center"/>
              <w:spacing w:after="0" w:line="230" w:lineRule="exact"/>
              <w:rPr>
                <w:sz w:val="20"/>
                <w:szCs w:val="20"/>
                <w:color w:val="auto"/>
              </w:rPr>
            </w:pPr>
            <w:r>
              <w:rPr>
                <w:rFonts w:ascii="Arial" w:cs="Arial" w:eastAsia="Arial" w:hAnsi="Arial"/>
                <w:sz w:val="13"/>
                <w:szCs w:val="13"/>
                <w:color w:val="FFFFFF"/>
                <w:w w:val="93"/>
              </w:rPr>
              <w:t>Visentin PEO</w:t>
            </w:r>
            <w:r>
              <w:rPr>
                <w:rFonts w:ascii="Arial" w:cs="Arial" w:eastAsia="Arial" w:hAnsi="Arial"/>
                <w:sz w:val="21"/>
                <w:szCs w:val="21"/>
                <w:color w:val="FFFFFF"/>
                <w:w w:val="93"/>
                <w:vertAlign w:val="superscript"/>
              </w:rPr>
              <w:t>3</w:t>
            </w:r>
          </w:p>
        </w:tc>
        <w:tc>
          <w:tcPr>
            <w:tcW w:w="1200" w:type="dxa"/>
            <w:vAlign w:val="bottom"/>
            <w:tcBorders>
              <w:right w:val="single" w:sz="8" w:color="DBDBDB"/>
            </w:tcBorders>
            <w:shd w:val="clear" w:color="auto" w:fill="DA2031"/>
          </w:tcPr>
          <w:p>
            <w:pPr>
              <w:jc w:val="center"/>
              <w:spacing w:after="0" w:line="230" w:lineRule="exact"/>
              <w:rPr>
                <w:sz w:val="20"/>
                <w:szCs w:val="20"/>
                <w:color w:val="auto"/>
              </w:rPr>
            </w:pPr>
            <w:r>
              <w:rPr>
                <w:rFonts w:ascii="Arial" w:cs="Arial" w:eastAsia="Arial" w:hAnsi="Arial"/>
                <w:sz w:val="13"/>
                <w:szCs w:val="13"/>
                <w:color w:val="FFFFFF"/>
                <w:w w:val="95"/>
              </w:rPr>
              <w:t>Bandrowczak PEO</w:t>
            </w:r>
            <w:r>
              <w:rPr>
                <w:rFonts w:ascii="Arial" w:cs="Arial" w:eastAsia="Arial" w:hAnsi="Arial"/>
                <w:sz w:val="21"/>
                <w:szCs w:val="21"/>
                <w:color w:val="FFFFFF"/>
                <w:w w:val="95"/>
                <w:vertAlign w:val="superscript"/>
              </w:rPr>
              <w:t>2</w:t>
            </w:r>
          </w:p>
        </w:tc>
        <w:tc>
          <w:tcPr>
            <w:tcW w:w="1140" w:type="dxa"/>
            <w:vAlign w:val="bottom"/>
            <w:tcBorders>
              <w:right w:val="single" w:sz="8" w:color="DBDBDB"/>
            </w:tcBorders>
            <w:shd w:val="clear" w:color="auto" w:fill="DA2031"/>
          </w:tcPr>
          <w:p>
            <w:pPr>
              <w:jc w:val="center"/>
              <w:spacing w:after="0" w:line="230" w:lineRule="exact"/>
              <w:rPr>
                <w:sz w:val="20"/>
                <w:szCs w:val="20"/>
                <w:color w:val="auto"/>
              </w:rPr>
            </w:pPr>
            <w:r>
              <w:rPr>
                <w:rFonts w:ascii="Arial" w:cs="Arial" w:eastAsia="Arial" w:hAnsi="Arial"/>
                <w:sz w:val="13"/>
                <w:szCs w:val="13"/>
                <w:color w:val="FFFFFF"/>
                <w:w w:val="90"/>
              </w:rPr>
              <w:t>PEO</w:t>
            </w:r>
            <w:r>
              <w:rPr>
                <w:rFonts w:ascii="Arial" w:cs="Arial" w:eastAsia="Arial" w:hAnsi="Arial"/>
                <w:sz w:val="21"/>
                <w:szCs w:val="21"/>
                <w:color w:val="FFFFFF"/>
                <w:w w:val="90"/>
                <w:vertAlign w:val="superscript"/>
              </w:rPr>
              <w:t>3</w:t>
            </w:r>
          </w:p>
        </w:tc>
        <w:tc>
          <w:tcPr>
            <w:tcW w:w="1120" w:type="dxa"/>
            <w:vAlign w:val="bottom"/>
            <w:tcBorders>
              <w:right w:val="single" w:sz="8" w:color="DBDBDB"/>
            </w:tcBorders>
            <w:shd w:val="clear" w:color="auto" w:fill="DA2031"/>
          </w:tcPr>
          <w:p>
            <w:pPr>
              <w:jc w:val="center"/>
              <w:spacing w:after="0" w:line="230" w:lineRule="exact"/>
              <w:rPr>
                <w:sz w:val="20"/>
                <w:szCs w:val="20"/>
                <w:color w:val="auto"/>
              </w:rPr>
            </w:pPr>
            <w:r>
              <w:rPr>
                <w:rFonts w:ascii="Arial" w:cs="Arial" w:eastAsia="Arial" w:hAnsi="Arial"/>
                <w:sz w:val="13"/>
                <w:szCs w:val="13"/>
                <w:color w:val="FFFFFF"/>
                <w:w w:val="96"/>
              </w:rPr>
              <w:t>Non-PEO NEOs</w:t>
            </w:r>
            <w:r>
              <w:rPr>
                <w:rFonts w:ascii="Arial" w:cs="Arial" w:eastAsia="Arial" w:hAnsi="Arial"/>
                <w:sz w:val="21"/>
                <w:szCs w:val="21"/>
                <w:color w:val="FFFFFF"/>
                <w:w w:val="96"/>
                <w:vertAlign w:val="superscript"/>
              </w:rPr>
              <w:t>2</w:t>
            </w:r>
          </w:p>
        </w:tc>
        <w:tc>
          <w:tcPr>
            <w:tcW w:w="1160" w:type="dxa"/>
            <w:vAlign w:val="bottom"/>
            <w:tcBorders>
              <w:right w:val="single" w:sz="8" w:color="DBDBDB"/>
            </w:tcBorders>
            <w:shd w:val="clear" w:color="auto" w:fill="DA2031"/>
          </w:tcPr>
          <w:p>
            <w:pPr>
              <w:jc w:val="center"/>
              <w:spacing w:after="0" w:line="230" w:lineRule="exact"/>
              <w:rPr>
                <w:sz w:val="20"/>
                <w:szCs w:val="20"/>
                <w:color w:val="auto"/>
              </w:rPr>
            </w:pPr>
            <w:r>
              <w:rPr>
                <w:rFonts w:ascii="Arial" w:cs="Arial" w:eastAsia="Arial" w:hAnsi="Arial"/>
                <w:sz w:val="13"/>
                <w:szCs w:val="13"/>
                <w:color w:val="FFFFFF"/>
                <w:w w:val="94"/>
              </w:rPr>
              <w:t>Other NEOs</w:t>
            </w:r>
            <w:r>
              <w:rPr>
                <w:rFonts w:ascii="Arial" w:cs="Arial" w:eastAsia="Arial" w:hAnsi="Arial"/>
                <w:sz w:val="21"/>
                <w:szCs w:val="21"/>
                <w:color w:val="FFFFFF"/>
                <w:w w:val="94"/>
                <w:vertAlign w:val="superscript"/>
              </w:rPr>
              <w:t>3</w:t>
            </w:r>
          </w:p>
        </w:tc>
        <w:tc>
          <w:tcPr>
            <w:tcW w:w="960" w:type="dxa"/>
            <w:vAlign w:val="bottom"/>
            <w:tcBorders>
              <w:right w:val="single" w:sz="8" w:color="DBDBDB"/>
            </w:tcBorders>
            <w:shd w:val="clear" w:color="auto" w:fill="DA2031"/>
          </w:tcPr>
          <w:p>
            <w:pPr>
              <w:jc w:val="center"/>
              <w:spacing w:after="0" w:line="230" w:lineRule="exact"/>
              <w:rPr>
                <w:sz w:val="20"/>
                <w:szCs w:val="20"/>
                <w:color w:val="auto"/>
              </w:rPr>
            </w:pPr>
            <w:r>
              <w:rPr>
                <w:rFonts w:ascii="Arial" w:cs="Arial" w:eastAsia="Arial" w:hAnsi="Arial"/>
                <w:sz w:val="13"/>
                <w:szCs w:val="13"/>
                <w:color w:val="FFFFFF"/>
                <w:w w:val="91"/>
              </w:rPr>
              <w:t xml:space="preserve">Return </w:t>
            </w:r>
            <w:r>
              <w:rPr>
                <w:rFonts w:ascii="Arial" w:cs="Arial" w:eastAsia="Arial" w:hAnsi="Arial"/>
                <w:sz w:val="21"/>
                <w:szCs w:val="21"/>
                <w:color w:val="FFFFFF"/>
                <w:w w:val="91"/>
                <w:vertAlign w:val="superscript"/>
              </w:rPr>
              <w:t>4</w:t>
            </w:r>
          </w:p>
        </w:tc>
        <w:tc>
          <w:tcPr>
            <w:tcW w:w="980" w:type="dxa"/>
            <w:vAlign w:val="bottom"/>
            <w:tcBorders>
              <w:right w:val="single" w:sz="8" w:color="DBDBDB"/>
            </w:tcBorders>
            <w:shd w:val="clear" w:color="auto" w:fill="DA2031"/>
          </w:tcPr>
          <w:p>
            <w:pPr>
              <w:jc w:val="center"/>
              <w:spacing w:after="0" w:line="230" w:lineRule="exact"/>
              <w:rPr>
                <w:sz w:val="20"/>
                <w:szCs w:val="20"/>
                <w:color w:val="auto"/>
              </w:rPr>
            </w:pPr>
            <w:r>
              <w:rPr>
                <w:rFonts w:ascii="Arial" w:cs="Arial" w:eastAsia="Arial" w:hAnsi="Arial"/>
                <w:sz w:val="13"/>
                <w:szCs w:val="13"/>
                <w:color w:val="FFFFFF"/>
                <w:w w:val="95"/>
              </w:rPr>
              <w:t xml:space="preserve">Return </w:t>
            </w:r>
            <w:r>
              <w:rPr>
                <w:rFonts w:ascii="Arial" w:cs="Arial" w:eastAsia="Arial" w:hAnsi="Arial"/>
                <w:sz w:val="21"/>
                <w:szCs w:val="21"/>
                <w:color w:val="FFFFFF"/>
                <w:w w:val="95"/>
                <w:vertAlign w:val="superscript"/>
              </w:rPr>
              <w:t>5</w:t>
            </w:r>
          </w:p>
        </w:tc>
        <w:tc>
          <w:tcPr>
            <w:tcW w:w="84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6"/>
              </w:rPr>
              <w:t>(millions)</w:t>
            </w:r>
          </w:p>
        </w:tc>
        <w:tc>
          <w:tcPr>
            <w:tcW w:w="860" w:type="dxa"/>
            <w:vAlign w:val="bottom"/>
            <w:tcBorders>
              <w:right w:val="single" w:sz="8" w:color="DBDBDB"/>
            </w:tcBorders>
            <w:shd w:val="clear" w:color="auto" w:fill="DA2031"/>
          </w:tcPr>
          <w:p>
            <w:pPr>
              <w:jc w:val="center"/>
              <w:spacing w:after="0"/>
              <w:rPr>
                <w:sz w:val="20"/>
                <w:szCs w:val="20"/>
                <w:color w:val="auto"/>
              </w:rPr>
            </w:pPr>
            <w:r>
              <w:rPr>
                <w:rFonts w:ascii="Arial" w:cs="Arial" w:eastAsia="Arial" w:hAnsi="Arial"/>
                <w:sz w:val="13"/>
                <w:szCs w:val="13"/>
                <w:color w:val="FFFFFF"/>
                <w:w w:val="99"/>
              </w:rPr>
              <w:t>(millions)</w:t>
            </w:r>
          </w:p>
        </w:tc>
        <w:tc>
          <w:tcPr>
            <w:tcW w:w="0" w:type="dxa"/>
            <w:vAlign w:val="bottom"/>
          </w:tcPr>
          <w:p>
            <w:pPr>
              <w:spacing w:after="0"/>
              <w:rPr>
                <w:sz w:val="1"/>
                <w:szCs w:val="1"/>
                <w:color w:val="auto"/>
              </w:rPr>
            </w:pPr>
          </w:p>
        </w:tc>
      </w:tr>
      <w:tr>
        <w:trPr>
          <w:trHeight w:val="210"/>
        </w:trPr>
        <w:tc>
          <w:tcPr>
            <w:tcW w:w="600" w:type="dxa"/>
            <w:vAlign w:val="bottom"/>
            <w:tcBorders>
              <w:left w:val="single" w:sz="8" w:color="DBDBDB"/>
              <w:bottom w:val="single" w:sz="8" w:color="DBDBDB"/>
              <w:right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2025</w:t>
            </w:r>
          </w:p>
        </w:tc>
        <w:tc>
          <w:tcPr>
            <w:tcW w:w="120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$12,581,826</w:t>
            </w:r>
          </w:p>
        </w:tc>
        <w:tc>
          <w:tcPr>
            <w:tcW w:w="114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9"/>
              </w:rPr>
              <w:t>$(1,401)</w:t>
            </w:r>
          </w:p>
        </w:tc>
        <w:tc>
          <w:tcPr>
            <w:tcW w:w="112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$3,272,657</w:t>
            </w:r>
          </w:p>
        </w:tc>
        <w:tc>
          <w:tcPr>
            <w:tcW w:w="116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$551,182</w:t>
            </w:r>
          </w:p>
        </w:tc>
        <w:tc>
          <w:tcPr>
            <w:tcW w:w="96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$13.85</w:t>
            </w:r>
          </w:p>
        </w:tc>
        <w:tc>
          <w:tcPr>
            <w:tcW w:w="98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$196.79</w:t>
            </w:r>
          </w:p>
        </w:tc>
        <w:tc>
          <w:tcPr>
            <w:tcW w:w="84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$(1,029)</w:t>
            </w:r>
          </w:p>
        </w:tc>
        <w:tc>
          <w:tcPr>
            <w:tcW w:w="86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98"/>
        </w:trPr>
        <w:tc>
          <w:tcPr>
            <w:tcW w:w="600" w:type="dxa"/>
            <w:vAlign w:val="bottom"/>
            <w:tcBorders>
              <w:left w:val="single" w:sz="8" w:color="DBDBDB"/>
              <w:right w:val="single" w:sz="8" w:color="DBDBDB"/>
            </w:tcBorders>
          </w:tcPr>
          <w:p>
            <w:pPr>
              <w:ind w:left="40"/>
              <w:spacing w:after="0"/>
              <w:rPr>
                <w:sz w:val="20"/>
                <w:szCs w:val="20"/>
                <w:color w:val="auto"/>
              </w:rPr>
            </w:pPr>
            <w:r>
              <w:rPr>
                <w:rFonts w:ascii="Arial" w:cs="Arial" w:eastAsia="Arial" w:hAnsi="Arial"/>
                <w:sz w:val="14"/>
                <w:szCs w:val="14"/>
                <w:color w:val="auto"/>
              </w:rPr>
              <w:t>2024</w:t>
            </w:r>
          </w:p>
        </w:tc>
        <w:tc>
          <w:tcPr>
            <w:tcW w:w="120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$14,320,642</w:t>
            </w:r>
          </w:p>
        </w:tc>
        <w:tc>
          <w:tcPr>
            <w:tcW w:w="114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$(376,188)</w:t>
            </w:r>
          </w:p>
        </w:tc>
        <w:tc>
          <w:tcPr>
            <w:tcW w:w="112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$6,605,625</w:t>
            </w:r>
          </w:p>
        </w:tc>
        <w:tc>
          <w:tcPr>
            <w:tcW w:w="116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$1,328,006</w:t>
            </w:r>
          </w:p>
        </w:tc>
        <w:tc>
          <w:tcPr>
            <w:tcW w:w="96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$47.03</w:t>
            </w:r>
          </w:p>
        </w:tc>
        <w:tc>
          <w:tcPr>
            <w:tcW w:w="98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$154.64</w:t>
            </w:r>
          </w:p>
        </w:tc>
        <w:tc>
          <w:tcPr>
            <w:tcW w:w="84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$(1,321)</w:t>
            </w:r>
          </w:p>
        </w:tc>
        <w:tc>
          <w:tcPr>
            <w:tcW w:w="86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13"/>
        </w:trPr>
        <w:tc>
          <w:tcPr>
            <w:tcW w:w="600" w:type="dxa"/>
            <w:vAlign w:val="bottom"/>
            <w:tcBorders>
              <w:left w:val="single" w:sz="8" w:color="DBDBDB"/>
              <w:bottom w:val="single" w:sz="8" w:color="DBDBDB"/>
              <w:right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2023</w:t>
            </w:r>
          </w:p>
        </w:tc>
        <w:tc>
          <w:tcPr>
            <w:tcW w:w="120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$12,844,686</w:t>
            </w:r>
          </w:p>
        </w:tc>
        <w:tc>
          <w:tcPr>
            <w:tcW w:w="114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$14,069,073</w:t>
            </w:r>
          </w:p>
        </w:tc>
        <w:tc>
          <w:tcPr>
            <w:tcW w:w="112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9"/>
              </w:rPr>
              <w:t>$5,251,711</w:t>
            </w:r>
          </w:p>
        </w:tc>
        <w:tc>
          <w:tcPr>
            <w:tcW w:w="116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w w:val="99"/>
              </w:rPr>
              <w:t>$4,795,117</w:t>
            </w:r>
          </w:p>
        </w:tc>
        <w:tc>
          <w:tcPr>
            <w:tcW w:w="96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$93.72</w:t>
            </w:r>
          </w:p>
        </w:tc>
        <w:tc>
          <w:tcPr>
            <w:tcW w:w="98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$113.31</w:t>
            </w:r>
          </w:p>
        </w:tc>
        <w:tc>
          <w:tcPr>
            <w:tcW w:w="84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DBDBDB"/>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98"/>
        </w:trPr>
        <w:tc>
          <w:tcPr>
            <w:tcW w:w="600" w:type="dxa"/>
            <w:vAlign w:val="bottom"/>
            <w:tcBorders>
              <w:left w:val="single" w:sz="8" w:color="DBDBDB"/>
              <w:right w:val="single" w:sz="8" w:color="DBDBDB"/>
            </w:tcBorders>
          </w:tcPr>
          <w:p>
            <w:pPr>
              <w:ind w:left="40"/>
              <w:spacing w:after="0"/>
              <w:rPr>
                <w:sz w:val="20"/>
                <w:szCs w:val="20"/>
                <w:color w:val="auto"/>
              </w:rPr>
            </w:pPr>
            <w:r>
              <w:rPr>
                <w:rFonts w:ascii="Arial" w:cs="Arial" w:eastAsia="Arial" w:hAnsi="Arial"/>
                <w:sz w:val="14"/>
                <w:szCs w:val="14"/>
                <w:color w:val="auto"/>
              </w:rPr>
              <w:t>2022</w:t>
            </w:r>
          </w:p>
        </w:tc>
        <w:tc>
          <w:tcPr>
            <w:tcW w:w="120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$11,192,336</w:t>
            </w:r>
          </w:p>
        </w:tc>
        <w:tc>
          <w:tcPr>
            <w:tcW w:w="120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$5,216,828</w:t>
            </w:r>
          </w:p>
        </w:tc>
        <w:tc>
          <w:tcPr>
            <w:tcW w:w="120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$8,561,267</w:t>
            </w:r>
          </w:p>
        </w:tc>
        <w:tc>
          <w:tcPr>
            <w:tcW w:w="114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$4,746,408</w:t>
            </w:r>
          </w:p>
        </w:tc>
        <w:tc>
          <w:tcPr>
            <w:tcW w:w="112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$2,981,034</w:t>
            </w:r>
          </w:p>
        </w:tc>
        <w:tc>
          <w:tcPr>
            <w:tcW w:w="116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$1,785,941</w:t>
            </w:r>
          </w:p>
        </w:tc>
        <w:tc>
          <w:tcPr>
            <w:tcW w:w="96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$70.04</w:t>
            </w:r>
          </w:p>
        </w:tc>
        <w:tc>
          <w:tcPr>
            <w:tcW w:w="98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$79.22</w:t>
            </w:r>
          </w:p>
        </w:tc>
        <w:tc>
          <w:tcPr>
            <w:tcW w:w="84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$(322)</w:t>
            </w:r>
          </w:p>
        </w:tc>
        <w:tc>
          <w:tcPr>
            <w:tcW w:w="860" w:type="dxa"/>
            <w:vAlign w:val="bottom"/>
            <w:tcBorders>
              <w:right w:val="single" w:sz="8" w:color="DBDBDB"/>
            </w:tcBorders>
          </w:tcPr>
          <w:p>
            <w:pPr>
              <w:jc w:val="center"/>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12"/>
        </w:trPr>
        <w:tc>
          <w:tcPr>
            <w:tcW w:w="600" w:type="dxa"/>
            <w:vAlign w:val="bottom"/>
            <w:tcBorders>
              <w:left w:val="single" w:sz="8" w:color="DBDBDB"/>
              <w:right w:val="single" w:sz="8" w:color="DBDBDB"/>
            </w:tcBorders>
            <w:shd w:val="clear" w:color="auto" w:fill="DBDBDB"/>
          </w:tcPr>
          <w:p>
            <w:pPr>
              <w:ind w:left="40"/>
              <w:spacing w:after="0"/>
              <w:rPr>
                <w:sz w:val="20"/>
                <w:szCs w:val="20"/>
                <w:color w:val="auto"/>
              </w:rPr>
            </w:pPr>
            <w:r>
              <w:rPr>
                <w:rFonts w:ascii="Arial" w:cs="Arial" w:eastAsia="Arial" w:hAnsi="Arial"/>
                <w:sz w:val="14"/>
                <w:szCs w:val="14"/>
                <w:color w:val="auto"/>
              </w:rPr>
              <w:t>2021</w:t>
            </w:r>
          </w:p>
        </w:tc>
        <w:tc>
          <w:tcPr>
            <w:tcW w:w="120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$12,418,877</w:t>
            </w:r>
          </w:p>
        </w:tc>
        <w:tc>
          <w:tcPr>
            <w:tcW w:w="120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$5,930,335</w:t>
            </w:r>
          </w:p>
        </w:tc>
        <w:tc>
          <w:tcPr>
            <w:tcW w:w="120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14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$3,143,217</w:t>
            </w:r>
          </w:p>
        </w:tc>
        <w:tc>
          <w:tcPr>
            <w:tcW w:w="116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$1,922,379</w:t>
            </w:r>
          </w:p>
        </w:tc>
        <w:tc>
          <w:tcPr>
            <w:tcW w:w="96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$101.98</w:t>
            </w:r>
          </w:p>
        </w:tc>
        <w:tc>
          <w:tcPr>
            <w:tcW w:w="98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$116.70</w:t>
            </w:r>
          </w:p>
        </w:tc>
        <w:tc>
          <w:tcPr>
            <w:tcW w:w="84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$(455)</w:t>
            </w:r>
          </w:p>
        </w:tc>
        <w:tc>
          <w:tcPr>
            <w:tcW w:w="860" w:type="dxa"/>
            <w:vAlign w:val="bottom"/>
            <w:tcBorders>
              <w:right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2"/>
        </w:trPr>
        <w:tc>
          <w:tcPr>
            <w:tcW w:w="600" w:type="dxa"/>
            <w:vAlign w:val="bottom"/>
            <w:tcBorders>
              <w:left w:val="single" w:sz="8" w:color="DBDBDB"/>
              <w:right w:val="single" w:sz="8" w:color="DBDBDB"/>
            </w:tcBorders>
            <w:shd w:val="clear" w:color="auto" w:fill="DBDBDB"/>
          </w:tcPr>
          <w:p>
            <w:pPr>
              <w:spacing w:after="0" w:line="20" w:lineRule="exact"/>
              <w:rPr>
                <w:sz w:val="1"/>
                <w:szCs w:val="1"/>
                <w:color w:val="auto"/>
              </w:rPr>
            </w:pPr>
          </w:p>
        </w:tc>
        <w:tc>
          <w:tcPr>
            <w:tcW w:w="1200" w:type="dxa"/>
            <w:vAlign w:val="bottom"/>
            <w:tcBorders>
              <w:right w:val="single" w:sz="8" w:color="DBDBDB"/>
            </w:tcBorders>
            <w:shd w:val="clear" w:color="auto" w:fill="DBDBDB"/>
          </w:tcPr>
          <w:p>
            <w:pPr>
              <w:spacing w:after="0" w:line="20" w:lineRule="exact"/>
              <w:rPr>
                <w:sz w:val="1"/>
                <w:szCs w:val="1"/>
                <w:color w:val="auto"/>
              </w:rPr>
            </w:pPr>
          </w:p>
        </w:tc>
        <w:tc>
          <w:tcPr>
            <w:tcW w:w="1200" w:type="dxa"/>
            <w:vAlign w:val="bottom"/>
            <w:tcBorders>
              <w:right w:val="single" w:sz="8" w:color="DBDBDB"/>
            </w:tcBorders>
            <w:shd w:val="clear" w:color="auto" w:fill="DBDBDB"/>
          </w:tcPr>
          <w:p>
            <w:pPr>
              <w:spacing w:after="0" w:line="20" w:lineRule="exact"/>
              <w:rPr>
                <w:sz w:val="1"/>
                <w:szCs w:val="1"/>
                <w:color w:val="auto"/>
              </w:rPr>
            </w:pPr>
          </w:p>
        </w:tc>
        <w:tc>
          <w:tcPr>
            <w:tcW w:w="1200" w:type="dxa"/>
            <w:vAlign w:val="bottom"/>
            <w:tcBorders>
              <w:right w:val="single" w:sz="8" w:color="DBDBDB"/>
            </w:tcBorders>
            <w:shd w:val="clear" w:color="auto" w:fill="DBDBDB"/>
          </w:tcPr>
          <w:p>
            <w:pPr>
              <w:spacing w:after="0" w:line="20" w:lineRule="exact"/>
              <w:rPr>
                <w:sz w:val="1"/>
                <w:szCs w:val="1"/>
                <w:color w:val="auto"/>
              </w:rPr>
            </w:pPr>
          </w:p>
        </w:tc>
        <w:tc>
          <w:tcPr>
            <w:tcW w:w="1140" w:type="dxa"/>
            <w:vAlign w:val="bottom"/>
            <w:tcBorders>
              <w:right w:val="single" w:sz="8" w:color="DBDBDB"/>
            </w:tcBorders>
            <w:shd w:val="clear" w:color="auto" w:fill="DBDBDB"/>
          </w:tcPr>
          <w:p>
            <w:pPr>
              <w:spacing w:after="0" w:line="20" w:lineRule="exact"/>
              <w:rPr>
                <w:sz w:val="1"/>
                <w:szCs w:val="1"/>
                <w:color w:val="auto"/>
              </w:rPr>
            </w:pPr>
          </w:p>
        </w:tc>
        <w:tc>
          <w:tcPr>
            <w:tcW w:w="1120" w:type="dxa"/>
            <w:vAlign w:val="bottom"/>
            <w:tcBorders>
              <w:right w:val="single" w:sz="8" w:color="DBDBDB"/>
            </w:tcBorders>
            <w:shd w:val="clear" w:color="auto" w:fill="DBDBDB"/>
          </w:tcPr>
          <w:p>
            <w:pPr>
              <w:spacing w:after="0" w:line="20" w:lineRule="exact"/>
              <w:rPr>
                <w:sz w:val="1"/>
                <w:szCs w:val="1"/>
                <w:color w:val="auto"/>
              </w:rPr>
            </w:pPr>
          </w:p>
        </w:tc>
        <w:tc>
          <w:tcPr>
            <w:tcW w:w="1160" w:type="dxa"/>
            <w:vAlign w:val="bottom"/>
            <w:tcBorders>
              <w:right w:val="single" w:sz="8" w:color="DBDBDB"/>
            </w:tcBorders>
            <w:shd w:val="clear" w:color="auto" w:fill="DBDBDB"/>
          </w:tcPr>
          <w:p>
            <w:pPr>
              <w:spacing w:after="0" w:line="20" w:lineRule="exact"/>
              <w:rPr>
                <w:sz w:val="1"/>
                <w:szCs w:val="1"/>
                <w:color w:val="auto"/>
              </w:rPr>
            </w:pPr>
          </w:p>
        </w:tc>
        <w:tc>
          <w:tcPr>
            <w:tcW w:w="960" w:type="dxa"/>
            <w:vAlign w:val="bottom"/>
            <w:tcBorders>
              <w:right w:val="single" w:sz="8" w:color="DBDBDB"/>
            </w:tcBorders>
            <w:shd w:val="clear" w:color="auto" w:fill="DBDBDB"/>
          </w:tcPr>
          <w:p>
            <w:pPr>
              <w:spacing w:after="0" w:line="20" w:lineRule="exact"/>
              <w:rPr>
                <w:sz w:val="1"/>
                <w:szCs w:val="1"/>
                <w:color w:val="auto"/>
              </w:rPr>
            </w:pPr>
          </w:p>
        </w:tc>
        <w:tc>
          <w:tcPr>
            <w:tcW w:w="980" w:type="dxa"/>
            <w:vAlign w:val="bottom"/>
            <w:tcBorders>
              <w:right w:val="single" w:sz="8" w:color="DBDBDB"/>
            </w:tcBorders>
            <w:shd w:val="clear" w:color="auto" w:fill="DBDBDB"/>
          </w:tcPr>
          <w:p>
            <w:pPr>
              <w:spacing w:after="0" w:line="20" w:lineRule="exact"/>
              <w:rPr>
                <w:sz w:val="1"/>
                <w:szCs w:val="1"/>
                <w:color w:val="auto"/>
              </w:rPr>
            </w:pPr>
          </w:p>
        </w:tc>
        <w:tc>
          <w:tcPr>
            <w:tcW w:w="840" w:type="dxa"/>
            <w:vAlign w:val="bottom"/>
            <w:tcBorders>
              <w:right w:val="single" w:sz="8" w:color="DBDBDB"/>
            </w:tcBorders>
            <w:shd w:val="clear" w:color="auto" w:fill="DBDBDB"/>
          </w:tcPr>
          <w:p>
            <w:pPr>
              <w:spacing w:after="0" w:line="20" w:lineRule="exact"/>
              <w:rPr>
                <w:sz w:val="1"/>
                <w:szCs w:val="1"/>
                <w:color w:val="auto"/>
              </w:rPr>
            </w:pPr>
          </w:p>
        </w:tc>
        <w:tc>
          <w:tcPr>
            <w:tcW w:w="860" w:type="dxa"/>
            <w:vAlign w:val="bottom"/>
            <w:tcBorders>
              <w:right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3" w:lineRule="exact"/>
        <w:rPr>
          <w:sz w:val="20"/>
          <w:szCs w:val="20"/>
          <w:color w:val="auto"/>
        </w:rPr>
      </w:pPr>
    </w:p>
    <w:p>
      <w:pPr>
        <w:ind w:left="180" w:right="60" w:hanging="172"/>
        <w:spacing w:after="0" w:line="226" w:lineRule="auto"/>
        <w:tabs>
          <w:tab w:leader="none" w:pos="211"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Steven J. Bandrowczak succeeded John Visentin as PEO in 2022 (on June 6, 2022 as interim CEO and on August 2, 2022 as CEO). John Visentin served as the PEO for the entirety of 2021 and 2020. Our Non-PEO NEOs for the applicable years were as follows:</w:t>
      </w:r>
    </w:p>
    <w:p>
      <w:pPr>
        <w:spacing w:after="0" w:line="1" w:lineRule="exact"/>
        <w:rPr>
          <w:rFonts w:ascii="Arial" w:cs="Arial" w:eastAsia="Arial" w:hAnsi="Arial"/>
          <w:sz w:val="23"/>
          <w:szCs w:val="23"/>
          <w:color w:val="auto"/>
          <w:vertAlign w:val="superscript"/>
        </w:rPr>
      </w:pPr>
    </w:p>
    <w:p>
      <w:pPr>
        <w:ind w:left="640" w:hanging="308"/>
        <w:spacing w:after="0"/>
        <w:tabs>
          <w:tab w:leader="none" w:pos="6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2025: John Bruno, Louis J. Pastor, Charles Butler, Jacques-Edouard Gueden, Flor M. Colón, Mirlanda Gecaj, and Xavier Heiss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2024: John Bruno, Jacques-Edouard Gueden, Xavier Heiss, and Louis J. Pastor</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2023: John Bruno, Xavier Heiss, Joanne Collins Smee, Suzan Morno-Wade, and Louis J. Pastor</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2022: John Bruno, Xavier Heiss, Louis J. Pastor, and Joanne Collins Smee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2021: Steven J. Bandrowczak, Xavier Heiss, Michael Feldman, and Louis J. Pastor</w:t>
      </w:r>
    </w:p>
    <w:p>
      <w:pPr>
        <w:spacing w:after="0" w:line="42" w:lineRule="exact"/>
        <w:rPr>
          <w:rFonts w:ascii="Arial" w:cs="Arial" w:eastAsia="Arial" w:hAnsi="Arial"/>
          <w:sz w:val="16"/>
          <w:szCs w:val="16"/>
          <w:color w:val="auto"/>
        </w:rPr>
      </w:pPr>
    </w:p>
    <w:p>
      <w:pPr>
        <w:ind w:left="180" w:right="540" w:hanging="172"/>
        <w:spacing w:after="0" w:line="237" w:lineRule="auto"/>
        <w:tabs>
          <w:tab w:leader="none" w:pos="211"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Amounts reported in these columns represent (i) the total compensation reported in the Summary Compensation Table (SCT) for the applicable year in the case of our PEO, Mr. Bandrowczak, and (ii) the average of the total compensation reported in the SCT for the applicable year for our Non-PEO NEOs.</w:t>
      </w:r>
    </w:p>
    <w:p>
      <w:pPr>
        <w:spacing w:after="0" w:line="32" w:lineRule="exact"/>
        <w:rPr>
          <w:rFonts w:ascii="Arial" w:cs="Arial" w:eastAsia="Arial" w:hAnsi="Arial"/>
          <w:sz w:val="23"/>
          <w:szCs w:val="23"/>
          <w:color w:val="auto"/>
          <w:vertAlign w:val="superscript"/>
        </w:rPr>
      </w:pPr>
    </w:p>
    <w:p>
      <w:pPr>
        <w:ind w:left="180" w:right="40" w:hanging="172"/>
        <w:spacing w:after="0" w:line="237" w:lineRule="auto"/>
        <w:tabs>
          <w:tab w:leader="none" w:pos="211"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 xml:space="preserve">Amounts reported in these columns represent CAP, as calculated in accordance with Item 402(v) of SEC Regulation S-K. A reconciliation of the adjustments for our PEO, Mr. Bandrowczak, and for the average of the Non-PEO NEOs is provided in the table below, </w:t>
      </w:r>
      <w:r>
        <w:rPr>
          <w:rFonts w:ascii="Arial" w:cs="Arial" w:eastAsia="Arial" w:hAnsi="Arial"/>
          <w:sz w:val="18"/>
          <w:szCs w:val="18"/>
          <w:i w:val="1"/>
          <w:iCs w:val="1"/>
          <w:color w:val="auto"/>
        </w:rPr>
        <w:t>Reconciliation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Summary Compensation Table to Compensation Actually Paid</w:t>
      </w:r>
      <w:r>
        <w:rPr>
          <w:rFonts w:ascii="Arial" w:cs="Arial" w:eastAsia="Arial" w:hAnsi="Arial"/>
          <w:sz w:val="18"/>
          <w:szCs w:val="18"/>
          <w:color w:val="auto"/>
        </w:rPr>
        <w:t>. This table reconciles totals per the SCT to CAP.</w:t>
      </w:r>
    </w:p>
    <w:p>
      <w:pPr>
        <w:spacing w:after="0" w:line="32" w:lineRule="exact"/>
        <w:rPr>
          <w:rFonts w:ascii="Arial" w:cs="Arial" w:eastAsia="Arial" w:hAnsi="Arial"/>
          <w:sz w:val="23"/>
          <w:szCs w:val="23"/>
          <w:color w:val="auto"/>
          <w:vertAlign w:val="superscript"/>
        </w:rPr>
      </w:pPr>
    </w:p>
    <w:p>
      <w:pPr>
        <w:ind w:left="180" w:right="20" w:hanging="172"/>
        <w:spacing w:after="0"/>
        <w:tabs>
          <w:tab w:leader="none" w:pos="193" w:val="left"/>
        </w:tabs>
        <w:numPr>
          <w:ilvl w:val="0"/>
          <w:numId w:val="87"/>
        </w:numPr>
        <w:rPr>
          <w:rFonts w:ascii="Arial" w:cs="Arial" w:eastAsia="Arial" w:hAnsi="Arial"/>
          <w:sz w:val="22"/>
          <w:szCs w:val="22"/>
          <w:color w:val="auto"/>
          <w:vertAlign w:val="superscript"/>
        </w:rPr>
      </w:pPr>
      <w:r>
        <w:rPr>
          <w:rFonts w:ascii="Arial" w:cs="Arial" w:eastAsia="Arial" w:hAnsi="Arial"/>
          <w:sz w:val="17"/>
          <w:szCs w:val="17"/>
          <w:color w:val="auto"/>
        </w:rPr>
        <w:t>Total Shareholder Return (TSR) is cumulative for the measurement periods beginning on December 31, 2020 and ending on December 31, 2025, 2024, 2023, 2022, and 2021, respectively, calculated in accordance with Item 201(e) of Regulation S-K.</w:t>
      </w:r>
    </w:p>
    <w:p>
      <w:pPr>
        <w:spacing w:after="0" w:line="1" w:lineRule="exact"/>
        <w:rPr>
          <w:rFonts w:ascii="Arial" w:cs="Arial" w:eastAsia="Arial" w:hAnsi="Arial"/>
          <w:sz w:val="22"/>
          <w:szCs w:val="22"/>
          <w:color w:val="auto"/>
          <w:vertAlign w:val="superscript"/>
        </w:rPr>
      </w:pPr>
    </w:p>
    <w:p>
      <w:pPr>
        <w:ind w:left="180" w:right="40" w:hanging="172"/>
        <w:spacing w:after="0" w:line="254" w:lineRule="auto"/>
        <w:tabs>
          <w:tab w:leader="none" w:pos="193" w:val="left"/>
        </w:tabs>
        <w:numPr>
          <w:ilvl w:val="0"/>
          <w:numId w:val="87"/>
        </w:numPr>
        <w:rPr>
          <w:rFonts w:ascii="Arial" w:cs="Arial" w:eastAsia="Arial" w:hAnsi="Arial"/>
          <w:sz w:val="22"/>
          <w:szCs w:val="22"/>
          <w:color w:val="auto"/>
          <w:vertAlign w:val="superscript"/>
        </w:rPr>
      </w:pPr>
      <w:r>
        <w:rPr>
          <w:rFonts w:ascii="Arial" w:cs="Arial" w:eastAsia="Arial" w:hAnsi="Arial"/>
          <w:sz w:val="17"/>
          <w:szCs w:val="17"/>
          <w:color w:val="auto"/>
        </w:rPr>
        <w:t>Amounts in this column assume the investment of $100 on December 31, 2020 in the S&amp;P Technology Hardware Select Industry Index, which is used by the Company to comply with Item 201(e) of Regulation S-K. The Company believes that the S&amp;P Technology Hardware Select Industry Index is more representative of the Company's market capitalization and peer group. This peer group was updated from the S&amp;P 600 Information Technology Index used in the prior year Proxy, filed April 9, 2025. In comparison, the value of $100 invested in the S&amp;P 600 Information Technology Index would be the following: 2025: $140.68; 2024: $118.14; 2023: $119.11; 2022: $98.48; 2021: $126.85.</w:t>
      </w:r>
    </w:p>
    <w:p>
      <w:pPr>
        <w:spacing w:after="0" w:line="234" w:lineRule="exact"/>
        <w:rPr>
          <w:rFonts w:ascii="Arial" w:cs="Arial" w:eastAsia="Arial" w:hAnsi="Arial"/>
          <w:sz w:val="22"/>
          <w:szCs w:val="22"/>
          <w:color w:val="auto"/>
          <w:vertAlign w:val="superscript"/>
        </w:rPr>
      </w:pPr>
    </w:p>
    <w:p>
      <w:pPr>
        <w:ind w:left="180" w:right="80" w:hanging="172"/>
        <w:spacing w:after="0" w:line="250" w:lineRule="auto"/>
        <w:tabs>
          <w:tab w:leader="none" w:pos="193" w:val="left"/>
        </w:tabs>
        <w:numPr>
          <w:ilvl w:val="0"/>
          <w:numId w:val="87"/>
        </w:numPr>
        <w:rPr>
          <w:rFonts w:ascii="Arial" w:cs="Arial" w:eastAsia="Arial" w:hAnsi="Arial"/>
          <w:sz w:val="22"/>
          <w:szCs w:val="22"/>
          <w:color w:val="auto"/>
          <w:vertAlign w:val="superscript"/>
        </w:rPr>
      </w:pPr>
      <w:r>
        <w:rPr>
          <w:rFonts w:ascii="Arial" w:cs="Arial" w:eastAsia="Arial" w:hAnsi="Arial"/>
          <w:sz w:val="17"/>
          <w:szCs w:val="17"/>
          <w:color w:val="auto"/>
        </w:rPr>
        <w:t>Adjusted</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EBITDA is the company-selected MIP measure. Refer to the “Non-GAAP Financial Measures” section for a reconciliation of the non-GAAP financial measure or an explanation of the performance measure.</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Reconciliation of Summary Compensation Table to Compensation Actually Paid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980" w:type="dxa"/>
            <w:vAlign w:val="bottom"/>
            <w:tcBorders>
              <w:right w:val="single" w:sz="8" w:color="DBDBDB"/>
            </w:tcBorders>
            <w:shd w:val="clear" w:color="auto" w:fill="D92231"/>
          </w:tcPr>
          <w:p>
            <w:pPr>
              <w:spacing w:after="0"/>
              <w:rPr>
                <w:sz w:val="18"/>
                <w:szCs w:val="18"/>
                <w:color w:val="auto"/>
              </w:rPr>
            </w:pPr>
          </w:p>
        </w:tc>
        <w:tc>
          <w:tcPr>
            <w:tcW w:w="1320" w:type="dxa"/>
            <w:vAlign w:val="bottom"/>
            <w:gridSpan w:val="2"/>
            <w:shd w:val="clear" w:color="auto" w:fill="D92231"/>
          </w:tcPr>
          <w:p>
            <w:pPr>
              <w:jc w:val="right"/>
              <w:ind w:right="2"/>
              <w:spacing w:after="0"/>
              <w:rPr>
                <w:sz w:val="20"/>
                <w:szCs w:val="20"/>
                <w:color w:val="auto"/>
              </w:rPr>
            </w:pPr>
            <w:r>
              <w:rPr>
                <w:rFonts w:ascii="Arial" w:cs="Arial" w:eastAsia="Arial" w:hAnsi="Arial"/>
                <w:sz w:val="13"/>
                <w:szCs w:val="13"/>
                <w:b w:val="1"/>
                <w:bCs w:val="1"/>
                <w:color w:val="FFFFFF"/>
              </w:rPr>
              <w:t>2025</w:t>
            </w:r>
          </w:p>
        </w:tc>
        <w:tc>
          <w:tcPr>
            <w:tcW w:w="940" w:type="dxa"/>
            <w:vAlign w:val="bottom"/>
            <w:shd w:val="clear" w:color="auto" w:fill="D92231"/>
          </w:tcPr>
          <w:p>
            <w:pPr>
              <w:spacing w:after="0"/>
              <w:rPr>
                <w:sz w:val="18"/>
                <w:szCs w:val="18"/>
                <w:color w:val="auto"/>
              </w:rPr>
            </w:pPr>
          </w:p>
        </w:tc>
        <w:tc>
          <w:tcPr>
            <w:tcW w:w="20" w:type="dxa"/>
            <w:vAlign w:val="bottom"/>
            <w:shd w:val="clear" w:color="auto" w:fill="DBDBDB"/>
          </w:tcPr>
          <w:p>
            <w:pPr>
              <w:spacing w:after="0"/>
              <w:rPr>
                <w:sz w:val="18"/>
                <w:szCs w:val="18"/>
                <w:color w:val="auto"/>
              </w:rPr>
            </w:pPr>
          </w:p>
        </w:tc>
      </w:tr>
      <w:tr>
        <w:trPr>
          <w:trHeight w:val="160"/>
        </w:trPr>
        <w:tc>
          <w:tcPr>
            <w:tcW w:w="8980" w:type="dxa"/>
            <w:vAlign w:val="bottom"/>
            <w:tcBorders>
              <w:right w:val="single" w:sz="8" w:color="DBDBDB"/>
            </w:tcBorders>
            <w:shd w:val="clear" w:color="auto" w:fill="D92231"/>
          </w:tcPr>
          <w:p>
            <w:pPr>
              <w:spacing w:after="0"/>
              <w:rPr>
                <w:sz w:val="13"/>
                <w:szCs w:val="13"/>
                <w:color w:val="auto"/>
              </w:rPr>
            </w:pPr>
          </w:p>
        </w:tc>
        <w:tc>
          <w:tcPr>
            <w:tcW w:w="1180" w:type="dxa"/>
            <w:vAlign w:val="bottom"/>
            <w:tcBorders>
              <w:right w:val="single" w:sz="8" w:color="DBDBDB"/>
            </w:tcBorders>
            <w:shd w:val="clear" w:color="auto" w:fill="D92231"/>
          </w:tcPr>
          <w:p>
            <w:pPr>
              <w:spacing w:after="0"/>
              <w:rPr>
                <w:sz w:val="13"/>
                <w:szCs w:val="13"/>
                <w:color w:val="auto"/>
              </w:rPr>
            </w:pPr>
          </w:p>
        </w:tc>
        <w:tc>
          <w:tcPr>
            <w:tcW w:w="1080" w:type="dxa"/>
            <w:vAlign w:val="bottom"/>
            <w:gridSpan w:val="2"/>
            <w:shd w:val="clear" w:color="auto" w:fill="D92231"/>
          </w:tcPr>
          <w:p>
            <w:pPr>
              <w:jc w:val="center"/>
              <w:spacing w:after="0"/>
              <w:rPr>
                <w:sz w:val="20"/>
                <w:szCs w:val="20"/>
                <w:color w:val="auto"/>
              </w:rPr>
            </w:pPr>
            <w:r>
              <w:rPr>
                <w:rFonts w:ascii="Arial" w:cs="Arial" w:eastAsia="Arial" w:hAnsi="Arial"/>
                <w:sz w:val="12"/>
                <w:szCs w:val="12"/>
                <w:b w:val="1"/>
                <w:bCs w:val="1"/>
                <w:color w:val="FFFFFF"/>
                <w:w w:val="96"/>
              </w:rPr>
              <w:t>Average Non-PEO</w:t>
            </w:r>
          </w:p>
        </w:tc>
        <w:tc>
          <w:tcPr>
            <w:tcW w:w="20" w:type="dxa"/>
            <w:vAlign w:val="bottom"/>
            <w:shd w:val="clear" w:color="auto" w:fill="DBDBDB"/>
          </w:tcPr>
          <w:p>
            <w:pPr>
              <w:spacing w:after="0"/>
              <w:rPr>
                <w:sz w:val="13"/>
                <w:szCs w:val="13"/>
                <w:color w:val="auto"/>
              </w:rPr>
            </w:pPr>
          </w:p>
        </w:tc>
      </w:tr>
      <w:tr>
        <w:trPr>
          <w:trHeight w:val="185"/>
        </w:trPr>
        <w:tc>
          <w:tcPr>
            <w:tcW w:w="8980" w:type="dxa"/>
            <w:vAlign w:val="bottom"/>
            <w:tcBorders>
              <w:right w:val="single" w:sz="8" w:color="DBDBDB"/>
            </w:tcBorders>
            <w:shd w:val="clear" w:color="auto" w:fill="D92231"/>
          </w:tcPr>
          <w:p>
            <w:pPr>
              <w:spacing w:after="0"/>
              <w:rPr>
                <w:sz w:val="16"/>
                <w:szCs w:val="16"/>
                <w:color w:val="auto"/>
              </w:rPr>
            </w:pPr>
          </w:p>
        </w:tc>
        <w:tc>
          <w:tcPr>
            <w:tcW w:w="1180" w:type="dxa"/>
            <w:vAlign w:val="bottom"/>
            <w:tcBorders>
              <w:right w:val="single" w:sz="8" w:color="DBDBDB"/>
            </w:tcBorders>
            <w:shd w:val="clear" w:color="auto" w:fill="D92231"/>
          </w:tcPr>
          <w:p>
            <w:pPr>
              <w:ind w:left="20"/>
              <w:spacing w:after="0"/>
              <w:rPr>
                <w:sz w:val="20"/>
                <w:szCs w:val="20"/>
                <w:color w:val="auto"/>
              </w:rPr>
            </w:pPr>
            <w:r>
              <w:rPr>
                <w:rFonts w:ascii="Arial" w:cs="Arial" w:eastAsia="Arial" w:hAnsi="Arial"/>
                <w:sz w:val="12"/>
                <w:szCs w:val="12"/>
                <w:b w:val="1"/>
                <w:bCs w:val="1"/>
                <w:color w:val="FFFFFF"/>
              </w:rPr>
              <w:t>Bandrowczak PEO</w:t>
            </w:r>
          </w:p>
        </w:tc>
        <w:tc>
          <w:tcPr>
            <w:tcW w:w="140" w:type="dxa"/>
            <w:vAlign w:val="bottom"/>
            <w:shd w:val="clear" w:color="auto" w:fill="D92231"/>
          </w:tcPr>
          <w:p>
            <w:pPr>
              <w:spacing w:after="0"/>
              <w:rPr>
                <w:sz w:val="16"/>
                <w:szCs w:val="16"/>
                <w:color w:val="auto"/>
              </w:rPr>
            </w:pPr>
          </w:p>
        </w:tc>
        <w:tc>
          <w:tcPr>
            <w:tcW w:w="940" w:type="dxa"/>
            <w:vAlign w:val="bottom"/>
            <w:shd w:val="clear" w:color="auto" w:fill="D92231"/>
          </w:tcPr>
          <w:p>
            <w:pPr>
              <w:jc w:val="center"/>
              <w:ind w:right="78"/>
              <w:spacing w:after="0"/>
              <w:rPr>
                <w:sz w:val="20"/>
                <w:szCs w:val="20"/>
                <w:color w:val="auto"/>
              </w:rPr>
            </w:pPr>
            <w:r>
              <w:rPr>
                <w:rFonts w:ascii="Arial" w:cs="Arial" w:eastAsia="Arial" w:hAnsi="Arial"/>
                <w:sz w:val="12"/>
                <w:szCs w:val="12"/>
                <w:b w:val="1"/>
                <w:bCs w:val="1"/>
                <w:color w:val="FFFFFF"/>
                <w:w w:val="97"/>
              </w:rPr>
              <w:t>NEOs</w:t>
            </w:r>
          </w:p>
        </w:tc>
        <w:tc>
          <w:tcPr>
            <w:tcW w:w="20" w:type="dxa"/>
            <w:vAlign w:val="bottom"/>
            <w:shd w:val="clear" w:color="auto" w:fill="DBDBDB"/>
          </w:tcPr>
          <w:p>
            <w:pPr>
              <w:spacing w:after="0"/>
              <w:rPr>
                <w:sz w:val="16"/>
                <w:szCs w:val="16"/>
                <w:color w:val="auto"/>
              </w:rPr>
            </w:pPr>
          </w:p>
        </w:tc>
      </w:tr>
      <w:tr>
        <w:trPr>
          <w:trHeight w:val="203"/>
        </w:trPr>
        <w:tc>
          <w:tcPr>
            <w:tcW w:w="8980" w:type="dxa"/>
            <w:vAlign w:val="bottom"/>
            <w:tcBorders>
              <w:right w:val="single" w:sz="8" w:color="DBDBDB"/>
            </w:tcBorders>
            <w:shd w:val="clear" w:color="auto" w:fill="DA2031"/>
          </w:tcPr>
          <w:p>
            <w:pPr>
              <w:ind w:left="20"/>
              <w:spacing w:after="0"/>
              <w:rPr>
                <w:sz w:val="20"/>
                <w:szCs w:val="20"/>
                <w:color w:val="auto"/>
              </w:rPr>
            </w:pPr>
            <w:r>
              <w:rPr>
                <w:rFonts w:ascii="Arial" w:cs="Arial" w:eastAsia="Arial" w:hAnsi="Arial"/>
                <w:sz w:val="13"/>
                <w:szCs w:val="13"/>
                <w:b w:val="1"/>
                <w:bCs w:val="1"/>
                <w:color w:val="FFFFFF"/>
              </w:rPr>
              <w:t>Summary Compensation Table Total</w:t>
            </w:r>
          </w:p>
        </w:tc>
        <w:tc>
          <w:tcPr>
            <w:tcW w:w="1180" w:type="dxa"/>
            <w:vAlign w:val="bottom"/>
            <w:tcBorders>
              <w:right w:val="single" w:sz="8" w:color="DBDBDB"/>
            </w:tcBorders>
            <w:shd w:val="clear" w:color="auto" w:fill="D92231"/>
          </w:tcPr>
          <w:p>
            <w:pPr>
              <w:jc w:val="center"/>
              <w:ind w:right="58"/>
              <w:spacing w:after="0"/>
              <w:rPr>
                <w:sz w:val="20"/>
                <w:szCs w:val="20"/>
                <w:color w:val="auto"/>
              </w:rPr>
            </w:pPr>
            <w:r>
              <w:rPr>
                <w:rFonts w:ascii="Arial" w:cs="Arial" w:eastAsia="Arial" w:hAnsi="Arial"/>
                <w:sz w:val="12"/>
                <w:szCs w:val="12"/>
                <w:b w:val="1"/>
                <w:bCs w:val="1"/>
                <w:color w:val="FFFFFF"/>
                <w:w w:val="98"/>
              </w:rPr>
              <w:t>$12,581,826</w:t>
            </w:r>
          </w:p>
        </w:tc>
        <w:tc>
          <w:tcPr>
            <w:tcW w:w="140" w:type="dxa"/>
            <w:vAlign w:val="bottom"/>
            <w:shd w:val="clear" w:color="auto" w:fill="D92231"/>
          </w:tcPr>
          <w:p>
            <w:pPr>
              <w:jc w:val="right"/>
              <w:ind w:right="2"/>
              <w:spacing w:after="0"/>
              <w:rPr>
                <w:sz w:val="20"/>
                <w:szCs w:val="20"/>
                <w:color w:val="auto"/>
              </w:rPr>
            </w:pPr>
            <w:r>
              <w:rPr>
                <w:rFonts w:ascii="Arial" w:cs="Arial" w:eastAsia="Arial" w:hAnsi="Arial"/>
                <w:sz w:val="12"/>
                <w:szCs w:val="12"/>
                <w:b w:val="1"/>
                <w:bCs w:val="1"/>
                <w:color w:val="FFFFFF"/>
                <w:w w:val="89"/>
              </w:rPr>
              <w:t>$</w:t>
            </w:r>
          </w:p>
        </w:tc>
        <w:tc>
          <w:tcPr>
            <w:tcW w:w="940" w:type="dxa"/>
            <w:vAlign w:val="bottom"/>
            <w:shd w:val="clear" w:color="auto" w:fill="D92231"/>
          </w:tcPr>
          <w:p>
            <w:pPr>
              <w:jc w:val="right"/>
              <w:spacing w:after="0"/>
              <w:rPr>
                <w:sz w:val="20"/>
                <w:szCs w:val="20"/>
                <w:color w:val="auto"/>
              </w:rPr>
            </w:pPr>
            <w:r>
              <w:rPr>
                <w:rFonts w:ascii="Arial" w:cs="Arial" w:eastAsia="Arial" w:hAnsi="Arial"/>
                <w:sz w:val="12"/>
                <w:szCs w:val="12"/>
                <w:b w:val="1"/>
                <w:bCs w:val="1"/>
                <w:color w:val="FFFFFF"/>
              </w:rPr>
              <w:t>3,272,657</w:t>
            </w:r>
          </w:p>
        </w:tc>
        <w:tc>
          <w:tcPr>
            <w:tcW w:w="20" w:type="dxa"/>
            <w:vAlign w:val="bottom"/>
          </w:tcPr>
          <w:p>
            <w:pPr>
              <w:spacing w:after="0"/>
              <w:rPr>
                <w:sz w:val="17"/>
                <w:szCs w:val="17"/>
                <w:color w:val="auto"/>
              </w:rPr>
            </w:pPr>
          </w:p>
        </w:tc>
      </w:tr>
      <w:tr>
        <w:trPr>
          <w:trHeight w:val="176"/>
        </w:trPr>
        <w:tc>
          <w:tcPr>
            <w:tcW w:w="898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Minus Change in Pension Value Reported in SCT for the Covered Year</w:t>
            </w:r>
          </w:p>
        </w:tc>
        <w:tc>
          <w:tcPr>
            <w:tcW w:w="1180" w:type="dxa"/>
            <w:vAlign w:val="bottom"/>
            <w:tcBorders>
              <w:right w:val="single" w:sz="8" w:color="DBDBDB"/>
            </w:tcBorders>
            <w:shd w:val="clear" w:color="auto" w:fill="DBDBDB"/>
          </w:tcPr>
          <w:p>
            <w:pPr>
              <w:jc w:val="center"/>
              <w:ind w:right="7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DBDBDB"/>
          </w:tcPr>
          <w:p>
            <w:pPr>
              <w:spacing w:after="0"/>
              <w:rPr>
                <w:sz w:val="15"/>
                <w:szCs w:val="15"/>
                <w:color w:val="auto"/>
              </w:rPr>
            </w:pPr>
          </w:p>
        </w:tc>
        <w:tc>
          <w:tcPr>
            <w:tcW w:w="940" w:type="dxa"/>
            <w:vAlign w:val="bottom"/>
            <w:shd w:val="clear" w:color="auto" w:fill="DBDBDB"/>
          </w:tcPr>
          <w:p>
            <w:pPr>
              <w:jc w:val="center"/>
              <w:ind w:right="98"/>
              <w:spacing w:after="0"/>
              <w:rPr>
                <w:sz w:val="20"/>
                <w:szCs w:val="20"/>
                <w:color w:val="auto"/>
              </w:rPr>
            </w:pPr>
            <w:r>
              <w:rPr>
                <w:rFonts w:ascii="Arial" w:cs="Arial" w:eastAsia="Arial" w:hAnsi="Arial"/>
                <w:sz w:val="13"/>
                <w:szCs w:val="13"/>
                <w:color w:val="auto"/>
                <w:w w:val="94"/>
              </w:rPr>
              <w:t>(61)</w:t>
            </w:r>
          </w:p>
        </w:tc>
        <w:tc>
          <w:tcPr>
            <w:tcW w:w="20" w:type="dxa"/>
            <w:vAlign w:val="bottom"/>
          </w:tcPr>
          <w:p>
            <w:pPr>
              <w:spacing w:after="0"/>
              <w:rPr>
                <w:sz w:val="15"/>
                <w:szCs w:val="15"/>
                <w:color w:val="auto"/>
              </w:rPr>
            </w:pPr>
          </w:p>
        </w:tc>
      </w:tr>
      <w:tr>
        <w:trPr>
          <w:trHeight w:val="171"/>
        </w:trPr>
        <w:tc>
          <w:tcPr>
            <w:tcW w:w="8980" w:type="dxa"/>
            <w:vAlign w:val="bottom"/>
          </w:tcPr>
          <w:p>
            <w:pPr>
              <w:ind w:left="20"/>
              <w:spacing w:after="0"/>
              <w:rPr>
                <w:sz w:val="20"/>
                <w:szCs w:val="20"/>
                <w:color w:val="auto"/>
              </w:rPr>
            </w:pPr>
            <w:r>
              <w:rPr>
                <w:rFonts w:ascii="Arial" w:cs="Arial" w:eastAsia="Arial" w:hAnsi="Arial"/>
                <w:sz w:val="13"/>
                <w:szCs w:val="13"/>
                <w:color w:val="auto"/>
              </w:rPr>
              <w:t>Plus Pension Value Service Cost for the Covered Year</w:t>
            </w:r>
          </w:p>
        </w:tc>
        <w:tc>
          <w:tcPr>
            <w:tcW w:w="1180" w:type="dxa"/>
            <w:vAlign w:val="bottom"/>
          </w:tcPr>
          <w:p>
            <w:pPr>
              <w:jc w:val="center"/>
              <w:ind w:right="7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3"/>
                <w:szCs w:val="13"/>
                <w:color w:val="auto"/>
                <w:w w:val="95"/>
              </w:rPr>
              <w:t>12,068</w:t>
            </w:r>
          </w:p>
        </w:tc>
        <w:tc>
          <w:tcPr>
            <w:tcW w:w="20" w:type="dxa"/>
            <w:vAlign w:val="bottom"/>
          </w:tcPr>
          <w:p>
            <w:pPr>
              <w:spacing w:after="0"/>
              <w:rPr>
                <w:sz w:val="14"/>
                <w:szCs w:val="14"/>
                <w:color w:val="auto"/>
              </w:rPr>
            </w:pPr>
          </w:p>
        </w:tc>
      </w:tr>
      <w:tr>
        <w:trPr>
          <w:trHeight w:val="207"/>
        </w:trPr>
        <w:tc>
          <w:tcPr>
            <w:tcW w:w="898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Minus Stock Award Value &amp; Option Award Value Reported in SCT for the Covered Year</w:t>
            </w:r>
          </w:p>
        </w:tc>
        <w:tc>
          <w:tcPr>
            <w:tcW w:w="1180" w:type="dxa"/>
            <w:vAlign w:val="bottom"/>
            <w:tcBorders>
              <w:right w:val="single" w:sz="8" w:color="DBDBDB"/>
            </w:tcBorders>
            <w:shd w:val="clear" w:color="auto" w:fill="DBDBDB"/>
          </w:tcPr>
          <w:p>
            <w:pPr>
              <w:jc w:val="center"/>
              <w:ind w:right="58"/>
              <w:spacing w:after="0"/>
              <w:rPr>
                <w:sz w:val="20"/>
                <w:szCs w:val="20"/>
                <w:color w:val="auto"/>
              </w:rPr>
            </w:pPr>
            <w:r>
              <w:rPr>
                <w:rFonts w:ascii="Arial" w:cs="Arial" w:eastAsia="Arial" w:hAnsi="Arial"/>
                <w:sz w:val="13"/>
                <w:szCs w:val="13"/>
                <w:color w:val="auto"/>
                <w:w w:val="94"/>
              </w:rPr>
              <w:t>(11,466,184)</w:t>
            </w:r>
          </w:p>
        </w:tc>
        <w:tc>
          <w:tcPr>
            <w:tcW w:w="140" w:type="dxa"/>
            <w:vAlign w:val="bottom"/>
            <w:shd w:val="clear" w:color="auto" w:fill="DBDBDB"/>
          </w:tcPr>
          <w:p>
            <w:pPr>
              <w:spacing w:after="0"/>
              <w:rPr>
                <w:sz w:val="18"/>
                <w:szCs w:val="18"/>
                <w:color w:val="auto"/>
              </w:rPr>
            </w:pPr>
          </w:p>
        </w:tc>
        <w:tc>
          <w:tcPr>
            <w:tcW w:w="940" w:type="dxa"/>
            <w:vAlign w:val="bottom"/>
            <w:shd w:val="clear" w:color="auto" w:fill="DBDBDB"/>
          </w:tcPr>
          <w:p>
            <w:pPr>
              <w:jc w:val="center"/>
              <w:ind w:right="78"/>
              <w:spacing w:after="0"/>
              <w:rPr>
                <w:sz w:val="20"/>
                <w:szCs w:val="20"/>
                <w:color w:val="auto"/>
              </w:rPr>
            </w:pPr>
            <w:r>
              <w:rPr>
                <w:rFonts w:ascii="Arial" w:cs="Arial" w:eastAsia="Arial" w:hAnsi="Arial"/>
                <w:sz w:val="13"/>
                <w:szCs w:val="13"/>
                <w:color w:val="auto"/>
                <w:w w:val="96"/>
              </w:rPr>
              <w:t>(2,290,975)</w:t>
            </w:r>
          </w:p>
        </w:tc>
        <w:tc>
          <w:tcPr>
            <w:tcW w:w="20" w:type="dxa"/>
            <w:vAlign w:val="bottom"/>
          </w:tcPr>
          <w:p>
            <w:pPr>
              <w:spacing w:after="0"/>
              <w:rPr>
                <w:sz w:val="18"/>
                <w:szCs w:val="18"/>
                <w:color w:val="auto"/>
              </w:rPr>
            </w:pPr>
          </w:p>
        </w:tc>
      </w:tr>
      <w:tr>
        <w:trPr>
          <w:trHeight w:val="195"/>
        </w:trPr>
        <w:tc>
          <w:tcPr>
            <w:tcW w:w="8980" w:type="dxa"/>
            <w:vAlign w:val="bottom"/>
          </w:tcPr>
          <w:p>
            <w:pPr>
              <w:ind w:left="20"/>
              <w:spacing w:after="0"/>
              <w:rPr>
                <w:sz w:val="20"/>
                <w:szCs w:val="20"/>
                <w:color w:val="auto"/>
              </w:rPr>
            </w:pPr>
            <w:r>
              <w:rPr>
                <w:rFonts w:ascii="Arial" w:cs="Arial" w:eastAsia="Arial" w:hAnsi="Arial"/>
                <w:sz w:val="13"/>
                <w:szCs w:val="13"/>
                <w:color w:val="auto"/>
              </w:rPr>
              <w:t>Plus Year-End Fair Value of Equity Awards Granted During the Covered Year that Remain Outstanding and Unvested as of Last Day of the Covered Year</w:t>
            </w:r>
          </w:p>
        </w:tc>
        <w:tc>
          <w:tcPr>
            <w:tcW w:w="1180" w:type="dxa"/>
            <w:vAlign w:val="bottom"/>
          </w:tcPr>
          <w:p>
            <w:pPr>
              <w:jc w:val="center"/>
              <w:ind w:right="78"/>
              <w:spacing w:after="0"/>
              <w:rPr>
                <w:sz w:val="20"/>
                <w:szCs w:val="20"/>
                <w:color w:val="auto"/>
              </w:rPr>
            </w:pPr>
            <w:r>
              <w:rPr>
                <w:rFonts w:ascii="Arial" w:cs="Arial" w:eastAsia="Arial" w:hAnsi="Arial"/>
                <w:sz w:val="13"/>
                <w:szCs w:val="13"/>
                <w:color w:val="auto"/>
                <w:w w:val="96"/>
              </w:rPr>
              <w:t>3,907,437</w:t>
            </w:r>
          </w:p>
        </w:tc>
        <w:tc>
          <w:tcPr>
            <w:tcW w:w="140" w:type="dxa"/>
            <w:vAlign w:val="bottom"/>
          </w:tcPr>
          <w:p>
            <w:pPr>
              <w:spacing w:after="0"/>
              <w:rPr>
                <w:sz w:val="17"/>
                <w:szCs w:val="17"/>
                <w:color w:val="auto"/>
              </w:rPr>
            </w:pPr>
          </w:p>
        </w:tc>
        <w:tc>
          <w:tcPr>
            <w:tcW w:w="940" w:type="dxa"/>
            <w:vAlign w:val="bottom"/>
          </w:tcPr>
          <w:p>
            <w:pPr>
              <w:jc w:val="center"/>
              <w:ind w:right="98"/>
              <w:spacing w:after="0"/>
              <w:rPr>
                <w:sz w:val="20"/>
                <w:szCs w:val="20"/>
                <w:color w:val="auto"/>
              </w:rPr>
            </w:pPr>
            <w:r>
              <w:rPr>
                <w:rFonts w:ascii="Arial" w:cs="Arial" w:eastAsia="Arial" w:hAnsi="Arial"/>
                <w:sz w:val="13"/>
                <w:szCs w:val="13"/>
                <w:color w:val="auto"/>
                <w:w w:val="97"/>
              </w:rPr>
              <w:t>554,681</w:t>
            </w:r>
          </w:p>
        </w:tc>
        <w:tc>
          <w:tcPr>
            <w:tcW w:w="20" w:type="dxa"/>
            <w:vAlign w:val="bottom"/>
          </w:tcPr>
          <w:p>
            <w:pPr>
              <w:spacing w:after="0"/>
              <w:rPr>
                <w:sz w:val="17"/>
                <w:szCs w:val="17"/>
                <w:color w:val="auto"/>
              </w:rPr>
            </w:pPr>
          </w:p>
        </w:tc>
      </w:tr>
      <w:tr>
        <w:trPr>
          <w:trHeight w:val="210"/>
        </w:trPr>
        <w:tc>
          <w:tcPr>
            <w:tcW w:w="898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Minus Year over Year Change in Fair Value as of the Last Day of the Covered Year of Outstanding and Unvested Equity Awards Granted in Prior Years</w:t>
            </w:r>
          </w:p>
        </w:tc>
        <w:tc>
          <w:tcPr>
            <w:tcW w:w="1180" w:type="dxa"/>
            <w:vAlign w:val="bottom"/>
            <w:tcBorders>
              <w:right w:val="single" w:sz="8" w:color="DBDBDB"/>
            </w:tcBorders>
            <w:shd w:val="clear" w:color="auto" w:fill="DBDBDB"/>
          </w:tcPr>
          <w:p>
            <w:pPr>
              <w:jc w:val="center"/>
              <w:ind w:right="78"/>
              <w:spacing w:after="0"/>
              <w:rPr>
                <w:sz w:val="20"/>
                <w:szCs w:val="20"/>
                <w:color w:val="auto"/>
              </w:rPr>
            </w:pPr>
            <w:r>
              <w:rPr>
                <w:rFonts w:ascii="Arial" w:cs="Arial" w:eastAsia="Arial" w:hAnsi="Arial"/>
                <w:sz w:val="13"/>
                <w:szCs w:val="13"/>
                <w:color w:val="auto"/>
                <w:w w:val="96"/>
              </w:rPr>
              <w:t>(4,596,355)</w:t>
            </w:r>
          </w:p>
        </w:tc>
        <w:tc>
          <w:tcPr>
            <w:tcW w:w="140" w:type="dxa"/>
            <w:vAlign w:val="bottom"/>
            <w:shd w:val="clear" w:color="auto" w:fill="DBDBDB"/>
          </w:tcPr>
          <w:p>
            <w:pPr>
              <w:spacing w:after="0"/>
              <w:rPr>
                <w:sz w:val="18"/>
                <w:szCs w:val="18"/>
                <w:color w:val="auto"/>
              </w:rPr>
            </w:pPr>
          </w:p>
        </w:tc>
        <w:tc>
          <w:tcPr>
            <w:tcW w:w="940" w:type="dxa"/>
            <w:vAlign w:val="bottom"/>
            <w:shd w:val="clear" w:color="auto" w:fill="DBDBDB"/>
          </w:tcPr>
          <w:p>
            <w:pPr>
              <w:jc w:val="center"/>
              <w:ind w:right="98"/>
              <w:spacing w:after="0"/>
              <w:rPr>
                <w:sz w:val="20"/>
                <w:szCs w:val="20"/>
                <w:color w:val="auto"/>
              </w:rPr>
            </w:pPr>
            <w:r>
              <w:rPr>
                <w:rFonts w:ascii="Arial" w:cs="Arial" w:eastAsia="Arial" w:hAnsi="Arial"/>
                <w:sz w:val="13"/>
                <w:szCs w:val="13"/>
                <w:color w:val="auto"/>
                <w:w w:val="96"/>
              </w:rPr>
              <w:t>(601,542)</w:t>
            </w:r>
          </w:p>
        </w:tc>
        <w:tc>
          <w:tcPr>
            <w:tcW w:w="20" w:type="dxa"/>
            <w:vAlign w:val="bottom"/>
          </w:tcPr>
          <w:p>
            <w:pPr>
              <w:spacing w:after="0"/>
              <w:rPr>
                <w:sz w:val="18"/>
                <w:szCs w:val="18"/>
                <w:color w:val="auto"/>
              </w:rPr>
            </w:pPr>
          </w:p>
        </w:tc>
      </w:tr>
      <w:tr>
        <w:trPr>
          <w:trHeight w:val="171"/>
        </w:trPr>
        <w:tc>
          <w:tcPr>
            <w:tcW w:w="8980" w:type="dxa"/>
            <w:vAlign w:val="bottom"/>
          </w:tcPr>
          <w:p>
            <w:pPr>
              <w:ind w:left="20"/>
              <w:spacing w:after="0"/>
              <w:rPr>
                <w:sz w:val="20"/>
                <w:szCs w:val="20"/>
                <w:color w:val="auto"/>
              </w:rPr>
            </w:pPr>
            <w:r>
              <w:rPr>
                <w:rFonts w:ascii="Arial" w:cs="Arial" w:eastAsia="Arial" w:hAnsi="Arial"/>
                <w:sz w:val="13"/>
                <w:szCs w:val="13"/>
                <w:color w:val="auto"/>
              </w:rPr>
              <w:t>Plus Fair Value as of Vesting Date of Equity Awards Granted and Vested in the Covered Year</w:t>
            </w:r>
          </w:p>
        </w:tc>
        <w:tc>
          <w:tcPr>
            <w:tcW w:w="1180" w:type="dxa"/>
            <w:vAlign w:val="bottom"/>
          </w:tcPr>
          <w:p>
            <w:pPr>
              <w:jc w:val="center"/>
              <w:ind w:right="7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r>
      <w:tr>
        <w:trPr>
          <w:trHeight w:val="207"/>
        </w:trPr>
        <w:tc>
          <w:tcPr>
            <w:tcW w:w="898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Minus Year over Year Change in Fair Value as of the Vesting Date of Equity Awards Granted in Prior Years that Vested During the Covered Year</w:t>
            </w:r>
          </w:p>
        </w:tc>
        <w:tc>
          <w:tcPr>
            <w:tcW w:w="1180" w:type="dxa"/>
            <w:vAlign w:val="bottom"/>
            <w:tcBorders>
              <w:right w:val="single" w:sz="8" w:color="DBDBDB"/>
            </w:tcBorders>
            <w:shd w:val="clear" w:color="auto" w:fill="DBDBDB"/>
          </w:tcPr>
          <w:p>
            <w:pPr>
              <w:jc w:val="center"/>
              <w:ind w:right="58"/>
              <w:spacing w:after="0"/>
              <w:rPr>
                <w:sz w:val="20"/>
                <w:szCs w:val="20"/>
                <w:color w:val="auto"/>
              </w:rPr>
            </w:pPr>
            <w:r>
              <w:rPr>
                <w:rFonts w:ascii="Arial" w:cs="Arial" w:eastAsia="Arial" w:hAnsi="Arial"/>
                <w:sz w:val="13"/>
                <w:szCs w:val="13"/>
                <w:color w:val="auto"/>
                <w:w w:val="96"/>
              </w:rPr>
              <w:t>(428,125)</w:t>
            </w:r>
          </w:p>
        </w:tc>
        <w:tc>
          <w:tcPr>
            <w:tcW w:w="140" w:type="dxa"/>
            <w:vAlign w:val="bottom"/>
            <w:shd w:val="clear" w:color="auto" w:fill="DBDBDB"/>
          </w:tcPr>
          <w:p>
            <w:pPr>
              <w:spacing w:after="0"/>
              <w:rPr>
                <w:sz w:val="18"/>
                <w:szCs w:val="18"/>
                <w:color w:val="auto"/>
              </w:rPr>
            </w:pPr>
          </w:p>
        </w:tc>
        <w:tc>
          <w:tcPr>
            <w:tcW w:w="940" w:type="dxa"/>
            <w:vAlign w:val="bottom"/>
            <w:shd w:val="clear" w:color="auto" w:fill="DBDBDB"/>
          </w:tcPr>
          <w:p>
            <w:pPr>
              <w:jc w:val="center"/>
              <w:ind w:right="98"/>
              <w:spacing w:after="0"/>
              <w:rPr>
                <w:sz w:val="20"/>
                <w:szCs w:val="20"/>
                <w:color w:val="auto"/>
              </w:rPr>
            </w:pPr>
            <w:r>
              <w:rPr>
                <w:rFonts w:ascii="Arial" w:cs="Arial" w:eastAsia="Arial" w:hAnsi="Arial"/>
                <w:sz w:val="13"/>
                <w:szCs w:val="13"/>
                <w:color w:val="auto"/>
                <w:w w:val="94"/>
              </w:rPr>
              <w:t>(35,227)</w:t>
            </w:r>
          </w:p>
        </w:tc>
        <w:tc>
          <w:tcPr>
            <w:tcW w:w="20" w:type="dxa"/>
            <w:vAlign w:val="bottom"/>
          </w:tcPr>
          <w:p>
            <w:pPr>
              <w:spacing w:after="0"/>
              <w:rPr>
                <w:sz w:val="18"/>
                <w:szCs w:val="18"/>
                <w:color w:val="auto"/>
              </w:rPr>
            </w:pPr>
          </w:p>
        </w:tc>
      </w:tr>
      <w:tr>
        <w:trPr>
          <w:trHeight w:val="171"/>
        </w:trPr>
        <w:tc>
          <w:tcPr>
            <w:tcW w:w="8980" w:type="dxa"/>
            <w:vAlign w:val="bottom"/>
          </w:tcPr>
          <w:p>
            <w:pPr>
              <w:ind w:left="20"/>
              <w:spacing w:after="0"/>
              <w:rPr>
                <w:sz w:val="20"/>
                <w:szCs w:val="20"/>
                <w:color w:val="auto"/>
              </w:rPr>
            </w:pPr>
            <w:r>
              <w:rPr>
                <w:rFonts w:ascii="Arial" w:cs="Arial" w:eastAsia="Arial" w:hAnsi="Arial"/>
                <w:sz w:val="13"/>
                <w:szCs w:val="13"/>
                <w:color w:val="auto"/>
              </w:rPr>
              <w:t>Minus Fair Value at the End of the Prior Year of Equity Awards that Failed to Meet Vesting Conditions in the Covered Year</w:t>
            </w:r>
          </w:p>
        </w:tc>
        <w:tc>
          <w:tcPr>
            <w:tcW w:w="1180" w:type="dxa"/>
            <w:vAlign w:val="bottom"/>
          </w:tcPr>
          <w:p>
            <w:pPr>
              <w:jc w:val="center"/>
              <w:ind w:right="78"/>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3"/>
                <w:szCs w:val="13"/>
                <w:color w:val="auto"/>
                <w:w w:val="96"/>
              </w:rPr>
              <w:t>(360,419)</w:t>
            </w:r>
          </w:p>
        </w:tc>
        <w:tc>
          <w:tcPr>
            <w:tcW w:w="20" w:type="dxa"/>
            <w:vAlign w:val="bottom"/>
          </w:tcPr>
          <w:p>
            <w:pPr>
              <w:spacing w:after="0"/>
              <w:rPr>
                <w:sz w:val="14"/>
                <w:szCs w:val="14"/>
                <w:color w:val="auto"/>
              </w:rPr>
            </w:pPr>
          </w:p>
        </w:tc>
      </w:tr>
      <w:tr>
        <w:trPr>
          <w:trHeight w:val="176"/>
        </w:trPr>
        <w:tc>
          <w:tcPr>
            <w:tcW w:w="8980" w:type="dxa"/>
            <w:vAlign w:val="bottom"/>
            <w:tcBorders>
              <w:right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w w:val="98"/>
              </w:rPr>
              <w:t>Plus Value of Dividends or other Earnings Paid on Stock or Option Awards Not Otherwise Reflected in Fair Value or Total Compensation for the Covered Year</w:t>
            </w:r>
          </w:p>
        </w:tc>
        <w:tc>
          <w:tcPr>
            <w:tcW w:w="1180" w:type="dxa"/>
            <w:vAlign w:val="bottom"/>
            <w:tcBorders>
              <w:right w:val="single" w:sz="8" w:color="DBDBDB"/>
            </w:tcBorders>
            <w:shd w:val="clear" w:color="auto" w:fill="DBDBDB"/>
          </w:tcPr>
          <w:p>
            <w:pPr>
              <w:jc w:val="center"/>
              <w:ind w:right="78"/>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DBDBDB"/>
          </w:tcPr>
          <w:p>
            <w:pPr>
              <w:spacing w:after="0"/>
              <w:rPr>
                <w:sz w:val="15"/>
                <w:szCs w:val="15"/>
                <w:color w:val="auto"/>
              </w:rPr>
            </w:pPr>
          </w:p>
        </w:tc>
        <w:tc>
          <w:tcPr>
            <w:tcW w:w="940" w:type="dxa"/>
            <w:vAlign w:val="bottom"/>
            <w:shd w:val="clear" w:color="auto" w:fill="DBDBDB"/>
          </w:tcPr>
          <w:p>
            <w:pPr>
              <w:jc w:val="center"/>
              <w:ind w:right="78"/>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5"/>
                <w:szCs w:val="15"/>
                <w:color w:val="auto"/>
              </w:rPr>
            </w:pPr>
          </w:p>
        </w:tc>
      </w:tr>
      <w:tr>
        <w:trPr>
          <w:trHeight w:val="186"/>
        </w:trPr>
        <w:tc>
          <w:tcPr>
            <w:tcW w:w="8980" w:type="dxa"/>
            <w:vAlign w:val="bottom"/>
            <w:tcBorders>
              <w:right w:val="single" w:sz="8" w:color="DA2031"/>
            </w:tcBorders>
            <w:shd w:val="clear" w:color="auto" w:fill="DA2031"/>
          </w:tcPr>
          <w:p>
            <w:pPr>
              <w:ind w:left="20"/>
              <w:spacing w:after="0"/>
              <w:rPr>
                <w:sz w:val="20"/>
                <w:szCs w:val="20"/>
                <w:color w:val="auto"/>
              </w:rPr>
            </w:pPr>
            <w:r>
              <w:rPr>
                <w:rFonts w:ascii="Arial" w:cs="Arial" w:eastAsia="Arial" w:hAnsi="Arial"/>
                <w:sz w:val="13"/>
                <w:szCs w:val="13"/>
                <w:b w:val="1"/>
                <w:bCs w:val="1"/>
                <w:color w:val="FFFFFF"/>
              </w:rPr>
              <w:t>Compensation Actually Paid</w:t>
            </w:r>
          </w:p>
        </w:tc>
        <w:tc>
          <w:tcPr>
            <w:tcW w:w="1180" w:type="dxa"/>
            <w:vAlign w:val="bottom"/>
            <w:tcBorders>
              <w:right w:val="single" w:sz="8" w:color="DA2031"/>
            </w:tcBorders>
            <w:shd w:val="clear" w:color="auto" w:fill="DA2031"/>
          </w:tcPr>
          <w:p>
            <w:pPr>
              <w:jc w:val="center"/>
              <w:ind w:right="58"/>
              <w:spacing w:after="0"/>
              <w:rPr>
                <w:sz w:val="20"/>
                <w:szCs w:val="20"/>
                <w:color w:val="auto"/>
              </w:rPr>
            </w:pPr>
            <w:r>
              <w:rPr>
                <w:rFonts w:ascii="Arial" w:cs="Arial" w:eastAsia="Arial" w:hAnsi="Arial"/>
                <w:sz w:val="13"/>
                <w:szCs w:val="13"/>
                <w:color w:val="FFFFFF"/>
                <w:w w:val="94"/>
              </w:rPr>
              <w:t>$(1,401)</w:t>
            </w:r>
          </w:p>
        </w:tc>
        <w:tc>
          <w:tcPr>
            <w:tcW w:w="140" w:type="dxa"/>
            <w:vAlign w:val="bottom"/>
            <w:shd w:val="clear" w:color="auto" w:fill="DA2031"/>
          </w:tcPr>
          <w:p>
            <w:pPr>
              <w:spacing w:after="0"/>
              <w:rPr>
                <w:sz w:val="16"/>
                <w:szCs w:val="16"/>
                <w:color w:val="auto"/>
              </w:rPr>
            </w:pPr>
          </w:p>
        </w:tc>
        <w:tc>
          <w:tcPr>
            <w:tcW w:w="940" w:type="dxa"/>
            <w:vAlign w:val="bottom"/>
            <w:shd w:val="clear" w:color="auto" w:fill="DA2031"/>
          </w:tcPr>
          <w:p>
            <w:pPr>
              <w:jc w:val="center"/>
              <w:ind w:right="78"/>
              <w:spacing w:after="0"/>
              <w:rPr>
                <w:sz w:val="20"/>
                <w:szCs w:val="20"/>
                <w:color w:val="auto"/>
              </w:rPr>
            </w:pPr>
            <w:r>
              <w:rPr>
                <w:rFonts w:ascii="Arial" w:cs="Arial" w:eastAsia="Arial" w:hAnsi="Arial"/>
                <w:sz w:val="13"/>
                <w:szCs w:val="13"/>
                <w:color w:val="FFFFFF"/>
                <w:w w:val="95"/>
              </w:rPr>
              <w:t>$551,182</w:t>
            </w:r>
          </w:p>
        </w:tc>
        <w:tc>
          <w:tcPr>
            <w:tcW w:w="20" w:type="dxa"/>
            <w:vAlign w:val="bottom"/>
          </w:tcPr>
          <w:p>
            <w:pPr>
              <w:spacing w:after="0"/>
              <w:rPr>
                <w:sz w:val="16"/>
                <w:szCs w:val="16"/>
                <w:color w:val="auto"/>
              </w:rPr>
            </w:pPr>
          </w:p>
        </w:tc>
      </w:tr>
      <w:tr>
        <w:trPr>
          <w:trHeight w:val="22"/>
        </w:trPr>
        <w:tc>
          <w:tcPr>
            <w:tcW w:w="8980" w:type="dxa"/>
            <w:vAlign w:val="bottom"/>
            <w:tcBorders>
              <w:right w:val="single" w:sz="8" w:color="DA2031"/>
            </w:tcBorders>
            <w:shd w:val="clear" w:color="auto" w:fill="DA2031"/>
          </w:tcPr>
          <w:p>
            <w:pPr>
              <w:spacing w:after="0" w:line="20" w:lineRule="exact"/>
              <w:rPr>
                <w:sz w:val="1"/>
                <w:szCs w:val="1"/>
                <w:color w:val="auto"/>
              </w:rPr>
            </w:pPr>
          </w:p>
        </w:tc>
        <w:tc>
          <w:tcPr>
            <w:tcW w:w="1180" w:type="dxa"/>
            <w:vAlign w:val="bottom"/>
            <w:tcBorders>
              <w:right w:val="single" w:sz="8" w:color="DA2031"/>
            </w:tcBorders>
            <w:shd w:val="clear" w:color="auto" w:fill="DA2031"/>
          </w:tcPr>
          <w:p>
            <w:pPr>
              <w:spacing w:after="0" w:line="20" w:lineRule="exact"/>
              <w:rPr>
                <w:sz w:val="1"/>
                <w:szCs w:val="1"/>
                <w:color w:val="auto"/>
              </w:rPr>
            </w:pPr>
          </w:p>
        </w:tc>
        <w:tc>
          <w:tcPr>
            <w:tcW w:w="140" w:type="dxa"/>
            <w:vAlign w:val="bottom"/>
            <w:shd w:val="clear" w:color="auto" w:fill="DA2031"/>
          </w:tcPr>
          <w:p>
            <w:pPr>
              <w:spacing w:after="0" w:line="20" w:lineRule="exact"/>
              <w:rPr>
                <w:sz w:val="1"/>
                <w:szCs w:val="1"/>
                <w:color w:val="auto"/>
              </w:rPr>
            </w:pPr>
          </w:p>
        </w:tc>
        <w:tc>
          <w:tcPr>
            <w:tcW w:w="940" w:type="dxa"/>
            <w:vAlign w:val="bottom"/>
            <w:shd w:val="clear" w:color="auto" w:fill="DA20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Unvested equity values in the above table are computed in accordance with the methodology used for financial reporting purposes, and for unvested awards subject to performance-based vesting conditions, based on the probable outcome of such performance-based vesting conditions as of the last day of the year.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Measures Used to Link Company Performance and CAP</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following is a list of performance measures, which in our assessment represent the most important performance measures used by the Company to link compensation actually paid to the Named Executive Officers for 2025. Each metric below is used for purposes of determining payouts under either our annual incentive program or vesting of our performance share units. Refer to the CD&amp;A for a further description of these metrics and how they are used in the Company’s executive compensation program.</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EBITDA (CSM)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370332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703320" cy="146050"/>
                    </a:xfrm>
                    <a:prstGeom prst="rect">
                      <a:avLst/>
                    </a:prstGeom>
                    <a:noFill/>
                  </pic:spPr>
                </pic:pic>
              </a:graphicData>
            </a:graphic>
          </wp:anchor>
        </w:drawing>
      </w:r>
    </w:p>
    <w:p>
      <w:pPr>
        <w:ind w:left="20"/>
        <w:spacing w:after="0" w:line="208" w:lineRule="auto"/>
        <w:rPr>
          <w:sz w:val="20"/>
          <w:szCs w:val="20"/>
          <w:color w:val="auto"/>
        </w:rPr>
      </w:pPr>
      <w:r>
        <w:rPr>
          <w:rFonts w:ascii="Arial" w:cs="Arial" w:eastAsia="Arial" w:hAnsi="Arial"/>
          <w:sz w:val="18"/>
          <w:szCs w:val="18"/>
          <w:color w:val="auto"/>
        </w:rPr>
        <w:t>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7033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703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Relative TSR</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Social Responsibility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left="180" w:right="560" w:hanging="172"/>
        <w:spacing w:after="0" w:line="283" w:lineRule="auto"/>
        <w:tabs>
          <w:tab w:leader="none" w:pos="174" w:val="left"/>
        </w:tabs>
        <w:numPr>
          <w:ilvl w:val="0"/>
          <w:numId w:val="88"/>
        </w:numPr>
        <w:rPr>
          <w:rFonts w:ascii="Arial" w:cs="Arial" w:eastAsia="Arial" w:hAnsi="Arial"/>
          <w:sz w:val="20"/>
          <w:szCs w:val="20"/>
          <w:color w:val="auto"/>
          <w:vertAlign w:val="superscript"/>
        </w:rPr>
      </w:pPr>
      <w:r>
        <w:rPr>
          <w:rFonts w:ascii="Arial" w:cs="Arial" w:eastAsia="Arial" w:hAnsi="Arial"/>
          <w:sz w:val="16"/>
          <w:szCs w:val="16"/>
          <w:color w:val="auto"/>
        </w:rPr>
        <w:t>Refer to the “Non-GAAP Financial Measures” section for a reconciliation of the non-GAAP financial measure or an explanation of the performance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5"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Relationship between CAP and TSR</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graph below illustrates the relationship between our TSR and the Peer Group TSR, as well as the relationship between CAP, for the PEO and Non-PEO NEOs, and our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391785" cy="3094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9178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039" w:right="7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Relationship between CAP and GAAP Net (Loss)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graph below reflects the relationship between the PEO and Average Non-PEO NEOs CAP and our GAAP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91785" cy="31203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91785"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left="180" w:hanging="172"/>
        <w:spacing w:after="0" w:line="403" w:lineRule="auto"/>
        <w:tabs>
          <w:tab w:leader="none" w:pos="174" w:val="left"/>
        </w:tabs>
        <w:numPr>
          <w:ilvl w:val="0"/>
          <w:numId w:val="89"/>
        </w:numPr>
        <w:rPr>
          <w:rFonts w:ascii="Arial" w:cs="Arial" w:eastAsia="Arial" w:hAnsi="Arial"/>
          <w:sz w:val="20"/>
          <w:szCs w:val="20"/>
          <w:color w:val="auto"/>
          <w:vertAlign w:val="superscript"/>
        </w:rPr>
      </w:pPr>
      <w:r>
        <w:rPr>
          <w:rFonts w:ascii="Arial" w:cs="Arial" w:eastAsia="Arial" w:hAnsi="Arial"/>
          <w:sz w:val="16"/>
          <w:szCs w:val="16"/>
          <w:color w:val="auto"/>
        </w:rPr>
        <w:t>Fiscal year 2025 Net (Loss) includes a tax expense charge of $467 million related to the establishment of a valuation allowance against certain deferred tax assets to reflect their realizability. Fiscal year 2024 Net (Loss) includes an after-tax non-cash goodwill impairment charge of $1,015 million. Fiscal years 2022 and 2021 Net (Loss) includes an after-tax non-cash goodwill impairment charge of $395 million and $750 million, respectively.</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0" w:right="3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 xml:space="preserve">Relationship between CAP and 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EBITDA (Company-Selected Measure)</w:t>
      </w:r>
    </w:p>
    <w:p>
      <w:pPr>
        <w:spacing w:after="0" w:line="6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The graph below reflects the relationship between the PEO and Average Non-PEO NEOs CAP and the Company’s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EBITDA metric for the applicable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5426075" cy="31375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2607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right="20" w:firstLine="8"/>
        <w:spacing w:after="0" w:line="283" w:lineRule="auto"/>
        <w:tabs>
          <w:tab w:leader="none" w:pos="175" w:val="left"/>
        </w:tabs>
        <w:numPr>
          <w:ilvl w:val="0"/>
          <w:numId w:val="90"/>
        </w:numPr>
        <w:rPr>
          <w:rFonts w:ascii="Arial" w:cs="Arial" w:eastAsia="Arial" w:hAnsi="Arial"/>
          <w:sz w:val="20"/>
          <w:szCs w:val="20"/>
          <w:color w:val="auto"/>
          <w:vertAlign w:val="superscript"/>
        </w:rPr>
      </w:pPr>
      <w:r>
        <w:rPr>
          <w:rFonts w:ascii="Arial" w:cs="Arial" w:eastAsia="Arial" w:hAnsi="Arial"/>
          <w:sz w:val="16"/>
          <w:szCs w:val="16"/>
          <w:color w:val="auto"/>
        </w:rPr>
        <w:t>Refer to the “Non-GAAP Financial Measures” section for a reconciliation of the non-GAAP financial measure or an explanation of the performance measure.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034" w:right="8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DA2031"/>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Actions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restated by-laws of Xerox provide for indemnification of officers and directors to the fullest extent permitted by New York law consistent with the restated By-Laws of Xerox. In February 2020, the Xerox Board approved advancement of counsel fees and other reasonable fees and expenses which may be incurred by the directors named as defendants in the action commenced in the Supreme Court of the State of New York, County of New York, captioned </w:t>
      </w:r>
      <w:r>
        <w:rPr>
          <w:rFonts w:ascii="Arial" w:cs="Arial" w:eastAsia="Arial" w:hAnsi="Arial"/>
          <w:sz w:val="18"/>
          <w:szCs w:val="18"/>
          <w:i w:val="1"/>
          <w:iCs w:val="1"/>
          <w:color w:val="auto"/>
        </w:rPr>
        <w:t>Miami Firefighters’ Relief &amp; Pension Fund, derivatively on behalf of Xerox Holdings 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Plaintiff, v. Carl C. Icahn, High River Limited Partnership, Icahn Capital L.P., Keith Cozza, Giovanni Visentin, Jonathan Christodoro, Joseph Echevarria, Nicholas Graziano, Cheryl Gordon Krongard, and Andrew Scott Letier, </w:t>
      </w:r>
      <w:r>
        <w:rPr>
          <w:rFonts w:ascii="Arial" w:cs="Arial" w:eastAsia="Arial" w:hAnsi="Arial"/>
          <w:sz w:val="18"/>
          <w:szCs w:val="18"/>
          <w:color w:val="auto"/>
        </w:rPr>
        <w:t>Defendants,</w:t>
      </w:r>
      <w:r>
        <w:rPr>
          <w:rFonts w:ascii="Arial" w:cs="Arial" w:eastAsia="Arial" w:hAnsi="Arial"/>
          <w:sz w:val="18"/>
          <w:szCs w:val="18"/>
          <w:i w:val="1"/>
          <w:iCs w:val="1"/>
          <w:color w:val="auto"/>
        </w:rPr>
        <w:t xml:space="preserve"> and Xerox Holdings Corporation, </w:t>
      </w:r>
      <w:r>
        <w:rPr>
          <w:rFonts w:ascii="Arial" w:cs="Arial" w:eastAsia="Arial" w:hAnsi="Arial"/>
          <w:sz w:val="18"/>
          <w:szCs w:val="18"/>
          <w:color w:val="auto"/>
        </w:rPr>
        <w:t>Nominal</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 and all other related actions currently existing or thereafter commenced in any court, including any additional derivative actions, or any appeal therein. In accordance with the requirements of the Business Corporation Law of the State of New York (BCL), in the event the Company advances counsel fees or other reasonable fees and expenses, the individuals on whose behalf any such expenditures are made are required to execute an undertaking to repay such expenses if they are finally found not to be entitled to indemnification under the restated by-laws of Xerox or the BCL.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Liability Insurance and Indemnity</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policies are issued by Endurance Assurance Corp., National Union Fire Insurance, Continental Casualty Company, Westfield Select Insurance Company, Underwriters at Lloyds of London, Westchester Fire Insurance Company, Old Republic Insurance Company, RSUI Indemnity Company, Wesco Insurance Company, Berkshire Hathaway Specialty Insurance and National Casualty Company. The policies expire on January 1, 2027, and the total annual premium is approximately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6"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DA2031"/>
        </w:rPr>
        <w:t>NON-GAAP FINANCIAL MEASURES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reports financial results in accordance with generally accepted accounting principles (GAAP). In addition, the Company's management discusses financial results using non-GAAP measures. Management believes these non-GAAP measures allow investors to better understand the trends in our business and to better understand and compare our results.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 Accordingly, we believe it is necessary to adjust several reported amounts, determined in accordance with GAAP, to exclude the effects of certain items as well as their related income tax effects. However, these non-GAAP financial measures should be viewed in addition to, and not as a substitute for, the Company’s reported results prepared in accordance with GAAP. These non-GAAP financial measures are not meant to be considered in isolation or as a substitute for comparable GAAP measures and should be read only in conjunction with the Company’s Annual Reports on Form 10-K, prepared in accordance with GAAP.</w:t>
      </w:r>
    </w:p>
    <w:p>
      <w:pPr>
        <w:spacing w:after="0" w:line="74"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Within the CD&amp;A, we discuss certain financial results using the non-GAAP measures described below. These non-GAAP measures reflect performance metrics used in our Management Incentive Program (MIP) and Executive Long-Term Incentive Program (LTIP), as applicable, as approved by the Compensation and Human Capital Committee.</w:t>
      </w:r>
    </w:p>
    <w:p>
      <w:pPr>
        <w:spacing w:after="0" w:line="6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Reconciliations of these non-GAAP financial measures to the most directly comparable financial measures calculated and presented in accordance with GAAP, in the Company’s Annual Reports on Form 10-K, are set forth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non-financing interest expense, taxes, depreciation and amortization, adjusted for the following items, as applicable: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Restructuring and related costs, net</w:t>
      </w:r>
      <w:r>
        <w:rPr>
          <w:rFonts w:ascii="Arial" w:cs="Arial" w:eastAsia="Arial" w:hAnsi="Arial"/>
          <w:sz w:val="18"/>
          <w:szCs w:val="18"/>
          <w:color w:val="auto"/>
        </w:rPr>
        <w:t>: Restructuring and related costs, net include restructuring and asset impairment charges as well as costs 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7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u w:val="single" w:color="auto"/>
          <w:color w:val="auto"/>
        </w:rPr>
        <w:t>Amortization of intangible assets</w:t>
      </w:r>
      <w:r>
        <w:rPr>
          <w:rFonts w:ascii="Arial" w:cs="Arial" w:eastAsia="Arial" w:hAnsi="Arial"/>
          <w:sz w:val="18"/>
          <w:szCs w:val="18"/>
          <w:color w:val="auto"/>
        </w:rPr>
        <w:t>: The amortization of intangible assets is driven by our acquisition activity which can vary in size, nature 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Non-service retirement-related costs</w:t>
      </w:r>
      <w:r>
        <w:rPr>
          <w:rFonts w:ascii="Arial" w:cs="Arial" w:eastAsia="Arial" w:hAnsi="Arial"/>
          <w:sz w:val="18"/>
          <w:szCs w:val="18"/>
          <w:color w:val="auto"/>
        </w:rPr>
        <w:t>: Our defined benefit pension and retiree health costs include several elements impacted by changes in 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are related to current employee service as well as the cost of our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2" w:name="page83"/>
    <w:bookmarkEnd w:id="82"/>
    <w:p>
      <w:pPr>
        <w:ind w:right="180"/>
        <w:spacing w:after="0" w:line="257" w:lineRule="auto"/>
        <w:rPr>
          <w:sz w:val="20"/>
          <w:szCs w:val="20"/>
          <w:color w:val="auto"/>
        </w:rPr>
      </w:pPr>
      <w:r>
        <w:rPr>
          <w:rFonts w:ascii="Arial" w:cs="Arial" w:eastAsia="Arial" w:hAnsi="Arial"/>
          <w:sz w:val="18"/>
          <w:szCs w:val="18"/>
          <w:u w:val="single" w:color="auto"/>
          <w:color w:val="auto"/>
        </w:rPr>
        <w:t>Transaction and related costs, net</w:t>
      </w:r>
      <w:r>
        <w:rPr>
          <w:rFonts w:ascii="Arial" w:cs="Arial" w:eastAsia="Arial" w:hAnsi="Arial"/>
          <w:sz w:val="18"/>
          <w:szCs w:val="18"/>
          <w:color w:val="auto"/>
        </w:rPr>
        <w:t>: Transaction and related costs, net are costs and expenses primarily associated with certain major or significant strategic M&amp;A projects. These costs are primarily for third-party legal, accounting, consulting and other similar types of professional services as well as potential legal settlements that may arise in connection with those M&amp;A transactions. These costs are considered incremental to our normal operating charges and were incurred or are expected to be incurred solely as a result of the planned transactions. Accordingly, we exclude these expenses from our Adjusted Earnings Measures in order to evaluate our performance on a comparable basis.</w:t>
      </w:r>
    </w:p>
    <w:p>
      <w:pPr>
        <w:spacing w:after="0" w:line="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u w:val="single" w:color="auto"/>
          <w:color w:val="auto"/>
        </w:rPr>
        <w:t>Other expenses, net</w:t>
      </w:r>
      <w:r>
        <w:rPr>
          <w:rFonts w:ascii="Arial" w:cs="Arial" w:eastAsia="Arial" w:hAnsi="Arial"/>
          <w:sz w:val="18"/>
          <w:szCs w:val="18"/>
          <w:color w:val="auto"/>
        </w:rPr>
        <w:t>: primarily non-financing interest expense, and inclusive of non-service retirement-related costs and certain other non-operating costs and expenses.</w:t>
      </w:r>
    </w:p>
    <w:p>
      <w:pPr>
        <w:spacing w:after="0" w:line="4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u w:val="single" w:color="auto"/>
          <w:color w:val="auto"/>
        </w:rPr>
        <w:t>Discrete, unusual or infrequent items</w:t>
      </w:r>
      <w:r>
        <w:rPr>
          <w:rFonts w:ascii="Arial" w:cs="Arial" w:eastAsia="Arial" w:hAnsi="Arial"/>
          <w:sz w:val="18"/>
          <w:szCs w:val="18"/>
          <w:color w:val="auto"/>
        </w:rPr>
        <w:t>: We excluded the following items, given their discrete, unusual or infrequent nature and their impact on the comparability of our results for the period to prior periods and future expected trends.</w:t>
      </w:r>
    </w:p>
    <w:p>
      <w:pPr>
        <w:spacing w:after="0" w:line="5"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22"/>
          <w:szCs w:val="22"/>
          <w:color w:val="auto"/>
        </w:rPr>
      </w:pPr>
      <w:r>
        <w:rPr>
          <w:rFonts w:ascii="Arial" w:cs="Arial" w:eastAsia="Arial" w:hAnsi="Arial"/>
          <w:sz w:val="18"/>
          <w:szCs w:val="18"/>
          <w:color w:val="auto"/>
        </w:rPr>
        <w:t>Reinvention-related costs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18"/>
          <w:szCs w:val="18"/>
          <w:color w:val="auto"/>
        </w:rPr>
        <w:t>Inventory-related impact - exit of certain Production Print manufacturing operations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18"/>
          <w:szCs w:val="18"/>
          <w:color w:val="auto"/>
        </w:rPr>
        <w:t>Lexmark - inventory-related purchase accounting adjustment</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91"/>
        </w:numPr>
        <w:rPr>
          <w:rFonts w:ascii="Arial" w:cs="Arial" w:eastAsia="Arial" w:hAnsi="Arial"/>
          <w:sz w:val="22"/>
          <w:szCs w:val="22"/>
          <w:color w:val="auto"/>
        </w:rPr>
      </w:pPr>
      <w:r>
        <w:rPr>
          <w:rFonts w:ascii="Arial" w:cs="Arial" w:eastAsia="Arial" w:hAnsi="Arial"/>
          <w:sz w:val="18"/>
          <w:szCs w:val="18"/>
          <w:color w:val="auto"/>
        </w:rPr>
        <w:t>Lexmark - pre-existing employment agreements settled post acquisition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18"/>
          <w:szCs w:val="18"/>
          <w:color w:val="auto"/>
        </w:rPr>
        <w:t>Divestitures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18"/>
          <w:szCs w:val="18"/>
          <w:color w:val="auto"/>
        </w:rPr>
        <w:t>Loss on PARC donation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18"/>
          <w:szCs w:val="18"/>
          <w:color w:val="auto"/>
        </w:rPr>
        <w:t>Accelerated share vesting</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18"/>
          <w:szCs w:val="18"/>
          <w:color w:val="auto"/>
        </w:rPr>
        <w:t>Goodwill impairment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Management believes this measure gives investors an additional perspective on cash flow from operating activities in excess of amounts required for reinvestment (net cash provided by operating activities less capital expenditures). It provides a measure of the Company’s ability to fund acquisitions and pay dividends.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calculate and utilize adjusted operating income measures by adjusting our reported pre-tax (loss) income amounts by Restructuring and related costs, net, Amortization of intangible assets, non-service retirement-related costs, Transaction and related costs, net and Other expenses, net, which are primarily non-financing interest expense and certain other non-operating costs and expenses. We also exclude other discrete, unusual or infrequent items, as applicable. We exclude these amounts in order to evaluate our current and past operating performance and to better understand the expected future trends in our business.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DA2031"/>
        </w:rPr>
        <w:t>MIP Performance Measure: Adjusted EBITDA Reconciliation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shd w:val="clear" w:color="auto" w:fill="DA2031"/>
          </w:tcPr>
          <w:p>
            <w:pPr>
              <w:spacing w:after="0"/>
              <w:rPr>
                <w:sz w:val="17"/>
                <w:szCs w:val="17"/>
                <w:color w:val="auto"/>
              </w:rPr>
            </w:pPr>
          </w:p>
        </w:tc>
        <w:tc>
          <w:tcPr>
            <w:tcW w:w="540" w:type="dxa"/>
            <w:vAlign w:val="bottom"/>
            <w:shd w:val="clear" w:color="auto" w:fill="DA2031"/>
          </w:tcPr>
          <w:p>
            <w:pPr>
              <w:spacing w:after="0"/>
              <w:rPr>
                <w:sz w:val="17"/>
                <w:szCs w:val="17"/>
                <w:color w:val="auto"/>
              </w:rPr>
            </w:pPr>
          </w:p>
        </w:tc>
        <w:tc>
          <w:tcPr>
            <w:tcW w:w="940" w:type="dxa"/>
            <w:vAlign w:val="bottom"/>
            <w:shd w:val="clear" w:color="auto" w:fill="DA2031"/>
          </w:tcPr>
          <w:p>
            <w:pPr>
              <w:spacing w:after="0"/>
              <w:rPr>
                <w:sz w:val="17"/>
                <w:szCs w:val="17"/>
                <w:color w:val="auto"/>
              </w:rPr>
            </w:pPr>
          </w:p>
        </w:tc>
        <w:tc>
          <w:tcPr>
            <w:tcW w:w="560" w:type="dxa"/>
            <w:vAlign w:val="bottom"/>
            <w:shd w:val="clear" w:color="auto" w:fill="DA2031"/>
          </w:tcPr>
          <w:p>
            <w:pPr>
              <w:spacing w:after="0"/>
              <w:rPr>
                <w:sz w:val="17"/>
                <w:szCs w:val="17"/>
                <w:color w:val="auto"/>
              </w:rPr>
            </w:pPr>
          </w:p>
        </w:tc>
        <w:tc>
          <w:tcPr>
            <w:tcW w:w="3040" w:type="dxa"/>
            <w:vAlign w:val="bottom"/>
            <w:gridSpan w:val="4"/>
            <w:shd w:val="clear" w:color="auto" w:fill="DA2031"/>
          </w:tcPr>
          <w:p>
            <w:pPr>
              <w:jc w:val="right"/>
              <w:ind w:right="428"/>
              <w:spacing w:after="0"/>
              <w:rPr>
                <w:sz w:val="20"/>
                <w:szCs w:val="20"/>
                <w:color w:val="auto"/>
              </w:rPr>
            </w:pPr>
            <w:r>
              <w:rPr>
                <w:rFonts w:ascii="Arial" w:cs="Arial" w:eastAsia="Arial" w:hAnsi="Arial"/>
                <w:sz w:val="14"/>
                <w:szCs w:val="14"/>
                <w:b w:val="1"/>
                <w:bCs w:val="1"/>
                <w:color w:val="FFFFFF"/>
              </w:rPr>
              <w:t>Year Ended December 31,</w:t>
            </w:r>
          </w:p>
        </w:tc>
        <w:tc>
          <w:tcPr>
            <w:tcW w:w="860" w:type="dxa"/>
            <w:vAlign w:val="bottom"/>
            <w:shd w:val="clear" w:color="auto" w:fill="DA2031"/>
          </w:tcPr>
          <w:p>
            <w:pPr>
              <w:spacing w:after="0"/>
              <w:rPr>
                <w:sz w:val="17"/>
                <w:szCs w:val="17"/>
                <w:color w:val="auto"/>
              </w:rPr>
            </w:pPr>
          </w:p>
        </w:tc>
        <w:tc>
          <w:tcPr>
            <w:tcW w:w="600" w:type="dxa"/>
            <w:vAlign w:val="bottom"/>
            <w:shd w:val="clear" w:color="auto" w:fill="DA2031"/>
          </w:tcPr>
          <w:p>
            <w:pPr>
              <w:spacing w:after="0"/>
              <w:rPr>
                <w:sz w:val="17"/>
                <w:szCs w:val="17"/>
                <w:color w:val="auto"/>
              </w:rPr>
            </w:pPr>
          </w:p>
        </w:tc>
        <w:tc>
          <w:tcPr>
            <w:tcW w:w="880" w:type="dxa"/>
            <w:vAlign w:val="bottom"/>
            <w:shd w:val="clear" w:color="auto" w:fill="DA203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DA2031"/>
          </w:tcPr>
          <w:p>
            <w:pPr>
              <w:ind w:left="20"/>
              <w:spacing w:after="0"/>
              <w:rPr>
                <w:sz w:val="20"/>
                <w:szCs w:val="20"/>
                <w:color w:val="auto"/>
              </w:rPr>
            </w:pPr>
            <w:r>
              <w:rPr>
                <w:rFonts w:ascii="Arial" w:cs="Arial" w:eastAsia="Arial" w:hAnsi="Arial"/>
                <w:sz w:val="14"/>
                <w:szCs w:val="14"/>
                <w:b w:val="1"/>
                <w:bCs w:val="1"/>
                <w:color w:val="FFFFFF"/>
              </w:rPr>
              <w:t>(in millions)</w:t>
            </w:r>
          </w:p>
        </w:tc>
        <w:tc>
          <w:tcPr>
            <w:tcW w:w="540" w:type="dxa"/>
            <w:vAlign w:val="bottom"/>
            <w:shd w:val="clear" w:color="auto" w:fill="DA2031"/>
          </w:tcPr>
          <w:p>
            <w:pPr>
              <w:spacing w:after="0"/>
              <w:rPr>
                <w:sz w:val="17"/>
                <w:szCs w:val="17"/>
                <w:color w:val="auto"/>
              </w:rPr>
            </w:pPr>
          </w:p>
        </w:tc>
        <w:tc>
          <w:tcPr>
            <w:tcW w:w="940" w:type="dxa"/>
            <w:vAlign w:val="bottom"/>
            <w:shd w:val="clear" w:color="auto" w:fill="DA2031"/>
          </w:tcPr>
          <w:p>
            <w:pPr>
              <w:jc w:val="right"/>
              <w:spacing w:after="0"/>
              <w:rPr>
                <w:sz w:val="20"/>
                <w:szCs w:val="20"/>
                <w:color w:val="auto"/>
              </w:rPr>
            </w:pPr>
            <w:r>
              <w:rPr>
                <w:rFonts w:ascii="Arial" w:cs="Arial" w:eastAsia="Arial" w:hAnsi="Arial"/>
                <w:sz w:val="14"/>
                <w:szCs w:val="14"/>
                <w:b w:val="1"/>
                <w:bCs w:val="1"/>
                <w:color w:val="FFFFFF"/>
              </w:rPr>
              <w:t>2025</w:t>
            </w:r>
          </w:p>
        </w:tc>
        <w:tc>
          <w:tcPr>
            <w:tcW w:w="560" w:type="dxa"/>
            <w:vAlign w:val="bottom"/>
            <w:shd w:val="clear" w:color="auto" w:fill="DA2031"/>
          </w:tcPr>
          <w:p>
            <w:pPr>
              <w:spacing w:after="0"/>
              <w:rPr>
                <w:sz w:val="17"/>
                <w:szCs w:val="17"/>
                <w:color w:val="auto"/>
              </w:rPr>
            </w:pPr>
          </w:p>
        </w:tc>
        <w:tc>
          <w:tcPr>
            <w:tcW w:w="920" w:type="dxa"/>
            <w:vAlign w:val="bottom"/>
            <w:shd w:val="clear" w:color="auto" w:fill="DA2031"/>
          </w:tcPr>
          <w:p>
            <w:pPr>
              <w:jc w:val="right"/>
              <w:spacing w:after="0"/>
              <w:rPr>
                <w:sz w:val="20"/>
                <w:szCs w:val="20"/>
                <w:color w:val="auto"/>
              </w:rPr>
            </w:pPr>
            <w:r>
              <w:rPr>
                <w:rFonts w:ascii="Arial" w:cs="Arial" w:eastAsia="Arial" w:hAnsi="Arial"/>
                <w:sz w:val="14"/>
                <w:szCs w:val="14"/>
                <w:b w:val="1"/>
                <w:bCs w:val="1"/>
                <w:color w:val="FFFFFF"/>
              </w:rPr>
              <w:t>2024</w:t>
            </w:r>
          </w:p>
        </w:tc>
        <w:tc>
          <w:tcPr>
            <w:tcW w:w="620" w:type="dxa"/>
            <w:vAlign w:val="bottom"/>
            <w:shd w:val="clear" w:color="auto" w:fill="DA2031"/>
          </w:tcPr>
          <w:p>
            <w:pPr>
              <w:spacing w:after="0"/>
              <w:rPr>
                <w:sz w:val="17"/>
                <w:szCs w:val="17"/>
                <w:color w:val="auto"/>
              </w:rPr>
            </w:pPr>
          </w:p>
        </w:tc>
        <w:tc>
          <w:tcPr>
            <w:tcW w:w="880" w:type="dxa"/>
            <w:vAlign w:val="bottom"/>
            <w:shd w:val="clear" w:color="auto" w:fill="DA2031"/>
          </w:tcPr>
          <w:p>
            <w:pPr>
              <w:jc w:val="right"/>
              <w:spacing w:after="0"/>
              <w:rPr>
                <w:sz w:val="20"/>
                <w:szCs w:val="20"/>
                <w:color w:val="auto"/>
              </w:rPr>
            </w:pPr>
            <w:r>
              <w:rPr>
                <w:rFonts w:ascii="Arial" w:cs="Arial" w:eastAsia="Arial" w:hAnsi="Arial"/>
                <w:sz w:val="14"/>
                <w:szCs w:val="14"/>
                <w:b w:val="1"/>
                <w:bCs w:val="1"/>
                <w:color w:val="FFFFFF"/>
              </w:rPr>
              <w:t>2023</w:t>
            </w:r>
          </w:p>
        </w:tc>
        <w:tc>
          <w:tcPr>
            <w:tcW w:w="620" w:type="dxa"/>
            <w:vAlign w:val="bottom"/>
            <w:shd w:val="clear" w:color="auto" w:fill="DA2031"/>
          </w:tcPr>
          <w:p>
            <w:pPr>
              <w:spacing w:after="0"/>
              <w:rPr>
                <w:sz w:val="17"/>
                <w:szCs w:val="17"/>
                <w:color w:val="auto"/>
              </w:rPr>
            </w:pPr>
          </w:p>
        </w:tc>
        <w:tc>
          <w:tcPr>
            <w:tcW w:w="860" w:type="dxa"/>
            <w:vAlign w:val="bottom"/>
            <w:shd w:val="clear" w:color="auto" w:fill="DA2031"/>
          </w:tcPr>
          <w:p>
            <w:pPr>
              <w:jc w:val="right"/>
              <w:spacing w:after="0"/>
              <w:rPr>
                <w:sz w:val="20"/>
                <w:szCs w:val="20"/>
                <w:color w:val="auto"/>
              </w:rPr>
            </w:pPr>
            <w:r>
              <w:rPr>
                <w:rFonts w:ascii="Arial" w:cs="Arial" w:eastAsia="Arial" w:hAnsi="Arial"/>
                <w:sz w:val="14"/>
                <w:szCs w:val="14"/>
                <w:b w:val="1"/>
                <w:bCs w:val="1"/>
                <w:color w:val="FFFFFF"/>
              </w:rPr>
              <w:t>2022</w:t>
            </w:r>
          </w:p>
        </w:tc>
        <w:tc>
          <w:tcPr>
            <w:tcW w:w="600" w:type="dxa"/>
            <w:vAlign w:val="bottom"/>
            <w:shd w:val="clear" w:color="auto" w:fill="DA2031"/>
          </w:tcPr>
          <w:p>
            <w:pPr>
              <w:spacing w:after="0"/>
              <w:rPr>
                <w:sz w:val="17"/>
                <w:szCs w:val="17"/>
                <w:color w:val="auto"/>
              </w:rPr>
            </w:pPr>
          </w:p>
        </w:tc>
        <w:tc>
          <w:tcPr>
            <w:tcW w:w="880" w:type="dxa"/>
            <w:vAlign w:val="bottom"/>
            <w:shd w:val="clear" w:color="auto" w:fill="DA2031"/>
          </w:tcPr>
          <w:p>
            <w:pPr>
              <w:jc w:val="right"/>
              <w:spacing w:after="0"/>
              <w:rPr>
                <w:sz w:val="20"/>
                <w:szCs w:val="20"/>
                <w:color w:val="auto"/>
              </w:rPr>
            </w:pPr>
            <w:r>
              <w:rPr>
                <w:rFonts w:ascii="Arial" w:cs="Arial" w:eastAsia="Arial" w:hAnsi="Arial"/>
                <w:sz w:val="14"/>
                <w:szCs w:val="14"/>
                <w:b w:val="1"/>
                <w:bCs w:val="1"/>
                <w:color w:val="FFFFFF"/>
              </w:rPr>
              <w:t>2021</w:t>
            </w: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 xml:space="preserve">Reported </w:t>
            </w:r>
            <w:r>
              <w:rPr>
                <w:rFonts w:ascii="Arial" w:cs="Arial" w:eastAsia="Arial" w:hAnsi="Arial"/>
                <w:sz w:val="18"/>
                <w:szCs w:val="18"/>
                <w:b w:val="1"/>
                <w:bCs w:val="1"/>
                <w:color w:val="auto"/>
                <w:vertAlign w:val="superscript"/>
              </w:rPr>
              <w:t>(1)</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(1,029)</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(1,321)</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(322)</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03"/>
        </w:trPr>
        <w:tc>
          <w:tcPr>
            <w:tcW w:w="3820" w:type="dxa"/>
            <w:vAlign w:val="bottom"/>
            <w:shd w:val="clear" w:color="auto" w:fill="D8D8D8"/>
          </w:tcPr>
          <w:p>
            <w:pPr>
              <w:ind w:left="20"/>
              <w:spacing w:after="0"/>
              <w:rPr>
                <w:sz w:val="20"/>
                <w:szCs w:val="20"/>
                <w:color w:val="auto"/>
              </w:rPr>
            </w:pPr>
            <w:r>
              <w:rPr>
                <w:rFonts w:ascii="Arial" w:cs="Arial" w:eastAsia="Arial" w:hAnsi="Arial"/>
                <w:sz w:val="14"/>
                <w:szCs w:val="14"/>
                <w:color w:val="auto"/>
              </w:rPr>
              <w:t>Non-financing interest expense, net</w:t>
            </w:r>
          </w:p>
        </w:tc>
        <w:tc>
          <w:tcPr>
            <w:tcW w:w="540" w:type="dxa"/>
            <w:vAlign w:val="bottom"/>
            <w:shd w:val="clear" w:color="auto" w:fill="D8D8D8"/>
          </w:tcPr>
          <w:p>
            <w:pPr>
              <w:spacing w:after="0"/>
              <w:rPr>
                <w:sz w:val="17"/>
                <w:szCs w:val="17"/>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248</w:t>
            </w:r>
          </w:p>
        </w:tc>
        <w:tc>
          <w:tcPr>
            <w:tcW w:w="560" w:type="dxa"/>
            <w:vAlign w:val="bottom"/>
            <w:shd w:val="clear" w:color="auto" w:fill="D8D8D8"/>
          </w:tcPr>
          <w:p>
            <w:pPr>
              <w:spacing w:after="0"/>
              <w:rPr>
                <w:sz w:val="17"/>
                <w:szCs w:val="17"/>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119</w:t>
            </w:r>
          </w:p>
        </w:tc>
        <w:tc>
          <w:tcPr>
            <w:tcW w:w="620" w:type="dxa"/>
            <w:vAlign w:val="bottom"/>
            <w:shd w:val="clear" w:color="auto" w:fill="D8D8D8"/>
          </w:tcPr>
          <w:p>
            <w:pPr>
              <w:spacing w:after="0"/>
              <w:rPr>
                <w:sz w:val="17"/>
                <w:szCs w:val="17"/>
                <w:color w:val="auto"/>
              </w:rPr>
            </w:pPr>
          </w:p>
        </w:tc>
        <w:tc>
          <w:tcPr>
            <w:tcW w:w="8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52</w:t>
            </w:r>
          </w:p>
        </w:tc>
        <w:tc>
          <w:tcPr>
            <w:tcW w:w="620" w:type="dxa"/>
            <w:vAlign w:val="bottom"/>
            <w:shd w:val="clear" w:color="auto" w:fill="D8D8D8"/>
          </w:tcPr>
          <w:p>
            <w:pPr>
              <w:spacing w:after="0"/>
              <w:rPr>
                <w:sz w:val="17"/>
                <w:szCs w:val="17"/>
                <w:color w:val="auto"/>
              </w:rPr>
            </w:pP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80</w:t>
            </w:r>
          </w:p>
        </w:tc>
        <w:tc>
          <w:tcPr>
            <w:tcW w:w="600" w:type="dxa"/>
            <w:vAlign w:val="bottom"/>
            <w:shd w:val="clear" w:color="auto" w:fill="D8D8D8"/>
          </w:tcPr>
          <w:p>
            <w:pPr>
              <w:spacing w:after="0"/>
              <w:rPr>
                <w:sz w:val="17"/>
                <w:szCs w:val="17"/>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8"/>
        </w:trPr>
        <w:tc>
          <w:tcPr>
            <w:tcW w:w="382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541</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w:t>
            </w:r>
          </w:p>
        </w:tc>
        <w:tc>
          <w:tcPr>
            <w:tcW w:w="6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3820" w:type="dxa"/>
            <w:vAlign w:val="bottom"/>
            <w:shd w:val="clear" w:color="auto" w:fill="D8D8D8"/>
          </w:tcPr>
          <w:p>
            <w:pPr>
              <w:ind w:left="20"/>
              <w:spacing w:after="0"/>
              <w:rPr>
                <w:sz w:val="20"/>
                <w:szCs w:val="20"/>
                <w:color w:val="auto"/>
              </w:rPr>
            </w:pPr>
            <w:r>
              <w:rPr>
                <w:rFonts w:ascii="Arial" w:cs="Arial" w:eastAsia="Arial" w:hAnsi="Arial"/>
                <w:sz w:val="14"/>
                <w:szCs w:val="14"/>
                <w:color w:val="auto"/>
              </w:rPr>
              <w:t>Depreciation and Amortization</w:t>
            </w:r>
          </w:p>
        </w:tc>
        <w:tc>
          <w:tcPr>
            <w:tcW w:w="540" w:type="dxa"/>
            <w:vAlign w:val="bottom"/>
            <w:tcBorders>
              <w:bottom w:val="single" w:sz="8" w:color="auto"/>
            </w:tcBorders>
            <w:shd w:val="clear" w:color="auto" w:fill="D8D8D8"/>
          </w:tcPr>
          <w:p>
            <w:pPr>
              <w:spacing w:after="0"/>
              <w:rPr>
                <w:sz w:val="17"/>
                <w:szCs w:val="17"/>
                <w:color w:val="auto"/>
              </w:rPr>
            </w:pPr>
          </w:p>
        </w:tc>
        <w:tc>
          <w:tcPr>
            <w:tcW w:w="9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331</w:t>
            </w:r>
          </w:p>
        </w:tc>
        <w:tc>
          <w:tcPr>
            <w:tcW w:w="560" w:type="dxa"/>
            <w:vAlign w:val="bottom"/>
            <w:tcBorders>
              <w:bottom w:val="single" w:sz="8" w:color="auto"/>
            </w:tcBorders>
            <w:shd w:val="clear" w:color="auto" w:fill="D8D8D8"/>
          </w:tcPr>
          <w:p>
            <w:pPr>
              <w:spacing w:after="0"/>
              <w:rPr>
                <w:sz w:val="17"/>
                <w:szCs w:val="17"/>
                <w:color w:val="auto"/>
              </w:rPr>
            </w:pP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274</w:t>
            </w:r>
          </w:p>
        </w:tc>
        <w:tc>
          <w:tcPr>
            <w:tcW w:w="620" w:type="dxa"/>
            <w:vAlign w:val="bottom"/>
            <w:tcBorders>
              <w:bottom w:val="single" w:sz="8" w:color="auto"/>
            </w:tcBorders>
            <w:shd w:val="clear" w:color="auto" w:fill="D8D8D8"/>
          </w:tcPr>
          <w:p>
            <w:pPr>
              <w:spacing w:after="0"/>
              <w:rPr>
                <w:sz w:val="17"/>
                <w:szCs w:val="17"/>
                <w:color w:val="auto"/>
              </w:rPr>
            </w:pPr>
          </w:p>
        </w:tc>
        <w:tc>
          <w:tcPr>
            <w:tcW w:w="88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251</w:t>
            </w:r>
          </w:p>
        </w:tc>
        <w:tc>
          <w:tcPr>
            <w:tcW w:w="620" w:type="dxa"/>
            <w:vAlign w:val="bottom"/>
            <w:tcBorders>
              <w:bottom w:val="single" w:sz="8" w:color="auto"/>
            </w:tcBorders>
            <w:shd w:val="clear" w:color="auto" w:fill="D8D8D8"/>
          </w:tcPr>
          <w:p>
            <w:pPr>
              <w:spacing w:after="0"/>
              <w:rPr>
                <w:sz w:val="17"/>
                <w:szCs w:val="17"/>
                <w:color w:val="auto"/>
              </w:rPr>
            </w:pPr>
          </w:p>
        </w:tc>
        <w:tc>
          <w:tcPr>
            <w:tcW w:w="86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270</w:t>
            </w:r>
          </w:p>
        </w:tc>
        <w:tc>
          <w:tcPr>
            <w:tcW w:w="600" w:type="dxa"/>
            <w:vAlign w:val="bottom"/>
            <w:tcBorders>
              <w:bottom w:val="single" w:sz="8" w:color="auto"/>
            </w:tcBorders>
            <w:shd w:val="clear" w:color="auto" w:fill="D8D8D8"/>
          </w:tcPr>
          <w:p>
            <w:pPr>
              <w:spacing w:after="0"/>
              <w:rPr>
                <w:sz w:val="17"/>
                <w:szCs w:val="17"/>
                <w:color w:val="auto"/>
              </w:rPr>
            </w:pP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95"/>
        </w:trPr>
        <w:tc>
          <w:tcPr>
            <w:tcW w:w="3820" w:type="dxa"/>
            <w:vAlign w:val="bottom"/>
            <w:tcBorders>
              <w:bottom w:val="single" w:sz="8" w:color="D8D8D8"/>
            </w:tcBorders>
          </w:tcPr>
          <w:p>
            <w:pPr>
              <w:ind w:left="20"/>
              <w:spacing w:after="0"/>
              <w:rPr>
                <w:sz w:val="20"/>
                <w:szCs w:val="20"/>
                <w:color w:val="auto"/>
              </w:rPr>
            </w:pPr>
            <w:r>
              <w:rPr>
                <w:rFonts w:ascii="Arial" w:cs="Arial" w:eastAsia="Arial" w:hAnsi="Arial"/>
                <w:sz w:val="14"/>
                <w:szCs w:val="14"/>
                <w:b w:val="1"/>
                <w:bCs w:val="1"/>
                <w:color w:val="auto"/>
              </w:rPr>
              <w:t>EBITDA</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(823)</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275</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w:t>
            </w: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31"/>
        </w:trPr>
        <w:tc>
          <w:tcPr>
            <w:tcW w:w="3820" w:type="dxa"/>
            <w:vAlign w:val="bottom"/>
            <w:shd w:val="clear" w:color="auto" w:fill="D8D8D8"/>
          </w:tcPr>
          <w:p>
            <w:pPr>
              <w:ind w:left="20"/>
              <w:spacing w:after="0" w:line="131" w:lineRule="exact"/>
              <w:rPr>
                <w:sz w:val="20"/>
                <w:szCs w:val="20"/>
                <w:color w:val="auto"/>
              </w:rPr>
            </w:pPr>
            <w:r>
              <w:rPr>
                <w:rFonts w:ascii="Arial" w:cs="Arial" w:eastAsia="Arial" w:hAnsi="Arial"/>
                <w:sz w:val="14"/>
                <w:szCs w:val="14"/>
                <w:color w:val="auto"/>
              </w:rPr>
              <w:t>Inventory-related impact - exit of certain production print</w:t>
            </w:r>
          </w:p>
        </w:tc>
        <w:tc>
          <w:tcPr>
            <w:tcW w:w="540" w:type="dxa"/>
            <w:vAlign w:val="bottom"/>
            <w:shd w:val="clear" w:color="auto" w:fill="D8D8D8"/>
          </w:tcPr>
          <w:p>
            <w:pPr>
              <w:spacing w:after="0"/>
              <w:rPr>
                <w:sz w:val="11"/>
                <w:szCs w:val="11"/>
                <w:color w:val="auto"/>
              </w:rPr>
            </w:pPr>
          </w:p>
        </w:tc>
        <w:tc>
          <w:tcPr>
            <w:tcW w:w="9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24</w:t>
            </w:r>
          </w:p>
        </w:tc>
        <w:tc>
          <w:tcPr>
            <w:tcW w:w="560" w:type="dxa"/>
            <w:vAlign w:val="bottom"/>
            <w:shd w:val="clear" w:color="auto" w:fill="D8D8D8"/>
          </w:tcPr>
          <w:p>
            <w:pPr>
              <w:spacing w:after="0"/>
              <w:rPr>
                <w:sz w:val="11"/>
                <w:szCs w:val="11"/>
                <w:color w:val="auto"/>
              </w:rPr>
            </w:pPr>
          </w:p>
        </w:tc>
        <w:tc>
          <w:tcPr>
            <w:tcW w:w="9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51</w:t>
            </w:r>
          </w:p>
        </w:tc>
        <w:tc>
          <w:tcPr>
            <w:tcW w:w="620" w:type="dxa"/>
            <w:vAlign w:val="bottom"/>
            <w:shd w:val="clear" w:color="auto" w:fill="D8D8D8"/>
          </w:tcPr>
          <w:p>
            <w:pPr>
              <w:spacing w:after="0"/>
              <w:rPr>
                <w:sz w:val="11"/>
                <w:szCs w:val="11"/>
                <w:color w:val="auto"/>
              </w:rPr>
            </w:pPr>
          </w:p>
        </w:tc>
        <w:tc>
          <w:tcPr>
            <w:tcW w:w="88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spacing w:after="0"/>
              <w:rPr>
                <w:sz w:val="11"/>
                <w:szCs w:val="11"/>
                <w:color w:val="auto"/>
              </w:rPr>
            </w:pPr>
          </w:p>
        </w:tc>
        <w:tc>
          <w:tcPr>
            <w:tcW w:w="86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spacing w:after="0"/>
              <w:rPr>
                <w:sz w:val="11"/>
                <w:szCs w:val="11"/>
                <w:color w:val="auto"/>
              </w:rPr>
            </w:pPr>
          </w:p>
        </w:tc>
        <w:tc>
          <w:tcPr>
            <w:tcW w:w="88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820" w:type="dxa"/>
            <w:vAlign w:val="bottom"/>
            <w:shd w:val="clear" w:color="auto" w:fill="D8D8D8"/>
          </w:tcPr>
          <w:p>
            <w:pPr>
              <w:ind w:left="20"/>
              <w:spacing w:after="0" w:line="201" w:lineRule="exact"/>
              <w:rPr>
                <w:sz w:val="20"/>
                <w:szCs w:val="20"/>
                <w:color w:val="auto"/>
              </w:rPr>
            </w:pPr>
            <w:r>
              <w:rPr>
                <w:rFonts w:ascii="Arial" w:cs="Arial" w:eastAsia="Arial" w:hAnsi="Arial"/>
                <w:sz w:val="14"/>
                <w:szCs w:val="14"/>
                <w:color w:val="auto"/>
              </w:rPr>
              <w:t>manufacturing operations</w:t>
            </w:r>
            <w:r>
              <w:rPr>
                <w:rFonts w:ascii="Arial" w:cs="Arial" w:eastAsia="Arial" w:hAnsi="Arial"/>
                <w:sz w:val="18"/>
                <w:szCs w:val="18"/>
                <w:color w:val="auto"/>
                <w:vertAlign w:val="superscript"/>
              </w:rPr>
              <w:t>(2)</w:t>
            </w:r>
          </w:p>
        </w:tc>
        <w:tc>
          <w:tcPr>
            <w:tcW w:w="540" w:type="dxa"/>
            <w:vAlign w:val="bottom"/>
            <w:shd w:val="clear" w:color="auto" w:fill="D8D8D8"/>
          </w:tcPr>
          <w:p>
            <w:pPr>
              <w:spacing w:after="0"/>
              <w:rPr>
                <w:sz w:val="17"/>
                <w:szCs w:val="17"/>
                <w:color w:val="auto"/>
              </w:rPr>
            </w:pPr>
          </w:p>
        </w:tc>
        <w:tc>
          <w:tcPr>
            <w:tcW w:w="940" w:type="dxa"/>
            <w:vAlign w:val="bottom"/>
            <w:vMerge w:val="continue"/>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c>
          <w:tcPr>
            <w:tcW w:w="920" w:type="dxa"/>
            <w:vAlign w:val="bottom"/>
            <w:vMerge w:val="continue"/>
            <w:shd w:val="clear" w:color="auto" w:fill="D8D8D8"/>
          </w:tcPr>
          <w:p>
            <w:pPr>
              <w:spacing w:after="0"/>
              <w:rPr>
                <w:sz w:val="17"/>
                <w:szCs w:val="17"/>
                <w:color w:val="auto"/>
              </w:rPr>
            </w:pPr>
          </w:p>
        </w:tc>
        <w:tc>
          <w:tcPr>
            <w:tcW w:w="620" w:type="dxa"/>
            <w:vAlign w:val="bottom"/>
            <w:shd w:val="clear" w:color="auto" w:fill="D8D8D8"/>
          </w:tcPr>
          <w:p>
            <w:pPr>
              <w:spacing w:after="0"/>
              <w:rPr>
                <w:sz w:val="17"/>
                <w:szCs w:val="17"/>
                <w:color w:val="auto"/>
              </w:rPr>
            </w:pPr>
          </w:p>
        </w:tc>
        <w:tc>
          <w:tcPr>
            <w:tcW w:w="880" w:type="dxa"/>
            <w:vAlign w:val="bottom"/>
            <w:vMerge w:val="continue"/>
            <w:shd w:val="clear" w:color="auto" w:fill="D8D8D8"/>
          </w:tcPr>
          <w:p>
            <w:pPr>
              <w:spacing w:after="0"/>
              <w:rPr>
                <w:sz w:val="17"/>
                <w:szCs w:val="17"/>
                <w:color w:val="auto"/>
              </w:rPr>
            </w:pPr>
          </w:p>
        </w:tc>
        <w:tc>
          <w:tcPr>
            <w:tcW w:w="620" w:type="dxa"/>
            <w:vAlign w:val="bottom"/>
            <w:shd w:val="clear" w:color="auto" w:fill="D8D8D8"/>
          </w:tcPr>
          <w:p>
            <w:pPr>
              <w:spacing w:after="0"/>
              <w:rPr>
                <w:sz w:val="17"/>
                <w:szCs w:val="17"/>
                <w:color w:val="auto"/>
              </w:rPr>
            </w:pPr>
          </w:p>
        </w:tc>
        <w:tc>
          <w:tcPr>
            <w:tcW w:w="860" w:type="dxa"/>
            <w:vAlign w:val="bottom"/>
            <w:vMerge w:val="continue"/>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880" w:type="dxa"/>
            <w:vAlign w:val="bottom"/>
            <w:vMerge w:val="continue"/>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820" w:type="dxa"/>
            <w:vAlign w:val="bottom"/>
          </w:tcPr>
          <w:p>
            <w:pPr>
              <w:ind w:left="20"/>
              <w:spacing w:after="0" w:line="151" w:lineRule="exact"/>
              <w:rPr>
                <w:sz w:val="20"/>
                <w:szCs w:val="20"/>
                <w:color w:val="auto"/>
              </w:rPr>
            </w:pPr>
            <w:r>
              <w:rPr>
                <w:rFonts w:ascii="Arial" w:cs="Arial" w:eastAsia="Arial" w:hAnsi="Arial"/>
                <w:sz w:val="14"/>
                <w:szCs w:val="14"/>
                <w:color w:val="auto"/>
              </w:rPr>
              <w:t>Lexmark - inventory-related purchase accounting</w:t>
            </w: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3820" w:type="dxa"/>
            <w:vAlign w:val="bottom"/>
          </w:tcPr>
          <w:p>
            <w:pPr>
              <w:ind w:left="20"/>
              <w:spacing w:after="0"/>
              <w:rPr>
                <w:sz w:val="20"/>
                <w:szCs w:val="20"/>
                <w:color w:val="auto"/>
              </w:rPr>
            </w:pPr>
            <w:r>
              <w:rPr>
                <w:rFonts w:ascii="Arial" w:cs="Arial" w:eastAsia="Arial" w:hAnsi="Arial"/>
                <w:sz w:val="14"/>
                <w:szCs w:val="14"/>
                <w:color w:val="auto"/>
              </w:rPr>
              <w:t>adjustment</w:t>
            </w:r>
            <w:r>
              <w:rPr>
                <w:rFonts w:ascii="Arial" w:cs="Arial" w:eastAsia="Arial" w:hAnsi="Arial"/>
                <w:sz w:val="18"/>
                <w:szCs w:val="18"/>
                <w:color w:val="auto"/>
                <w:vertAlign w:val="superscript"/>
              </w:rPr>
              <w:t>(3)</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820" w:type="dxa"/>
            <w:vAlign w:val="bottom"/>
            <w:shd w:val="clear" w:color="auto" w:fill="D8D8D8"/>
          </w:tcPr>
          <w:p>
            <w:pPr>
              <w:ind w:left="20"/>
              <w:spacing w:after="0" w:line="157" w:lineRule="exact"/>
              <w:rPr>
                <w:sz w:val="20"/>
                <w:szCs w:val="20"/>
                <w:color w:val="auto"/>
              </w:rPr>
            </w:pPr>
            <w:r>
              <w:rPr>
                <w:rFonts w:ascii="Arial" w:cs="Arial" w:eastAsia="Arial" w:hAnsi="Arial"/>
                <w:sz w:val="14"/>
                <w:szCs w:val="14"/>
                <w:color w:val="auto"/>
              </w:rPr>
              <w:t>Lexmark - pre-existing employment agreements settled</w:t>
            </w:r>
          </w:p>
        </w:tc>
        <w:tc>
          <w:tcPr>
            <w:tcW w:w="540" w:type="dxa"/>
            <w:vAlign w:val="bottom"/>
            <w:shd w:val="clear" w:color="auto" w:fill="D8D8D8"/>
          </w:tcPr>
          <w:p>
            <w:pPr>
              <w:spacing w:after="0"/>
              <w:rPr>
                <w:sz w:val="13"/>
                <w:szCs w:val="13"/>
                <w:color w:val="auto"/>
              </w:rPr>
            </w:pPr>
          </w:p>
        </w:tc>
        <w:tc>
          <w:tcPr>
            <w:tcW w:w="9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25</w:t>
            </w:r>
          </w:p>
        </w:tc>
        <w:tc>
          <w:tcPr>
            <w:tcW w:w="560" w:type="dxa"/>
            <w:vAlign w:val="bottom"/>
            <w:shd w:val="clear" w:color="auto" w:fill="D8D8D8"/>
          </w:tcPr>
          <w:p>
            <w:pPr>
              <w:spacing w:after="0"/>
              <w:rPr>
                <w:sz w:val="13"/>
                <w:szCs w:val="13"/>
                <w:color w:val="auto"/>
              </w:rPr>
            </w:pPr>
          </w:p>
        </w:tc>
        <w:tc>
          <w:tcPr>
            <w:tcW w:w="9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spacing w:after="0"/>
              <w:rPr>
                <w:sz w:val="13"/>
                <w:szCs w:val="13"/>
                <w:color w:val="auto"/>
              </w:rPr>
            </w:pPr>
          </w:p>
        </w:tc>
        <w:tc>
          <w:tcPr>
            <w:tcW w:w="88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spacing w:after="0"/>
              <w:rPr>
                <w:sz w:val="13"/>
                <w:szCs w:val="13"/>
                <w:color w:val="auto"/>
              </w:rPr>
            </w:pPr>
          </w:p>
        </w:tc>
        <w:tc>
          <w:tcPr>
            <w:tcW w:w="860" w:type="dxa"/>
            <w:vAlign w:val="bottom"/>
            <w:vMerge w:val="restart"/>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spacing w:after="0"/>
              <w:rPr>
                <w:sz w:val="13"/>
                <w:szCs w:val="13"/>
                <w:color w:val="auto"/>
              </w:rPr>
            </w:pPr>
          </w:p>
        </w:tc>
        <w:tc>
          <w:tcPr>
            <w:tcW w:w="88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20" w:type="dxa"/>
            <w:vAlign w:val="bottom"/>
            <w:shd w:val="clear" w:color="auto" w:fill="D8D8D8"/>
          </w:tcPr>
          <w:p>
            <w:pPr>
              <w:ind w:left="20"/>
              <w:spacing w:after="0"/>
              <w:rPr>
                <w:sz w:val="20"/>
                <w:szCs w:val="20"/>
                <w:color w:val="auto"/>
              </w:rPr>
            </w:pPr>
            <w:r>
              <w:rPr>
                <w:rFonts w:ascii="Arial" w:cs="Arial" w:eastAsia="Arial" w:hAnsi="Arial"/>
                <w:sz w:val="14"/>
                <w:szCs w:val="14"/>
                <w:color w:val="auto"/>
              </w:rPr>
              <w:t>post-acquisition</w:t>
            </w:r>
          </w:p>
        </w:tc>
        <w:tc>
          <w:tcPr>
            <w:tcW w:w="540" w:type="dxa"/>
            <w:vAlign w:val="bottom"/>
            <w:shd w:val="clear" w:color="auto" w:fill="D8D8D8"/>
          </w:tcPr>
          <w:p>
            <w:pPr>
              <w:spacing w:after="0"/>
              <w:rPr>
                <w:sz w:val="16"/>
                <w:szCs w:val="16"/>
                <w:color w:val="auto"/>
              </w:rPr>
            </w:pPr>
          </w:p>
        </w:tc>
        <w:tc>
          <w:tcPr>
            <w:tcW w:w="940" w:type="dxa"/>
            <w:vAlign w:val="bottom"/>
            <w:vMerge w:val="continue"/>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920" w:type="dxa"/>
            <w:vAlign w:val="bottom"/>
            <w:vMerge w:val="continue"/>
            <w:shd w:val="clear" w:color="auto" w:fill="D8D8D8"/>
          </w:tcPr>
          <w:p>
            <w:pPr>
              <w:spacing w:after="0"/>
              <w:rPr>
                <w:sz w:val="16"/>
                <w:szCs w:val="16"/>
                <w:color w:val="auto"/>
              </w:rPr>
            </w:pPr>
          </w:p>
        </w:tc>
        <w:tc>
          <w:tcPr>
            <w:tcW w:w="620" w:type="dxa"/>
            <w:vAlign w:val="bottom"/>
            <w:shd w:val="clear" w:color="auto" w:fill="D8D8D8"/>
          </w:tcPr>
          <w:p>
            <w:pPr>
              <w:spacing w:after="0"/>
              <w:rPr>
                <w:sz w:val="16"/>
                <w:szCs w:val="16"/>
                <w:color w:val="auto"/>
              </w:rPr>
            </w:pPr>
          </w:p>
        </w:tc>
        <w:tc>
          <w:tcPr>
            <w:tcW w:w="880" w:type="dxa"/>
            <w:vAlign w:val="bottom"/>
            <w:vMerge w:val="continue"/>
            <w:shd w:val="clear" w:color="auto" w:fill="D8D8D8"/>
          </w:tcPr>
          <w:p>
            <w:pPr>
              <w:spacing w:after="0"/>
              <w:rPr>
                <w:sz w:val="16"/>
                <w:szCs w:val="16"/>
                <w:color w:val="auto"/>
              </w:rPr>
            </w:pPr>
          </w:p>
        </w:tc>
        <w:tc>
          <w:tcPr>
            <w:tcW w:w="620" w:type="dxa"/>
            <w:vAlign w:val="bottom"/>
            <w:shd w:val="clear" w:color="auto" w:fill="D8D8D8"/>
          </w:tcPr>
          <w:p>
            <w:pPr>
              <w:spacing w:after="0"/>
              <w:rPr>
                <w:sz w:val="16"/>
                <w:szCs w:val="16"/>
                <w:color w:val="auto"/>
              </w:rPr>
            </w:pPr>
          </w:p>
        </w:tc>
        <w:tc>
          <w:tcPr>
            <w:tcW w:w="860" w:type="dxa"/>
            <w:vAlign w:val="bottom"/>
            <w:vMerge w:val="continue"/>
            <w:shd w:val="clear" w:color="auto" w:fill="D8D8D8"/>
          </w:tcPr>
          <w:p>
            <w:pPr>
              <w:spacing w:after="0"/>
              <w:rPr>
                <w:sz w:val="16"/>
                <w:szCs w:val="16"/>
                <w:color w:val="auto"/>
              </w:rPr>
            </w:pPr>
          </w:p>
        </w:tc>
        <w:tc>
          <w:tcPr>
            <w:tcW w:w="600" w:type="dxa"/>
            <w:vAlign w:val="bottom"/>
            <w:shd w:val="clear" w:color="auto" w:fill="D8D8D8"/>
          </w:tcPr>
          <w:p>
            <w:pPr>
              <w:spacing w:after="0"/>
              <w:rPr>
                <w:sz w:val="16"/>
                <w:szCs w:val="16"/>
                <w:color w:val="auto"/>
              </w:rPr>
            </w:pPr>
          </w:p>
        </w:tc>
        <w:tc>
          <w:tcPr>
            <w:tcW w:w="880" w:type="dxa"/>
            <w:vAlign w:val="bottom"/>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20"/>
              <w:spacing w:after="0"/>
              <w:rPr>
                <w:sz w:val="20"/>
                <w:szCs w:val="20"/>
                <w:color w:val="auto"/>
              </w:rPr>
            </w:pPr>
            <w:r>
              <w:rPr>
                <w:rFonts w:ascii="Arial" w:cs="Arial" w:eastAsia="Arial" w:hAnsi="Arial"/>
                <w:sz w:val="14"/>
                <w:szCs w:val="14"/>
                <w:color w:val="auto"/>
              </w:rPr>
              <w:t>Reinvention-related costs</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6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20" w:type="dxa"/>
            <w:vAlign w:val="bottom"/>
            <w:shd w:val="clear" w:color="auto" w:fill="D8D8D8"/>
          </w:tcPr>
          <w:p>
            <w:pPr>
              <w:ind w:left="20"/>
              <w:spacing w:after="0"/>
              <w:rPr>
                <w:sz w:val="20"/>
                <w:szCs w:val="20"/>
                <w:color w:val="auto"/>
              </w:rPr>
            </w:pPr>
            <w:r>
              <w:rPr>
                <w:rFonts w:ascii="Arial" w:cs="Arial" w:eastAsia="Arial" w:hAnsi="Arial"/>
                <w:sz w:val="14"/>
                <w:szCs w:val="14"/>
                <w:color w:val="auto"/>
              </w:rPr>
              <w:t>Goodwill impairment</w:t>
            </w:r>
          </w:p>
        </w:tc>
        <w:tc>
          <w:tcPr>
            <w:tcW w:w="540" w:type="dxa"/>
            <w:vAlign w:val="bottom"/>
            <w:shd w:val="clear" w:color="auto" w:fill="D8D8D8"/>
          </w:tcPr>
          <w:p>
            <w:pPr>
              <w:spacing w:after="0"/>
              <w:rPr>
                <w:sz w:val="17"/>
                <w:szCs w:val="17"/>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D8D8D8"/>
          </w:tcPr>
          <w:p>
            <w:pPr>
              <w:spacing w:after="0"/>
              <w:rPr>
                <w:sz w:val="17"/>
                <w:szCs w:val="17"/>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1,058</w:t>
            </w:r>
          </w:p>
        </w:tc>
        <w:tc>
          <w:tcPr>
            <w:tcW w:w="620" w:type="dxa"/>
            <w:vAlign w:val="bottom"/>
            <w:shd w:val="clear" w:color="auto" w:fill="D8D8D8"/>
          </w:tcPr>
          <w:p>
            <w:pPr>
              <w:spacing w:after="0"/>
              <w:rPr>
                <w:sz w:val="17"/>
                <w:szCs w:val="17"/>
                <w:color w:val="auto"/>
              </w:rPr>
            </w:pPr>
          </w:p>
        </w:tc>
        <w:tc>
          <w:tcPr>
            <w:tcW w:w="8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spacing w:after="0"/>
              <w:rPr>
                <w:sz w:val="17"/>
                <w:szCs w:val="17"/>
                <w:color w:val="auto"/>
              </w:rPr>
            </w:pP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412</w:t>
            </w:r>
          </w:p>
        </w:tc>
        <w:tc>
          <w:tcPr>
            <w:tcW w:w="600" w:type="dxa"/>
            <w:vAlign w:val="bottom"/>
            <w:shd w:val="clear" w:color="auto" w:fill="D8D8D8"/>
          </w:tcPr>
          <w:p>
            <w:pPr>
              <w:spacing w:after="0"/>
              <w:rPr>
                <w:sz w:val="17"/>
                <w:szCs w:val="17"/>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98"/>
        </w:trPr>
        <w:tc>
          <w:tcPr>
            <w:tcW w:w="3820" w:type="dxa"/>
            <w:vAlign w:val="bottom"/>
          </w:tcPr>
          <w:p>
            <w:pPr>
              <w:ind w:left="20"/>
              <w:spacing w:after="0"/>
              <w:rPr>
                <w:sz w:val="20"/>
                <w:szCs w:val="20"/>
                <w:color w:val="auto"/>
              </w:rPr>
            </w:pPr>
            <w:r>
              <w:rPr>
                <w:rFonts w:ascii="Arial" w:cs="Arial" w:eastAsia="Arial" w:hAnsi="Arial"/>
                <w:sz w:val="14"/>
                <w:szCs w:val="14"/>
                <w:color w:val="auto"/>
              </w:rPr>
              <w:t>Restructuring and related costs, net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w:t>
            </w:r>
          </w:p>
        </w:tc>
        <w:tc>
          <w:tcPr>
            <w:tcW w:w="6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6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7"/>
        </w:trPr>
        <w:tc>
          <w:tcPr>
            <w:tcW w:w="3820" w:type="dxa"/>
            <w:vAlign w:val="bottom"/>
            <w:shd w:val="clear" w:color="auto" w:fill="D8D8D8"/>
          </w:tcPr>
          <w:p>
            <w:pPr>
              <w:ind w:left="20"/>
              <w:spacing w:after="0"/>
              <w:rPr>
                <w:sz w:val="20"/>
                <w:szCs w:val="20"/>
                <w:color w:val="auto"/>
              </w:rPr>
            </w:pPr>
            <w:r>
              <w:rPr>
                <w:rFonts w:ascii="Arial" w:cs="Arial" w:eastAsia="Arial" w:hAnsi="Arial"/>
                <w:sz w:val="14"/>
                <w:szCs w:val="14"/>
                <w:color w:val="auto"/>
              </w:rPr>
              <w:t>Divestitures</w:t>
            </w:r>
          </w:p>
        </w:tc>
        <w:tc>
          <w:tcPr>
            <w:tcW w:w="540" w:type="dxa"/>
            <w:vAlign w:val="bottom"/>
            <w:shd w:val="clear" w:color="auto" w:fill="D8D8D8"/>
          </w:tcPr>
          <w:p>
            <w:pPr>
              <w:spacing w:after="0"/>
              <w:rPr>
                <w:sz w:val="17"/>
                <w:szCs w:val="17"/>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w:t>
            </w:r>
          </w:p>
        </w:tc>
        <w:tc>
          <w:tcPr>
            <w:tcW w:w="560" w:type="dxa"/>
            <w:vAlign w:val="bottom"/>
            <w:shd w:val="clear" w:color="auto" w:fill="D8D8D8"/>
          </w:tcPr>
          <w:p>
            <w:pPr>
              <w:spacing w:after="0"/>
              <w:rPr>
                <w:sz w:val="17"/>
                <w:szCs w:val="17"/>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47</w:t>
            </w:r>
          </w:p>
        </w:tc>
        <w:tc>
          <w:tcPr>
            <w:tcW w:w="620" w:type="dxa"/>
            <w:vAlign w:val="bottom"/>
            <w:shd w:val="clear" w:color="auto" w:fill="D8D8D8"/>
          </w:tcPr>
          <w:p>
            <w:pPr>
              <w:spacing w:after="0"/>
              <w:rPr>
                <w:sz w:val="17"/>
                <w:szCs w:val="17"/>
                <w:color w:val="auto"/>
              </w:rPr>
            </w:pPr>
          </w:p>
        </w:tc>
        <w:tc>
          <w:tcPr>
            <w:tcW w:w="8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spacing w:after="0"/>
              <w:rPr>
                <w:sz w:val="17"/>
                <w:szCs w:val="17"/>
                <w:color w:val="auto"/>
              </w:rPr>
            </w:pP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spacing w:after="0"/>
              <w:rPr>
                <w:sz w:val="17"/>
                <w:szCs w:val="17"/>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20" w:type="dxa"/>
            <w:vAlign w:val="bottom"/>
          </w:tcPr>
          <w:p>
            <w:pPr>
              <w:ind w:left="20"/>
              <w:spacing w:after="0"/>
              <w:rPr>
                <w:sz w:val="20"/>
                <w:szCs w:val="20"/>
                <w:color w:val="auto"/>
              </w:rPr>
            </w:pPr>
            <w:r>
              <w:rPr>
                <w:rFonts w:ascii="Arial" w:cs="Arial" w:eastAsia="Arial" w:hAnsi="Arial"/>
                <w:sz w:val="14"/>
                <w:szCs w:val="14"/>
                <w:color w:val="auto"/>
              </w:rPr>
              <w:t>Loss on PARC donation</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6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20" w:type="dxa"/>
            <w:vAlign w:val="bottom"/>
            <w:shd w:val="clear" w:color="auto" w:fill="D8D8D8"/>
          </w:tcPr>
          <w:p>
            <w:pPr>
              <w:ind w:left="20"/>
              <w:spacing w:after="0"/>
              <w:rPr>
                <w:sz w:val="20"/>
                <w:szCs w:val="20"/>
                <w:color w:val="auto"/>
              </w:rPr>
            </w:pPr>
            <w:r>
              <w:rPr>
                <w:rFonts w:ascii="Arial" w:cs="Arial" w:eastAsia="Arial" w:hAnsi="Arial"/>
                <w:sz w:val="14"/>
                <w:szCs w:val="14"/>
                <w:color w:val="auto"/>
              </w:rPr>
              <w:t>Non-service retirement-related costs</w:t>
            </w:r>
          </w:p>
        </w:tc>
        <w:tc>
          <w:tcPr>
            <w:tcW w:w="540" w:type="dxa"/>
            <w:vAlign w:val="bottom"/>
            <w:shd w:val="clear" w:color="auto" w:fill="D8D8D8"/>
          </w:tcPr>
          <w:p>
            <w:pPr>
              <w:spacing w:after="0"/>
              <w:rPr>
                <w:sz w:val="17"/>
                <w:szCs w:val="17"/>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78</w:t>
            </w:r>
          </w:p>
        </w:tc>
        <w:tc>
          <w:tcPr>
            <w:tcW w:w="560" w:type="dxa"/>
            <w:vAlign w:val="bottom"/>
            <w:shd w:val="clear" w:color="auto" w:fill="D8D8D8"/>
          </w:tcPr>
          <w:p>
            <w:pPr>
              <w:spacing w:after="0"/>
              <w:rPr>
                <w:sz w:val="17"/>
                <w:szCs w:val="17"/>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80</w:t>
            </w:r>
          </w:p>
        </w:tc>
        <w:tc>
          <w:tcPr>
            <w:tcW w:w="620" w:type="dxa"/>
            <w:vAlign w:val="bottom"/>
            <w:shd w:val="clear" w:color="auto" w:fill="D8D8D8"/>
          </w:tcPr>
          <w:p>
            <w:pPr>
              <w:spacing w:after="0"/>
              <w:rPr>
                <w:sz w:val="17"/>
                <w:szCs w:val="17"/>
                <w:color w:val="auto"/>
              </w:rPr>
            </w:pPr>
          </w:p>
        </w:tc>
        <w:tc>
          <w:tcPr>
            <w:tcW w:w="8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19</w:t>
            </w:r>
          </w:p>
        </w:tc>
        <w:tc>
          <w:tcPr>
            <w:tcW w:w="620" w:type="dxa"/>
            <w:vAlign w:val="bottom"/>
            <w:shd w:val="clear" w:color="auto" w:fill="D8D8D8"/>
          </w:tcPr>
          <w:p>
            <w:pPr>
              <w:spacing w:after="0"/>
              <w:rPr>
                <w:sz w:val="17"/>
                <w:szCs w:val="17"/>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w:t>
            </w:r>
          </w:p>
        </w:tc>
        <w:tc>
          <w:tcPr>
            <w:tcW w:w="600" w:type="dxa"/>
            <w:vAlign w:val="bottom"/>
            <w:shd w:val="clear" w:color="auto" w:fill="D8D8D8"/>
          </w:tcPr>
          <w:p>
            <w:pPr>
              <w:spacing w:after="0"/>
              <w:rPr>
                <w:sz w:val="17"/>
                <w:szCs w:val="17"/>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8"/>
        </w:trPr>
        <w:tc>
          <w:tcPr>
            <w:tcW w:w="3820" w:type="dxa"/>
            <w:vAlign w:val="bottom"/>
          </w:tcPr>
          <w:p>
            <w:pPr>
              <w:ind w:left="20"/>
              <w:spacing w:after="0"/>
              <w:rPr>
                <w:sz w:val="20"/>
                <w:szCs w:val="20"/>
                <w:color w:val="auto"/>
              </w:rPr>
            </w:pPr>
            <w:r>
              <w:rPr>
                <w:rFonts w:ascii="Arial" w:cs="Arial" w:eastAsia="Arial" w:hAnsi="Arial"/>
                <w:sz w:val="14"/>
                <w:szCs w:val="14"/>
                <w:color w:val="auto"/>
              </w:rPr>
              <w:t>Accelerated share vesting</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20" w:type="dxa"/>
            <w:vAlign w:val="bottom"/>
            <w:shd w:val="clear" w:color="auto" w:fill="D8D8D8"/>
          </w:tcPr>
          <w:p>
            <w:pPr>
              <w:ind w:left="20"/>
              <w:spacing w:after="0"/>
              <w:rPr>
                <w:sz w:val="20"/>
                <w:szCs w:val="20"/>
                <w:color w:val="auto"/>
              </w:rPr>
            </w:pPr>
            <w:r>
              <w:rPr>
                <w:rFonts w:ascii="Arial" w:cs="Arial" w:eastAsia="Arial" w:hAnsi="Arial"/>
                <w:sz w:val="14"/>
                <w:szCs w:val="14"/>
                <w:color w:val="auto"/>
              </w:rPr>
              <w:t>Transaction and related costs, net</w:t>
            </w:r>
          </w:p>
        </w:tc>
        <w:tc>
          <w:tcPr>
            <w:tcW w:w="540" w:type="dxa"/>
            <w:vAlign w:val="bottom"/>
            <w:shd w:val="clear" w:color="auto" w:fill="D8D8D8"/>
          </w:tcPr>
          <w:p>
            <w:pPr>
              <w:spacing w:after="0"/>
              <w:rPr>
                <w:sz w:val="17"/>
                <w:szCs w:val="17"/>
                <w:color w:val="auto"/>
              </w:rPr>
            </w:pPr>
          </w:p>
        </w:tc>
        <w:tc>
          <w:tcPr>
            <w:tcW w:w="9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34</w:t>
            </w:r>
          </w:p>
        </w:tc>
        <w:tc>
          <w:tcPr>
            <w:tcW w:w="560" w:type="dxa"/>
            <w:vAlign w:val="bottom"/>
            <w:shd w:val="clear" w:color="auto" w:fill="D8D8D8"/>
          </w:tcPr>
          <w:p>
            <w:pPr>
              <w:spacing w:after="0"/>
              <w:rPr>
                <w:sz w:val="17"/>
                <w:szCs w:val="17"/>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w:t>
            </w:r>
          </w:p>
        </w:tc>
        <w:tc>
          <w:tcPr>
            <w:tcW w:w="620" w:type="dxa"/>
            <w:vAlign w:val="bottom"/>
            <w:shd w:val="clear" w:color="auto" w:fill="D8D8D8"/>
          </w:tcPr>
          <w:p>
            <w:pPr>
              <w:spacing w:after="0"/>
              <w:rPr>
                <w:sz w:val="17"/>
                <w:szCs w:val="17"/>
                <w:color w:val="auto"/>
              </w:rPr>
            </w:pPr>
          </w:p>
        </w:tc>
        <w:tc>
          <w:tcPr>
            <w:tcW w:w="8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spacing w:after="0"/>
              <w:rPr>
                <w:sz w:val="17"/>
                <w:szCs w:val="17"/>
                <w:color w:val="auto"/>
              </w:rPr>
            </w:pPr>
          </w:p>
        </w:tc>
        <w:tc>
          <w:tcPr>
            <w:tcW w:w="86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D8D8D8"/>
          </w:tcPr>
          <w:p>
            <w:pPr>
              <w:spacing w:after="0"/>
              <w:rPr>
                <w:sz w:val="17"/>
                <w:szCs w:val="17"/>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20" w:type="dxa"/>
            <w:vAlign w:val="bottom"/>
            <w:tcBorders>
              <w:bottom w:val="single" w:sz="8" w:color="D8D8D8"/>
            </w:tcBorders>
          </w:tcPr>
          <w:p>
            <w:pPr>
              <w:ind w:left="20"/>
              <w:spacing w:after="0"/>
              <w:rPr>
                <w:sz w:val="20"/>
                <w:szCs w:val="20"/>
                <w:color w:val="auto"/>
              </w:rPr>
            </w:pPr>
            <w:r>
              <w:rPr>
                <w:rFonts w:ascii="Arial" w:cs="Arial" w:eastAsia="Arial" w:hAnsi="Arial"/>
                <w:sz w:val="14"/>
                <w:szCs w:val="14"/>
                <w:color w:val="auto"/>
              </w:rPr>
              <w:t>All other expenses, net</w:t>
            </w: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24"/>
        </w:trPr>
        <w:tc>
          <w:tcPr>
            <w:tcW w:w="38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4"/>
                <w:szCs w:val="14"/>
                <w:b w:val="1"/>
                <w:bCs w:val="1"/>
                <w:color w:val="auto"/>
              </w:rPr>
              <w:t>Adjusted EBITDA</w:t>
            </w:r>
          </w:p>
        </w:tc>
        <w:tc>
          <w:tcPr>
            <w:tcW w:w="540" w:type="dxa"/>
            <w:vAlign w:val="bottom"/>
            <w:tcBorders>
              <w:bottom w:val="single" w:sz="8" w:color="auto"/>
            </w:tcBorders>
            <w:shd w:val="clear" w:color="auto" w:fill="D8D8D8"/>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467</w:t>
            </w:r>
          </w:p>
        </w:tc>
        <w:tc>
          <w:tcPr>
            <w:tcW w:w="560" w:type="dxa"/>
            <w:vAlign w:val="bottom"/>
            <w:tcBorders>
              <w:bottom w:val="single" w:sz="8" w:color="auto"/>
            </w:tcBorders>
            <w:shd w:val="clear" w:color="auto" w:fill="D8D8D8"/>
          </w:tcPr>
          <w:p>
            <w:pPr>
              <w:jc w:val="right"/>
              <w:ind w:right="3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503</w:t>
            </w:r>
          </w:p>
        </w:tc>
        <w:tc>
          <w:tcPr>
            <w:tcW w:w="620" w:type="dxa"/>
            <w:vAlign w:val="bottom"/>
            <w:tcBorders>
              <w:bottom w:val="single" w:sz="8" w:color="auto"/>
            </w:tcBorders>
            <w:shd w:val="clear" w:color="auto" w:fill="D8D8D8"/>
          </w:tcPr>
          <w:p>
            <w:pPr>
              <w:jc w:val="right"/>
              <w:ind w:right="4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b w:val="1"/>
                <w:bCs w:val="1"/>
                <w:color w:val="auto"/>
              </w:rPr>
              <w:t>596</w:t>
            </w:r>
          </w:p>
        </w:tc>
        <w:tc>
          <w:tcPr>
            <w:tcW w:w="620" w:type="dxa"/>
            <w:vAlign w:val="bottom"/>
            <w:tcBorders>
              <w:bottom w:val="single" w:sz="8" w:color="auto"/>
            </w:tcBorders>
            <w:shd w:val="clear" w:color="auto" w:fill="D8D8D8"/>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b w:val="1"/>
                <w:bCs w:val="1"/>
                <w:color w:val="auto"/>
              </w:rPr>
              <w:t>505</w:t>
            </w:r>
          </w:p>
        </w:tc>
        <w:tc>
          <w:tcPr>
            <w:tcW w:w="600" w:type="dxa"/>
            <w:vAlign w:val="bottom"/>
            <w:tcBorders>
              <w:bottom w:val="single" w:sz="8" w:color="auto"/>
            </w:tcBorders>
            <w:shd w:val="clear" w:color="auto" w:fill="D8D8D8"/>
          </w:tcPr>
          <w:p>
            <w:pPr>
              <w:jc w:val="right"/>
              <w:ind w:right="42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647</w:t>
            </w:r>
          </w:p>
        </w:tc>
        <w:tc>
          <w:tcPr>
            <w:tcW w:w="0" w:type="dxa"/>
            <w:vAlign w:val="bottom"/>
          </w:tcPr>
          <w:p>
            <w:pPr>
              <w:spacing w:after="0"/>
              <w:rPr>
                <w:sz w:val="1"/>
                <w:szCs w:val="1"/>
                <w:color w:val="auto"/>
              </w:rPr>
            </w:pPr>
          </w:p>
        </w:tc>
      </w:tr>
      <w:tr>
        <w:trPr>
          <w:trHeight w:val="20"/>
        </w:trPr>
        <w:tc>
          <w:tcPr>
            <w:tcW w:w="3820" w:type="dxa"/>
            <w:vAlign w:val="bottom"/>
            <w:tcBorders>
              <w:top w:val="single" w:sz="8" w:color="D8D8D8"/>
            </w:tcBorders>
          </w:tcPr>
          <w:p>
            <w:pPr>
              <w:spacing w:after="0" w:line="20" w:lineRule="exact"/>
              <w:rPr>
                <w:sz w:val="1"/>
                <w:szCs w:val="1"/>
                <w:color w:val="auto"/>
              </w:rPr>
            </w:pPr>
          </w:p>
        </w:tc>
        <w:tc>
          <w:tcPr>
            <w:tcW w:w="540" w:type="dxa"/>
            <w:vAlign w:val="bottom"/>
            <w:tcBorders>
              <w:top w:val="single" w:sz="8" w:color="D8D8D8"/>
              <w:bottom w:val="single" w:sz="8" w:color="auto"/>
            </w:tcBorders>
          </w:tcPr>
          <w:p>
            <w:pPr>
              <w:spacing w:after="0" w:line="20" w:lineRule="exact"/>
              <w:rPr>
                <w:sz w:val="1"/>
                <w:szCs w:val="1"/>
                <w:color w:val="auto"/>
              </w:rPr>
            </w:pPr>
          </w:p>
        </w:tc>
        <w:tc>
          <w:tcPr>
            <w:tcW w:w="940" w:type="dxa"/>
            <w:vAlign w:val="bottom"/>
            <w:tcBorders>
              <w:top w:val="single" w:sz="8" w:color="D8D8D8"/>
              <w:bottom w:val="single" w:sz="8" w:color="auto"/>
            </w:tcBorders>
          </w:tcPr>
          <w:p>
            <w:pPr>
              <w:spacing w:after="0" w:line="20" w:lineRule="exact"/>
              <w:rPr>
                <w:sz w:val="1"/>
                <w:szCs w:val="1"/>
                <w:color w:val="auto"/>
              </w:rPr>
            </w:pPr>
          </w:p>
        </w:tc>
        <w:tc>
          <w:tcPr>
            <w:tcW w:w="560" w:type="dxa"/>
            <w:vAlign w:val="bottom"/>
            <w:tcBorders>
              <w:top w:val="single" w:sz="8" w:color="D8D8D8"/>
              <w:bottom w:val="single" w:sz="8" w:color="auto"/>
            </w:tcBorders>
          </w:tcPr>
          <w:p>
            <w:pPr>
              <w:spacing w:after="0" w:line="20" w:lineRule="exact"/>
              <w:rPr>
                <w:sz w:val="1"/>
                <w:szCs w:val="1"/>
                <w:color w:val="auto"/>
              </w:rPr>
            </w:pPr>
          </w:p>
        </w:tc>
        <w:tc>
          <w:tcPr>
            <w:tcW w:w="920" w:type="dxa"/>
            <w:vAlign w:val="bottom"/>
            <w:tcBorders>
              <w:top w:val="single" w:sz="8" w:color="D8D8D8"/>
              <w:bottom w:val="single" w:sz="8" w:color="auto"/>
            </w:tcBorders>
          </w:tcPr>
          <w:p>
            <w:pPr>
              <w:spacing w:after="0" w:line="20" w:lineRule="exact"/>
              <w:rPr>
                <w:sz w:val="1"/>
                <w:szCs w:val="1"/>
                <w:color w:val="auto"/>
              </w:rPr>
            </w:pPr>
          </w:p>
        </w:tc>
        <w:tc>
          <w:tcPr>
            <w:tcW w:w="620" w:type="dxa"/>
            <w:vAlign w:val="bottom"/>
            <w:tcBorders>
              <w:top w:val="single" w:sz="8" w:color="D8D8D8"/>
              <w:bottom w:val="single" w:sz="8" w:color="auto"/>
            </w:tcBorders>
          </w:tcPr>
          <w:p>
            <w:pPr>
              <w:spacing w:after="0" w:line="20" w:lineRule="exact"/>
              <w:rPr>
                <w:sz w:val="1"/>
                <w:szCs w:val="1"/>
                <w:color w:val="auto"/>
              </w:rPr>
            </w:pPr>
          </w:p>
        </w:tc>
        <w:tc>
          <w:tcPr>
            <w:tcW w:w="880" w:type="dxa"/>
            <w:vAlign w:val="bottom"/>
            <w:tcBorders>
              <w:top w:val="single" w:sz="8" w:color="D8D8D8"/>
              <w:bottom w:val="single" w:sz="8" w:color="auto"/>
            </w:tcBorders>
          </w:tcPr>
          <w:p>
            <w:pPr>
              <w:spacing w:after="0" w:line="20" w:lineRule="exact"/>
              <w:rPr>
                <w:sz w:val="1"/>
                <w:szCs w:val="1"/>
                <w:color w:val="auto"/>
              </w:rPr>
            </w:pPr>
          </w:p>
        </w:tc>
        <w:tc>
          <w:tcPr>
            <w:tcW w:w="620" w:type="dxa"/>
            <w:vAlign w:val="bottom"/>
            <w:tcBorders>
              <w:top w:val="single" w:sz="8" w:color="D8D8D8"/>
              <w:bottom w:val="single" w:sz="8" w:color="auto"/>
            </w:tcBorders>
          </w:tcPr>
          <w:p>
            <w:pPr>
              <w:spacing w:after="0" w:line="20" w:lineRule="exact"/>
              <w:rPr>
                <w:sz w:val="1"/>
                <w:szCs w:val="1"/>
                <w:color w:val="auto"/>
              </w:rPr>
            </w:pPr>
          </w:p>
        </w:tc>
        <w:tc>
          <w:tcPr>
            <w:tcW w:w="860" w:type="dxa"/>
            <w:vAlign w:val="bottom"/>
            <w:tcBorders>
              <w:top w:val="single" w:sz="8" w:color="D8D8D8"/>
              <w:bottom w:val="single" w:sz="8" w:color="auto"/>
            </w:tcBorders>
          </w:tcPr>
          <w:p>
            <w:pPr>
              <w:spacing w:after="0" w:line="20" w:lineRule="exact"/>
              <w:rPr>
                <w:sz w:val="1"/>
                <w:szCs w:val="1"/>
                <w:color w:val="auto"/>
              </w:rPr>
            </w:pPr>
          </w:p>
        </w:tc>
        <w:tc>
          <w:tcPr>
            <w:tcW w:w="600" w:type="dxa"/>
            <w:vAlign w:val="bottom"/>
            <w:tcBorders>
              <w:top w:val="single" w:sz="8" w:color="D8D8D8"/>
              <w:bottom w:val="single" w:sz="8" w:color="auto"/>
            </w:tcBorders>
          </w:tcPr>
          <w:p>
            <w:pPr>
              <w:spacing w:after="0" w:line="20" w:lineRule="exact"/>
              <w:rPr>
                <w:sz w:val="1"/>
                <w:szCs w:val="1"/>
                <w:color w:val="auto"/>
              </w:rPr>
            </w:pPr>
          </w:p>
        </w:tc>
        <w:tc>
          <w:tcPr>
            <w:tcW w:w="880" w:type="dxa"/>
            <w:vAlign w:val="bottom"/>
            <w:tcBorders>
              <w:top w:val="single" w:sz="8" w:color="D8D8D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7" w:lineRule="exact"/>
        <w:rPr>
          <w:sz w:val="20"/>
          <w:szCs w:val="20"/>
          <w:color w:val="auto"/>
        </w:rPr>
      </w:pPr>
    </w:p>
    <w:p>
      <w:pPr>
        <w:ind w:left="180" w:right="60" w:hanging="172"/>
        <w:spacing w:after="0" w:line="248" w:lineRule="auto"/>
        <w:tabs>
          <w:tab w:leader="none" w:pos="173"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Net (Loss) Income as reported in the Consolidated Statements of (Loss) Income in Xerox's Annual Reports on Form 10-K for the respective periods presented</w:t>
      </w:r>
      <w:r>
        <w:rPr>
          <w:rFonts w:ascii="Arial" w:cs="Arial" w:eastAsia="Arial" w:hAnsi="Arial"/>
          <w:sz w:val="17"/>
          <w:szCs w:val="17"/>
          <w:color w:val="auto"/>
        </w:rPr>
        <w:t>.</w:t>
      </w:r>
      <w:r>
        <w:rPr>
          <w:rFonts w:ascii="Arial" w:cs="Arial" w:eastAsia="Arial" w:hAnsi="Arial"/>
          <w:sz w:val="14"/>
          <w:szCs w:val="14"/>
          <w:color w:val="auto"/>
        </w:rPr>
        <w:t xml:space="preserve"> For additional information on the 2025 MIP performance measures, refer to Exhibit 10(f)(47) of the Annual Report on Form 10-K for the year ended December 31, 2024, filed with the SEC on February 24, 2025.</w:t>
      </w:r>
    </w:p>
    <w:p>
      <w:pPr>
        <w:ind w:left="180" w:right="20" w:hanging="172"/>
        <w:spacing w:after="0" w:line="261" w:lineRule="auto"/>
        <w:tabs>
          <w:tab w:leader="none" w:pos="173" w:val="left"/>
        </w:tabs>
        <w:numPr>
          <w:ilvl w:val="0"/>
          <w:numId w:val="92"/>
        </w:numPr>
        <w:rPr>
          <w:rFonts w:ascii="Arial" w:cs="Arial" w:eastAsia="Arial" w:hAnsi="Arial"/>
          <w:sz w:val="9"/>
          <w:szCs w:val="9"/>
          <w:color w:val="auto"/>
        </w:rPr>
      </w:pPr>
      <w:r>
        <w:rPr>
          <w:rFonts w:ascii="Arial" w:cs="Arial" w:eastAsia="Arial" w:hAnsi="Arial"/>
          <w:sz w:val="14"/>
          <w:szCs w:val="14"/>
          <w:color w:val="auto"/>
        </w:rPr>
        <w:t>As a result of the exit of certain production print manufacturing operations, Cost of sales and Cost of services, maintenance, rentals and other, as reported in the Consolidated Statements of (Loss) Income in Xerox's 2025 Annual Report on Form 10-K, includes inventory-related charges of $24 and $8 for the years ended December 31, 2025 and 2024, respectively, as well as the cancellation of related purchase contracts of $0 and $43 for the years ended December 31, 2025 and 2024, respectively.</w:t>
      </w:r>
    </w:p>
    <w:p>
      <w:pPr>
        <w:spacing w:after="0" w:line="1" w:lineRule="exact"/>
        <w:rPr>
          <w:rFonts w:ascii="Arial" w:cs="Arial" w:eastAsia="Arial" w:hAnsi="Arial"/>
          <w:sz w:val="9"/>
          <w:szCs w:val="9"/>
          <w:color w:val="auto"/>
        </w:rPr>
      </w:pPr>
    </w:p>
    <w:p>
      <w:pPr>
        <w:ind w:left="160" w:hanging="152"/>
        <w:spacing w:after="0" w:line="204" w:lineRule="auto"/>
        <w:tabs>
          <w:tab w:leader="none" w:pos="160"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Reflects a purchase accounting adjustment related to the Lexmark Acquisition, for cost associated with a net inventory write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D92231"/>
        </w:rPr>
        <w:t>PROPOSAL 2 — RATIFICATION OF APPOINTMENT OF INDEPENDENT REGISTERED PUBLIC ACCOUNTING FIRM</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Audit Committee has appointed PricewaterhouseCoopers LLP (PwC) as the Company’s independent registered public accounting firm for 2026. PwC has been retained as the Company’s independent registered public accounting firm since 2001.</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Representatives of the firm are expected to be at the Annual Meeting to respond to appropriate questions and to make a statement, if they wish.</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Auditor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fees for professional services rendered for the Company by PwC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shd w:val="clear" w:color="auto" w:fill="DA2031"/>
          </w:tcPr>
          <w:p>
            <w:pPr>
              <w:ind w:left="20"/>
              <w:spacing w:after="0"/>
              <w:rPr>
                <w:sz w:val="20"/>
                <w:szCs w:val="20"/>
                <w:color w:val="auto"/>
              </w:rPr>
            </w:pPr>
            <w:r>
              <w:rPr>
                <w:rFonts w:ascii="Arial" w:cs="Arial" w:eastAsia="Arial" w:hAnsi="Arial"/>
                <w:sz w:val="14"/>
                <w:szCs w:val="14"/>
                <w:b w:val="1"/>
                <w:bCs w:val="1"/>
                <w:color w:val="FFFFFF"/>
              </w:rPr>
              <w:t>(in millions)</w:t>
            </w:r>
          </w:p>
        </w:tc>
        <w:tc>
          <w:tcPr>
            <w:tcW w:w="600" w:type="dxa"/>
            <w:vAlign w:val="bottom"/>
            <w:shd w:val="clear" w:color="auto" w:fill="DA2031"/>
          </w:tcPr>
          <w:p>
            <w:pPr>
              <w:spacing w:after="0"/>
              <w:rPr>
                <w:sz w:val="19"/>
                <w:szCs w:val="19"/>
                <w:color w:val="auto"/>
              </w:rPr>
            </w:pPr>
          </w:p>
        </w:tc>
        <w:tc>
          <w:tcPr>
            <w:tcW w:w="900" w:type="dxa"/>
            <w:vAlign w:val="bottom"/>
            <w:shd w:val="clear" w:color="auto" w:fill="DA2031"/>
          </w:tcPr>
          <w:p>
            <w:pPr>
              <w:jc w:val="right"/>
              <w:spacing w:after="0"/>
              <w:rPr>
                <w:sz w:val="20"/>
                <w:szCs w:val="20"/>
                <w:color w:val="auto"/>
              </w:rPr>
            </w:pPr>
            <w:r>
              <w:rPr>
                <w:rFonts w:ascii="Arial" w:cs="Arial" w:eastAsia="Arial" w:hAnsi="Arial"/>
                <w:sz w:val="18"/>
                <w:szCs w:val="18"/>
                <w:b w:val="1"/>
                <w:bCs w:val="1"/>
                <w:color w:val="FFFFFF"/>
              </w:rPr>
              <w:t>2025</w:t>
            </w:r>
          </w:p>
        </w:tc>
        <w:tc>
          <w:tcPr>
            <w:tcW w:w="600" w:type="dxa"/>
            <w:vAlign w:val="bottom"/>
            <w:shd w:val="clear" w:color="auto" w:fill="DA2031"/>
          </w:tcPr>
          <w:p>
            <w:pPr>
              <w:spacing w:after="0"/>
              <w:rPr>
                <w:sz w:val="19"/>
                <w:szCs w:val="19"/>
                <w:color w:val="auto"/>
              </w:rPr>
            </w:pPr>
          </w:p>
        </w:tc>
        <w:tc>
          <w:tcPr>
            <w:tcW w:w="900" w:type="dxa"/>
            <w:vAlign w:val="bottom"/>
            <w:shd w:val="clear" w:color="auto" w:fill="DA2031"/>
          </w:tcPr>
          <w:p>
            <w:pPr>
              <w:jc w:val="right"/>
              <w:spacing w:after="0"/>
              <w:rPr>
                <w:sz w:val="20"/>
                <w:szCs w:val="20"/>
                <w:color w:val="auto"/>
              </w:rPr>
            </w:pPr>
            <w:r>
              <w:rPr>
                <w:rFonts w:ascii="Arial" w:cs="Arial" w:eastAsia="Arial" w:hAnsi="Arial"/>
                <w:sz w:val="18"/>
                <w:szCs w:val="18"/>
                <w:b w:val="1"/>
                <w:bCs w:val="1"/>
                <w:color w:val="FFFFFF"/>
              </w:rPr>
              <w:t>2024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Audit</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15.8</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29"/>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Audit-related</w:t>
            </w:r>
          </w:p>
        </w:tc>
        <w:tc>
          <w:tcPr>
            <w:tcW w:w="60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Tax</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 other</w:t>
            </w:r>
          </w:p>
        </w:tc>
        <w:tc>
          <w:tcPr>
            <w:tcW w:w="60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0.4</w:t>
            </w:r>
          </w:p>
        </w:tc>
        <w:tc>
          <w:tcPr>
            <w:tcW w:w="60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Total Fees</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1"/>
        </w:trPr>
        <w:tc>
          <w:tcPr>
            <w:tcW w:w="8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i w:val="1"/>
          <w:iCs w:val="1"/>
          <w:color w:val="auto"/>
        </w:rPr>
        <w:t xml:space="preserve">Audit </w:t>
      </w:r>
      <w:r>
        <w:rPr>
          <w:rFonts w:ascii="Arial" w:cs="Arial" w:eastAsia="Arial" w:hAnsi="Arial"/>
          <w:sz w:val="18"/>
          <w:szCs w:val="18"/>
          <w:color w:val="auto"/>
        </w:rPr>
        <w:t>fees were for professional services rendered for the audits of the consolidated financial statements of the Company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of the Public Company Accounting Oversight Board of Directors (PCAOB), statutory and subsidiary audits, procedures performed in connection with documents filed with the SEC, consents, comfort letters, and other services required to be performed by our independent registered public accounting firm.</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i w:val="1"/>
          <w:iCs w:val="1"/>
          <w:color w:val="auto"/>
        </w:rPr>
        <w:t xml:space="preserve">Audit-related </w:t>
      </w:r>
      <w:r>
        <w:rPr>
          <w:rFonts w:ascii="Arial" w:cs="Arial" w:eastAsia="Arial" w:hAnsi="Arial"/>
          <w:sz w:val="18"/>
          <w:szCs w:val="18"/>
          <w:color w:val="auto"/>
        </w:rPr>
        <w:t>fees were for assurance and related services. Both years reflect services associated with employee benefit plan audits, due</w:t>
      </w:r>
      <w:r>
        <w:rPr>
          <w:rFonts w:ascii="Arial" w:cs="Arial" w:eastAsia="Arial" w:hAnsi="Arial"/>
          <w:sz w:val="18"/>
          <w:szCs w:val="18"/>
          <w:i w:val="1"/>
          <w:iCs w:val="1"/>
          <w:color w:val="auto"/>
        </w:rPr>
        <w:t xml:space="preserve"> </w:t>
      </w:r>
      <w:r>
        <w:rPr>
          <w:rFonts w:ascii="Arial" w:cs="Arial" w:eastAsia="Arial" w:hAnsi="Arial"/>
          <w:sz w:val="18"/>
          <w:szCs w:val="18"/>
          <w:color w:val="auto"/>
        </w:rPr>
        <w:t>diligence reviews, special reports pursuant to agreed-upon procedures or international reporting requirements, and other attestation services.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w:t>
      </w:r>
      <w:r>
        <w:rPr>
          <w:rFonts w:ascii="Arial" w:cs="Arial" w:eastAsia="Arial" w:hAnsi="Arial"/>
          <w:sz w:val="18"/>
          <w:szCs w:val="18"/>
          <w:color w:val="auto"/>
        </w:rPr>
        <w:t>fees reflect services related to tax compliance services and certain transactional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fees reflects non audit-related consulting services and PwC research and market intelligence licenses.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Xerox’s Audit Committee charter requires pre-approval by the Audit Committee of all fees paid to, and all services performed by, Xerox’s independent registered public accounting firm. At the beginning of each year, the Audit Committee approves the proposed services, including the nature, type, and scope of service contemplated and the related fees, to be rendered by the firm during the year. In addition, pursuant to authority delegated by the Audit Committee, one or more members of the Audit Committee may approve additional services that are outside the scope of the services and fees approved by the Audit Committee, which are required to be presented to the full Audit Committee at the next Committee meeting. For each category of proposed service, the independent registered public accounting firm is required to confirm that the provision of such services does not impair its independence. During the 2025 fiscal year, all services were approved by the Audit Committee in accordance with the Sarbanes-Oxley 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responsibilities of the Audit Committee are discussed under “Committee Functions, Membership and Meetings” and in detail under the “Audit Committee Charter” which can be found under the Corporate Governance section on the Company’s website (www.xerox.com/en-us/about/corporate-social-responsibility/governance). The Audit Committee is responsible for assisting the Board in overseeing the integrity of the Company’s financial statements, the effectiveness of the Company’s internal control over financial reporting, the qualifications and independence of the Company’s independent registered public accounting firm, and the performance of the Company’s internal audit function and independent auditor. In performing its oversight role, the Audit Committee relies on management and the Company’s independent registered public accounting firm. Management is responsible for the preparation and integrity of the Company’s financial statements and for maintaining effective internal control over financial reporting. The independent registered public accounting firm is responsible for performing an audit of the Company’s consolidated financial statements and the effectiveness of internal control over financial reporting in accordance with the standards of the PCAOB and to issue a report thereon. The Audit Committee’s responsibility is to monitor and oversee these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Consistent with the foregoing, the Audit Committee has:</w:t>
      </w:r>
    </w:p>
    <w:p>
      <w:pPr>
        <w:spacing w:after="0" w:line="117" w:lineRule="exact"/>
        <w:rPr>
          <w:sz w:val="20"/>
          <w:szCs w:val="20"/>
          <w:color w:val="auto"/>
        </w:rPr>
      </w:pPr>
    </w:p>
    <w:p>
      <w:pPr>
        <w:ind w:left="820" w:hanging="326"/>
        <w:spacing w:after="0" w:line="262" w:lineRule="auto"/>
        <w:tabs>
          <w:tab w:leader="none" w:pos="8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Reviewed and discussed the audited consolidated financial statements of the Company for the year ended December 31, 2025, including the specific disclosure under “Management’s Discussion and Analysis of Financial Condition and Results of Operations,” with the management of the Company and PwC, including a discussion of significant accounting policies, critical accounting estimates, and judgments used in the preparation of the financial statements;</w:t>
      </w:r>
    </w:p>
    <w:p>
      <w:pPr>
        <w:spacing w:after="0" w:line="68" w:lineRule="exact"/>
        <w:rPr>
          <w:rFonts w:ascii="Arial" w:cs="Arial" w:eastAsia="Arial" w:hAnsi="Arial"/>
          <w:sz w:val="18"/>
          <w:szCs w:val="18"/>
          <w:color w:val="auto"/>
        </w:rPr>
      </w:pPr>
    </w:p>
    <w:p>
      <w:pPr>
        <w:ind w:left="820" w:right="20" w:hanging="326"/>
        <w:spacing w:after="0" w:line="268" w:lineRule="auto"/>
        <w:tabs>
          <w:tab w:leader="none" w:pos="8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Discussed with PwC the matters required to be communicated in PCAOB Auditing Standards, including AS 1301 (Communication with Audit Committees), and AS 2410 (Related Parties); and discussed the overall audit strategy, scope, and significant risks identified during the audit; and</w:t>
      </w:r>
    </w:p>
    <w:p>
      <w:pPr>
        <w:spacing w:after="0" w:line="62" w:lineRule="exact"/>
        <w:rPr>
          <w:rFonts w:ascii="Arial" w:cs="Arial" w:eastAsia="Arial" w:hAnsi="Arial"/>
          <w:sz w:val="18"/>
          <w:szCs w:val="18"/>
          <w:color w:val="auto"/>
        </w:rPr>
      </w:pPr>
    </w:p>
    <w:p>
      <w:pPr>
        <w:ind w:left="820" w:right="260" w:hanging="326"/>
        <w:spacing w:after="0" w:line="268" w:lineRule="auto"/>
        <w:tabs>
          <w:tab w:leader="none" w:pos="8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Received the written disclosures and the letters from PwC required by the applicable PCAOB independence rules and has discussed with PwC the firm’s independence and quality control procedures and considered whether the provision of non-audit services is compatible with maintaining PWC's independence.</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Audit Committee also reviewed management's assessment of the effectiveness of the Company's internal control over financial reporting, and discussed with PWC its attestation report thereon.</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Based upon the foregoing review and discussions, the Audit Committee recommended to the Board that the audited consolidated financial statements be included in the Company’s 2025 Annual Report to Shareholders, and in the Company’s Annual Report on Form 10-K for the year ended December 31, 2025, for filing by the Company with the SEC.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Amy Schwetz,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Tami Erwin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Roese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D92231"/>
        </w:rPr>
        <w:t>The Board unanimously recommends a vote</w:t>
      </w:r>
    </w:p>
    <w:p>
      <w:pPr>
        <w:spacing w:after="0" w:line="11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D92231"/>
        </w:rPr>
        <w:t>FOR</w:t>
      </w:r>
    </w:p>
    <w:p>
      <w:pPr>
        <w:spacing w:after="0" w:line="11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D92231"/>
        </w:rPr>
        <w:t>the ratification of the appointment of PwC as the Company’s independent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D92231"/>
        </w:rPr>
        <w:t>registered public accounting firm for the year 2026.</w:t>
      </w: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86" w:name="page87"/>
    <w:bookmarkEnd w:id="86"/>
    <w:p>
      <w:pPr>
        <w:ind w:right="320"/>
        <w:spacing w:after="0" w:line="296" w:lineRule="auto"/>
        <w:rPr>
          <w:sz w:val="20"/>
          <w:szCs w:val="20"/>
          <w:color w:val="auto"/>
        </w:rPr>
      </w:pPr>
      <w:r>
        <w:rPr>
          <w:rFonts w:ascii="Arial" w:cs="Arial" w:eastAsia="Arial" w:hAnsi="Arial"/>
          <w:sz w:val="18"/>
          <w:szCs w:val="18"/>
          <w:b w:val="1"/>
          <w:bCs w:val="1"/>
          <w:color w:val="D92231"/>
        </w:rPr>
        <w:t>PROPOSAL 3 — PROPOSAL TO APPROVE, ON AN ADVISORY BASIS, THE 2025 COMPENSATION OF OUR NAMED EXECUTIVE OFFICERS</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providing our shareholders with an advisory vote on executive compensation. This advisory vote, commonly known as a “Say-on-Pay” vote, is a non-binding, advisory vote on the 2025 compensation paid to our NEOs as disclosed pursuant to Item 402 of Regulation S-K, in the Compensation Discussion and Analysis, and in the accompanying tables and narrative included in this Proxy Statement. This Say-on-Pay vote is not intended to address any specific item of compensation, but rather the overall compensation of our NEOs and the policies and procedures described in this Proxy Statement.</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recommends that shareholders indicate their support for the Company’s compensation of our NEOs. Although this vote is advisory and not binding on the Company or the Board, the Compensation Committee, which is responsible for developing and administering the Company’s executive compensation philosophy and program, will consider the voting results as part of its ongoing review of the Company’s executive compensation program.</w:t>
      </w:r>
    </w:p>
    <w:p>
      <w:pPr>
        <w:spacing w:after="0" w:line="6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described in detail in the Compensation Discussion and Analysis of this Proxy Statement, the Compensation Committee seeks to closely align the compensation of our NEOs with the interests of the Company’s shareholders.</w:t>
      </w:r>
    </w:p>
    <w:p>
      <w:pPr>
        <w:spacing w:after="0" w:line="45" w:lineRule="exact"/>
        <w:rPr>
          <w:sz w:val="20"/>
          <w:szCs w:val="20"/>
          <w:color w:val="auto"/>
        </w:rPr>
      </w:pPr>
    </w:p>
    <w:p>
      <w:pPr>
        <w:ind w:left="820" w:right="420" w:hanging="326"/>
        <w:spacing w:after="0" w:line="268" w:lineRule="auto"/>
        <w:tabs>
          <w:tab w:leader="none" w:pos="8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Company’s executive compensation program is designed to attract, retain, and motivate top executive talent, drive performance without encouraging unnecessary or excessive risk-taking, and support both short-term and long-term growth for shareholders.</w:t>
      </w:r>
    </w:p>
    <w:p>
      <w:pPr>
        <w:spacing w:after="0" w:line="62" w:lineRule="exact"/>
        <w:rPr>
          <w:rFonts w:ascii="Arial" w:cs="Arial" w:eastAsia="Arial" w:hAnsi="Arial"/>
          <w:sz w:val="18"/>
          <w:szCs w:val="18"/>
          <w:color w:val="auto"/>
        </w:rPr>
      </w:pPr>
    </w:p>
    <w:p>
      <w:pPr>
        <w:ind w:left="820" w:right="60" w:hanging="326"/>
        <w:spacing w:after="0" w:line="268" w:lineRule="auto"/>
        <w:tabs>
          <w:tab w:leader="none" w:pos="8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compensation framework emphasizes a pay-for-performance model, a focus on long-term growth and diversified performance metrics. The Compensation Committee believes that our compensation framework effectively aligns pay with individual and Company performance as described in detail on page 36 in the </w:t>
      </w:r>
      <w:r>
        <w:rPr>
          <w:rFonts w:ascii="Arial" w:cs="Arial" w:eastAsia="Arial" w:hAnsi="Arial"/>
          <w:sz w:val="18"/>
          <w:szCs w:val="18"/>
          <w:i w:val="1"/>
          <w:iCs w:val="1"/>
          <w:color w:val="auto"/>
        </w:rPr>
        <w:t>Linking Pay to Performance</w:t>
      </w:r>
      <w:r>
        <w:rPr>
          <w:rFonts w:ascii="Arial" w:cs="Arial" w:eastAsia="Arial" w:hAnsi="Arial"/>
          <w:sz w:val="18"/>
          <w:szCs w:val="18"/>
          <w:color w:val="auto"/>
        </w:rPr>
        <w:t xml:space="preserve"> section.</w:t>
      </w:r>
    </w:p>
    <w:p>
      <w:pPr>
        <w:spacing w:after="0" w:line="62" w:lineRule="exact"/>
        <w:rPr>
          <w:rFonts w:ascii="Arial" w:cs="Arial" w:eastAsia="Arial" w:hAnsi="Arial"/>
          <w:sz w:val="18"/>
          <w:szCs w:val="18"/>
          <w:color w:val="auto"/>
        </w:rPr>
      </w:pPr>
    </w:p>
    <w:p>
      <w:pPr>
        <w:ind w:left="820" w:right="440" w:hanging="326"/>
        <w:spacing w:after="0" w:line="268" w:lineRule="auto"/>
        <w:tabs>
          <w:tab w:leader="none" w:pos="8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Ninety-three percent (93%) of our Chief Executive Officer and eighty-three percent (83%) of our other NEOs' total target compensation is “at-risk” and dependent upon performance of short-term and long-term financial and business objectives and share appreciation, as described on page 38 in the </w:t>
      </w:r>
      <w:r>
        <w:rPr>
          <w:rFonts w:ascii="Arial" w:cs="Arial" w:eastAsia="Arial" w:hAnsi="Arial"/>
          <w:sz w:val="18"/>
          <w:szCs w:val="18"/>
          <w:i w:val="1"/>
          <w:iCs w:val="1"/>
          <w:color w:val="auto"/>
        </w:rPr>
        <w:t>Target Pay Mix</w:t>
      </w:r>
      <w:r>
        <w:rPr>
          <w:rFonts w:ascii="Arial" w:cs="Arial" w:eastAsia="Arial" w:hAnsi="Arial"/>
          <w:sz w:val="18"/>
          <w:szCs w:val="18"/>
          <w:color w:val="auto"/>
        </w:rPr>
        <w:t xml:space="preserve"> section.</w:t>
      </w:r>
    </w:p>
    <w:p>
      <w:pPr>
        <w:spacing w:after="0" w:line="62" w:lineRule="exact"/>
        <w:rPr>
          <w:rFonts w:ascii="Arial" w:cs="Arial" w:eastAsia="Arial" w:hAnsi="Arial"/>
          <w:sz w:val="18"/>
          <w:szCs w:val="18"/>
          <w:color w:val="auto"/>
        </w:rPr>
      </w:pPr>
    </w:p>
    <w:p>
      <w:pPr>
        <w:ind w:left="820" w:right="280" w:hanging="326"/>
        <w:spacing w:after="0" w:line="268" w:lineRule="auto"/>
        <w:tabs>
          <w:tab w:leader="none" w:pos="8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Company has developed and implemented practices, as detailed in the </w:t>
      </w:r>
      <w:r>
        <w:rPr>
          <w:rFonts w:ascii="Arial" w:cs="Arial" w:eastAsia="Arial" w:hAnsi="Arial"/>
          <w:sz w:val="18"/>
          <w:szCs w:val="18"/>
          <w:i w:val="1"/>
          <w:iCs w:val="1"/>
          <w:color w:val="auto"/>
        </w:rPr>
        <w:t>Executive Compensation Best Practices</w:t>
      </w:r>
      <w:r>
        <w:rPr>
          <w:rFonts w:ascii="Arial" w:cs="Arial" w:eastAsia="Arial" w:hAnsi="Arial"/>
          <w:sz w:val="18"/>
          <w:szCs w:val="18"/>
          <w:color w:val="auto"/>
        </w:rPr>
        <w:t xml:space="preserve"> section on page 34, which the Compensation Committee, in consultation with its independent consultant, believes to be effective in both driving performance and supporting long-term growth for our shareholders.</w:t>
      </w:r>
    </w:p>
    <w:p>
      <w:pPr>
        <w:spacing w:after="0" w:line="62" w:lineRule="exact"/>
        <w:rPr>
          <w:rFonts w:ascii="Arial" w:cs="Arial" w:eastAsia="Arial" w:hAnsi="Arial"/>
          <w:sz w:val="18"/>
          <w:szCs w:val="18"/>
          <w:color w:val="auto"/>
        </w:rPr>
      </w:pPr>
    </w:p>
    <w:p>
      <w:pPr>
        <w:ind w:left="820" w:right="80" w:hanging="326"/>
        <w:spacing w:after="0" w:line="268" w:lineRule="auto"/>
        <w:tabs>
          <w:tab w:leader="none" w:pos="8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Board and leadership team maintain a robust continuous shareholder engagement program, which helps inform the Compensation Committee’s executive compensation deliberations and decisions, as detailed beginning on page 28 in the </w:t>
      </w:r>
      <w:r>
        <w:rPr>
          <w:rFonts w:ascii="Arial" w:cs="Arial" w:eastAsia="Arial" w:hAnsi="Arial"/>
          <w:sz w:val="18"/>
          <w:szCs w:val="18"/>
          <w:i w:val="1"/>
          <w:iCs w:val="1"/>
          <w:color w:val="auto"/>
        </w:rPr>
        <w:t xml:space="preserve">Say-on-Pay Votes and Shareholder Engagement </w:t>
      </w:r>
      <w:r>
        <w:rPr>
          <w:rFonts w:ascii="Arial" w:cs="Arial" w:eastAsia="Arial" w:hAnsi="Arial"/>
          <w:sz w:val="18"/>
          <w:szCs w:val="18"/>
          <w:color w:val="auto"/>
        </w:rPr>
        <w:t>section.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shareholders to vote in favor of the following resolution:</w:t>
      </w:r>
    </w:p>
    <w:p>
      <w:pPr>
        <w:spacing w:after="0" w:line="119" w:lineRule="exact"/>
        <w:rPr>
          <w:sz w:val="20"/>
          <w:szCs w:val="20"/>
          <w:color w:val="auto"/>
        </w:rPr>
      </w:pPr>
    </w:p>
    <w:p>
      <w:pPr>
        <w:ind w:left="500" w:right="20"/>
        <w:spacing w:after="0" w:line="265" w:lineRule="auto"/>
        <w:rPr>
          <w:sz w:val="20"/>
          <w:szCs w:val="20"/>
          <w:color w:val="auto"/>
        </w:rPr>
      </w:pPr>
      <w:r>
        <w:rPr>
          <w:rFonts w:ascii="Arial" w:cs="Arial" w:eastAsia="Arial" w:hAnsi="Arial"/>
          <w:sz w:val="18"/>
          <w:szCs w:val="18"/>
          <w:b w:val="1"/>
          <w:bCs w:val="1"/>
          <w:i w:val="1"/>
          <w:iCs w:val="1"/>
          <w:color w:val="auto"/>
        </w:rPr>
        <w:t>“RESOLVED, that the Company’s shareholders approve, on an advisory basis, the 2025 compensation of the named executive officers, as disclosed in the Company’s Proxy Statement for the 2026 Annual Meeting of Shareholders pursuant to Item 402 of Regulation S-K, including the Compensation Discussion and Analysis, the Summary Compensation Table and the other related tables and disclosures.”</w:t>
      </w:r>
    </w:p>
    <w:p>
      <w:pPr>
        <w:spacing w:after="0" w:line="200" w:lineRule="exact"/>
        <w:rPr>
          <w:sz w:val="20"/>
          <w:szCs w:val="20"/>
          <w:color w:val="auto"/>
        </w:rPr>
      </w:pPr>
    </w:p>
    <w:p>
      <w:pPr>
        <w:spacing w:after="0" w:line="34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D92231"/>
        </w:rPr>
        <w:t>The Board unanimously recommends an advisory vote</w:t>
      </w:r>
    </w:p>
    <w:p>
      <w:pPr>
        <w:spacing w:after="0" w:line="11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D92231"/>
        </w:rPr>
        <w:t>FOR</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D92231"/>
        </w:rPr>
        <w:t>the approval of the 2025 compensation of our named executive officers as described in the Proxy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D92231"/>
        </w:rPr>
        <w:t>Statement pursuant to Item 402 of Regulation S-K.</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7" w:name="page88"/>
    <w:bookmarkEnd w:id="87"/>
    <w:p>
      <w:pPr>
        <w:jc w:val="both"/>
        <w:ind w:right="20"/>
        <w:spacing w:after="0" w:line="296" w:lineRule="auto"/>
        <w:rPr>
          <w:sz w:val="20"/>
          <w:szCs w:val="20"/>
          <w:color w:val="auto"/>
        </w:rPr>
      </w:pPr>
      <w:r>
        <w:rPr>
          <w:rFonts w:ascii="Arial" w:cs="Arial" w:eastAsia="Arial" w:hAnsi="Arial"/>
          <w:sz w:val="18"/>
          <w:szCs w:val="18"/>
          <w:b w:val="1"/>
          <w:bCs w:val="1"/>
          <w:color w:val="D92231"/>
        </w:rPr>
        <w:t>PROPOSAL 4 — PROPOSAL TO APPROVE AN AMENDMENT TO THE XEROX HOLDINGS CORPORATION 2024 EQUITY AND PERFORMANCE INCENTIVE PLAN TO INCREASE THE SHARE RESERVE</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Proposal 4, the Board of Directors seeks shareholder approval of an amendment (the “Plan Amendment”) to the Xerox Holdings Corporation 2024 Equity and Performance Incentive Plan (the “Plan”) to increase the number of shares of the Company’s common stock (“Shares”) available for issuance under the Plan and to remove references to incentive stock options (which are not intended to be available for grant under the Plan). Pursuant to the Plan, as amended, all employees of the Company or any entity in which the Company has a significant equity interest as determined by the Committee, and all non-employee directors of the Company, are eligible to receive awards at the discretion of the Compensation and Human Capital Committee of the Board of Directors (the “Committee”).</w:t>
      </w:r>
    </w:p>
    <w:p>
      <w:pPr>
        <w:spacing w:after="0" w:line="7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Plan was originally approved by the Company’s shareholders on May 22, 2024, and the term of the Plan ends on May 22, 2034, or such earlier date as determined by the Committee. The Plan Amendment will become effective on May 20, 2026 (the “Effective Date”), following approval by the Company’s shareholders. Other than the increase in the Share reserve, no other substantive changes to the Plan are contemplated.</w:t>
      </w:r>
    </w:p>
    <w:p>
      <w:pPr>
        <w:spacing w:after="0" w:line="6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Shareholder approval of the Plan Amendment is sought in compliance with the rules of Nasdaq and the terms of the Plan. The Plan is the only shareholder-approval plan under which equity-based incentive awards are currently granted to the Company’s employees and non-employee directors.</w:t>
      </w:r>
    </w:p>
    <w:p>
      <w:pPr>
        <w:spacing w:after="0" w:line="4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This description is qualified in its entirety by reference to the full text of the Plan that is attached as Exhibit 99.1 to the Company’s and Xerox Corporation’s combined Current Report on Form S-8 dated June 28, 2024 (see SEC File Number 001-39013), and by the First Amendment to the Plan that is attached as Exhibit A to the Company’s Definitive Proxy Statement on Form DEF 14A filed April 9, 2025 (see SEC File Number 001-39013) (the “First Amendment”).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Board believes that the Company’s ability to execute its Reinvention strategy and successfully integrate Lexmark depends in significant measure on retaining, motivating, and appropriately transitioning the leadership team and other key talent responsible for delivering and executing on that transformation. Equity compensation remains the Committee’s primary vehicle for aligning executives and directors with shareholders, and reinforcing a rigorous pay-for-performance philosophy.</w:t>
      </w:r>
    </w:p>
    <w:p>
      <w:pPr>
        <w:spacing w:after="0" w:line="6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 is entering a critical execution phase of its transformation. Maintaining leadership continuity through this period, including through recent executive transitions, is essential to realizing integration synergies, strengthening the balance sheet, and delivering sustainable long-term value.</w:t>
      </w:r>
    </w:p>
    <w:p>
      <w:pPr>
        <w:spacing w:after="0" w:line="4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In this context, prevailing market conditions, including the Company’s current stock price, have increased share usage requirements to deliver market-competitive equity awards, contributing to the depletion of the existing share reserve.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the Share Request</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existing share reserve has been substantially depleted, reflecting a combination of market-driven share usage dynamics and the need to maintain competitive, performance-oriented equity awards during a critical phase of the Company’s transformation and integration.</w:t>
      </w:r>
    </w:p>
    <w:p>
      <w:pPr>
        <w:spacing w:after="0" w:line="63"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In evaluating the proposed share authorization, the Committee considered the importance of continuing to deliver equity-based compensation that aligns management with long-term shareholder outcomes, while maintaining a disciplined approach to share usage, dilution, and affordability.</w:t>
      </w:r>
    </w:p>
    <w:p>
      <w:pPr>
        <w:spacing w:after="0" w:line="7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Committee also evaluated the trade-offs between equity and alternative forms of compensation, including the selective use of cash-based incentives. While a significant increase in the use of cash awards would reduce share usage, it would increase cash outflows, and compete directly with the Company’s capital allocation priorities, including its deleveraging objectives. Accordingly, the Committee has temporarily incorporated a measured use of cash-based incentives within the broader program design to help moderate share usage, while maintaining an equity-oriented framework that aligns incentives with long-term shareholder value creation.</w:t>
      </w:r>
    </w:p>
    <w:p>
      <w:pPr>
        <w:spacing w:after="0" w:line="6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Board believes that the requested authorization is necessary to support retention and alignment objectives during a defined transformation and integration period, and represents a balanced approach to compensation design that supports disciplined execution and long-term value creation. The Committee does not view this request as establishing a permanent increase in equity usage, but rather, as providing appropriate capacity during this period of elevated strategic importance.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8" w:name="page89"/>
    <w:bookmarkEnd w:id="88"/>
    <w:p>
      <w:pPr>
        <w:ind w:right="200"/>
        <w:spacing w:after="0" w:line="261" w:lineRule="auto"/>
        <w:rPr>
          <w:sz w:val="20"/>
          <w:szCs w:val="20"/>
          <w:color w:val="auto"/>
        </w:rPr>
      </w:pPr>
      <w:r>
        <w:rPr>
          <w:rFonts w:ascii="Arial" w:cs="Arial" w:eastAsia="Arial" w:hAnsi="Arial"/>
          <w:sz w:val="18"/>
          <w:szCs w:val="18"/>
          <w:color w:val="auto"/>
        </w:rPr>
        <w:t>If the proposed amendment is not approved, the Company would have limited ability to continue using equity as its primary long-term incentive vehicle. In that event, the Company would need to consider increased reliance on cash-based compensation alternatives to meet retention and incentive objectives.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Shares to Be Available for Issuance</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determining the number of additional shares to request, the Committee, with the support of its independent compensation consultant undertook a comprehensive evaluation of the Company's approach to long-term incentive compensation, its equity usage requirements, and other related factors.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Based on this evaluation, the Board is seeking shareholder approval to increase the number of Shares authorized for issuance under the Plan by 15,000,000 shares, which would result in a total of 18,329,243 shares available for future grant under the Plan. The 2024 Equity and Performance Incentive Plan remains the Company’s only shareholder-approved plan under which equity-based awards may be granted.</w:t>
      </w:r>
    </w:p>
    <w:p>
      <w:pPr>
        <w:spacing w:after="0" w:line="6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March 27, 2026, 3,329,243 shares remained available for grant under the Plan, and 9,536,066 shares were subject to outstanding awards. If the proposed share increase is approved, the Company’s total potential overhang (equity awards outstanding plus what remains for future issuance as a percent of shares outstanding) would represent approximately 21.3% of our shares outstanding.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developing the proposed share request, the Committee considered multiple factors including:</w:t>
      </w:r>
    </w:p>
    <w:p>
      <w:pPr>
        <w:spacing w:after="0" w:line="252"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Historical and projected share usage;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Competitive levels of equity and long-term incentive delivery for our leadership and our broader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Stock price sensitivity and the impact on share delivery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Expected retention needs during the integration and transformation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Peer market practices;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methodologies and policies of major proxy advisory firms.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Committee recognizes that the requested authorization represents a meaningful potential dilution. As part of its decision-making process, the Board engaged in shareholder outreach to solicit feedback prior to finalizing the proposal and carefully considered that feedback in evaluating the size and structure of the request.</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Committee also evaluated the potential dilution associated with the request in the context of these factors and believes the proposed authorization is appropriately calibrated to balance the need for sufficient equity capacity with responsible share usage.</w:t>
      </w:r>
    </w:p>
    <w:p>
      <w:pPr>
        <w:spacing w:after="0" w:line="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the Plan Amendment is approved by the Company’s shareholders, the maximum aggregate number of Shares that may be issued under the Plan will be 26,882,000 Shares (all Share numbers are subject to adjustment in accordance with the terms of the Plan) plus any Shares underlying awards previously granted under the Xerox Holdings Corporation Performance Incentive Plan, Amended as of May 25, 2023, the Xerox Holdings Corporation 2004 Equity Compensation Plan for Non-Employee Directors, and their predecessor Plans (together, the “Predecessor Plans”) that expire or are cancelled or forfeited or cash-settled on or after May 22, 2024 plus any Shares that are issued by the Company and any awards that are granted by or become obligations of the Company through the assumption of, or in substitution for, outstanding awards previously granted by an acquired company. No new awards may be granted under the Predecessor Plans.</w:t>
      </w:r>
    </w:p>
    <w:p>
      <w:pPr>
        <w:spacing w:after="0" w:line="7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26,882,000 Shares reserved for issuance under the Plan represent the initial 5,200,000 Shares reserved for issuance under the Plan, the additional 6,682,000 Shares reserved for issuance under the First Amendment and the additional 15,000,000 Shares reserved for issuance under the Plan Amendment. Awards outstanding under the Predecessor Plans that were outstanding as of May 22, 2024 will remain outstanding in accordance with their terms and the terms of the Predecessor Plans.</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addition, Shares underlying outstanding awards granted under the Plan or the Predecessor Plans that expire or are cancelled or forfeited or cash-settled on or after May 22, 2024 will be added to the Share reserve and become available for issuance under the Plan.</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number of Shares subject to the Plan Amendment was determined following consultation with an independent consultant based on factors including the Company’s past Share usage (“burn rate”), the number of Shares needed for future awards, and the stated policies of shareholder advisory firms.</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Set forth below is the burn rate, which was calculated by taking the sum of options granted, restricted stock units (“RSUs”) granted, and performance share units (“PSUs”) earned from the Predecessor Plans and the Plan, as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applicable, in each applicable year and dividing that by the weighted average of Shares outstanding as of the last day of the year.</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shd w:val="clear" w:color="auto" w:fill="C00000"/>
          </w:tcPr>
          <w:p>
            <w:pPr>
              <w:jc w:val="right"/>
              <w:ind w:right="119"/>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C00000"/>
          </w:tcPr>
          <w:p>
            <w:pPr>
              <w:jc w:val="center"/>
              <w:ind w:left="19"/>
              <w:spacing w:after="0"/>
              <w:rPr>
                <w:sz w:val="20"/>
                <w:szCs w:val="20"/>
                <w:color w:val="auto"/>
              </w:rPr>
            </w:pPr>
            <w:r>
              <w:rPr>
                <w:rFonts w:ascii="Arial" w:cs="Arial" w:eastAsia="Arial" w:hAnsi="Arial"/>
                <w:sz w:val="16"/>
                <w:szCs w:val="16"/>
                <w:b w:val="1"/>
                <w:bCs w:val="1"/>
                <w:color w:val="FFFFFF"/>
                <w:w w:val="99"/>
              </w:rPr>
              <w:t>Options Granted</w:t>
            </w:r>
          </w:p>
        </w:tc>
        <w:tc>
          <w:tcPr>
            <w:tcW w:w="140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RSUs Granted</w:t>
            </w:r>
          </w:p>
        </w:tc>
        <w:tc>
          <w:tcPr>
            <w:tcW w:w="1480" w:type="dxa"/>
            <w:vAlign w:val="bottom"/>
            <w:shd w:val="clear" w:color="auto" w:fill="C00000"/>
          </w:tcPr>
          <w:p>
            <w:pPr>
              <w:jc w:val="center"/>
              <w:ind w:right="19"/>
              <w:spacing w:after="0"/>
              <w:rPr>
                <w:sz w:val="20"/>
                <w:szCs w:val="20"/>
                <w:color w:val="auto"/>
              </w:rPr>
            </w:pPr>
            <w:r>
              <w:rPr>
                <w:rFonts w:ascii="Arial" w:cs="Arial" w:eastAsia="Arial" w:hAnsi="Arial"/>
                <w:sz w:val="16"/>
                <w:szCs w:val="16"/>
                <w:b w:val="1"/>
                <w:bCs w:val="1"/>
                <w:color w:val="FFFFFF"/>
              </w:rPr>
              <w:t>PSUs Earned</w:t>
            </w:r>
          </w:p>
        </w:tc>
        <w:tc>
          <w:tcPr>
            <w:tcW w:w="122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322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Weighted Average Common Shares</w:t>
            </w:r>
          </w:p>
        </w:tc>
        <w:tc>
          <w:tcPr>
            <w:tcW w:w="1340" w:type="dxa"/>
            <w:vAlign w:val="bottom"/>
            <w:shd w:val="clear" w:color="auto" w:fill="C00000"/>
          </w:tcPr>
          <w:p>
            <w:pPr>
              <w:jc w:val="right"/>
              <w:ind w:right="297"/>
              <w:spacing w:after="0"/>
              <w:rPr>
                <w:sz w:val="20"/>
                <w:szCs w:val="20"/>
                <w:color w:val="auto"/>
              </w:rPr>
            </w:pPr>
            <w:r>
              <w:rPr>
                <w:rFonts w:ascii="Arial" w:cs="Arial" w:eastAsia="Arial" w:hAnsi="Arial"/>
                <w:sz w:val="16"/>
                <w:szCs w:val="16"/>
                <w:b w:val="1"/>
                <w:bCs w:val="1"/>
                <w:color w:val="FFFFFF"/>
              </w:rPr>
              <w:t>Burn Rate</w:t>
            </w:r>
          </w:p>
        </w:tc>
      </w:tr>
      <w:tr>
        <w:trPr>
          <w:trHeight w:val="224"/>
        </w:trPr>
        <w:tc>
          <w:tcPr>
            <w:tcW w:w="880" w:type="dxa"/>
            <w:vAlign w:val="bottom"/>
            <w:tcBorders>
              <w:bottom w:val="single" w:sz="8" w:color="C00000"/>
            </w:tcBorders>
            <w:shd w:val="clear" w:color="auto" w:fill="C00000"/>
          </w:tcPr>
          <w:p>
            <w:pPr>
              <w:spacing w:after="0"/>
              <w:rPr>
                <w:sz w:val="19"/>
                <w:szCs w:val="19"/>
                <w:color w:val="auto"/>
              </w:rPr>
            </w:pPr>
          </w:p>
        </w:tc>
        <w:tc>
          <w:tcPr>
            <w:tcW w:w="1600" w:type="dxa"/>
            <w:vAlign w:val="bottom"/>
            <w:tcBorders>
              <w:bottom w:val="single" w:sz="8" w:color="C00000"/>
            </w:tcBorders>
            <w:shd w:val="clear" w:color="auto" w:fill="C00000"/>
          </w:tcPr>
          <w:p>
            <w:pPr>
              <w:spacing w:after="0"/>
              <w:rPr>
                <w:sz w:val="19"/>
                <w:szCs w:val="19"/>
                <w:color w:val="auto"/>
              </w:rPr>
            </w:pPr>
          </w:p>
        </w:tc>
        <w:tc>
          <w:tcPr>
            <w:tcW w:w="1400" w:type="dxa"/>
            <w:vAlign w:val="bottom"/>
            <w:tcBorders>
              <w:bottom w:val="single" w:sz="8" w:color="C00000"/>
            </w:tcBorders>
            <w:shd w:val="clear" w:color="auto" w:fill="C00000"/>
          </w:tcPr>
          <w:p>
            <w:pPr>
              <w:spacing w:after="0"/>
              <w:rPr>
                <w:sz w:val="19"/>
                <w:szCs w:val="19"/>
                <w:color w:val="auto"/>
              </w:rPr>
            </w:pPr>
          </w:p>
        </w:tc>
        <w:tc>
          <w:tcPr>
            <w:tcW w:w="1480" w:type="dxa"/>
            <w:vAlign w:val="bottom"/>
            <w:tcBorders>
              <w:bottom w:val="single" w:sz="8" w:color="C00000"/>
            </w:tcBorders>
            <w:shd w:val="clear" w:color="auto" w:fill="C00000"/>
          </w:tcPr>
          <w:p>
            <w:pPr>
              <w:spacing w:after="0"/>
              <w:rPr>
                <w:sz w:val="19"/>
                <w:szCs w:val="19"/>
                <w:color w:val="auto"/>
              </w:rPr>
            </w:pPr>
          </w:p>
        </w:tc>
        <w:tc>
          <w:tcPr>
            <w:tcW w:w="1220" w:type="dxa"/>
            <w:vAlign w:val="bottom"/>
            <w:tcBorders>
              <w:bottom w:val="single" w:sz="8" w:color="C00000"/>
            </w:tcBorders>
            <w:shd w:val="clear" w:color="auto" w:fill="C00000"/>
          </w:tcPr>
          <w:p>
            <w:pPr>
              <w:spacing w:after="0"/>
              <w:rPr>
                <w:sz w:val="19"/>
                <w:szCs w:val="19"/>
                <w:color w:val="auto"/>
              </w:rPr>
            </w:pPr>
          </w:p>
        </w:tc>
        <w:tc>
          <w:tcPr>
            <w:tcW w:w="3220" w:type="dxa"/>
            <w:vAlign w:val="bottom"/>
            <w:tcBorders>
              <w:bottom w:val="single" w:sz="8" w:color="C00000"/>
            </w:tcBorders>
            <w:shd w:val="clear" w:color="auto" w:fill="C00000"/>
          </w:tcPr>
          <w:p>
            <w:pPr>
              <w:jc w:val="center"/>
              <w:spacing w:after="0"/>
              <w:rPr>
                <w:sz w:val="20"/>
                <w:szCs w:val="20"/>
                <w:color w:val="auto"/>
              </w:rPr>
            </w:pPr>
            <w:r>
              <w:rPr>
                <w:rFonts w:ascii="Arial" w:cs="Arial" w:eastAsia="Arial" w:hAnsi="Arial"/>
                <w:sz w:val="16"/>
                <w:szCs w:val="16"/>
                <w:b w:val="1"/>
                <w:bCs w:val="1"/>
                <w:color w:val="FFFFFF"/>
              </w:rPr>
              <w:t>Outstanding</w:t>
            </w:r>
          </w:p>
        </w:tc>
        <w:tc>
          <w:tcPr>
            <w:tcW w:w="1340" w:type="dxa"/>
            <w:vAlign w:val="bottom"/>
            <w:tcBorders>
              <w:bottom w:val="single" w:sz="8" w:color="C00000"/>
            </w:tcBorders>
            <w:shd w:val="clear" w:color="auto" w:fill="C00000"/>
          </w:tcPr>
          <w:p>
            <w:pPr>
              <w:spacing w:after="0"/>
              <w:rPr>
                <w:sz w:val="19"/>
                <w:szCs w:val="19"/>
                <w:color w:val="auto"/>
              </w:rPr>
            </w:pPr>
          </w:p>
        </w:tc>
      </w:tr>
      <w:tr>
        <w:trPr>
          <w:trHeight w:val="222"/>
        </w:trPr>
        <w:tc>
          <w:tcPr>
            <w:tcW w:w="880" w:type="dxa"/>
            <w:vAlign w:val="bottom"/>
          </w:tcPr>
          <w:p>
            <w:pPr>
              <w:jc w:val="right"/>
              <w:ind w:right="419"/>
              <w:spacing w:after="0"/>
              <w:rPr>
                <w:sz w:val="20"/>
                <w:szCs w:val="20"/>
                <w:color w:val="auto"/>
              </w:rPr>
            </w:pPr>
            <w:r>
              <w:rPr>
                <w:rFonts w:ascii="Arial" w:cs="Arial" w:eastAsia="Arial" w:hAnsi="Arial"/>
                <w:sz w:val="16"/>
                <w:szCs w:val="16"/>
                <w:color w:val="auto"/>
              </w:rPr>
              <w:t>2025</w:t>
            </w:r>
          </w:p>
        </w:tc>
        <w:tc>
          <w:tcPr>
            <w:tcW w:w="1600" w:type="dxa"/>
            <w:vAlign w:val="bottom"/>
          </w:tcPr>
          <w:p>
            <w:pPr>
              <w:jc w:val="center"/>
              <w:ind w:left="19"/>
              <w:spacing w:after="0"/>
              <w:rPr>
                <w:sz w:val="20"/>
                <w:szCs w:val="20"/>
                <w:color w:val="auto"/>
              </w:rPr>
            </w:pPr>
            <w:r>
              <w:rPr>
                <w:rFonts w:ascii="Arial" w:cs="Arial" w:eastAsia="Arial" w:hAnsi="Arial"/>
                <w:sz w:val="16"/>
                <w:szCs w:val="16"/>
                <w:color w:val="auto"/>
              </w:rPr>
              <w:t>0</w:t>
            </w:r>
          </w:p>
        </w:tc>
        <w:tc>
          <w:tcPr>
            <w:tcW w:w="1400" w:type="dxa"/>
            <w:vAlign w:val="bottom"/>
          </w:tcPr>
          <w:p>
            <w:pPr>
              <w:jc w:val="center"/>
              <w:spacing w:after="0"/>
              <w:rPr>
                <w:sz w:val="20"/>
                <w:szCs w:val="20"/>
                <w:color w:val="auto"/>
              </w:rPr>
            </w:pPr>
            <w:r>
              <w:rPr>
                <w:rFonts w:ascii="Arial" w:cs="Arial" w:eastAsia="Arial" w:hAnsi="Arial"/>
                <w:sz w:val="16"/>
                <w:szCs w:val="16"/>
                <w:color w:val="auto"/>
              </w:rPr>
              <w:t>9,756,653</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20" w:type="dxa"/>
            <w:vAlign w:val="bottom"/>
          </w:tcPr>
          <w:p>
            <w:pPr>
              <w:jc w:val="center"/>
              <w:spacing w:after="0"/>
              <w:rPr>
                <w:sz w:val="20"/>
                <w:szCs w:val="20"/>
                <w:color w:val="auto"/>
              </w:rPr>
            </w:pPr>
            <w:r>
              <w:rPr>
                <w:rFonts w:ascii="Arial" w:cs="Arial" w:eastAsia="Arial" w:hAnsi="Arial"/>
                <w:sz w:val="16"/>
                <w:szCs w:val="16"/>
                <w:color w:val="auto"/>
              </w:rPr>
              <w:t>9,756,653</w:t>
            </w:r>
          </w:p>
        </w:tc>
        <w:tc>
          <w:tcPr>
            <w:tcW w:w="3220" w:type="dxa"/>
            <w:vAlign w:val="bottom"/>
          </w:tcPr>
          <w:p>
            <w:pPr>
              <w:jc w:val="center"/>
              <w:spacing w:after="0"/>
              <w:rPr>
                <w:sz w:val="20"/>
                <w:szCs w:val="20"/>
                <w:color w:val="auto"/>
              </w:rPr>
            </w:pPr>
            <w:r>
              <w:rPr>
                <w:rFonts w:ascii="Arial" w:cs="Arial" w:eastAsia="Arial" w:hAnsi="Arial"/>
                <w:sz w:val="16"/>
                <w:szCs w:val="16"/>
                <w:color w:val="auto"/>
              </w:rPr>
              <w:t>126,473,192</w:t>
            </w:r>
          </w:p>
        </w:tc>
        <w:tc>
          <w:tcPr>
            <w:tcW w:w="1340" w:type="dxa"/>
            <w:vAlign w:val="bottom"/>
          </w:tcPr>
          <w:p>
            <w:pPr>
              <w:jc w:val="right"/>
              <w:ind w:right="497"/>
              <w:spacing w:after="0"/>
              <w:rPr>
                <w:sz w:val="20"/>
                <w:szCs w:val="20"/>
                <w:color w:val="auto"/>
              </w:rPr>
            </w:pPr>
            <w:r>
              <w:rPr>
                <w:rFonts w:ascii="Arial" w:cs="Arial" w:eastAsia="Arial" w:hAnsi="Arial"/>
                <w:sz w:val="16"/>
                <w:szCs w:val="16"/>
                <w:color w:val="auto"/>
              </w:rPr>
              <w:t>7.7%</w:t>
            </w:r>
          </w:p>
        </w:tc>
      </w:tr>
      <w:tr>
        <w:trPr>
          <w:trHeight w:val="237"/>
        </w:trPr>
        <w:tc>
          <w:tcPr>
            <w:tcW w:w="88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2024</w:t>
            </w:r>
          </w:p>
        </w:tc>
        <w:tc>
          <w:tcPr>
            <w:tcW w:w="1600" w:type="dxa"/>
            <w:vAlign w:val="bottom"/>
            <w:shd w:val="clear" w:color="auto" w:fill="DBDBDB"/>
          </w:tcPr>
          <w:p>
            <w:pPr>
              <w:jc w:val="center"/>
              <w:ind w:left="19"/>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4,559,529</w:t>
            </w:r>
          </w:p>
        </w:tc>
        <w:tc>
          <w:tcPr>
            <w:tcW w:w="14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0</w:t>
            </w:r>
          </w:p>
        </w:tc>
        <w:tc>
          <w:tcPr>
            <w:tcW w:w="12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4,559,529</w:t>
            </w:r>
          </w:p>
        </w:tc>
        <w:tc>
          <w:tcPr>
            <w:tcW w:w="32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124,344,172</w:t>
            </w:r>
          </w:p>
        </w:tc>
        <w:tc>
          <w:tcPr>
            <w:tcW w:w="1340" w:type="dxa"/>
            <w:vAlign w:val="bottom"/>
            <w:shd w:val="clear" w:color="auto" w:fill="DBDBDB"/>
          </w:tcPr>
          <w:p>
            <w:pPr>
              <w:jc w:val="right"/>
              <w:ind w:right="497"/>
              <w:spacing w:after="0"/>
              <w:rPr>
                <w:sz w:val="20"/>
                <w:szCs w:val="20"/>
                <w:color w:val="auto"/>
              </w:rPr>
            </w:pPr>
            <w:r>
              <w:rPr>
                <w:rFonts w:ascii="Arial" w:cs="Arial" w:eastAsia="Arial" w:hAnsi="Arial"/>
                <w:sz w:val="16"/>
                <w:szCs w:val="16"/>
                <w:color w:val="auto"/>
              </w:rPr>
              <w:t>3.7%</w:t>
            </w:r>
          </w:p>
        </w:tc>
      </w:tr>
      <w:tr>
        <w:trPr>
          <w:trHeight w:val="222"/>
        </w:trPr>
        <w:tc>
          <w:tcPr>
            <w:tcW w:w="880" w:type="dxa"/>
            <w:vAlign w:val="bottom"/>
          </w:tcPr>
          <w:p>
            <w:pPr>
              <w:jc w:val="right"/>
              <w:ind w:right="419"/>
              <w:spacing w:after="0"/>
              <w:rPr>
                <w:sz w:val="20"/>
                <w:szCs w:val="20"/>
                <w:color w:val="auto"/>
              </w:rPr>
            </w:pPr>
            <w:r>
              <w:rPr>
                <w:rFonts w:ascii="Arial" w:cs="Arial" w:eastAsia="Arial" w:hAnsi="Arial"/>
                <w:sz w:val="16"/>
                <w:szCs w:val="16"/>
                <w:color w:val="auto"/>
              </w:rPr>
              <w:t>2023</w:t>
            </w:r>
          </w:p>
        </w:tc>
        <w:tc>
          <w:tcPr>
            <w:tcW w:w="1600" w:type="dxa"/>
            <w:vAlign w:val="bottom"/>
          </w:tcPr>
          <w:p>
            <w:pPr>
              <w:jc w:val="center"/>
              <w:ind w:left="19"/>
              <w:spacing w:after="0"/>
              <w:rPr>
                <w:sz w:val="20"/>
                <w:szCs w:val="20"/>
                <w:color w:val="auto"/>
              </w:rPr>
            </w:pPr>
            <w:r>
              <w:rPr>
                <w:rFonts w:ascii="Arial" w:cs="Arial" w:eastAsia="Arial" w:hAnsi="Arial"/>
                <w:sz w:val="16"/>
                <w:szCs w:val="16"/>
                <w:color w:val="auto"/>
              </w:rPr>
              <w:t>0</w:t>
            </w:r>
          </w:p>
        </w:tc>
        <w:tc>
          <w:tcPr>
            <w:tcW w:w="1400" w:type="dxa"/>
            <w:vAlign w:val="bottom"/>
          </w:tcPr>
          <w:p>
            <w:pPr>
              <w:jc w:val="center"/>
              <w:spacing w:after="0"/>
              <w:rPr>
                <w:sz w:val="20"/>
                <w:szCs w:val="20"/>
                <w:color w:val="auto"/>
              </w:rPr>
            </w:pPr>
            <w:r>
              <w:rPr>
                <w:rFonts w:ascii="Arial" w:cs="Arial" w:eastAsia="Arial" w:hAnsi="Arial"/>
                <w:sz w:val="16"/>
                <w:szCs w:val="16"/>
                <w:color w:val="auto"/>
              </w:rPr>
              <w:t>3,382,000</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20" w:type="dxa"/>
            <w:vAlign w:val="bottom"/>
          </w:tcPr>
          <w:p>
            <w:pPr>
              <w:jc w:val="center"/>
              <w:spacing w:after="0"/>
              <w:rPr>
                <w:sz w:val="20"/>
                <w:szCs w:val="20"/>
                <w:color w:val="auto"/>
              </w:rPr>
            </w:pPr>
            <w:r>
              <w:rPr>
                <w:rFonts w:ascii="Arial" w:cs="Arial" w:eastAsia="Arial" w:hAnsi="Arial"/>
                <w:sz w:val="16"/>
                <w:szCs w:val="16"/>
                <w:color w:val="auto"/>
              </w:rPr>
              <w:t>3,382,000</w:t>
            </w:r>
          </w:p>
        </w:tc>
        <w:tc>
          <w:tcPr>
            <w:tcW w:w="3220" w:type="dxa"/>
            <w:vAlign w:val="bottom"/>
          </w:tcPr>
          <w:p>
            <w:pPr>
              <w:jc w:val="center"/>
              <w:spacing w:after="0"/>
              <w:rPr>
                <w:sz w:val="20"/>
                <w:szCs w:val="20"/>
                <w:color w:val="auto"/>
              </w:rPr>
            </w:pPr>
            <w:r>
              <w:rPr>
                <w:rFonts w:ascii="Arial" w:cs="Arial" w:eastAsia="Arial" w:hAnsi="Arial"/>
                <w:sz w:val="16"/>
                <w:szCs w:val="16"/>
                <w:color w:val="auto"/>
                <w:w w:val="98"/>
              </w:rPr>
              <w:t>149,116,000</w:t>
            </w:r>
          </w:p>
        </w:tc>
        <w:tc>
          <w:tcPr>
            <w:tcW w:w="1340" w:type="dxa"/>
            <w:vAlign w:val="bottom"/>
          </w:tcPr>
          <w:p>
            <w:pPr>
              <w:jc w:val="right"/>
              <w:ind w:right="497"/>
              <w:spacing w:after="0"/>
              <w:rPr>
                <w:sz w:val="20"/>
                <w:szCs w:val="20"/>
                <w:color w:val="auto"/>
              </w:rPr>
            </w:pPr>
            <w:r>
              <w:rPr>
                <w:rFonts w:ascii="Arial" w:cs="Arial" w:eastAsia="Arial" w:hAnsi="Arial"/>
                <w:sz w:val="16"/>
                <w:szCs w:val="16"/>
                <w:color w:val="auto"/>
              </w:rPr>
              <w:t>2.3%</w:t>
            </w:r>
          </w:p>
        </w:tc>
      </w:tr>
      <w:tr>
        <w:trPr>
          <w:trHeight w:val="264"/>
        </w:trPr>
        <w:tc>
          <w:tcPr>
            <w:tcW w:w="880" w:type="dxa"/>
            <w:vAlign w:val="bottom"/>
            <w:shd w:val="clear" w:color="auto" w:fill="D9D9D9"/>
          </w:tcPr>
          <w:p>
            <w:pPr>
              <w:spacing w:after="0"/>
              <w:rPr>
                <w:sz w:val="22"/>
                <w:szCs w:val="22"/>
                <w:color w:val="auto"/>
              </w:rPr>
            </w:pPr>
          </w:p>
        </w:tc>
        <w:tc>
          <w:tcPr>
            <w:tcW w:w="1600" w:type="dxa"/>
            <w:vAlign w:val="bottom"/>
            <w:shd w:val="clear" w:color="auto" w:fill="D9D9D9"/>
          </w:tcPr>
          <w:p>
            <w:pPr>
              <w:spacing w:after="0"/>
              <w:rPr>
                <w:sz w:val="22"/>
                <w:szCs w:val="22"/>
                <w:color w:val="auto"/>
              </w:rPr>
            </w:pPr>
          </w:p>
        </w:tc>
        <w:tc>
          <w:tcPr>
            <w:tcW w:w="1400" w:type="dxa"/>
            <w:vAlign w:val="bottom"/>
            <w:shd w:val="clear" w:color="auto" w:fill="D9D9D9"/>
          </w:tcPr>
          <w:p>
            <w:pPr>
              <w:spacing w:after="0"/>
              <w:rPr>
                <w:sz w:val="22"/>
                <w:szCs w:val="22"/>
                <w:color w:val="auto"/>
              </w:rPr>
            </w:pPr>
          </w:p>
        </w:tc>
        <w:tc>
          <w:tcPr>
            <w:tcW w:w="1480" w:type="dxa"/>
            <w:vAlign w:val="bottom"/>
            <w:shd w:val="clear" w:color="auto" w:fill="D9D9D9"/>
          </w:tcPr>
          <w:p>
            <w:pPr>
              <w:spacing w:after="0"/>
              <w:rPr>
                <w:sz w:val="22"/>
                <w:szCs w:val="22"/>
                <w:color w:val="auto"/>
              </w:rPr>
            </w:pPr>
          </w:p>
        </w:tc>
        <w:tc>
          <w:tcPr>
            <w:tcW w:w="1220" w:type="dxa"/>
            <w:vAlign w:val="bottom"/>
            <w:shd w:val="clear" w:color="auto" w:fill="D9D9D9"/>
          </w:tcPr>
          <w:p>
            <w:pPr>
              <w:spacing w:after="0"/>
              <w:rPr>
                <w:sz w:val="22"/>
                <w:szCs w:val="22"/>
                <w:color w:val="auto"/>
              </w:rPr>
            </w:pPr>
          </w:p>
        </w:tc>
        <w:tc>
          <w:tcPr>
            <w:tcW w:w="3220" w:type="dxa"/>
            <w:vAlign w:val="bottom"/>
            <w:shd w:val="clear" w:color="auto" w:fill="D9D9D9"/>
          </w:tcPr>
          <w:p>
            <w:pPr>
              <w:ind w:left="1520"/>
              <w:spacing w:after="0"/>
              <w:rPr>
                <w:sz w:val="20"/>
                <w:szCs w:val="20"/>
                <w:color w:val="auto"/>
              </w:rPr>
            </w:pPr>
            <w:r>
              <w:rPr>
                <w:rFonts w:ascii="Arial" w:cs="Arial" w:eastAsia="Arial" w:hAnsi="Arial"/>
                <w:sz w:val="16"/>
                <w:szCs w:val="16"/>
                <w:b w:val="1"/>
                <w:bCs w:val="1"/>
                <w:color w:val="auto"/>
              </w:rPr>
              <w:t>Three-Year Average</w:t>
            </w:r>
          </w:p>
        </w:tc>
        <w:tc>
          <w:tcPr>
            <w:tcW w:w="1340" w:type="dxa"/>
            <w:vAlign w:val="bottom"/>
            <w:shd w:val="clear" w:color="auto" w:fill="D9D9D9"/>
          </w:tcPr>
          <w:p>
            <w:pPr>
              <w:jc w:val="right"/>
              <w:ind w:right="477"/>
              <w:spacing w:after="0"/>
              <w:rPr>
                <w:sz w:val="20"/>
                <w:szCs w:val="20"/>
                <w:color w:val="auto"/>
              </w:rPr>
            </w:pPr>
            <w:r>
              <w:rPr>
                <w:rFonts w:ascii="Arial" w:cs="Arial" w:eastAsia="Arial" w:hAnsi="Arial"/>
                <w:sz w:val="18"/>
                <w:szCs w:val="18"/>
                <w:b w:val="1"/>
                <w:bCs w:val="1"/>
                <w:color w:val="auto"/>
              </w:rPr>
              <w:t>4.6%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Safeguards</w:t>
      </w:r>
    </w:p>
    <w:p>
      <w:pPr>
        <w:spacing w:after="0" w:line="115"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color w:val="auto"/>
        </w:rPr>
        <w:t>The Committee engages in an ongoing review and implementation of “best practices,” consistent with the Company’s corporate governance policies and practices. As such, the Plan includes numerous “best practice” provisions, including:</w:t>
      </w:r>
    </w:p>
    <w:p>
      <w:pPr>
        <w:spacing w:after="0" w:line="45"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Fixed allocation of authorized Shares over the term of the Plan (rather than an “evergreen” allocation methodology);</w:t>
      </w:r>
    </w:p>
    <w:p>
      <w:pPr>
        <w:spacing w:after="0" w:line="117"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Prohibition on “liberal” recycling of Shares surrendered or withheld in payment of the exercise price of any award or to satisfy tax withholding obligations with respect to an award;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Prohibition on repricing of stock options or stock appreciation rights, or cash buyout of underwater stock options or stock appreciation rights without shareholder approval;</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Prohibition on “reload” stock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Prohibition on paying dividends or dividend equivalents before awards have vested;</w:t>
      </w:r>
    </w:p>
    <w:p>
      <w:pPr>
        <w:spacing w:after="0" w:line="11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“Double-trigger” change in control vesting of awards held by employees, that is, no automatic vesting of an employee’s award upon a change in control - vesting occurs upon an involuntary termination of employment within two years following a change in control;</w:t>
      </w:r>
    </w:p>
    <w:p>
      <w:pPr>
        <w:spacing w:after="0" w:line="44"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“Clawback” provision empowering the Committee to rescind long-term and short-term incentive awards to current and former employees for engaging in activities detrimental to the Company; and</w:t>
      </w:r>
    </w:p>
    <w:p>
      <w:pPr>
        <w:spacing w:after="0" w:line="44"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Application of the Compensation Recoupment Policy of Xerox Holdings Corporation, which provides that, in the event the Company is required to prepare a restatement of its financials, the Company must recover any incentive-based compensation earned by executive officers during the preceding three years, if those amounts exceed what would have been paid under the accounting restatement.</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addition, Shares granted under the Plan to executive officers and non-employee directors are subject to the stock ownership guidelines established by the Committee and mandatory post-termination holding requirements pursuant to award agreements issued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following provides certain additional information regarding total awards outstanding on March 27, 2026:</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Key Data as of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80" w:type="dxa"/>
            <w:vAlign w:val="bottom"/>
          </w:tcPr>
          <w:p>
            <w:pPr>
              <w:ind w:left="20"/>
              <w:spacing w:after="0"/>
              <w:rPr>
                <w:sz w:val="20"/>
                <w:szCs w:val="20"/>
                <w:color w:val="auto"/>
              </w:rPr>
            </w:pPr>
            <w:r>
              <w:rPr>
                <w:rFonts w:ascii="Arial" w:cs="Arial" w:eastAsia="Arial" w:hAnsi="Arial"/>
                <w:sz w:val="14"/>
                <w:szCs w:val="14"/>
                <w:i w:val="1"/>
                <w:iCs w:val="1"/>
                <w:color w:val="auto"/>
              </w:rPr>
              <w:t xml:space="preserve">Shares Available for Grant as of March 27, 2026 </w:t>
            </w:r>
            <w:r>
              <w:rPr>
                <w:rFonts w:ascii="Arial" w:cs="Arial" w:eastAsia="Arial" w:hAnsi="Arial"/>
                <w:sz w:val="18"/>
                <w:szCs w:val="18"/>
                <w:i w:val="1"/>
                <w:iCs w:val="1"/>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4"/>
                <w:szCs w:val="14"/>
                <w:color w:val="auto"/>
              </w:rPr>
              <w:t>3,329,243</w:t>
            </w:r>
          </w:p>
        </w:tc>
      </w:tr>
      <w:tr>
        <w:trPr>
          <w:trHeight w:val="429"/>
        </w:trPr>
        <w:tc>
          <w:tcPr>
            <w:tcW w:w="9480" w:type="dxa"/>
            <w:vAlign w:val="bottom"/>
          </w:tcPr>
          <w:p>
            <w:pPr>
              <w:ind w:left="20"/>
              <w:spacing w:after="0"/>
              <w:rPr>
                <w:sz w:val="20"/>
                <w:szCs w:val="20"/>
                <w:color w:val="auto"/>
              </w:rPr>
            </w:pPr>
            <w:r>
              <w:rPr>
                <w:rFonts w:ascii="Arial" w:cs="Arial" w:eastAsia="Arial" w:hAnsi="Arial"/>
                <w:sz w:val="14"/>
                <w:szCs w:val="14"/>
                <w:color w:val="auto"/>
              </w:rPr>
              <w:t>Weighted average remaining term of outstanding options</w:t>
            </w:r>
          </w:p>
        </w:tc>
        <w:tc>
          <w:tcPr>
            <w:tcW w:w="176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2"/>
        </w:trPr>
        <w:tc>
          <w:tcPr>
            <w:tcW w:w="9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Weighted average exercise price of outstanding options</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$26.34</w:t>
            </w:r>
          </w:p>
        </w:tc>
      </w:tr>
      <w:tr>
        <w:trPr>
          <w:trHeight w:val="194"/>
        </w:trPr>
        <w:tc>
          <w:tcPr>
            <w:tcW w:w="9480" w:type="dxa"/>
            <w:vAlign w:val="bottom"/>
          </w:tcPr>
          <w:p>
            <w:pPr>
              <w:ind w:left="20"/>
              <w:spacing w:after="0"/>
              <w:rPr>
                <w:sz w:val="20"/>
                <w:szCs w:val="20"/>
                <w:color w:val="auto"/>
              </w:rPr>
            </w:pPr>
            <w:r>
              <w:rPr>
                <w:rFonts w:ascii="Arial" w:cs="Arial" w:eastAsia="Arial" w:hAnsi="Arial"/>
                <w:sz w:val="14"/>
                <w:szCs w:val="14"/>
                <w:color w:val="auto"/>
              </w:rPr>
              <w:t>Outstanding Awards, Not Contingent Upon Shareholder Approval:</w:t>
            </w:r>
          </w:p>
        </w:tc>
        <w:tc>
          <w:tcPr>
            <w:tcW w:w="1760" w:type="dxa"/>
            <w:vAlign w:val="bottom"/>
          </w:tcPr>
          <w:p>
            <w:pPr>
              <w:spacing w:after="0"/>
              <w:rPr>
                <w:sz w:val="16"/>
                <w:szCs w:val="16"/>
                <w:color w:val="auto"/>
              </w:rPr>
            </w:pPr>
          </w:p>
        </w:tc>
      </w:tr>
      <w:tr>
        <w:trPr>
          <w:trHeight w:val="22"/>
        </w:trPr>
        <w:tc>
          <w:tcPr>
            <w:tcW w:w="9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Appreciation Awards-Based Awards: Stock Options</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92,359</w:t>
            </w:r>
          </w:p>
        </w:tc>
      </w:tr>
      <w:tr>
        <w:trPr>
          <w:trHeight w:val="194"/>
        </w:trPr>
        <w:tc>
          <w:tcPr>
            <w:tcW w:w="9480" w:type="dxa"/>
            <w:vAlign w:val="bottom"/>
          </w:tcPr>
          <w:p>
            <w:pPr>
              <w:ind w:left="20"/>
              <w:spacing w:after="0"/>
              <w:rPr>
                <w:sz w:val="20"/>
                <w:szCs w:val="20"/>
                <w:color w:val="auto"/>
              </w:rPr>
            </w:pPr>
            <w:r>
              <w:rPr>
                <w:rFonts w:ascii="Arial" w:cs="Arial" w:eastAsia="Arial" w:hAnsi="Arial"/>
                <w:sz w:val="14"/>
                <w:szCs w:val="14"/>
                <w:color w:val="auto"/>
              </w:rPr>
              <w:t>Director Stock Units</w:t>
            </w:r>
          </w:p>
        </w:tc>
        <w:tc>
          <w:tcPr>
            <w:tcW w:w="1760" w:type="dxa"/>
            <w:vAlign w:val="bottom"/>
          </w:tcPr>
          <w:p>
            <w:pPr>
              <w:jc w:val="right"/>
              <w:spacing w:after="0"/>
              <w:rPr>
                <w:sz w:val="20"/>
                <w:szCs w:val="20"/>
                <w:color w:val="auto"/>
              </w:rPr>
            </w:pPr>
            <w:r>
              <w:rPr>
                <w:rFonts w:ascii="Arial" w:cs="Arial" w:eastAsia="Arial" w:hAnsi="Arial"/>
                <w:sz w:val="14"/>
                <w:szCs w:val="14"/>
                <w:color w:val="auto"/>
              </w:rPr>
              <w:t>547,039</w:t>
            </w:r>
          </w:p>
        </w:tc>
      </w:tr>
      <w:tr>
        <w:trPr>
          <w:trHeight w:val="22"/>
        </w:trPr>
        <w:tc>
          <w:tcPr>
            <w:tcW w:w="9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Dividend Equivalent Units</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4,159</w:t>
            </w:r>
          </w:p>
        </w:tc>
      </w:tr>
      <w:tr>
        <w:trPr>
          <w:trHeight w:val="195"/>
        </w:trPr>
        <w:tc>
          <w:tcPr>
            <w:tcW w:w="948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60" w:type="dxa"/>
            <w:vAlign w:val="bottom"/>
          </w:tcPr>
          <w:p>
            <w:pPr>
              <w:jc w:val="right"/>
              <w:spacing w:after="0"/>
              <w:rPr>
                <w:sz w:val="20"/>
                <w:szCs w:val="20"/>
                <w:color w:val="auto"/>
              </w:rPr>
            </w:pPr>
            <w:r>
              <w:rPr>
                <w:rFonts w:ascii="Arial" w:cs="Arial" w:eastAsia="Arial" w:hAnsi="Arial"/>
                <w:sz w:val="14"/>
                <w:szCs w:val="14"/>
                <w:color w:val="auto"/>
              </w:rPr>
              <w:t>7,036,720</w:t>
            </w:r>
          </w:p>
        </w:tc>
      </w:tr>
      <w:tr>
        <w:trPr>
          <w:trHeight w:val="22"/>
        </w:trPr>
        <w:tc>
          <w:tcPr>
            <w:tcW w:w="9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6"/>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Performance Share Units</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1,855,789</w:t>
            </w:r>
          </w:p>
        </w:tc>
      </w:tr>
      <w:tr>
        <w:trPr>
          <w:trHeight w:val="194"/>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Total Outstanding Awards, Not Contingent Upon Shareholder Approval</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9,536,066</w:t>
            </w:r>
          </w:p>
        </w:tc>
      </w:tr>
      <w:tr>
        <w:trPr>
          <w:trHeight w:val="286"/>
        </w:trPr>
        <w:tc>
          <w:tcPr>
            <w:tcW w:w="94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Outstanding Awards, Contingent Upon Shareholder Approval:</w:t>
            </w:r>
          </w:p>
        </w:tc>
        <w:tc>
          <w:tcPr>
            <w:tcW w:w="1760" w:type="dxa"/>
            <w:vAlign w:val="bottom"/>
            <w:tcBorders>
              <w:bottom w:val="single" w:sz="8" w:color="DBDBDB"/>
            </w:tcBorders>
            <w:shd w:val="clear" w:color="auto" w:fill="DBDBDB"/>
          </w:tcPr>
          <w:p>
            <w:pPr>
              <w:spacing w:after="0"/>
              <w:rPr>
                <w:sz w:val="17"/>
                <w:szCs w:val="17"/>
                <w:color w:val="auto"/>
              </w:rPr>
            </w:pPr>
          </w:p>
        </w:tc>
      </w:tr>
      <w:tr>
        <w:trPr>
          <w:trHeight w:val="194"/>
        </w:trPr>
        <w:tc>
          <w:tcPr>
            <w:tcW w:w="948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60" w:type="dxa"/>
            <w:vAlign w:val="bottom"/>
          </w:tcPr>
          <w:p>
            <w:pPr>
              <w:jc w:val="right"/>
              <w:spacing w:after="0"/>
              <w:rPr>
                <w:sz w:val="20"/>
                <w:szCs w:val="20"/>
                <w:color w:val="auto"/>
              </w:rPr>
            </w:pPr>
            <w:r>
              <w:rPr>
                <w:rFonts w:ascii="Arial" w:cs="Arial" w:eastAsia="Arial" w:hAnsi="Arial"/>
                <w:sz w:val="14"/>
                <w:szCs w:val="14"/>
                <w:color w:val="auto"/>
              </w:rPr>
              <w:t>9,035,324</w:t>
            </w:r>
          </w:p>
        </w:tc>
      </w:tr>
      <w:tr>
        <w:trPr>
          <w:trHeight w:val="22"/>
        </w:trPr>
        <w:tc>
          <w:tcPr>
            <w:tcW w:w="9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6"/>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Performance Share Units</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2,629,214</w:t>
            </w:r>
          </w:p>
        </w:tc>
      </w:tr>
      <w:tr>
        <w:trPr>
          <w:trHeight w:val="194"/>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Total Awards Contingent Upon Shareholder Approval</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11,664,538</w:t>
            </w:r>
          </w:p>
        </w:tc>
      </w:tr>
      <w:tr>
        <w:trPr>
          <w:trHeight w:val="286"/>
        </w:trPr>
        <w:tc>
          <w:tcPr>
            <w:tcW w:w="94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Shares Requested under Proposal</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15,000,000</w:t>
            </w:r>
          </w:p>
        </w:tc>
      </w:tr>
      <w:tr>
        <w:trPr>
          <w:trHeight w:val="194"/>
        </w:trPr>
        <w:tc>
          <w:tcPr>
            <w:tcW w:w="9480" w:type="dxa"/>
            <w:vAlign w:val="bottom"/>
          </w:tcPr>
          <w:p>
            <w:pPr>
              <w:ind w:left="20"/>
              <w:spacing w:after="0"/>
              <w:rPr>
                <w:sz w:val="20"/>
                <w:szCs w:val="20"/>
                <w:color w:val="auto"/>
              </w:rPr>
            </w:pPr>
            <w:r>
              <w:rPr>
                <w:rFonts w:ascii="Arial" w:cs="Arial" w:eastAsia="Arial" w:hAnsi="Arial"/>
                <w:sz w:val="14"/>
                <w:szCs w:val="14"/>
                <w:color w:val="auto"/>
              </w:rPr>
              <w:t>Less: Awards Contingent Upon Shareholder Approval</w:t>
            </w:r>
          </w:p>
        </w:tc>
        <w:tc>
          <w:tcPr>
            <w:tcW w:w="1760" w:type="dxa"/>
            <w:vAlign w:val="bottom"/>
          </w:tcPr>
          <w:p>
            <w:pPr>
              <w:jc w:val="right"/>
              <w:spacing w:after="0"/>
              <w:rPr>
                <w:sz w:val="20"/>
                <w:szCs w:val="20"/>
                <w:color w:val="auto"/>
              </w:rPr>
            </w:pPr>
            <w:r>
              <w:rPr>
                <w:rFonts w:ascii="Arial" w:cs="Arial" w:eastAsia="Arial" w:hAnsi="Arial"/>
                <w:sz w:val="14"/>
                <w:szCs w:val="14"/>
                <w:color w:val="auto"/>
              </w:rPr>
              <w:t>11,664,538</w:t>
            </w:r>
          </w:p>
        </w:tc>
      </w:tr>
      <w:tr>
        <w:trPr>
          <w:trHeight w:val="22"/>
        </w:trPr>
        <w:tc>
          <w:tcPr>
            <w:tcW w:w="9480" w:type="dxa"/>
            <w:vAlign w:val="bottom"/>
            <w:tcBorders>
              <w:bottom w:val="single" w:sz="8" w:color="DBDBDB"/>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0"/>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Shares Available for Future Grant under the 2024 Equity &amp; Performance Incentive Plan, if approved by Shareholders</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3,335,462</w:t>
            </w:r>
          </w:p>
        </w:tc>
      </w:tr>
      <w:tr>
        <w:trPr>
          <w:trHeight w:val="194"/>
        </w:trPr>
        <w:tc>
          <w:tcPr>
            <w:tcW w:w="9480" w:type="dxa"/>
            <w:vAlign w:val="bottom"/>
          </w:tcPr>
          <w:p>
            <w:pPr>
              <w:ind w:left="20"/>
              <w:spacing w:after="0"/>
              <w:rPr>
                <w:sz w:val="20"/>
                <w:szCs w:val="20"/>
                <w:color w:val="auto"/>
              </w:rPr>
            </w:pPr>
            <w:r>
              <w:rPr>
                <w:rFonts w:ascii="Arial" w:cs="Arial" w:eastAsia="Arial" w:hAnsi="Arial"/>
                <w:sz w:val="14"/>
                <w:szCs w:val="14"/>
                <w:color w:val="auto"/>
              </w:rPr>
              <w:t>Existing Shares Available for Grant as of March 27, 2026</w:t>
            </w:r>
          </w:p>
        </w:tc>
        <w:tc>
          <w:tcPr>
            <w:tcW w:w="1760" w:type="dxa"/>
            <w:vAlign w:val="bottom"/>
          </w:tcPr>
          <w:p>
            <w:pPr>
              <w:jc w:val="right"/>
              <w:spacing w:after="0"/>
              <w:rPr>
                <w:sz w:val="20"/>
                <w:szCs w:val="20"/>
                <w:color w:val="auto"/>
              </w:rPr>
            </w:pPr>
            <w:r>
              <w:rPr>
                <w:rFonts w:ascii="Arial" w:cs="Arial" w:eastAsia="Arial" w:hAnsi="Arial"/>
                <w:sz w:val="14"/>
                <w:szCs w:val="14"/>
                <w:color w:val="auto"/>
              </w:rPr>
              <w:t>+3,329,243</w:t>
            </w:r>
          </w:p>
        </w:tc>
      </w:tr>
      <w:tr>
        <w:trPr>
          <w:trHeight w:val="22"/>
        </w:trPr>
        <w:tc>
          <w:tcPr>
            <w:tcW w:w="9480" w:type="dxa"/>
            <w:vAlign w:val="bottom"/>
            <w:tcBorders>
              <w:bottom w:val="single" w:sz="8" w:color="DBDBDB"/>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09"/>
        </w:trPr>
        <w:tc>
          <w:tcPr>
            <w:tcW w:w="9480" w:type="dxa"/>
            <w:vAlign w:val="bottom"/>
            <w:shd w:val="clear" w:color="auto" w:fill="DBDBDB"/>
          </w:tcPr>
          <w:p>
            <w:pPr>
              <w:ind w:left="20"/>
              <w:spacing w:after="0"/>
              <w:rPr>
                <w:sz w:val="20"/>
                <w:szCs w:val="20"/>
                <w:color w:val="auto"/>
              </w:rPr>
            </w:pPr>
            <w:r>
              <w:rPr>
                <w:rFonts w:ascii="Arial" w:cs="Arial" w:eastAsia="Arial" w:hAnsi="Arial"/>
                <w:sz w:val="14"/>
                <w:szCs w:val="14"/>
                <w:color w:val="auto"/>
              </w:rPr>
              <w:t>Final Shares Available to Grant under the 2024 Equity &amp; Performance Incentive Plan, if approved by Shareholders</w:t>
            </w:r>
          </w:p>
        </w:tc>
        <w:tc>
          <w:tcPr>
            <w:tcW w:w="17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6,664,705</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4" w:lineRule="exact"/>
        <w:rPr>
          <w:sz w:val="20"/>
          <w:szCs w:val="20"/>
          <w:color w:val="auto"/>
        </w:rPr>
      </w:pPr>
    </w:p>
    <w:p>
      <w:pPr>
        <w:ind w:left="180" w:right="300" w:hanging="172"/>
        <w:spacing w:after="0" w:line="219" w:lineRule="auto"/>
        <w:tabs>
          <w:tab w:leader="none" w:pos="172"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As of December 31, 2025, there were 2,729,368 shares available to grant from the 2024 Equity and Performance Incentive Plan. As of March 27, 2026, we currently have 3,329,243 shares available to grant, excluding contingent grants.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Plan</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Shares surrendered in payment of the exercise price of a stock option shall not be available for re-issuance under the Plan. Shares withheld or surrendered for payment of taxes with respect to awards shall not be available for re-issuance under the Plan. If any awards are paid in cash, rather than Shares, the Shares subject to those awards will be available under the Plan. If Shares are repurchased by the Company on the open market with the proceeds of the exercise price of stock options, such Shares may not again be made available for issuance under the Plan. If stock options or stock appreciation rights (SARs) granted under the Plan expire or are canceled, forfeited, exchanged or surrendered without having been exercised, or if any stock awards are forfeited, terminated or otherwise not paid in full, the Shares subject to such awards shall again be available for purposes of the Plan. Any Shares that are issued by the Company and any awards that are granted by or become obligations of the Company through the assumption of, or in substitution for, outstanding awards previously granted by an acquired company will not be counted against the Shares available for issuance under the Plan.</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Any Shares issued under the Plan may consist, in whole or in part, of authorized and unissued Shares or of treasury Shares and no fractional Shares will be issued under the Plan. Cash may be paid in lieu of any fractional Shares in payments of awards under the Plan.</w:t>
      </w:r>
    </w:p>
    <w:p>
      <w:pPr>
        <w:spacing w:after="0" w:line="4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Shares underlying outstanding awards granted under our Predecessor Plans that expire or are cancelled or forfeited or cash-settled on or after May 22, 2024 will become available for issuance under the Plan.</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of changes in the number of issued Shares without consideration to the Company (such as stock dividends, stock splits, recapitalizations, reorganizations, exchange of Shares, liquidation, combination or other change in corporate structure that affect the Shares), the Plan authorizes the Committee to make appropriate equitable adjustments in the number of Shares available for issuance and covered by outstanding awards and/or in the price per Share for outstanding awards to reflect the change, in order to preclude, to the extent practicable, the enlargement or dilution of rights and benefits under the Plan and outstanding awards.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Administration of the Plan</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Plan is administered by the Committee or such other independent committee appointed by the Board of Directors. The Committee is comprised entirely of non-employee members of the Board of Directors, who are qualified to administer the Plan as contemplated by Rule 16b-3 under the Securities Exchange Act of 1934 (Exchange Act) or any successor rule, and any rules and regulations of a stock exchange on which Common Stock of the Company is listed. The Committee has full and exclusive power, within the limitations set forth in the Plan, to make all decisions and determinations regarding the selection of participants and the granting of awards, establishing the terms and conditions relating to each award, adopting rules, regulations and guidelines for carrying out the Plan’s purposes, and interpreting and otherwise construing the Plan. However, the Board of Directors may, in its sole discretion and subject to compliance with applicable law and stock exchange rules, perform any actions of the Committee under the Plan. Except for the power to amend and except as may otherwise be required under applicable Nasdaq rules, the Committee may delegate to one or more officers of the Company all of its powers under the Plan other than determinations regarding awards made to employees who are subject to Section 16 of the Exchange Act and awards made to non-employee directors, subject to such conditions and restrictions as the Committee may establish from time to time. In addition, any officer of the Company, or his or her delegate, may amend the Plan as he or she, in his or her sole discretion, deems necessary or appropriate to avoid any amount becoming subject to an additional tax under Section 409A of the Code.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Committee or the Board of Directors may amend the Plan as it deems necessary, provided that no amendment may be made without the approval of shareholders if such amendment would cause the Plan not to comply with the New York Business Corporation Law. No such amendments may materially adversely affect any outstanding awards under the Plan without the consent of the holders thereof. Notwithstanding the foregoing, an amendment that constitutes a material amendment under the Nasdaq rules must be submitted to the Company’s shareholders for approval, including any revision that deletes or limits the scope of the Plan provision prohibiting repricing of stock options or SARs.</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Board of Directors may terminate the Plan at any time, at its sole discretion. Upon termination of the Plan, no future awards may be granted, but previously made awards will remain outstanding in accordance with their applicable terms and conditions, and the terms of the Plan.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1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Any employee of the Company or of any entity in which the Company has a significant equity interest as determined by the Committee, and any non-employee director of the Company, is eligible to receive an award under the Plan. As of March 27, 2026, there were approximately 5,446 employees and non-employee directors eligible to receive awards under the Plan.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Dividend Equivalents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Committee may provide that awards (other than stock options, SARs and awards denominated in cash) under the Plan earn dividends or dividend equivalents (in cash, Shares) to be paid currently or at a later date or dates, subject to such conditions as the Committee may also establish. However, no dividends or dividend equivalents will be paid on Shares subject to any award before the award becomes nonforfeitable under the Plan (determined without regard to any potential clawback). In addition, except as otherwise provided in the Plan provisions relating to Section 409A of the Code, award payments may also be deferred as determined by the Committee. Such deferral settlements may include the crediting of (i) dividend equivalents if denominated in stock awards or (ii) interest if denominated in cash.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Committee also has the discretion with respect to any award granted under the Plan to establish upon its grant conditions under which the award may be later forfeited, cancelled, rescinded, suspended, withheld or otherwise limited or restricted, or gains realized by the grantee in connection with an award or an award’s exercise may be recovered. In addition, awards under the Plan are subject to the Compensation Recoupment Policy of Xerox Holdings Corporation, which provides that, in the event the Company is required to prepare a restatement of its financial statements, the Company must recover any compensation that was granted, earned or vested based wholly or in part upon the attainment of financial reporting measures that were earned by executive officers during the three completed fiscal years preceding the required restatement if those amounts exceed what would have been paid based on the restated 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Plan provides flexibility in structuring short-term and long-term incentive awards for various groups and levels of executives and other participants. This flexibility permits the Company to grant one form of award or a combination of awards to one participant (or group of participants) while using another award type or mix for other participants (or group of participants). With the exception of cash awards and certain stock appreciation rights (as described below), all awards under the Plan are denominated in Shares, or consist of actual Shares. Thus, the most significant components of the Plan reward participants directly in concert with the returns realized by shareholders and increased shareholder value.</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 Stock options entitle their holders to purchase Shares during a specified period at a purchase price that is not less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of Fair Market Value (as defined in the Plan) on the effective date of grant. Fair Market Value for purpose of the Plan means the closing price of Common Stock on such date of grant or such closing price for the first preceding date on which there are trades if no trades occur on such effective grant date. In no event may the term of a stock option exceed a period of 10 years from the date of grant. Shares purchased upon exercise of stock options must be paid for in full at the time of exercise in cash or such other method as the Committee may permit from time to time. Such payment may include tendering Shares (either constructively or by attestation) or surrender of a stock award (in either case valued at the market value at the time of exercise) or surrender of a cash award, or a combination of methods. Other than pursuant to its authority to make appropriate equitable adjustments in the event of changes in the number of issued Shares without consideration to the Company (as described above), the Committee shall not without the approval of the Company’s shareholders (a) lower the exercise price per Share of a stock option after it is granted, (b) cancel a stock option when the exercise price per Share exceeds the Fair Market Value of one Share in exchange for cash or another award (other than in connection with a Change in Control), or (c) take any other action with respect to a stock option that would be treated as a repricing under the rules and regulations of the Nasdaq. The Company may not repurchase a stock option for value (in cash, substitutions, cash buyouts or otherwise) from a stock option-holder if the current Fair Market Value of the Shares underlying the stock option is lower than the exercise price per Share of the stock option. The foregoing two sentences are collectively referred to herein as the “Repricing Prohibition.”</w:t>
      </w:r>
    </w:p>
    <w:p>
      <w:pPr>
        <w:spacing w:after="0" w:line="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rights entitle their holders to receive payment (in cash, Shares or a combination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Committee) equal to the appreciation in the market value of a specified number of Shares from the date of grant until the date of exercise. In no event may the term of a stock appreciation right exceed a period of 10 years from the date of grant. Such appreciation is measured by the excess of the Fair Market Value at the time of exercise over the Fair Market Value of Common Stock on the effective date of the grant of stock appreciation rights. The Repricing Prohibition described above shall apply to stock appreciation rights on the same basis as it does to stock options.</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Stock Awards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awards may constitute actual Shares or may be denominated in stock units. For example, stock awards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are not limited to, awards of restricted stock, RSUs, deferred stock units (DSUs), and PSUs, or phantom stock. Stock awards may be subject to such restrictions and contingencies regarding vesting and eventual payment as the Committee shall from time to time determine.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Awards </w:t>
      </w:r>
      <w:r>
        <w:rPr>
          <w:rFonts w:ascii="Arial" w:cs="Arial" w:eastAsia="Arial" w:hAnsi="Arial"/>
          <w:sz w:val="18"/>
          <w:szCs w:val="18"/>
          <w:color w:val="auto"/>
        </w:rPr>
        <w:t>- Cash Awards granted to employees may be any of the following:</w:t>
      </w:r>
    </w:p>
    <w:p>
      <w:pPr>
        <w:spacing w:after="0" w:line="117" w:lineRule="exact"/>
        <w:rPr>
          <w:sz w:val="20"/>
          <w:szCs w:val="20"/>
          <w:color w:val="auto"/>
        </w:rPr>
      </w:pPr>
    </w:p>
    <w:p>
      <w:pPr>
        <w:ind w:left="660" w:right="40" w:hanging="328"/>
        <w:spacing w:after="0" w:line="262"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annual incentive award in connection with which the Committee will establish specific performance periods (not to exceed twelve months) to provide cash awards for the purpose of motivating participants to achieve goals for the performance period. An annual incentive award shall specify the minimum, target and maximum amounts of awards for a performance period for a participant or any groups of participants; or</w:t>
      </w:r>
    </w:p>
    <w:p>
      <w:pPr>
        <w:spacing w:after="0" w:line="68"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long-term award denominated in cash with the eventual payment amount subject to future service and such other restrictions and conditions as may be established by the Committee, and as set forth in the award agreement including, but not limited to, continuous service with the Company, achievement of specific business objectives and other measurement of individual, business unit or Company performance (for example, an award of phantom stock, the eventual payment of which would be made in cash and tied to the performance of a particular business unit, as set forth in the award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Award Terms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Awards (other than annual incentive cash awards) will be evidenced by agreements approved by the Committee which set forth the terms and conditions of each award. Awards may be granted singly, in tandem with or in replacement or as alternatives for other awards, including awards made under other plans.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93" w:name="page94"/>
    <w:bookmarkEnd w:id="93"/>
    <w:p>
      <w:pPr>
        <w:spacing w:after="0" w:line="255" w:lineRule="auto"/>
        <w:rPr>
          <w:sz w:val="20"/>
          <w:szCs w:val="20"/>
          <w:color w:val="auto"/>
        </w:rPr>
      </w:pPr>
      <w:r>
        <w:rPr>
          <w:rFonts w:ascii="Arial" w:cs="Arial" w:eastAsia="Arial" w:hAnsi="Arial"/>
          <w:sz w:val="18"/>
          <w:szCs w:val="18"/>
          <w:color w:val="auto"/>
        </w:rPr>
        <w:t>Generally, all awards under the Plan are nontransferable except by will or in accordance with laws of descent and distribution or pursuant to a domestic relations order. During the participant’s lifetime, awards generally can be exercised only by the participant. However, the Committee may provide that any award of non-qualified stock options may be transferable by the recipient to family members or family trusts established by the recipient. The Committee may also provide that, in the event that a participant terminates employment with the Company to assume a position with a governmental, charitable, educational or similar non-profit institution, a third party, including but not limited to a “blind” trust, may be authorized by the Committee to act on behalf of and for the benefit of the respective participant with respect to any outstanding awards. The Committee may permit a participant to designate a beneficiary to exercise or receive any rights that may exist under the Plan upon the participant’s death. In no event may an award be transferred for monetary value.</w:t>
      </w:r>
    </w:p>
    <w:p>
      <w:pPr>
        <w:spacing w:after="0" w:line="7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Awards granted, and Shares issued in conjunction with the settlement of any award under the Plan, may be subject to forfeiture back to the Company and/or restrictions on transferability for such periods as the Committee may determine.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Benefits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future awards under the Plan will be made at the sole discretion of the Committee and the amount of such future awards is not determinable at this time with respect to our executive officers, including the named executive officers, or our other employees or our non-employee directors.</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Information concerning awards granted to our named executive officers during the last fiscal year under the Plan and the Predecessor Plans is set forth in the table captioned “Grant of Plan-Based Awards,” and information regarding outstanding awards held by our named executive officers under the Plan and the Predecessor Plans is set forth in the table captioned “Outstanding Equity Awards at Fiscal Year-End” contained in this Proxy Statement.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Upon the occurrence of a “change in control” of the Company, as defined in the Plan, each award held by any employee will fully vest upon a termination of employment by the applicable employee within two years following the change in control, if such termination is either an involuntary termination (other than for cause) or a voluntary termination for “good reason,” as defined in the Plan. If a performance-based award becomes vested following a change in control, each performance measure shall be deemed achieved at 100% of target unless otherwise provided in an award agreement. Payment following a change in control shall be made on the normally scheduled payment date, except that if the event constitutes a change in control under Section 409A of the Code, vested awards will be paid, if earlier, upon a termination of employment that occurs within two years of such change in control.</w:t>
      </w:r>
    </w:p>
    <w:p>
      <w:pPr>
        <w:spacing w:after="0" w:line="7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Upon the occurrence of a change in control of the company, as defined in the Plan, all awards (and dividend equivalents) held by non-employee directors will fully vest, and will be paid in cash on the scheduled payment date, except that if the event constitutes a change in control under Section 409A of the Code, vested awards will be paid in cash upon such change in control.</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awards to be paid in cash, the amount of cash shall be determined as follows: in the case of each vested stock award, by multiplying the number of Shares subject to the award by the CIC Price (as defined in the Plan, and discussed below); in the case of each vested stock option or SAR, by multiplying the number of Shares subject to the stock option by the excess of the CIC Price over the exercise price; and in the case of a vested cash award, the cash payable pursuant to the award. Any stock options, SARs or stock awards held by an officer or director subject to Section 16 of the Exchange Act which have been outstanding less than six months (or such other period as may be required by the Exchange Act) upon the occurrence of a change in control shall not be paid in cash before the time permitted by applicable law.</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“CIC Price” means either (i) the highest price paid for a Share in the transaction or series of transactions pursuant to which a change in control of the Company shall have occurred, or (ii) if the change in control occurs without such a transaction or series of transactions, the closing price for a Share on the date immediately preceding the date upon which the event constituting a change in control shall have occurred as reported in The Wall Street Journal in the New York Stock Exchange Composite Transactions or similar successor consolidated transactions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Section 409A Compliance</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Plan contains provisions addressing tax treatment, payment, and payment delays of amounts determined to be deferred payments for purposes of Section 409A of the Code.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Aspects of the Plan</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discussion of the U.S. federal income tax implications relating to the Plan is based on current federal tax laws and regulations and is not a complete description of such laws and regulations. Participants may also be subject to certain state, local or foreign taxes that are not described below, in this Proposal 4 or elsewhere in this proxy statement.</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believes that under current law, the following federal income tax consequences generally would arise with respect to awards under the Plan:</w:t>
      </w:r>
    </w:p>
    <w:p>
      <w:pPr>
        <w:spacing w:after="0" w:line="45" w:lineRule="exact"/>
        <w:rPr>
          <w:sz w:val="20"/>
          <w:szCs w:val="20"/>
          <w:color w:val="auto"/>
        </w:rPr>
      </w:pPr>
    </w:p>
    <w:p>
      <w:pPr>
        <w:ind w:left="340" w:hanging="332"/>
        <w:spacing w:after="0" w:line="254"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Stock options and SARs that are not deemed to be deferral arrangements under Section 409A of the Code would have the following tax consequences: The grant of a stock option or a SAR will create no federal income tax consequences for the participant or the Company. Upon exercising a stock option, the participant generally must recognize ordinary income equal to the difference between the exercise price and the fair market value of the freely transferable and non-forfeitable Shares acquired on the date of exercise. Upon exercising a SAR, the participant must generally recognize ordinary income equal to the cash or the fair market value of the Shares received. A participant’s sale of Shares acquired by exercise of a stock option generally will result in short-term or long-term capital gain or loss measured by the difference between the sale price and the participant’s tax “basis” in such Shares. The tax “basis” normally is the exercise price plus any amount the participant recognized as ordinary income in connection with the stock option’s exercise. A participant’s sale of Shares acquired by exercise of a SAR generally will result in short-term or long-term capital gain or loss measured by the difference between the sale price and the tax basis in the Shares, which generally is the amount the participant recognized as ordinary income in connection with the SAR’s exercise.</w:t>
      </w:r>
    </w:p>
    <w:p>
      <w:pPr>
        <w:spacing w:after="0" w:line="74" w:lineRule="exact"/>
        <w:rPr>
          <w:rFonts w:ascii="Arial" w:cs="Arial" w:eastAsia="Arial" w:hAnsi="Arial"/>
          <w:sz w:val="18"/>
          <w:szCs w:val="18"/>
          <w:color w:val="auto"/>
        </w:rPr>
      </w:pPr>
    </w:p>
    <w:p>
      <w:pPr>
        <w:ind w:left="340" w:right="80" w:hanging="332"/>
        <w:spacing w:after="0" w:line="287"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normally can claim a tax deduction equal to the amount recognized as ordinary income by a participant in connection with a stock option or SAR, but no tax deduction relating to a participant’s capital gains.</w:t>
      </w:r>
    </w:p>
    <w:p>
      <w:pPr>
        <w:spacing w:after="0" w:line="44" w:lineRule="exact"/>
        <w:rPr>
          <w:rFonts w:ascii="Arial" w:cs="Arial" w:eastAsia="Arial" w:hAnsi="Arial"/>
          <w:sz w:val="18"/>
          <w:szCs w:val="18"/>
          <w:color w:val="auto"/>
        </w:rPr>
      </w:pPr>
    </w:p>
    <w:p>
      <w:pPr>
        <w:ind w:left="340" w:right="20" w:hanging="332"/>
        <w:spacing w:after="0" w:line="255"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Some stock options and SARs, such as those with deferral features, and a SAR that is settled in cash, may be subject to Section 409A of the Code, which regulates deferral arrangements. In such case, the distribution to the participant of Shares or cash relating to the award would have to meet certain restrictions in order for the participant not to be subject to tax and a tax penalty at the time of vesting. One significant restriction would be a requirement that the distribution not be controlled by the participant’s discretionary exercise of the stock option or SAR (subject to limited exceptions). If the distribution and other award terms meet applicable requirements under Section 409A of the Code, the participant would realize ordinary income at the time of distribution rather than earlier, with the amount of ordinary income equal to the distribution date value of the Shares less any exercise price actually paid. The Company would not be entitled to a tax deduction at the time of exercise, but would become entitled to a tax deduction at the time Shares are delivered at the end of the deferral period.</w:t>
      </w:r>
    </w:p>
    <w:p>
      <w:pPr>
        <w:spacing w:after="0" w:line="72" w:lineRule="exact"/>
        <w:rPr>
          <w:rFonts w:ascii="Arial" w:cs="Arial" w:eastAsia="Arial" w:hAnsi="Arial"/>
          <w:sz w:val="18"/>
          <w:szCs w:val="18"/>
          <w:color w:val="auto"/>
        </w:rPr>
      </w:pPr>
    </w:p>
    <w:p>
      <w:pPr>
        <w:ind w:left="340" w:right="80" w:hanging="332"/>
        <w:spacing w:after="0" w:line="253"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Awards other than stock options and SARs that result in a transfer to the participant of cash or shares or other property generally will be structured under the Plan to meet applicable requirements under Section 409A of the Code. If no restriction on transferability or substantial risk of forfeiture applies to amounts distributed to a participant, the participant generally must recognize ordinary income equal to the cash or the fair market value of shares actually received. Thus, for example, if the Company grants an award of deferred stock that has vested or requires or permits deferral of receipt of cash or Shares under a vested award, the participant should not become subject to income tax until the time at which the Shares are actually delivered, and the Company’s right to claim a tax deduction will be deferred until that time. On the other hand, if a restriction on transferability and substantial risk of forfeiture applies to Shares or other property actually distributed 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all cases, the Company can claim a tax deduction in an amount equal to the ordinary income recognized by the participant, except as discussed below. A participant may elect to be taxed at the time of grant of restricted stock or other property rather than upon lapse of restrictions on transferability or the risk of forfeiture, but if the participant subsequently forfeits such Shares or property, such participant would not be entitled to any tax deduction, including as a capital loss, for the value of the Shares or property on which the participant previously paid tax.</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95" w:name="page96"/>
    <w:bookmarkEnd w:id="95"/>
    <w:p>
      <w:pPr>
        <w:ind w:left="340" w:right="40" w:hanging="332"/>
        <w:spacing w:after="0" w:line="259"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dividends paid to a participant holding restricted stock before the expiration of the restriction period will be additional compensation taxable as ordinary income to the participant subject to withholding, unless the participant elected to be taxed at the time of grant. Subject to the deduction limitations described below, the employer generally will be entitled to a corresponding tax deduction equal to the dividends includible in the participant’s income as compensation. If the participant has made an election to be taxed at the time of grant, the dividends will be dividend income, rather than additional compensation, to the participant.</w:t>
      </w:r>
    </w:p>
    <w:p>
      <w:pPr>
        <w:spacing w:after="0" w:line="71" w:lineRule="exact"/>
        <w:rPr>
          <w:rFonts w:ascii="Arial" w:cs="Arial" w:eastAsia="Arial" w:hAnsi="Arial"/>
          <w:sz w:val="18"/>
          <w:szCs w:val="18"/>
          <w:color w:val="auto"/>
        </w:rPr>
      </w:pPr>
    </w:p>
    <w:p>
      <w:pPr>
        <w:ind w:left="340" w:right="40" w:hanging="332"/>
        <w:spacing w:after="0" w:line="268"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award that is deemed to be a deferral arrangement (excluding certain exempted short-term deferrals) will be subject to Section 409A of the Code. Certain participant elections and the timing of distributions relating to such awards must meet requirements under Section 409A for income taxation to be deferred and tax penalties avoided by the participant upon vesting of the award.</w:t>
      </w:r>
    </w:p>
    <w:p>
      <w:pPr>
        <w:spacing w:after="0" w:line="62" w:lineRule="exact"/>
        <w:rPr>
          <w:rFonts w:ascii="Arial" w:cs="Arial" w:eastAsia="Arial" w:hAnsi="Arial"/>
          <w:sz w:val="18"/>
          <w:szCs w:val="18"/>
          <w:color w:val="auto"/>
        </w:rPr>
      </w:pPr>
    </w:p>
    <w:p>
      <w:pPr>
        <w:ind w:left="340" w:right="100" w:hanging="332"/>
        <w:spacing w:after="0" w:line="255"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the time a participant is required to recognize ordinary compensation income resulting from an award, such income will, except as explained below, be subject to federal (including, except as described below, Social Security and Medicare tax) and applicable state and local income tax and applicable tax withholding requirements. If such participant’s year-to-date compensation on the date of exercise exceeds the Social Security wage base limit for such year ($184,500 in 2026), such participant will not have to pay Social Security taxes on such amounts. We are required to report to the Internal Revenue Service and the appropriate state and local taxing authorities the ordinary income received by the participant and the amount of taxes withheld. For awards that include a deferral feature, the federal (including, except as described below, Social Security and Medicare tax) and applicable state and local income tax and applicable tax withholding requirements may apply before the participant is required to recognize ordinary compensation income resulting from an award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when the award is no longer subject to a substantial risk of forfeiture).</w:t>
      </w:r>
    </w:p>
    <w:p>
      <w:pPr>
        <w:spacing w:after="0" w:line="72" w:lineRule="exact"/>
        <w:rPr>
          <w:rFonts w:ascii="Arial" w:cs="Arial" w:eastAsia="Arial" w:hAnsi="Arial"/>
          <w:sz w:val="18"/>
          <w:szCs w:val="18"/>
          <w:color w:val="auto"/>
        </w:rPr>
      </w:pPr>
    </w:p>
    <w:p>
      <w:pPr>
        <w:ind w:left="340" w:right="180" w:hanging="332"/>
        <w:spacing w:after="0" w:line="262"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Section 162(m) of the Code generally prohibits any publicly-held corporation from taking a federal income tax deduction for compensation paid in excess of $1 million in any taxable year to certain current and former executive officers, other than compensation that qualifies for transitional relief applicable to certain binding, written performance-based compensation arrangements that were in place as of November 2, 2017, pursuant to the Tax Cuts and Jobs Act of 2017.</w:t>
      </w:r>
    </w:p>
    <w:p>
      <w:pPr>
        <w:spacing w:after="0" w:line="68" w:lineRule="exact"/>
        <w:rPr>
          <w:rFonts w:ascii="Arial" w:cs="Arial" w:eastAsia="Arial" w:hAnsi="Arial"/>
          <w:sz w:val="18"/>
          <w:szCs w:val="18"/>
          <w:color w:val="auto"/>
        </w:rPr>
      </w:pPr>
    </w:p>
    <w:p>
      <w:pPr>
        <w:ind w:left="340" w:right="160" w:hanging="332"/>
        <w:spacing w:after="0" w:line="25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Section 280G of the Code limits the deduction that the employer may take for otherwise deductible compensation payable to certain individuals if the compensation constitutes an “excess parachute payment.” Excess parachute payments arise from payments made to disqualified individuals that are in the nature of compensation and are contingent on changes in ownership or control of the employer or certain affiliates. Accelerated vesting or payment of outstanding awards under the Plan upon a change in ownership or control of the employer or its affiliates could result in excess parachute payments. In addition to the deduction limitation applicable to the employer, a disqualified individual receiving an excess parachute payment is subject to a 20% excise tax on the amount thereof.</w:t>
      </w:r>
    </w:p>
    <w:p>
      <w:pPr>
        <w:spacing w:after="0" w:line="74" w:lineRule="exact"/>
        <w:rPr>
          <w:rFonts w:ascii="Arial" w:cs="Arial" w:eastAsia="Arial" w:hAnsi="Arial"/>
          <w:sz w:val="18"/>
          <w:szCs w:val="18"/>
          <w:color w:val="auto"/>
        </w:rPr>
      </w:pPr>
    </w:p>
    <w:p>
      <w:pPr>
        <w:ind w:left="340" w:right="120" w:hanging="332"/>
        <w:spacing w:after="0" w:line="28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Plan is not subject to the requirements of the Employee Retirement Income Security Act of 1974, as amended, and it is not, nor is it intended to be, qualified under Section 401(a) of the Code.</w:t>
      </w:r>
    </w:p>
    <w:p>
      <w:pPr>
        <w:spacing w:after="0" w:line="44" w:lineRule="exact"/>
        <w:rPr>
          <w:rFonts w:ascii="Arial" w:cs="Arial" w:eastAsia="Arial" w:hAnsi="Arial"/>
          <w:sz w:val="18"/>
          <w:szCs w:val="18"/>
          <w:color w:val="auto"/>
        </w:rPr>
      </w:pPr>
    </w:p>
    <w:p>
      <w:pPr>
        <w:ind w:left="340" w:right="440" w:hanging="332"/>
        <w:spacing w:after="0" w:line="28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Participants who are “insiders” under Section 16(b) of the Exchange Act may be subject to different tax treatment with respect to the grant, exercise or settlement of awards under the Plan, depending on the particular Section 16(b) exemption utilized.</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foregoing provides only a general description of the application of current federal income tax laws and regulations to certain awards under the Plan. This discussion is intended for the information of shareholders considering how to vote at the Annual Meeting and not as tax guidance to participants in the Plan, as the consequences may vary with the types of awards made, the identity of the recipients and the method of payment or settlement. Different tax rules may apply, including in the case of variations in transactions that are permitted under the Plan (such as payment of the exercise price of a stock option by surrender of previously acquired Shares). This summary does not address the effects of other federal taxes or taxes imposed under state, local or foreign laws. Holders of awards under the Plan are encouraged to consult with their own tax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sets forth information regarding RSU, PSU, and DSU grants made contingent upon shareholder approval of the Plan Amendment.</w:t>
      </w:r>
    </w:p>
    <w:p>
      <w:pPr>
        <w:spacing w:after="0" w:line="225" w:lineRule="exact"/>
        <w:rPr>
          <w:sz w:val="20"/>
          <w:szCs w:val="20"/>
          <w:color w:val="auto"/>
        </w:rPr>
      </w:pPr>
    </w:p>
    <w:p>
      <w:pPr>
        <w:jc w:val="center"/>
        <w:ind w:left="860"/>
        <w:spacing w:after="0"/>
        <w:rPr>
          <w:sz w:val="20"/>
          <w:szCs w:val="20"/>
          <w:color w:val="auto"/>
        </w:rPr>
      </w:pPr>
      <w:r>
        <w:rPr>
          <w:rFonts w:ascii="Arial" w:cs="Arial" w:eastAsia="Arial" w:hAnsi="Arial"/>
          <w:sz w:val="16"/>
          <w:szCs w:val="16"/>
          <w:b w:val="1"/>
          <w:bCs w:val="1"/>
          <w:color w:val="FFFFFF"/>
        </w:rPr>
        <w:t>The Xerox Holdings Corporation 2024 Equity and Performance Incentive Plan,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909435" cy="5657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09435" cy="565785"/>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6"/>
          <w:szCs w:val="16"/>
          <w:b w:val="1"/>
          <w:bCs w:val="1"/>
          <w:color w:val="FFFFFF"/>
        </w:rPr>
        <w:t>Amended</w:t>
      </w:r>
    </w:p>
    <w:tbl>
      <w:tblPr>
        <w:tblLayout w:type="fixed"/>
        <w:tblInd w:w="0" w:type="dxa"/>
        <w:tblCellMar>
          <w:top w:w="0" w:type="dxa"/>
          <w:left w:w="0" w:type="dxa"/>
          <w:bottom w:w="0" w:type="dxa"/>
          <w:right w:w="0" w:type="dxa"/>
        </w:tblCellMar>
      </w:tblPr>
      <w:tr>
        <w:trPr>
          <w:trHeight w:val="192"/>
        </w:trPr>
        <w:tc>
          <w:tcPr>
            <w:tcW w:w="2840" w:type="dxa"/>
            <w:vAlign w:val="bottom"/>
          </w:tcPr>
          <w:p>
            <w:pPr>
              <w:ind w:left="20"/>
              <w:spacing w:after="0"/>
              <w:rPr>
                <w:sz w:val="20"/>
                <w:szCs w:val="20"/>
                <w:color w:val="auto"/>
              </w:rPr>
            </w:pPr>
            <w:r>
              <w:rPr>
                <w:rFonts w:ascii="Arial" w:cs="Arial" w:eastAsia="Arial" w:hAnsi="Arial"/>
                <w:sz w:val="14"/>
                <w:szCs w:val="14"/>
                <w:b w:val="1"/>
                <w:bCs w:val="1"/>
                <w:color w:val="FFFFFF"/>
              </w:rPr>
              <w:t>Name and Position</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FFFFFF"/>
                <w:w w:val="95"/>
              </w:rPr>
              <w:t>Target Dollar Value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FFFFFF"/>
                <w:w w:val="95"/>
              </w:rPr>
              <w:t>Target Dollar Value of</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FFFFFF"/>
                <w:w w:val="96"/>
              </w:rPr>
              <w:t>Number of Contingent</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FFFFFF"/>
                <w:w w:val="97"/>
              </w:rPr>
              <w:t>Number of Contingent</w:t>
            </w:r>
          </w:p>
        </w:tc>
        <w:tc>
          <w:tcPr>
            <w:tcW w:w="1660" w:type="dxa"/>
            <w:vAlign w:val="bottom"/>
          </w:tcPr>
          <w:p>
            <w:pPr>
              <w:ind w:left="100"/>
              <w:spacing w:after="0" w:line="192" w:lineRule="exact"/>
              <w:rPr>
                <w:sz w:val="20"/>
                <w:szCs w:val="20"/>
                <w:color w:val="auto"/>
              </w:rPr>
            </w:pPr>
            <w:r>
              <w:rPr>
                <w:rFonts w:ascii="Arial" w:cs="Arial" w:eastAsia="Arial" w:hAnsi="Arial"/>
                <w:sz w:val="12"/>
                <w:szCs w:val="12"/>
                <w:b w:val="1"/>
                <w:bCs w:val="1"/>
                <w:color w:val="FFFFFF"/>
              </w:rPr>
              <w:t xml:space="preserve">Total Contingent Units </w:t>
            </w:r>
            <w:r>
              <w:rPr>
                <w:rFonts w:ascii="Arial" w:cs="Arial" w:eastAsia="Arial" w:hAnsi="Arial"/>
                <w:sz w:val="22"/>
                <w:szCs w:val="22"/>
                <w:b w:val="1"/>
                <w:bCs w:val="1"/>
                <w:color w:val="FFFFFF"/>
                <w:vertAlign w:val="superscript"/>
              </w:rPr>
              <w:t>(6)</w:t>
            </w:r>
          </w:p>
        </w:tc>
      </w:tr>
      <w:tr>
        <w:trPr>
          <w:trHeight w:val="144"/>
        </w:trPr>
        <w:tc>
          <w:tcPr>
            <w:tcW w:w="2840" w:type="dxa"/>
            <w:vAlign w:val="bottom"/>
          </w:tcPr>
          <w:p>
            <w:pPr>
              <w:spacing w:after="0"/>
              <w:rPr>
                <w:sz w:val="12"/>
                <w:szCs w:val="12"/>
                <w:color w:val="auto"/>
              </w:rPr>
            </w:pPr>
          </w:p>
        </w:tc>
        <w:tc>
          <w:tcPr>
            <w:tcW w:w="1600" w:type="dxa"/>
            <w:vAlign w:val="bottom"/>
          </w:tcPr>
          <w:p>
            <w:pPr>
              <w:jc w:val="center"/>
              <w:spacing w:after="0" w:line="144" w:lineRule="exact"/>
              <w:rPr>
                <w:sz w:val="20"/>
                <w:szCs w:val="20"/>
                <w:color w:val="auto"/>
              </w:rPr>
            </w:pPr>
            <w:r>
              <w:rPr>
                <w:rFonts w:ascii="Arial" w:cs="Arial" w:eastAsia="Arial" w:hAnsi="Arial"/>
                <w:sz w:val="13"/>
                <w:szCs w:val="13"/>
                <w:b w:val="1"/>
                <w:bCs w:val="1"/>
                <w:color w:val="FFFFFF"/>
                <w:w w:val="96"/>
              </w:rPr>
              <w:t>Contingent PSU Awards</w:t>
            </w:r>
          </w:p>
        </w:tc>
        <w:tc>
          <w:tcPr>
            <w:tcW w:w="1640" w:type="dxa"/>
            <w:vAlign w:val="bottom"/>
          </w:tcPr>
          <w:p>
            <w:pPr>
              <w:jc w:val="center"/>
              <w:spacing w:after="0" w:line="144" w:lineRule="exact"/>
              <w:rPr>
                <w:sz w:val="20"/>
                <w:szCs w:val="20"/>
                <w:color w:val="auto"/>
              </w:rPr>
            </w:pPr>
            <w:r>
              <w:rPr>
                <w:rFonts w:ascii="Arial" w:cs="Arial" w:eastAsia="Arial" w:hAnsi="Arial"/>
                <w:sz w:val="13"/>
                <w:szCs w:val="13"/>
                <w:b w:val="1"/>
                <w:bCs w:val="1"/>
                <w:color w:val="FFFFFF"/>
                <w:w w:val="97"/>
              </w:rPr>
              <w:t>Contingent RSU Awards</w:t>
            </w:r>
          </w:p>
        </w:tc>
        <w:tc>
          <w:tcPr>
            <w:tcW w:w="1580" w:type="dxa"/>
            <w:vAlign w:val="bottom"/>
          </w:tcPr>
          <w:p>
            <w:pPr>
              <w:jc w:val="center"/>
              <w:spacing w:after="0" w:line="144" w:lineRule="exact"/>
              <w:rPr>
                <w:sz w:val="20"/>
                <w:szCs w:val="20"/>
                <w:color w:val="auto"/>
              </w:rPr>
            </w:pPr>
            <w:r>
              <w:rPr>
                <w:rFonts w:ascii="Arial" w:cs="Arial" w:eastAsia="Arial" w:hAnsi="Arial"/>
                <w:sz w:val="16"/>
                <w:szCs w:val="16"/>
                <w:b w:val="1"/>
                <w:bCs w:val="1"/>
                <w:color w:val="FFFFFF"/>
                <w:vertAlign w:val="subscript"/>
              </w:rPr>
              <w:t>PSUs</w:t>
            </w:r>
            <w:r>
              <w:rPr>
                <w:rFonts w:ascii="Arial" w:cs="Arial" w:eastAsia="Arial" w:hAnsi="Arial"/>
                <w:sz w:val="9"/>
                <w:szCs w:val="9"/>
                <w:b w:val="1"/>
                <w:bCs w:val="1"/>
                <w:color w:val="FFFFFF"/>
              </w:rPr>
              <w:t xml:space="preserve"> (3)(4)</w:t>
            </w:r>
          </w:p>
        </w:tc>
        <w:tc>
          <w:tcPr>
            <w:tcW w:w="1560" w:type="dxa"/>
            <w:vAlign w:val="bottom"/>
          </w:tcPr>
          <w:p>
            <w:pPr>
              <w:jc w:val="center"/>
              <w:spacing w:after="0" w:line="144" w:lineRule="exact"/>
              <w:rPr>
                <w:sz w:val="20"/>
                <w:szCs w:val="20"/>
                <w:color w:val="auto"/>
              </w:rPr>
            </w:pPr>
            <w:r>
              <w:rPr>
                <w:rFonts w:ascii="Arial" w:cs="Arial" w:eastAsia="Arial" w:hAnsi="Arial"/>
                <w:sz w:val="16"/>
                <w:szCs w:val="16"/>
                <w:b w:val="1"/>
                <w:bCs w:val="1"/>
                <w:color w:val="FFFFFF"/>
                <w:vertAlign w:val="subscript"/>
              </w:rPr>
              <w:t>RSUs</w:t>
            </w:r>
            <w:r>
              <w:rPr>
                <w:rFonts w:ascii="Arial" w:cs="Arial" w:eastAsia="Arial" w:hAnsi="Arial"/>
                <w:sz w:val="9"/>
                <w:szCs w:val="9"/>
                <w:b w:val="1"/>
                <w:bCs w:val="1"/>
                <w:color w:val="FFFFFF"/>
              </w:rPr>
              <w:t xml:space="preserve"> (4)(5)</w:t>
            </w:r>
          </w:p>
        </w:tc>
        <w:tc>
          <w:tcPr>
            <w:tcW w:w="1660" w:type="dxa"/>
            <w:vAlign w:val="bottom"/>
          </w:tcPr>
          <w:p>
            <w:pPr>
              <w:spacing w:after="0"/>
              <w:rPr>
                <w:sz w:val="12"/>
                <w:szCs w:val="12"/>
                <w:color w:val="auto"/>
              </w:rPr>
            </w:pPr>
          </w:p>
        </w:tc>
      </w:tr>
      <w:tr>
        <w:trPr>
          <w:trHeight w:val="176"/>
        </w:trPr>
        <w:tc>
          <w:tcPr>
            <w:tcW w:w="28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FFFFFF"/>
                <w:w w:val="87"/>
              </w:rPr>
              <w:t>($)</w:t>
            </w: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53"/>
        </w:trPr>
        <w:tc>
          <w:tcPr>
            <w:tcW w:w="2840" w:type="dxa"/>
            <w:vAlign w:val="bottom"/>
            <w:shd w:val="clear" w:color="auto" w:fill="DBDBDB"/>
          </w:tcPr>
          <w:p>
            <w:pPr>
              <w:ind w:left="20"/>
              <w:spacing w:after="0"/>
              <w:rPr>
                <w:sz w:val="20"/>
                <w:szCs w:val="20"/>
                <w:color w:val="auto"/>
              </w:rPr>
            </w:pPr>
            <w:r>
              <w:rPr>
                <w:rFonts w:ascii="Arial" w:cs="Arial" w:eastAsia="Arial" w:hAnsi="Arial"/>
                <w:sz w:val="13"/>
                <w:szCs w:val="13"/>
                <w:color w:val="auto"/>
              </w:rPr>
              <w:t>Louis J. Pastor</w:t>
            </w:r>
          </w:p>
        </w:tc>
        <w:tc>
          <w:tcPr>
            <w:tcW w:w="160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$2,400,000</w:t>
            </w:r>
          </w:p>
        </w:tc>
        <w:tc>
          <w:tcPr>
            <w:tcW w:w="164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$2,400,000</w:t>
            </w:r>
          </w:p>
        </w:tc>
        <w:tc>
          <w:tcPr>
            <w:tcW w:w="158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1,348,315</w:t>
            </w:r>
          </w:p>
        </w:tc>
        <w:tc>
          <w:tcPr>
            <w:tcW w:w="15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1,348,315</w:t>
            </w:r>
          </w:p>
        </w:tc>
        <w:tc>
          <w:tcPr>
            <w:tcW w:w="1660" w:type="dxa"/>
            <w:vAlign w:val="bottom"/>
            <w:shd w:val="clear" w:color="auto" w:fill="DBDBDB"/>
          </w:tcPr>
          <w:p>
            <w:pPr>
              <w:jc w:val="center"/>
              <w:spacing w:after="0" w:line="153" w:lineRule="exact"/>
              <w:rPr>
                <w:sz w:val="20"/>
                <w:szCs w:val="20"/>
                <w:color w:val="auto"/>
              </w:rPr>
            </w:pPr>
            <w:r>
              <w:rPr>
                <w:rFonts w:ascii="Arial" w:cs="Arial" w:eastAsia="Arial" w:hAnsi="Arial"/>
                <w:sz w:val="14"/>
                <w:szCs w:val="14"/>
                <w:color w:val="auto"/>
              </w:rPr>
              <w:t>2,696,630</w:t>
            </w:r>
          </w:p>
        </w:tc>
      </w:tr>
      <w:tr>
        <w:trPr>
          <w:trHeight w:val="142"/>
        </w:trPr>
        <w:tc>
          <w:tcPr>
            <w:tcW w:w="2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i w:val="1"/>
                <w:iCs w:val="1"/>
                <w:color w:val="auto"/>
              </w:rPr>
              <w:t>(Chief Executive Officer)</w:t>
            </w:r>
          </w:p>
        </w:tc>
        <w:tc>
          <w:tcPr>
            <w:tcW w:w="1600" w:type="dxa"/>
            <w:vAlign w:val="bottom"/>
            <w:tcBorders>
              <w:bottom w:val="single" w:sz="8" w:color="DBDBDB"/>
            </w:tcBorders>
            <w:shd w:val="clear" w:color="auto" w:fill="DBDBDB"/>
          </w:tcPr>
          <w:p>
            <w:pPr>
              <w:spacing w:after="0"/>
              <w:rPr>
                <w:sz w:val="12"/>
                <w:szCs w:val="12"/>
                <w:color w:val="auto"/>
              </w:rPr>
            </w:pPr>
          </w:p>
        </w:tc>
        <w:tc>
          <w:tcPr>
            <w:tcW w:w="1640" w:type="dxa"/>
            <w:vAlign w:val="bottom"/>
            <w:tcBorders>
              <w:bottom w:val="single" w:sz="8" w:color="DBDBDB"/>
            </w:tcBorders>
            <w:shd w:val="clear" w:color="auto" w:fill="DBDBDB"/>
          </w:tcPr>
          <w:p>
            <w:pPr>
              <w:spacing w:after="0"/>
              <w:rPr>
                <w:sz w:val="12"/>
                <w:szCs w:val="12"/>
                <w:color w:val="auto"/>
              </w:rPr>
            </w:pPr>
          </w:p>
        </w:tc>
        <w:tc>
          <w:tcPr>
            <w:tcW w:w="1580" w:type="dxa"/>
            <w:vAlign w:val="bottom"/>
            <w:tcBorders>
              <w:bottom w:val="single" w:sz="8" w:color="DBDBDB"/>
            </w:tcBorders>
            <w:shd w:val="clear" w:color="auto" w:fill="DBDBDB"/>
          </w:tcPr>
          <w:p>
            <w:pPr>
              <w:spacing w:after="0"/>
              <w:rPr>
                <w:sz w:val="12"/>
                <w:szCs w:val="12"/>
                <w:color w:val="auto"/>
              </w:rPr>
            </w:pPr>
          </w:p>
        </w:tc>
        <w:tc>
          <w:tcPr>
            <w:tcW w:w="1560" w:type="dxa"/>
            <w:vAlign w:val="bottom"/>
            <w:tcBorders>
              <w:bottom w:val="single" w:sz="8" w:color="DBDBDB"/>
            </w:tcBorders>
            <w:shd w:val="clear" w:color="auto" w:fill="DBDBDB"/>
          </w:tcPr>
          <w:p>
            <w:pPr>
              <w:spacing w:after="0"/>
              <w:rPr>
                <w:sz w:val="12"/>
                <w:szCs w:val="12"/>
                <w:color w:val="auto"/>
              </w:rPr>
            </w:pPr>
          </w:p>
        </w:tc>
        <w:tc>
          <w:tcPr>
            <w:tcW w:w="1660" w:type="dxa"/>
            <w:vAlign w:val="bottom"/>
            <w:tcBorders>
              <w:bottom w:val="single" w:sz="8" w:color="DBDBDB"/>
            </w:tcBorders>
            <w:shd w:val="clear" w:color="auto" w:fill="DBDBDB"/>
          </w:tcPr>
          <w:p>
            <w:pPr>
              <w:spacing w:after="0"/>
              <w:rPr>
                <w:sz w:val="12"/>
                <w:szCs w:val="12"/>
                <w:color w:val="auto"/>
              </w:rPr>
            </w:pPr>
          </w:p>
        </w:tc>
      </w:tr>
      <w:tr>
        <w:trPr>
          <w:trHeight w:val="149"/>
        </w:trPr>
        <w:tc>
          <w:tcPr>
            <w:tcW w:w="2840" w:type="dxa"/>
            <w:vAlign w:val="bottom"/>
          </w:tcPr>
          <w:p>
            <w:pPr>
              <w:ind w:left="20"/>
              <w:spacing w:after="0"/>
              <w:rPr>
                <w:sz w:val="20"/>
                <w:szCs w:val="20"/>
                <w:color w:val="auto"/>
              </w:rPr>
            </w:pPr>
            <w:r>
              <w:rPr>
                <w:rFonts w:ascii="Arial" w:cs="Arial" w:eastAsia="Arial" w:hAnsi="Arial"/>
                <w:sz w:val="13"/>
                <w:szCs w:val="13"/>
                <w:color w:val="auto"/>
              </w:rPr>
              <w:t>Charles Butler</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$800,000</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rPr>
              <w:t>$800,000</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rPr>
              <w:t>449,438</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449,438</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rPr>
              <w:t>898,876</w:t>
            </w:r>
          </w:p>
        </w:tc>
      </w:tr>
      <w:tr>
        <w:trPr>
          <w:trHeight w:val="142"/>
        </w:trPr>
        <w:tc>
          <w:tcPr>
            <w:tcW w:w="2840" w:type="dxa"/>
            <w:vAlign w:val="bottom"/>
          </w:tcPr>
          <w:p>
            <w:pPr>
              <w:ind w:left="20"/>
              <w:spacing w:after="0"/>
              <w:rPr>
                <w:sz w:val="20"/>
                <w:szCs w:val="20"/>
                <w:color w:val="auto"/>
              </w:rPr>
            </w:pPr>
            <w:r>
              <w:rPr>
                <w:rFonts w:ascii="Arial" w:cs="Arial" w:eastAsia="Arial" w:hAnsi="Arial"/>
                <w:sz w:val="11"/>
                <w:szCs w:val="11"/>
                <w:i w:val="1"/>
                <w:iCs w:val="1"/>
                <w:color w:val="auto"/>
              </w:rPr>
              <w:t>(Executive Vice President, Chief Financial Officer)</w:t>
            </w:r>
          </w:p>
        </w:tc>
        <w:tc>
          <w:tcPr>
            <w:tcW w:w="1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20"/>
        </w:trPr>
        <w:tc>
          <w:tcPr>
            <w:tcW w:w="2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48"/>
        </w:trPr>
        <w:tc>
          <w:tcPr>
            <w:tcW w:w="2840" w:type="dxa"/>
            <w:vAlign w:val="bottom"/>
            <w:shd w:val="clear" w:color="auto" w:fill="DBDBDB"/>
          </w:tcPr>
          <w:p>
            <w:pPr>
              <w:ind w:left="20"/>
              <w:spacing w:after="0"/>
              <w:rPr>
                <w:sz w:val="20"/>
                <w:szCs w:val="20"/>
                <w:color w:val="auto"/>
              </w:rPr>
            </w:pPr>
            <w:r>
              <w:rPr>
                <w:rFonts w:ascii="Arial" w:cs="Arial" w:eastAsia="Arial" w:hAnsi="Arial"/>
                <w:sz w:val="13"/>
                <w:szCs w:val="13"/>
                <w:color w:val="auto"/>
              </w:rPr>
              <w:t>Jacques-Edouard Gueden</w:t>
            </w:r>
          </w:p>
        </w:tc>
        <w:tc>
          <w:tcPr>
            <w:tcW w:w="160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rPr>
              <w:t>$980,000</w:t>
            </w:r>
          </w:p>
        </w:tc>
        <w:tc>
          <w:tcPr>
            <w:tcW w:w="164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rPr>
              <w:t>$980,000</w:t>
            </w:r>
          </w:p>
        </w:tc>
        <w:tc>
          <w:tcPr>
            <w:tcW w:w="158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rPr>
              <w:t>550,562</w:t>
            </w:r>
          </w:p>
        </w:tc>
        <w:tc>
          <w:tcPr>
            <w:tcW w:w="156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rPr>
              <w:t>550,562</w:t>
            </w:r>
          </w:p>
        </w:tc>
        <w:tc>
          <w:tcPr>
            <w:tcW w:w="1660" w:type="dxa"/>
            <w:vAlign w:val="bottom"/>
            <w:shd w:val="clear" w:color="auto" w:fill="DBDBDB"/>
          </w:tcPr>
          <w:p>
            <w:pPr>
              <w:jc w:val="center"/>
              <w:spacing w:after="0" w:line="149" w:lineRule="exact"/>
              <w:rPr>
                <w:sz w:val="20"/>
                <w:szCs w:val="20"/>
                <w:color w:val="auto"/>
              </w:rPr>
            </w:pPr>
            <w:r>
              <w:rPr>
                <w:rFonts w:ascii="Arial" w:cs="Arial" w:eastAsia="Arial" w:hAnsi="Arial"/>
                <w:sz w:val="14"/>
                <w:szCs w:val="14"/>
                <w:color w:val="auto"/>
              </w:rPr>
              <w:t>1,101,124</w:t>
            </w:r>
          </w:p>
        </w:tc>
      </w:tr>
      <w:tr>
        <w:trPr>
          <w:trHeight w:val="142"/>
        </w:trPr>
        <w:tc>
          <w:tcPr>
            <w:tcW w:w="2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i w:val="1"/>
                <w:iCs w:val="1"/>
                <w:color w:val="auto"/>
              </w:rPr>
              <w:t>(Chief Channel &amp; Partner Officer)</w:t>
            </w:r>
          </w:p>
        </w:tc>
        <w:tc>
          <w:tcPr>
            <w:tcW w:w="1600" w:type="dxa"/>
            <w:vAlign w:val="bottom"/>
            <w:tcBorders>
              <w:bottom w:val="single" w:sz="8" w:color="DBDBDB"/>
            </w:tcBorders>
            <w:shd w:val="clear" w:color="auto" w:fill="DBDBDB"/>
          </w:tcPr>
          <w:p>
            <w:pPr>
              <w:spacing w:after="0"/>
              <w:rPr>
                <w:sz w:val="12"/>
                <w:szCs w:val="12"/>
                <w:color w:val="auto"/>
              </w:rPr>
            </w:pPr>
          </w:p>
        </w:tc>
        <w:tc>
          <w:tcPr>
            <w:tcW w:w="1640" w:type="dxa"/>
            <w:vAlign w:val="bottom"/>
            <w:tcBorders>
              <w:bottom w:val="single" w:sz="8" w:color="DBDBDB"/>
            </w:tcBorders>
            <w:shd w:val="clear" w:color="auto" w:fill="DBDBDB"/>
          </w:tcPr>
          <w:p>
            <w:pPr>
              <w:spacing w:after="0"/>
              <w:rPr>
                <w:sz w:val="12"/>
                <w:szCs w:val="12"/>
                <w:color w:val="auto"/>
              </w:rPr>
            </w:pPr>
          </w:p>
        </w:tc>
        <w:tc>
          <w:tcPr>
            <w:tcW w:w="1580" w:type="dxa"/>
            <w:vAlign w:val="bottom"/>
            <w:tcBorders>
              <w:bottom w:val="single" w:sz="8" w:color="DBDBDB"/>
            </w:tcBorders>
            <w:shd w:val="clear" w:color="auto" w:fill="DBDBDB"/>
          </w:tcPr>
          <w:p>
            <w:pPr>
              <w:spacing w:after="0"/>
              <w:rPr>
                <w:sz w:val="12"/>
                <w:szCs w:val="12"/>
                <w:color w:val="auto"/>
              </w:rPr>
            </w:pPr>
          </w:p>
        </w:tc>
        <w:tc>
          <w:tcPr>
            <w:tcW w:w="1560" w:type="dxa"/>
            <w:vAlign w:val="bottom"/>
            <w:tcBorders>
              <w:bottom w:val="single" w:sz="8" w:color="DBDBDB"/>
            </w:tcBorders>
            <w:shd w:val="clear" w:color="auto" w:fill="DBDBDB"/>
          </w:tcPr>
          <w:p>
            <w:pPr>
              <w:spacing w:after="0"/>
              <w:rPr>
                <w:sz w:val="12"/>
                <w:szCs w:val="12"/>
                <w:color w:val="auto"/>
              </w:rPr>
            </w:pPr>
          </w:p>
        </w:tc>
        <w:tc>
          <w:tcPr>
            <w:tcW w:w="1660" w:type="dxa"/>
            <w:vAlign w:val="bottom"/>
            <w:tcBorders>
              <w:bottom w:val="single" w:sz="8" w:color="DBDBDB"/>
            </w:tcBorders>
            <w:shd w:val="clear" w:color="auto" w:fill="DBDBDB"/>
          </w:tcPr>
          <w:p>
            <w:pPr>
              <w:spacing w:after="0"/>
              <w:rPr>
                <w:sz w:val="12"/>
                <w:szCs w:val="12"/>
                <w:color w:val="auto"/>
              </w:rPr>
            </w:pPr>
          </w:p>
        </w:tc>
      </w:tr>
      <w:tr>
        <w:trPr>
          <w:trHeight w:val="148"/>
        </w:trPr>
        <w:tc>
          <w:tcPr>
            <w:tcW w:w="2840" w:type="dxa"/>
            <w:vAlign w:val="bottom"/>
          </w:tcPr>
          <w:p>
            <w:pPr>
              <w:ind w:left="20"/>
              <w:spacing w:after="0"/>
              <w:rPr>
                <w:sz w:val="20"/>
                <w:szCs w:val="20"/>
                <w:color w:val="auto"/>
              </w:rPr>
            </w:pPr>
            <w:r>
              <w:rPr>
                <w:rFonts w:ascii="Arial" w:cs="Arial" w:eastAsia="Arial" w:hAnsi="Arial"/>
                <w:sz w:val="13"/>
                <w:szCs w:val="13"/>
                <w:color w:val="auto"/>
              </w:rPr>
              <w:t>Flor M. Colón</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$500,000</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rPr>
              <w:t>$500,000</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rPr>
              <w:t>280,899</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280,899</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rPr>
              <w:t>561,798</w:t>
            </w:r>
          </w:p>
        </w:tc>
      </w:tr>
      <w:tr>
        <w:trPr>
          <w:trHeight w:val="108"/>
        </w:trPr>
        <w:tc>
          <w:tcPr>
            <w:tcW w:w="2840" w:type="dxa"/>
            <w:vAlign w:val="bottom"/>
          </w:tcPr>
          <w:p>
            <w:pPr>
              <w:ind w:left="20"/>
              <w:spacing w:after="0" w:line="109" w:lineRule="exact"/>
              <w:rPr>
                <w:sz w:val="20"/>
                <w:szCs w:val="20"/>
                <w:color w:val="auto"/>
              </w:rPr>
            </w:pPr>
            <w:r>
              <w:rPr>
                <w:rFonts w:ascii="Arial" w:cs="Arial" w:eastAsia="Arial" w:hAnsi="Arial"/>
                <w:sz w:val="11"/>
                <w:szCs w:val="11"/>
                <w:i w:val="1"/>
                <w:iCs w:val="1"/>
                <w:color w:val="auto"/>
              </w:rPr>
              <w:t>(Executive  Vice  President,  Chief  Legal  Officer  and</w:t>
            </w:r>
          </w:p>
        </w:tc>
        <w:tc>
          <w:tcPr>
            <w:tcW w:w="16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127"/>
        </w:trPr>
        <w:tc>
          <w:tcPr>
            <w:tcW w:w="2840" w:type="dxa"/>
            <w:vAlign w:val="bottom"/>
          </w:tcPr>
          <w:p>
            <w:pPr>
              <w:ind w:left="20"/>
              <w:spacing w:after="0"/>
              <w:rPr>
                <w:sz w:val="20"/>
                <w:szCs w:val="20"/>
                <w:color w:val="auto"/>
              </w:rPr>
            </w:pPr>
            <w:r>
              <w:rPr>
                <w:rFonts w:ascii="Arial" w:cs="Arial" w:eastAsia="Arial" w:hAnsi="Arial"/>
                <w:sz w:val="11"/>
                <w:szCs w:val="11"/>
                <w:i w:val="1"/>
                <w:iCs w:val="1"/>
                <w:color w:val="auto"/>
              </w:rPr>
              <w:t>Corporate Secretary)</w:t>
            </w:r>
          </w:p>
        </w:tc>
        <w:tc>
          <w:tcPr>
            <w:tcW w:w="1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16"/>
        </w:trPr>
        <w:tc>
          <w:tcPr>
            <w:tcW w:w="2840" w:type="dxa"/>
            <w:vAlign w:val="bottom"/>
          </w:tcPr>
          <w:p>
            <w:pPr>
              <w:ind w:left="20"/>
              <w:spacing w:after="0" w:line="216" w:lineRule="exact"/>
              <w:rPr>
                <w:sz w:val="20"/>
                <w:szCs w:val="20"/>
                <w:color w:val="auto"/>
              </w:rPr>
            </w:pPr>
            <w:r>
              <w:rPr>
                <w:rFonts w:ascii="Arial" w:cs="Arial" w:eastAsia="Arial" w:hAnsi="Arial"/>
                <w:sz w:val="13"/>
                <w:szCs w:val="13"/>
                <w:color w:val="auto"/>
              </w:rPr>
              <w:t xml:space="preserve">Executive Group </w:t>
            </w:r>
            <w:r>
              <w:rPr>
                <w:rFonts w:ascii="Arial" w:cs="Arial" w:eastAsia="Arial" w:hAnsi="Arial"/>
                <w:sz w:val="23"/>
                <w:szCs w:val="23"/>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spacing w:after="0"/>
              <w:rPr>
                <w:sz w:val="20"/>
                <w:szCs w:val="20"/>
                <w:color w:val="auto"/>
              </w:rPr>
            </w:pPr>
            <w:r>
              <w:rPr>
                <w:rFonts w:ascii="Arial" w:cs="Arial" w:eastAsia="Arial" w:hAnsi="Arial"/>
                <w:sz w:val="14"/>
                <w:szCs w:val="14"/>
                <w:color w:val="auto"/>
              </w:rPr>
              <w:t>$9,602,875</w:t>
            </w: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5,394,874</w:t>
            </w:r>
          </w:p>
        </w:tc>
        <w:tc>
          <w:tcPr>
            <w:tcW w:w="1660" w:type="dxa"/>
            <w:vAlign w:val="bottom"/>
          </w:tcPr>
          <w:p>
            <w:pPr>
              <w:jc w:val="center"/>
              <w:spacing w:after="0"/>
              <w:rPr>
                <w:sz w:val="20"/>
                <w:szCs w:val="20"/>
                <w:color w:val="auto"/>
              </w:rPr>
            </w:pPr>
            <w:r>
              <w:rPr>
                <w:rFonts w:ascii="Arial" w:cs="Arial" w:eastAsia="Arial" w:hAnsi="Arial"/>
                <w:sz w:val="14"/>
                <w:szCs w:val="14"/>
                <w:color w:val="auto"/>
              </w:rPr>
              <w:t>5,394,874</w:t>
            </w:r>
          </w:p>
        </w:tc>
      </w:tr>
      <w:tr>
        <w:trPr>
          <w:trHeight w:val="309"/>
        </w:trPr>
        <w:tc>
          <w:tcPr>
            <w:tcW w:w="2840" w:type="dxa"/>
            <w:vAlign w:val="bottom"/>
          </w:tcPr>
          <w:p>
            <w:pPr>
              <w:ind w:left="20"/>
              <w:spacing w:after="0"/>
              <w:rPr>
                <w:sz w:val="20"/>
                <w:szCs w:val="20"/>
                <w:color w:val="auto"/>
              </w:rPr>
            </w:pPr>
            <w:r>
              <w:rPr>
                <w:rFonts w:ascii="Arial" w:cs="Arial" w:eastAsia="Arial" w:hAnsi="Arial"/>
                <w:sz w:val="13"/>
                <w:szCs w:val="13"/>
                <w:color w:val="auto"/>
              </w:rPr>
              <w:t xml:space="preserve">Non-Executive Director Group </w:t>
            </w:r>
            <w:r>
              <w:rPr>
                <w:rFonts w:ascii="Arial" w:cs="Arial" w:eastAsia="Arial" w:hAnsi="Arial"/>
                <w:sz w:val="23"/>
                <w:szCs w:val="23"/>
                <w:color w:val="auto"/>
                <w:vertAlign w:val="superscript"/>
              </w:rPr>
              <w:t>(2)</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spacing w:after="0"/>
              <w:rPr>
                <w:sz w:val="20"/>
                <w:szCs w:val="20"/>
                <w:color w:val="auto"/>
              </w:rPr>
            </w:pPr>
            <w:r>
              <w:rPr>
                <w:rFonts w:ascii="Arial" w:cs="Arial" w:eastAsia="Arial" w:hAnsi="Arial"/>
                <w:sz w:val="14"/>
                <w:szCs w:val="14"/>
                <w:color w:val="auto"/>
              </w:rPr>
              <w:t>$1,800,000</w:t>
            </w: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1560" w:type="dxa"/>
            <w:vAlign w:val="bottom"/>
          </w:tcPr>
          <w:p>
            <w:pPr>
              <w:jc w:val="center"/>
              <w:spacing w:after="0"/>
              <w:rPr>
                <w:sz w:val="20"/>
                <w:szCs w:val="20"/>
                <w:color w:val="auto"/>
              </w:rPr>
            </w:pPr>
            <w:r>
              <w:rPr>
                <w:rFonts w:ascii="Arial" w:cs="Arial" w:eastAsia="Arial" w:hAnsi="Arial"/>
                <w:sz w:val="14"/>
                <w:szCs w:val="14"/>
                <w:color w:val="auto"/>
                <w:w w:val="99"/>
              </w:rPr>
              <w:t>1,011,236</w:t>
            </w:r>
          </w:p>
        </w:tc>
        <w:tc>
          <w:tcPr>
            <w:tcW w:w="1660" w:type="dxa"/>
            <w:vAlign w:val="bottom"/>
          </w:tcPr>
          <w:p>
            <w:pPr>
              <w:jc w:val="center"/>
              <w:spacing w:after="0"/>
              <w:rPr>
                <w:sz w:val="20"/>
                <w:szCs w:val="20"/>
                <w:color w:val="auto"/>
              </w:rPr>
            </w:pPr>
            <w:r>
              <w:rPr>
                <w:rFonts w:ascii="Arial" w:cs="Arial" w:eastAsia="Arial" w:hAnsi="Arial"/>
                <w:sz w:val="14"/>
                <w:szCs w:val="14"/>
                <w:color w:val="auto"/>
              </w:rPr>
              <w:t>1,011,236</w:t>
            </w:r>
          </w:p>
        </w:tc>
      </w:tr>
      <w:tr>
        <w:trPr>
          <w:trHeight w:val="326"/>
        </w:trPr>
        <w:tc>
          <w:tcPr>
            <w:tcW w:w="2840" w:type="dxa"/>
            <w:vAlign w:val="bottom"/>
            <w:tcBorders>
              <w:bottom w:val="single" w:sz="8" w:color="B6B6B6"/>
            </w:tcBorders>
          </w:tcPr>
          <w:p>
            <w:pPr>
              <w:ind w:left="2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jc w:val="center"/>
              <w:spacing w:after="0"/>
              <w:rPr>
                <w:sz w:val="20"/>
                <w:szCs w:val="20"/>
                <w:color w:val="auto"/>
              </w:rPr>
            </w:pPr>
            <w:r>
              <w:rPr>
                <w:rFonts w:ascii="Arial" w:cs="Arial" w:eastAsia="Arial" w:hAnsi="Arial"/>
                <w:sz w:val="14"/>
                <w:szCs w:val="14"/>
                <w:color w:val="auto"/>
              </w:rPr>
              <w:t>4,680,000</w:t>
            </w:r>
          </w:p>
        </w:tc>
        <w:tc>
          <w:tcPr>
            <w:tcW w:w="1640" w:type="dxa"/>
            <w:vAlign w:val="bottom"/>
          </w:tcPr>
          <w:p>
            <w:pPr>
              <w:jc w:val="center"/>
              <w:spacing w:after="0"/>
              <w:rPr>
                <w:sz w:val="20"/>
                <w:szCs w:val="20"/>
                <w:color w:val="auto"/>
              </w:rPr>
            </w:pPr>
            <w:r>
              <w:rPr>
                <w:rFonts w:ascii="Arial" w:cs="Arial" w:eastAsia="Arial" w:hAnsi="Arial"/>
                <w:sz w:val="14"/>
                <w:szCs w:val="14"/>
                <w:color w:val="auto"/>
              </w:rPr>
              <w:t>16,082,875</w:t>
            </w:r>
          </w:p>
        </w:tc>
        <w:tc>
          <w:tcPr>
            <w:tcW w:w="1580" w:type="dxa"/>
            <w:vAlign w:val="bottom"/>
          </w:tcPr>
          <w:p>
            <w:pPr>
              <w:jc w:val="center"/>
              <w:spacing w:after="0"/>
              <w:rPr>
                <w:sz w:val="20"/>
                <w:szCs w:val="20"/>
                <w:color w:val="auto"/>
              </w:rPr>
            </w:pPr>
            <w:r>
              <w:rPr>
                <w:rFonts w:ascii="Arial" w:cs="Arial" w:eastAsia="Arial" w:hAnsi="Arial"/>
                <w:sz w:val="14"/>
                <w:szCs w:val="14"/>
                <w:color w:val="auto"/>
              </w:rPr>
              <w:t>2,629,214</w:t>
            </w:r>
          </w:p>
        </w:tc>
        <w:tc>
          <w:tcPr>
            <w:tcW w:w="1560" w:type="dxa"/>
            <w:vAlign w:val="bottom"/>
          </w:tcPr>
          <w:p>
            <w:pPr>
              <w:jc w:val="center"/>
              <w:spacing w:after="0"/>
              <w:rPr>
                <w:sz w:val="20"/>
                <w:szCs w:val="20"/>
                <w:color w:val="auto"/>
              </w:rPr>
            </w:pPr>
            <w:r>
              <w:rPr>
                <w:rFonts w:ascii="Arial" w:cs="Arial" w:eastAsia="Arial" w:hAnsi="Arial"/>
                <w:sz w:val="14"/>
                <w:szCs w:val="14"/>
                <w:color w:val="auto"/>
              </w:rPr>
              <w:t>9,035,324</w:t>
            </w:r>
          </w:p>
        </w:tc>
        <w:tc>
          <w:tcPr>
            <w:tcW w:w="1660" w:type="dxa"/>
            <w:vAlign w:val="bottom"/>
          </w:tcPr>
          <w:p>
            <w:pPr>
              <w:jc w:val="center"/>
              <w:spacing w:after="0"/>
              <w:rPr>
                <w:sz w:val="20"/>
                <w:szCs w:val="20"/>
                <w:color w:val="auto"/>
              </w:rPr>
            </w:pPr>
            <w:r>
              <w:rPr>
                <w:rFonts w:ascii="Arial" w:cs="Arial" w:eastAsia="Arial" w:hAnsi="Arial"/>
                <w:sz w:val="14"/>
                <w:szCs w:val="14"/>
                <w:color w:val="auto"/>
              </w:rPr>
              <w:t>11,664,538</w:t>
            </w:r>
          </w:p>
        </w:tc>
      </w:tr>
      <w:tr>
        <w:trPr>
          <w:trHeight w:val="307"/>
        </w:trPr>
        <w:tc>
          <w:tcPr>
            <w:tcW w:w="2840" w:type="dxa"/>
            <w:vAlign w:val="bottom"/>
          </w:tcPr>
          <w:p>
            <w:pPr>
              <w:spacing w:after="0"/>
              <w:rPr>
                <w:sz w:val="20"/>
                <w:szCs w:val="20"/>
                <w:color w:val="auto"/>
              </w:rPr>
            </w:pPr>
            <w:r>
              <w:rPr>
                <w:rFonts w:ascii="Arial" w:cs="Arial" w:eastAsia="Arial" w:hAnsi="Arial"/>
                <w:sz w:val="18"/>
                <w:szCs w:val="18"/>
                <w:color w:val="auto"/>
              </w:rPr>
              <w:t>________</w:t>
            </w: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6909435"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09435" cy="137160"/>
                    </a:xfrm>
                    <a:prstGeom prst="rect">
                      <a:avLst/>
                    </a:prstGeom>
                    <a:noFill/>
                  </pic:spPr>
                </pic:pic>
              </a:graphicData>
            </a:graphic>
          </wp:anchor>
        </w:drawing>
      </w:r>
    </w:p>
    <w:p>
      <w:pPr>
        <w:ind w:left="140" w:hanging="132"/>
        <w:spacing w:after="0" w:line="222" w:lineRule="auto"/>
        <w:tabs>
          <w:tab w:leader="none" w:pos="140" w:val="left"/>
        </w:tabs>
        <w:numPr>
          <w:ilvl w:val="0"/>
          <w:numId w:val="101"/>
        </w:numPr>
        <w:rPr>
          <w:rFonts w:ascii="Arial" w:cs="Arial" w:eastAsia="Arial" w:hAnsi="Arial"/>
          <w:sz w:val="16"/>
          <w:szCs w:val="16"/>
          <w:color w:val="auto"/>
          <w:vertAlign w:val="superscript"/>
        </w:rPr>
      </w:pPr>
      <w:r>
        <w:rPr>
          <w:rFonts w:ascii="Arial" w:cs="Arial" w:eastAsia="Arial" w:hAnsi="Arial"/>
          <w:sz w:val="12"/>
          <w:szCs w:val="12"/>
          <w:color w:val="auto"/>
        </w:rPr>
        <w:t>The Executive Group consists of executives of the Company who are not NEOs.</w:t>
      </w:r>
    </w:p>
    <w:p>
      <w:pPr>
        <w:ind w:left="140" w:hanging="132"/>
        <w:spacing w:after="0"/>
        <w:tabs>
          <w:tab w:leader="none" w:pos="140" w:val="left"/>
        </w:tabs>
        <w:numPr>
          <w:ilvl w:val="0"/>
          <w:numId w:val="101"/>
        </w:numPr>
        <w:rPr>
          <w:rFonts w:ascii="Arial" w:cs="Arial" w:eastAsia="Arial" w:hAnsi="Arial"/>
          <w:sz w:val="9"/>
          <w:szCs w:val="9"/>
          <w:color w:val="auto"/>
        </w:rPr>
      </w:pPr>
      <w:r>
        <w:rPr>
          <w:rFonts w:ascii="Arial" w:cs="Arial" w:eastAsia="Arial" w:hAnsi="Arial"/>
          <w:sz w:val="14"/>
          <w:szCs w:val="14"/>
          <w:color w:val="auto"/>
        </w:rPr>
        <w:t>The Non-Executive Director Group consists of the non-employee Directors of the Company. Number of Units was calculated using the average closing market price of our</w:t>
      </w:r>
    </w:p>
    <w:p>
      <w:pPr>
        <w:spacing w:after="0" w:line="15" w:lineRule="exact"/>
        <w:rPr>
          <w:sz w:val="20"/>
          <w:szCs w:val="20"/>
          <w:color w:val="auto"/>
        </w:rPr>
      </w:pPr>
    </w:p>
    <w:p>
      <w:pPr>
        <w:ind w:left="180" w:right="100"/>
        <w:spacing w:after="0" w:line="255" w:lineRule="auto"/>
        <w:rPr>
          <w:sz w:val="20"/>
          <w:szCs w:val="20"/>
          <w:color w:val="auto"/>
        </w:rPr>
      </w:pPr>
      <w:r>
        <w:rPr>
          <w:rFonts w:ascii="Arial" w:cs="Arial" w:eastAsia="Arial" w:hAnsi="Arial"/>
          <w:sz w:val="14"/>
          <w:szCs w:val="14"/>
          <w:color w:val="auto"/>
        </w:rPr>
        <w:t>common stock over the 15 trading days preceding the grant date March 11, 2026. Actual Number of Units will be recalculated using the 15-day trailing average closing share price as of the May 20, 2026, grant date.</w:t>
      </w:r>
    </w:p>
    <w:p>
      <w:pPr>
        <w:ind w:left="180" w:right="160" w:hanging="172"/>
        <w:spacing w:after="0" w:line="225" w:lineRule="auto"/>
        <w:tabs>
          <w:tab w:leader="none" w:pos="158"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The amounts shown in this column represent the number of PSUs that will be earned if target performance is achieved. The number of PSUs that will be earned if maximum performance is achieved is 5,258,428.</w:t>
      </w:r>
    </w:p>
    <w:p>
      <w:pPr>
        <w:ind w:left="160" w:hanging="152"/>
        <w:spacing w:after="0"/>
        <w:tabs>
          <w:tab w:leader="none" w:pos="160" w:val="left"/>
        </w:tabs>
        <w:numPr>
          <w:ilvl w:val="0"/>
          <w:numId w:val="102"/>
        </w:numPr>
        <w:rPr>
          <w:rFonts w:ascii="Arial" w:cs="Arial" w:eastAsia="Arial" w:hAnsi="Arial"/>
          <w:sz w:val="9"/>
          <w:szCs w:val="9"/>
          <w:color w:val="auto"/>
        </w:rPr>
      </w:pPr>
      <w:r>
        <w:rPr>
          <w:rFonts w:ascii="Arial" w:cs="Arial" w:eastAsia="Arial" w:hAnsi="Arial"/>
          <w:sz w:val="14"/>
          <w:szCs w:val="14"/>
          <w:color w:val="auto"/>
        </w:rPr>
        <w:t>Number of Units was calculated using the average closing market price of our common stock over the 15 trading days preceding the grant date of March 11, 2026.</w:t>
      </w:r>
    </w:p>
    <w:p>
      <w:pPr>
        <w:spacing w:after="0" w:line="14" w:lineRule="exact"/>
        <w:rPr>
          <w:rFonts w:ascii="Arial" w:cs="Arial" w:eastAsia="Arial" w:hAnsi="Arial"/>
          <w:sz w:val="9"/>
          <w:szCs w:val="9"/>
          <w:color w:val="auto"/>
        </w:rPr>
      </w:pPr>
    </w:p>
    <w:p>
      <w:pPr>
        <w:ind w:left="140" w:hanging="132"/>
        <w:spacing w:after="0"/>
        <w:tabs>
          <w:tab w:leader="none" w:pos="140" w:val="left"/>
        </w:tabs>
        <w:numPr>
          <w:ilvl w:val="0"/>
          <w:numId w:val="102"/>
        </w:numPr>
        <w:rPr>
          <w:rFonts w:ascii="Arial" w:cs="Arial" w:eastAsia="Arial" w:hAnsi="Arial"/>
          <w:sz w:val="9"/>
          <w:szCs w:val="9"/>
          <w:color w:val="auto"/>
        </w:rPr>
      </w:pPr>
      <w:r>
        <w:rPr>
          <w:rFonts w:ascii="Arial" w:cs="Arial" w:eastAsia="Arial" w:hAnsi="Arial"/>
          <w:sz w:val="14"/>
          <w:szCs w:val="14"/>
          <w:color w:val="auto"/>
        </w:rPr>
        <w:t>The amounts shown in this column represent the contingent number of RSUs.</w:t>
      </w:r>
    </w:p>
    <w:p>
      <w:pPr>
        <w:spacing w:after="0" w:line="14" w:lineRule="exact"/>
        <w:rPr>
          <w:rFonts w:ascii="Arial" w:cs="Arial" w:eastAsia="Arial" w:hAnsi="Arial"/>
          <w:sz w:val="9"/>
          <w:szCs w:val="9"/>
          <w:color w:val="auto"/>
        </w:rPr>
      </w:pPr>
    </w:p>
    <w:p>
      <w:pPr>
        <w:ind w:left="140" w:hanging="132"/>
        <w:spacing w:after="0" w:line="229" w:lineRule="auto"/>
        <w:tabs>
          <w:tab w:leader="none" w:pos="140" w:val="left"/>
        </w:tabs>
        <w:numPr>
          <w:ilvl w:val="0"/>
          <w:numId w:val="102"/>
        </w:numPr>
        <w:rPr>
          <w:rFonts w:ascii="Arial" w:cs="Arial" w:eastAsia="Arial" w:hAnsi="Arial"/>
          <w:sz w:val="16"/>
          <w:szCs w:val="16"/>
          <w:color w:val="auto"/>
          <w:vertAlign w:val="superscript"/>
        </w:rPr>
      </w:pPr>
      <w:r>
        <w:rPr>
          <w:rFonts w:ascii="Arial" w:cs="Arial" w:eastAsia="Arial" w:hAnsi="Arial"/>
          <w:sz w:val="12"/>
          <w:szCs w:val="12"/>
          <w:color w:val="auto"/>
        </w:rPr>
        <w:t>The amounts shown in this column represent the contingent number of PSUs.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Plan Awards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awards set forth above are the only awards granted to any employee or non-employee director pursuant to the Plan that are contingent upon the approval by our shareholders of the Plan Amendment. We anticipate that future equity-based awards may be granted at the discretion of the Committee under the Plan out of the additional Shares to be reserved for issuance in connection with the approval of the Plan Amendment; however, the number of Shares that may be so granted will be based upon various prospective factors, including the nature of services to be rendered by our employees and non-employee directors, and their potential contributions to our success. Accordingly, the number, type and grantee(s) of actual future awards, other than the contingent awards listed in the preceding section, cannot be determined at this time.</w:t>
      </w:r>
    </w:p>
    <w:p>
      <w:pPr>
        <w:spacing w:after="0" w:line="7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If the Plan Amendment is approved by our shareholders, the additional Shares available for issuance under the Plan will be registered pursuant to a registration statement on Form S-8 promptly after such shareholder approval is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Equity Compensation Plan Information table provides information as of December 31, 2025, with respect to shares of the Company’s common stock that may be issued under the Plan and the Predecessor Plans. Each of these plans has been approved by shareholders. The amounts shown do not include the Shares that would be available for issuance under the Plan if this Proposal 4 is approved.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shd w:val="clear" w:color="auto" w:fill="C00000"/>
          </w:tcPr>
          <w:p>
            <w:pPr>
              <w:ind w:left="20"/>
              <w:spacing w:after="0"/>
              <w:rPr>
                <w:sz w:val="20"/>
                <w:szCs w:val="20"/>
                <w:color w:val="auto"/>
              </w:rPr>
            </w:pPr>
            <w:r>
              <w:rPr>
                <w:rFonts w:ascii="Arial" w:cs="Arial" w:eastAsia="Arial" w:hAnsi="Arial"/>
                <w:sz w:val="16"/>
                <w:szCs w:val="16"/>
                <w:b w:val="1"/>
                <w:bCs w:val="1"/>
                <w:color w:val="FFFFFF"/>
              </w:rPr>
              <w:t>Equity Compensation Plan</w:t>
            </w:r>
          </w:p>
        </w:tc>
        <w:tc>
          <w:tcPr>
            <w:tcW w:w="274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288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Weighted Average Exercise Price of</w:t>
            </w:r>
          </w:p>
        </w:tc>
        <w:tc>
          <w:tcPr>
            <w:tcW w:w="278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Securities Remaining Available for</w:t>
            </w:r>
          </w:p>
        </w:tc>
        <w:tc>
          <w:tcPr>
            <w:tcW w:w="0" w:type="dxa"/>
            <w:vAlign w:val="bottom"/>
          </w:tcPr>
          <w:p>
            <w:pPr>
              <w:spacing w:after="0"/>
              <w:rPr>
                <w:sz w:val="1"/>
                <w:szCs w:val="1"/>
                <w:color w:val="auto"/>
              </w:rPr>
            </w:pPr>
          </w:p>
        </w:tc>
      </w:tr>
      <w:tr>
        <w:trPr>
          <w:trHeight w:val="189"/>
        </w:trPr>
        <w:tc>
          <w:tcPr>
            <w:tcW w:w="2840" w:type="dxa"/>
            <w:vAlign w:val="bottom"/>
            <w:shd w:val="clear" w:color="auto" w:fill="C00000"/>
          </w:tcPr>
          <w:p>
            <w:pPr>
              <w:ind w:left="20"/>
              <w:spacing w:after="0"/>
              <w:rPr>
                <w:sz w:val="20"/>
                <w:szCs w:val="20"/>
                <w:color w:val="auto"/>
              </w:rPr>
            </w:pPr>
            <w:r>
              <w:rPr>
                <w:rFonts w:ascii="Arial" w:cs="Arial" w:eastAsia="Arial" w:hAnsi="Arial"/>
                <w:sz w:val="16"/>
                <w:szCs w:val="16"/>
                <w:b w:val="1"/>
                <w:bCs w:val="1"/>
                <w:color w:val="FFFFFF"/>
              </w:rPr>
              <w:t>Category</w:t>
            </w:r>
          </w:p>
        </w:tc>
        <w:tc>
          <w:tcPr>
            <w:tcW w:w="274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to be Issued Upon Exercise of</w:t>
            </w:r>
          </w:p>
        </w:tc>
        <w:tc>
          <w:tcPr>
            <w:tcW w:w="288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Outstanding Options, Warrants and</w:t>
            </w:r>
          </w:p>
        </w:tc>
        <w:tc>
          <w:tcPr>
            <w:tcW w:w="278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Future Issuance</w:t>
            </w:r>
          </w:p>
        </w:tc>
        <w:tc>
          <w:tcPr>
            <w:tcW w:w="0" w:type="dxa"/>
            <w:vAlign w:val="bottom"/>
          </w:tcPr>
          <w:p>
            <w:pPr>
              <w:spacing w:after="0"/>
              <w:rPr>
                <w:sz w:val="1"/>
                <w:szCs w:val="1"/>
                <w:color w:val="auto"/>
              </w:rPr>
            </w:pPr>
          </w:p>
        </w:tc>
      </w:tr>
      <w:tr>
        <w:trPr>
          <w:trHeight w:val="167"/>
        </w:trPr>
        <w:tc>
          <w:tcPr>
            <w:tcW w:w="2840" w:type="dxa"/>
            <w:vAlign w:val="bottom"/>
            <w:shd w:val="clear" w:color="auto" w:fill="C00000"/>
          </w:tcPr>
          <w:p>
            <w:pPr>
              <w:spacing w:after="0"/>
              <w:rPr>
                <w:sz w:val="14"/>
                <w:szCs w:val="14"/>
                <w:color w:val="auto"/>
              </w:rPr>
            </w:pPr>
          </w:p>
        </w:tc>
        <w:tc>
          <w:tcPr>
            <w:tcW w:w="2740" w:type="dxa"/>
            <w:vAlign w:val="bottom"/>
            <w:shd w:val="clear" w:color="auto" w:fill="C00000"/>
          </w:tcPr>
          <w:p>
            <w:pPr>
              <w:jc w:val="center"/>
              <w:spacing w:after="0" w:line="167" w:lineRule="exact"/>
              <w:rPr>
                <w:sz w:val="20"/>
                <w:szCs w:val="20"/>
                <w:color w:val="auto"/>
              </w:rPr>
            </w:pPr>
            <w:r>
              <w:rPr>
                <w:rFonts w:ascii="Arial" w:cs="Arial" w:eastAsia="Arial" w:hAnsi="Arial"/>
                <w:sz w:val="16"/>
                <w:szCs w:val="16"/>
                <w:b w:val="1"/>
                <w:bCs w:val="1"/>
                <w:color w:val="FFFFFF"/>
              </w:rPr>
              <w:t>Outstanding Options, Warrants &amp;</w:t>
            </w:r>
          </w:p>
        </w:tc>
        <w:tc>
          <w:tcPr>
            <w:tcW w:w="2880" w:type="dxa"/>
            <w:vAlign w:val="bottom"/>
            <w:shd w:val="clear" w:color="auto" w:fill="C00000"/>
          </w:tcPr>
          <w:p>
            <w:pPr>
              <w:jc w:val="center"/>
              <w:spacing w:after="0" w:line="167" w:lineRule="exact"/>
              <w:rPr>
                <w:sz w:val="20"/>
                <w:szCs w:val="20"/>
                <w:color w:val="auto"/>
              </w:rPr>
            </w:pPr>
            <w:r>
              <w:rPr>
                <w:rFonts w:ascii="Arial" w:cs="Arial" w:eastAsia="Arial" w:hAnsi="Arial"/>
                <w:sz w:val="16"/>
                <w:szCs w:val="16"/>
                <w:b w:val="1"/>
                <w:bCs w:val="1"/>
                <w:color w:val="FFFFFF"/>
              </w:rPr>
              <w:t>Rights ($)(B)</w:t>
            </w:r>
          </w:p>
        </w:tc>
        <w:tc>
          <w:tcPr>
            <w:tcW w:w="2780" w:type="dxa"/>
            <w:vAlign w:val="bottom"/>
            <w:shd w:val="clear" w:color="auto" w:fill="C00000"/>
          </w:tcPr>
          <w:p>
            <w:pPr>
              <w:jc w:val="center"/>
              <w:spacing w:after="0" w:line="167" w:lineRule="exact"/>
              <w:rPr>
                <w:sz w:val="20"/>
                <w:szCs w:val="20"/>
                <w:color w:val="auto"/>
              </w:rPr>
            </w:pPr>
            <w:r>
              <w:rPr>
                <w:rFonts w:ascii="Arial" w:cs="Arial" w:eastAsia="Arial" w:hAnsi="Arial"/>
                <w:sz w:val="16"/>
                <w:szCs w:val="16"/>
                <w:b w:val="1"/>
                <w:bCs w:val="1"/>
                <w:color w:val="FFFFFF"/>
              </w:rPr>
              <w:t>Under Equity Compensation Plans</w:t>
            </w:r>
          </w:p>
        </w:tc>
        <w:tc>
          <w:tcPr>
            <w:tcW w:w="0" w:type="dxa"/>
            <w:vAlign w:val="bottom"/>
          </w:tcPr>
          <w:p>
            <w:pPr>
              <w:spacing w:after="0"/>
              <w:rPr>
                <w:sz w:val="1"/>
                <w:szCs w:val="1"/>
                <w:color w:val="auto"/>
              </w:rPr>
            </w:pPr>
          </w:p>
        </w:tc>
      </w:tr>
      <w:tr>
        <w:trPr>
          <w:trHeight w:val="198"/>
        </w:trPr>
        <w:tc>
          <w:tcPr>
            <w:tcW w:w="2840" w:type="dxa"/>
            <w:vAlign w:val="bottom"/>
            <w:shd w:val="clear" w:color="auto" w:fill="C00000"/>
          </w:tcPr>
          <w:p>
            <w:pPr>
              <w:spacing w:after="0"/>
              <w:rPr>
                <w:sz w:val="17"/>
                <w:szCs w:val="17"/>
                <w:color w:val="auto"/>
              </w:rPr>
            </w:pPr>
          </w:p>
        </w:tc>
        <w:tc>
          <w:tcPr>
            <w:tcW w:w="2740" w:type="dxa"/>
            <w:vAlign w:val="bottom"/>
            <w:shd w:val="clear" w:color="auto" w:fill="C00000"/>
          </w:tcPr>
          <w:p>
            <w:pPr>
              <w:jc w:val="center"/>
              <w:spacing w:after="0" w:line="198" w:lineRule="exact"/>
              <w:rPr>
                <w:sz w:val="20"/>
                <w:szCs w:val="20"/>
                <w:color w:val="auto"/>
              </w:rPr>
            </w:pPr>
            <w:r>
              <w:rPr>
                <w:rFonts w:ascii="Arial" w:cs="Arial" w:eastAsia="Arial" w:hAnsi="Arial"/>
                <w:sz w:val="16"/>
                <w:szCs w:val="16"/>
                <w:b w:val="1"/>
                <w:bCs w:val="1"/>
                <w:color w:val="FFFFFF"/>
                <w:w w:val="98"/>
              </w:rPr>
              <w:t>Rights</w:t>
            </w:r>
            <w:r>
              <w:rPr>
                <w:rFonts w:ascii="Arial" w:cs="Arial" w:eastAsia="Arial" w:hAnsi="Arial"/>
                <w:sz w:val="22"/>
                <w:szCs w:val="22"/>
                <w:b w:val="1"/>
                <w:bCs w:val="1"/>
                <w:color w:val="FFFFFF"/>
                <w:w w:val="98"/>
                <w:vertAlign w:val="superscript"/>
              </w:rPr>
              <w:t>(1</w:t>
            </w:r>
            <w:r>
              <w:rPr>
                <w:rFonts w:ascii="Arial" w:cs="Arial" w:eastAsia="Arial" w:hAnsi="Arial"/>
                <w:sz w:val="20"/>
                <w:szCs w:val="20"/>
                <w:b w:val="1"/>
                <w:bCs w:val="1"/>
                <w:color w:val="FFFFFF"/>
                <w:w w:val="98"/>
                <w:vertAlign w:val="superscript"/>
              </w:rPr>
              <w:t>)</w:t>
            </w:r>
            <w:r>
              <w:rPr>
                <w:rFonts w:ascii="Arial" w:cs="Arial" w:eastAsia="Arial" w:hAnsi="Arial"/>
                <w:sz w:val="16"/>
                <w:szCs w:val="16"/>
                <w:b w:val="1"/>
                <w:bCs w:val="1"/>
                <w:color w:val="FFFFFF"/>
                <w:w w:val="98"/>
              </w:rPr>
              <w:t xml:space="preserve"> (#)(A)</w:t>
            </w:r>
          </w:p>
        </w:tc>
        <w:tc>
          <w:tcPr>
            <w:tcW w:w="2880" w:type="dxa"/>
            <w:vAlign w:val="bottom"/>
            <w:shd w:val="clear" w:color="auto" w:fill="C00000"/>
          </w:tcPr>
          <w:p>
            <w:pPr>
              <w:spacing w:after="0"/>
              <w:rPr>
                <w:sz w:val="17"/>
                <w:szCs w:val="17"/>
                <w:color w:val="auto"/>
              </w:rPr>
            </w:pPr>
          </w:p>
        </w:tc>
        <w:tc>
          <w:tcPr>
            <w:tcW w:w="2780" w:type="dxa"/>
            <w:vAlign w:val="bottom"/>
            <w:shd w:val="clear" w:color="auto" w:fill="C00000"/>
          </w:tcPr>
          <w:p>
            <w:pPr>
              <w:jc w:val="center"/>
              <w:spacing w:after="0"/>
              <w:rPr>
                <w:sz w:val="20"/>
                <w:szCs w:val="20"/>
                <w:color w:val="auto"/>
              </w:rPr>
            </w:pPr>
            <w:r>
              <w:rPr>
                <w:rFonts w:ascii="Arial" w:cs="Arial" w:eastAsia="Arial" w:hAnsi="Arial"/>
                <w:sz w:val="16"/>
                <w:szCs w:val="16"/>
                <w:b w:val="1"/>
                <w:bCs w:val="1"/>
                <w:color w:val="FFFFFF"/>
              </w:rPr>
              <w:t>(Excluding Securities Reflected in</w:t>
            </w:r>
          </w:p>
        </w:tc>
        <w:tc>
          <w:tcPr>
            <w:tcW w:w="0" w:type="dxa"/>
            <w:vAlign w:val="bottom"/>
          </w:tcPr>
          <w:p>
            <w:pPr>
              <w:spacing w:after="0"/>
              <w:rPr>
                <w:sz w:val="1"/>
                <w:szCs w:val="1"/>
                <w:color w:val="auto"/>
              </w:rPr>
            </w:pPr>
          </w:p>
        </w:tc>
      </w:tr>
      <w:tr>
        <w:trPr>
          <w:trHeight w:val="230"/>
        </w:trPr>
        <w:tc>
          <w:tcPr>
            <w:tcW w:w="2840" w:type="dxa"/>
            <w:vAlign w:val="bottom"/>
            <w:shd w:val="clear" w:color="auto" w:fill="C00000"/>
          </w:tcPr>
          <w:p>
            <w:pPr>
              <w:spacing w:after="0"/>
              <w:rPr>
                <w:sz w:val="20"/>
                <w:szCs w:val="20"/>
                <w:color w:val="auto"/>
              </w:rPr>
            </w:pPr>
          </w:p>
        </w:tc>
        <w:tc>
          <w:tcPr>
            <w:tcW w:w="2740" w:type="dxa"/>
            <w:vAlign w:val="bottom"/>
            <w:shd w:val="clear" w:color="auto" w:fill="C00000"/>
          </w:tcPr>
          <w:p>
            <w:pPr>
              <w:spacing w:after="0"/>
              <w:rPr>
                <w:sz w:val="20"/>
                <w:szCs w:val="20"/>
                <w:color w:val="auto"/>
              </w:rPr>
            </w:pPr>
          </w:p>
        </w:tc>
        <w:tc>
          <w:tcPr>
            <w:tcW w:w="2880" w:type="dxa"/>
            <w:vAlign w:val="bottom"/>
            <w:shd w:val="clear" w:color="auto" w:fill="C00000"/>
          </w:tcPr>
          <w:p>
            <w:pPr>
              <w:spacing w:after="0"/>
              <w:rPr>
                <w:sz w:val="20"/>
                <w:szCs w:val="20"/>
                <w:color w:val="auto"/>
              </w:rPr>
            </w:pPr>
          </w:p>
        </w:tc>
        <w:tc>
          <w:tcPr>
            <w:tcW w:w="2780" w:type="dxa"/>
            <w:vAlign w:val="bottom"/>
            <w:shd w:val="clear" w:color="auto" w:fill="C00000"/>
          </w:tcPr>
          <w:p>
            <w:pPr>
              <w:jc w:val="center"/>
              <w:spacing w:after="0" w:line="230" w:lineRule="exact"/>
              <w:rPr>
                <w:sz w:val="20"/>
                <w:szCs w:val="20"/>
                <w:color w:val="auto"/>
              </w:rPr>
            </w:pPr>
            <w:r>
              <w:rPr>
                <w:rFonts w:ascii="Arial" w:cs="Arial" w:eastAsia="Arial" w:hAnsi="Arial"/>
                <w:sz w:val="16"/>
                <w:szCs w:val="16"/>
                <w:b w:val="1"/>
                <w:bCs w:val="1"/>
                <w:color w:val="FFFFFF"/>
                <w:w w:val="98"/>
              </w:rPr>
              <w:t>Column A)</w:t>
            </w:r>
            <w:r>
              <w:rPr>
                <w:rFonts w:ascii="Arial" w:cs="Arial" w:eastAsia="Arial" w:hAnsi="Arial"/>
                <w:sz w:val="21"/>
                <w:szCs w:val="21"/>
                <w:b w:val="1"/>
                <w:bCs w:val="1"/>
                <w:color w:val="FFFFFF"/>
                <w:w w:val="98"/>
                <w:vertAlign w:val="superscript"/>
              </w:rPr>
              <w:t>(2)</w:t>
            </w:r>
            <w:r>
              <w:rPr>
                <w:rFonts w:ascii="Arial" w:cs="Arial" w:eastAsia="Arial" w:hAnsi="Arial"/>
                <w:sz w:val="16"/>
                <w:szCs w:val="16"/>
                <w:b w:val="1"/>
                <w:bCs w:val="1"/>
                <w:color w:val="FFFFFF"/>
                <w:w w:val="98"/>
              </w:rPr>
              <w:t xml:space="preserve"> (#)(C)</w:t>
            </w: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line="175" w:lineRule="exact"/>
              <w:rPr>
                <w:sz w:val="20"/>
                <w:szCs w:val="20"/>
                <w:color w:val="auto"/>
              </w:rPr>
            </w:pPr>
            <w:r>
              <w:rPr>
                <w:rFonts w:ascii="Arial" w:cs="Arial" w:eastAsia="Arial" w:hAnsi="Arial"/>
                <w:sz w:val="16"/>
                <w:szCs w:val="16"/>
                <w:color w:val="auto"/>
              </w:rPr>
              <w:t>Equity Compensation Plans Approved</w:t>
            </w:r>
          </w:p>
        </w:tc>
        <w:tc>
          <w:tcPr>
            <w:tcW w:w="2740" w:type="dxa"/>
            <w:vAlign w:val="bottom"/>
            <w:vMerge w:val="restart"/>
          </w:tcPr>
          <w:p>
            <w:pPr>
              <w:jc w:val="center"/>
              <w:spacing w:after="0"/>
              <w:rPr>
                <w:sz w:val="20"/>
                <w:szCs w:val="20"/>
                <w:color w:val="auto"/>
              </w:rPr>
            </w:pPr>
            <w:r>
              <w:rPr>
                <w:rFonts w:ascii="Arial" w:cs="Arial" w:eastAsia="Arial" w:hAnsi="Arial"/>
                <w:sz w:val="16"/>
                <w:szCs w:val="16"/>
                <w:color w:val="auto"/>
                <w:w w:val="99"/>
              </w:rPr>
              <w:t>14,394,788</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rPr>
              <w:t>$26.23</w:t>
            </w:r>
          </w:p>
        </w:tc>
        <w:tc>
          <w:tcPr>
            <w:tcW w:w="2780" w:type="dxa"/>
            <w:vAlign w:val="bottom"/>
            <w:vMerge w:val="restart"/>
          </w:tcPr>
          <w:p>
            <w:pPr>
              <w:jc w:val="center"/>
              <w:spacing w:after="0"/>
              <w:rPr>
                <w:sz w:val="20"/>
                <w:szCs w:val="20"/>
                <w:color w:val="auto"/>
              </w:rPr>
            </w:pPr>
            <w:r>
              <w:rPr>
                <w:rFonts w:ascii="Arial" w:cs="Arial" w:eastAsia="Arial" w:hAnsi="Arial"/>
                <w:sz w:val="16"/>
                <w:szCs w:val="16"/>
                <w:color w:val="auto"/>
              </w:rPr>
              <w:t>2,729,368</w:t>
            </w:r>
          </w:p>
        </w:tc>
        <w:tc>
          <w:tcPr>
            <w:tcW w:w="0" w:type="dxa"/>
            <w:vAlign w:val="bottom"/>
          </w:tcPr>
          <w:p>
            <w:pPr>
              <w:spacing w:after="0"/>
              <w:rPr>
                <w:sz w:val="1"/>
                <w:szCs w:val="1"/>
                <w:color w:val="auto"/>
              </w:rPr>
            </w:pPr>
          </w:p>
        </w:tc>
      </w:tr>
      <w:tr>
        <w:trPr>
          <w:trHeight w:val="134"/>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By Shareholders</w:t>
            </w:r>
          </w:p>
        </w:tc>
        <w:tc>
          <w:tcPr>
            <w:tcW w:w="2740" w:type="dxa"/>
            <w:vAlign w:val="bottom"/>
            <w:vMerge w:val="continue"/>
          </w:tcPr>
          <w:p>
            <w:pPr>
              <w:spacing w:after="0"/>
              <w:rPr>
                <w:sz w:val="11"/>
                <w:szCs w:val="11"/>
                <w:color w:val="auto"/>
              </w:rPr>
            </w:pPr>
          </w:p>
        </w:tc>
        <w:tc>
          <w:tcPr>
            <w:tcW w:w="2880" w:type="dxa"/>
            <w:vAlign w:val="bottom"/>
            <w:vMerge w:val="continue"/>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4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8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Equity Compensation Plans</w:t>
            </w:r>
          </w:p>
        </w:tc>
        <w:tc>
          <w:tcPr>
            <w:tcW w:w="274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2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27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4"/>
        </w:trPr>
        <w:tc>
          <w:tcPr>
            <w:tcW w:w="284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Not Approved By Shareholders</w:t>
            </w:r>
          </w:p>
        </w:tc>
        <w:tc>
          <w:tcPr>
            <w:tcW w:w="2740" w:type="dxa"/>
            <w:vAlign w:val="bottom"/>
            <w:vMerge w:val="continue"/>
            <w:shd w:val="clear" w:color="auto" w:fill="DBDBDB"/>
          </w:tcPr>
          <w:p>
            <w:pPr>
              <w:spacing w:after="0"/>
              <w:rPr>
                <w:sz w:val="11"/>
                <w:szCs w:val="11"/>
                <w:color w:val="auto"/>
              </w:rPr>
            </w:pPr>
          </w:p>
        </w:tc>
        <w:tc>
          <w:tcPr>
            <w:tcW w:w="2880" w:type="dxa"/>
            <w:vAlign w:val="bottom"/>
            <w:vMerge w:val="continue"/>
            <w:shd w:val="clear" w:color="auto" w:fill="DBDBDB"/>
          </w:tcPr>
          <w:p>
            <w:pPr>
              <w:spacing w:after="0"/>
              <w:rPr>
                <w:sz w:val="11"/>
                <w:szCs w:val="11"/>
                <w:color w:val="auto"/>
              </w:rPr>
            </w:pPr>
          </w:p>
        </w:tc>
        <w:tc>
          <w:tcPr>
            <w:tcW w:w="278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840" w:type="dxa"/>
            <w:vAlign w:val="bottom"/>
            <w:tcBorders>
              <w:bottom w:val="single" w:sz="8" w:color="DBDBDB"/>
            </w:tcBorders>
            <w:vMerge w:val="continue"/>
            <w:shd w:val="clear" w:color="auto" w:fill="DBDBDB"/>
          </w:tcPr>
          <w:p>
            <w:pPr>
              <w:spacing w:after="0"/>
              <w:rPr>
                <w:sz w:val="7"/>
                <w:szCs w:val="7"/>
                <w:color w:val="auto"/>
              </w:rPr>
            </w:pPr>
          </w:p>
        </w:tc>
        <w:tc>
          <w:tcPr>
            <w:tcW w:w="2740" w:type="dxa"/>
            <w:vAlign w:val="bottom"/>
            <w:tcBorders>
              <w:bottom w:val="single" w:sz="8" w:color="DBDBDB"/>
            </w:tcBorders>
            <w:shd w:val="clear" w:color="auto" w:fill="DBDBDB"/>
          </w:tcPr>
          <w:p>
            <w:pPr>
              <w:spacing w:after="0"/>
              <w:rPr>
                <w:sz w:val="7"/>
                <w:szCs w:val="7"/>
                <w:color w:val="auto"/>
              </w:rPr>
            </w:pPr>
          </w:p>
        </w:tc>
        <w:tc>
          <w:tcPr>
            <w:tcW w:w="2880" w:type="dxa"/>
            <w:vAlign w:val="bottom"/>
            <w:tcBorders>
              <w:bottom w:val="single" w:sz="8" w:color="DBDBDB"/>
            </w:tcBorders>
            <w:shd w:val="clear" w:color="auto" w:fill="DBDBDB"/>
          </w:tcPr>
          <w:p>
            <w:pPr>
              <w:spacing w:after="0"/>
              <w:rPr>
                <w:sz w:val="7"/>
                <w:szCs w:val="7"/>
                <w:color w:val="auto"/>
              </w:rPr>
            </w:pPr>
          </w:p>
        </w:tc>
        <w:tc>
          <w:tcPr>
            <w:tcW w:w="2780" w:type="dxa"/>
            <w:vAlign w:val="bottom"/>
            <w:tcBorders>
              <w:bottom w:val="single" w:sz="8" w:color="DBDBDB"/>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4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Total</w:t>
            </w:r>
          </w:p>
        </w:tc>
        <w:tc>
          <w:tcPr>
            <w:tcW w:w="2740" w:type="dxa"/>
            <w:vAlign w:val="bottom"/>
            <w:tcBorders>
              <w:bottom w:val="single" w:sz="8" w:color="929292"/>
            </w:tcBorders>
          </w:tcPr>
          <w:p>
            <w:pPr>
              <w:jc w:val="center"/>
              <w:spacing w:after="0"/>
              <w:rPr>
                <w:sz w:val="20"/>
                <w:szCs w:val="20"/>
                <w:color w:val="auto"/>
              </w:rPr>
            </w:pPr>
            <w:r>
              <w:rPr>
                <w:rFonts w:ascii="Arial" w:cs="Arial" w:eastAsia="Arial" w:hAnsi="Arial"/>
                <w:sz w:val="16"/>
                <w:szCs w:val="16"/>
                <w:color w:val="auto"/>
                <w:w w:val="99"/>
              </w:rPr>
              <w:t>14,394,788</w:t>
            </w:r>
          </w:p>
        </w:tc>
        <w:tc>
          <w:tcPr>
            <w:tcW w:w="2880" w:type="dxa"/>
            <w:vAlign w:val="bottom"/>
            <w:tcBorders>
              <w:bottom w:val="single" w:sz="8" w:color="929292"/>
            </w:tcBorders>
          </w:tcPr>
          <w:p>
            <w:pPr>
              <w:jc w:val="center"/>
              <w:spacing w:after="0"/>
              <w:rPr>
                <w:sz w:val="20"/>
                <w:szCs w:val="20"/>
                <w:color w:val="auto"/>
              </w:rPr>
            </w:pPr>
            <w:r>
              <w:rPr>
                <w:rFonts w:ascii="Arial" w:cs="Arial" w:eastAsia="Arial" w:hAnsi="Arial"/>
                <w:sz w:val="16"/>
                <w:szCs w:val="16"/>
                <w:color w:val="auto"/>
              </w:rPr>
              <w:t>$26.23</w:t>
            </w:r>
          </w:p>
        </w:tc>
        <w:tc>
          <w:tcPr>
            <w:tcW w:w="2780" w:type="dxa"/>
            <w:vAlign w:val="bottom"/>
            <w:tcBorders>
              <w:bottom w:val="single" w:sz="8" w:color="929292"/>
            </w:tcBorders>
          </w:tcPr>
          <w:p>
            <w:pPr>
              <w:jc w:val="center"/>
              <w:spacing w:after="0"/>
              <w:rPr>
                <w:sz w:val="20"/>
                <w:szCs w:val="20"/>
                <w:color w:val="auto"/>
              </w:rPr>
            </w:pPr>
            <w:r>
              <w:rPr>
                <w:rFonts w:ascii="Arial" w:cs="Arial" w:eastAsia="Arial" w:hAnsi="Arial"/>
                <w:sz w:val="16"/>
                <w:szCs w:val="16"/>
                <w:color w:val="auto"/>
              </w:rPr>
              <w:t>2,729,368</w:t>
            </w:r>
          </w:p>
        </w:tc>
        <w:tc>
          <w:tcPr>
            <w:tcW w:w="0" w:type="dxa"/>
            <w:vAlign w:val="bottom"/>
          </w:tcPr>
          <w:p>
            <w:pPr>
              <w:spacing w:after="0"/>
              <w:rPr>
                <w:sz w:val="1"/>
                <w:szCs w:val="1"/>
                <w:color w:val="auto"/>
              </w:rPr>
            </w:pPr>
          </w:p>
        </w:tc>
      </w:tr>
      <w:tr>
        <w:trPr>
          <w:trHeight w:val="283"/>
        </w:trPr>
        <w:tc>
          <w:tcPr>
            <w:tcW w:w="2840" w:type="dxa"/>
            <w:vAlign w:val="bottom"/>
          </w:tcPr>
          <w:p>
            <w:pPr>
              <w:spacing w:after="0"/>
              <w:rPr>
                <w:sz w:val="20"/>
                <w:szCs w:val="20"/>
                <w:color w:val="auto"/>
              </w:rPr>
            </w:pPr>
            <w:r>
              <w:rPr>
                <w:rFonts w:ascii="Arial" w:cs="Arial" w:eastAsia="Arial" w:hAnsi="Arial"/>
                <w:sz w:val="18"/>
                <w:szCs w:val="18"/>
                <w:color w:val="auto"/>
              </w:rPr>
              <w:t>________</w:t>
            </w:r>
          </w:p>
        </w:tc>
        <w:tc>
          <w:tcPr>
            <w:tcW w:w="2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80" w:hanging="172"/>
        <w:spacing w:after="0" w:line="228" w:lineRule="auto"/>
        <w:tabs>
          <w:tab w:leader="none" w:pos="191"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Consists of (i) 11,339,065 RSUs, (ii) 2,417,910 PSUs at target level performance, (iii) 541,336 DSUs, (iv) 4,118 dividend equivalent units (“DEUs”) and (v) 92,359 stock options outstanding under the Plan and the Predecessor Plans. Because there is no exercise price associated with RSUs, PSUs, DSUs or DEUs, these stock awards are not included in the weighted-average exercise price calculation presented in column (B).</w:t>
      </w:r>
    </w:p>
    <w:p>
      <w:pPr>
        <w:ind w:left="180" w:hanging="172"/>
        <w:spacing w:after="0" w:line="201" w:lineRule="auto"/>
        <w:tabs>
          <w:tab w:leader="none" w:pos="180"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All securities remaining available for future issuance as of December 31, 2025 were available for grant pursuant to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Additional information about our executive compensation program can be found in other sections of this proxy statement, particularly the Compensation Discussion and Analysis, as well as the Summary Compensation Table and related tables, footnotes and narratives.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92231"/>
        </w:rPr>
        <w:t>The Board recommends a vote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92231"/>
        </w:rPr>
        <w:t>FOR</w:t>
      </w:r>
    </w:p>
    <w:p>
      <w:pPr>
        <w:jc w:val="center"/>
        <w:spacing w:after="0"/>
        <w:rPr>
          <w:sz w:val="20"/>
          <w:szCs w:val="20"/>
          <w:color w:val="auto"/>
        </w:rPr>
      </w:pPr>
      <w:r>
        <w:rPr>
          <w:rFonts w:ascii="Arial" w:cs="Arial" w:eastAsia="Arial" w:hAnsi="Arial"/>
          <w:sz w:val="18"/>
          <w:szCs w:val="18"/>
          <w:b w:val="1"/>
          <w:bCs w:val="1"/>
          <w:color w:val="D92231"/>
        </w:rPr>
        <w:t>the proposal to approve an amendment to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92231"/>
        </w:rPr>
        <w:t>Xerox Holdings Corporation 2024 Equity and Performance Incentive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92231"/>
        </w:rPr>
        <w:t>to increase the share reserve.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D92231"/>
        </w:rPr>
        <w:t>OTHER MATTERS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does not intend to present any other matters at this meeting. The Board has not been informed that any other person intends to present any other matter for action at this meeting other than as described in this Proxy Statement. If any other matters properly come before the meeting, the persons named in the accompanying proxy intend to vote the proxies in accordance with their best judgment.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268730" cy="548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687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Flor M. Colón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Corporate Secretary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Norwalk,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7, 2026</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D92231"/>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Owners of our Common Stock and our Series A Preferred Stock as of the Record Date are entitled to vote at the Annual Meeting. The shares owned include shares you held on that date (1) directly in your name as the shareholder of record, and/or (2) in the name of a broker, bank or other holder of record where the shares were held for you as the beneficial owner. As of the Record Date, there were 130,776,160 shares of our Common Stock outstanding and entitled to vote, each entitled to one vote on each matter to be acted upon at the Annual Meeting, and there were 180,000 shares of Series A Preferred Stock outstanding and entitled to vote, convertible into approximately 674,157 shares of Common Stock and entitled to one vote on each matter to be acted upon at the Annual Meeting for each 10 shares of Common Stock into which such shares of Series A Preferred Stock were convertible as of the Record Date (or approximately 6,741,572 votes in the aggregate attributable to the Series A Preferred Stock). Holders of the Common Stock and holders of the Series A Preferred Stock will vote together as a single class. There are no other outstanding securities of the Company entitled to vote on the proposals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shareholder of record and as a beneficial owner?</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Most Xerox shareholders hold their shares as beneficial owners (through a broker, bank, or other nominee) rather than as a shareholder of record (directly in their own name).</w:t>
      </w:r>
    </w:p>
    <w:p>
      <w:pPr>
        <w:spacing w:after="0" w:line="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 xml:space="preserve">Shareholders of Record. </w:t>
      </w:r>
      <w:r>
        <w:rPr>
          <w:rFonts w:ascii="Arial" w:cs="Arial" w:eastAsia="Arial" w:hAnsi="Arial"/>
          <w:sz w:val="18"/>
          <w:szCs w:val="18"/>
          <w:color w:val="auto"/>
        </w:rPr>
        <w:t>If your shares are registered directly in your name with our transfer agent, Computershare, you are considered,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those shares, a “shareholder of record.”</w:t>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Beneficial Owners. </w:t>
      </w:r>
      <w:r>
        <w:rPr>
          <w:rFonts w:ascii="Arial" w:cs="Arial" w:eastAsia="Arial" w:hAnsi="Arial"/>
          <w:sz w:val="18"/>
          <w:szCs w:val="18"/>
          <w:color w:val="auto"/>
        </w:rPr>
        <w:t>If your shares are held in a stock brokerage account or by a bank or other holder of record, you are considered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 owner” of shares held in “street name,” and these proxy materials are being forwarded to you by your broker, bank, or other nominee, which is considered the shareholder of record with respect to those shares. As a beneficial owner, you have the right to direct your broker, bank, or other nominee on how to vote the shares in your account. However, because you are not the shareholder of record, you may not vote these shares in person at the Annual Meeting, unless you request and provide at the Annual Meeting a valid proxy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proxy is your legal designation of another person to vote the stock you own. The person you designate is called a proxy. If you designate someone as your proxy in a written document, that document is also called a proxy or a proxy card. By submitting your proxy (either by voting electronically on the internet or by telephone or by signing and returning a proxy card), you authorize the persons named in the accompanying proxy card to represent you and vote your shares at the meeting in accordance with your instructions. They also may vote your shares to adjourn the meeting and will be authorized to vote your shares at any postponements or adjournments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or revoke my vote after I return my proxy?</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Yes. You may change or revoke your proxy at any time before it is exercised at the Annual Meeting by submitting a later dated proxy card, by a later telephone or online vote, by notifying the Secretary of the Company in writing that you have revoked your proxy or by attending the Annual Meeting and voting in person. Our proxy tabulator, American Election Services, LLC, must receive any proxy that will not be voted by a shareholder at the Annual Meeting by 11:59 p.m. ET. on Tuesday, May 19, 2026.</w:t>
      </w:r>
    </w:p>
    <w:p>
      <w:pPr>
        <w:spacing w:after="0" w:line="68"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If your shares are held in “street name” (i.e., held of record by a broker, bank or other holder of record) and you wish to revoke a proxy, you should contact your bank, broker or other holder of record and follow its procedures for changing your voting instructions. You also may vote at the Annual Meeting if you obtain a legal proxy from your bank or broker.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How will my proxy be voted?</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If you properly submit your proxy via the internet or telephone or complete, sign and return your proxy card, your shares will be voted as you specify. However, if you are a registered shareholder and you submit your proxy but do not specify a vote with respect to the proposals, your shares will be voted in accordance with the Board’s recommendation for each of the proposals. If you hold your Xerox shares through a bank, broker, or other holder of record, such intermediary may not be able to vote your shares if you return your proxy but do not specify a vote with respect to the proposals. For additional information, see below under </w:t>
      </w:r>
      <w:r>
        <w:rPr>
          <w:rFonts w:ascii="Arial" w:cs="Arial" w:eastAsia="Arial" w:hAnsi="Arial"/>
          <w:sz w:val="18"/>
          <w:szCs w:val="18"/>
          <w:i w:val="1"/>
          <w:iCs w:val="1"/>
          <w:color w:val="auto"/>
        </w:rPr>
        <w:t>What is a broker non-vote and how will it affect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are required to be present to hold the Annual Meeting?</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 quorum is necessary to hold a valid meeting of shareholders. The presence at the Annual Meeting, in person or by proxy, of holders representing a majority of the votes of shares entitled to vote at the meeting will constitute a quorum. If a quorum is not present at the Annual Meeting, the shareholders of Xerox will not be able to take action on any of the proposals at the Annual Meeting, provided that, the Annual Meeting may be adjourned as described below.</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the Record Date, there were 130,776,160 shares of Common Stock outstanding and entitled to vote, each entitled to one vote on each matter to be acted upon at the Annual Meeting, and there were 180,000 shares of Series A Preferred Stock outstanding and entitled to vote, convertible into approximately 674,157 shares of Common Stock and entitled to one vote on each matter to be acted upon at the Annual Meeting for each 10 shares of Common Stock into which such shares of Series A Preferred Stock were convertible as of the Record Date (or approximately 6,741,572 votes in the aggregate attributable to the Series A Preferred Stock). The presence at the Annual Meeting, in person or by proxy, of holders of shares entitled to 66,258,095 votes would constitute a quorum. If you vote — including by submission of a proxy by internet, telephone, or proxy card — your shares will be counted towards the quorum for the Annual Meeting. Broker non-votes and abstentions are counted as present for the purpose of determining a quorum.</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there is no quorum, the shareholders present may adjourn the Annual Meeting to another time and place, and it shall not be necessary to give any notice of such adjourned meeting if the time and place to which the Annual Meeting is adjourned are announced at the Annual Meeting. At the adjourned meeting, any business may be transacted that might have been transacted on the original date of the Annual Meeting. If after the adjournment, the Board fixes a new record date for the adjourned meeting, a notice of the adjourned meeting shall be given to each shareholder on the new record date entitled to notice under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Election of Directors. </w:t>
      </w:r>
      <w:r>
        <w:rPr>
          <w:rFonts w:ascii="Arial" w:cs="Arial" w:eastAsia="Arial" w:hAnsi="Arial"/>
          <w:sz w:val="18"/>
          <w:szCs w:val="18"/>
          <w:color w:val="auto"/>
        </w:rPr>
        <w:t>Under the By-Laws, directors are elected by majority vote, meaning that in an uncontested director election, the votes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cast “for” the nominee’s election must exceed the votes cast “against” the nominee’s election, with abstentions and broker non-votes not counting as votes “for” or “against.” The By-Laws require that any incumbent nominee for director who receives a greater number of votes cast “against” his or her election than “for” his or her election shall tender his or her resignation promptly after such election. The independent directors will then evaluate and determine, based on the relevant facts and circumstances, whether to accept or reject the resignation. The Board’s explanation of its decision will be promptly disclosed on a Form 8-K filed with the SEC.</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Other Items. </w:t>
      </w:r>
      <w:r>
        <w:rPr>
          <w:rFonts w:ascii="Arial" w:cs="Arial" w:eastAsia="Arial" w:hAnsi="Arial"/>
          <w:sz w:val="18"/>
          <w:szCs w:val="18"/>
          <w:color w:val="auto"/>
        </w:rPr>
        <w:t>The affirmative vote of a majority of the votes cast in favor of or against such action at the Annual Meeting will be required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following proposals:</w:t>
      </w:r>
    </w:p>
    <w:p>
      <w:pPr>
        <w:spacing w:after="0" w:line="45" w:lineRule="exact"/>
        <w:rPr>
          <w:sz w:val="20"/>
          <w:szCs w:val="20"/>
          <w:color w:val="auto"/>
        </w:rPr>
      </w:pPr>
    </w:p>
    <w:p>
      <w:pPr>
        <w:ind w:left="820" w:hanging="326"/>
        <w:spacing w:after="0"/>
        <w:tabs>
          <w:tab w:leader="none" w:pos="8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PwC as our independent registered public accounting firm for the fiscal year ending December 31, 2026;</w:t>
      </w:r>
    </w:p>
    <w:p>
      <w:pPr>
        <w:spacing w:after="0" w:line="117" w:lineRule="exact"/>
        <w:rPr>
          <w:rFonts w:ascii="Arial" w:cs="Arial" w:eastAsia="Arial" w:hAnsi="Arial"/>
          <w:sz w:val="18"/>
          <w:szCs w:val="18"/>
          <w:b w:val="1"/>
          <w:bCs w:val="1"/>
          <w:color w:val="auto"/>
        </w:rPr>
      </w:pPr>
    </w:p>
    <w:p>
      <w:pPr>
        <w:ind w:left="820" w:hanging="326"/>
        <w:spacing w:after="0"/>
        <w:tabs>
          <w:tab w:leader="none" w:pos="8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on an advisory basis, of the 2025 compensation of our named executive officers; and</w:t>
      </w:r>
    </w:p>
    <w:p>
      <w:pPr>
        <w:spacing w:after="0" w:line="117" w:lineRule="exact"/>
        <w:rPr>
          <w:rFonts w:ascii="Arial" w:cs="Arial" w:eastAsia="Arial" w:hAnsi="Arial"/>
          <w:sz w:val="18"/>
          <w:szCs w:val="18"/>
          <w:b w:val="1"/>
          <w:bCs w:val="1"/>
          <w:color w:val="auto"/>
        </w:rPr>
      </w:pPr>
    </w:p>
    <w:p>
      <w:pPr>
        <w:ind w:left="820" w:right="220" w:hanging="326"/>
        <w:spacing w:after="0" w:line="296" w:lineRule="auto"/>
        <w:tabs>
          <w:tab w:leader="none" w:pos="815"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Approve an amendment to the Xerox Holdings Corporation 2024 Equity and Performance Incentive Plan to increase the share reserve.</w:t>
      </w:r>
    </w:p>
    <w:p>
      <w:pPr>
        <w:spacing w:after="0" w:line="2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Abstentions, failures to vote and broker non-votes are not considered votes cast, and therefore have no effect on the outcome of the vote on the proposals (provided that a quorum is present).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101" w:name="page102"/>
    <w:bookmarkEnd w:id="101"/>
    <w:p>
      <w:pPr>
        <w:ind w:right="200"/>
        <w:spacing w:after="0" w:line="287" w:lineRule="auto"/>
        <w:rPr>
          <w:sz w:val="20"/>
          <w:szCs w:val="20"/>
          <w:color w:val="auto"/>
        </w:rPr>
      </w:pPr>
      <w:r>
        <w:rPr>
          <w:rFonts w:ascii="Arial" w:cs="Arial" w:eastAsia="Arial" w:hAnsi="Arial"/>
          <w:sz w:val="18"/>
          <w:szCs w:val="18"/>
          <w:color w:val="auto"/>
        </w:rPr>
        <w:t xml:space="preserve">If you hold your Xerox shares through a bank, broker, or other holder of record, such intermediary may not be able to vote your shares. For additional information, see below under </w:t>
      </w:r>
      <w:r>
        <w:rPr>
          <w:rFonts w:ascii="Arial" w:cs="Arial" w:eastAsia="Arial" w:hAnsi="Arial"/>
          <w:sz w:val="18"/>
          <w:szCs w:val="18"/>
          <w:i w:val="1"/>
          <w:iCs w:val="1"/>
          <w:color w:val="auto"/>
        </w:rPr>
        <w:t>What is a broker non-vote and how will it affect voting?</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Although the advisory vote on executive compensation is non-binding, the Board values the opinions of shareholders and will consider the outcome of the vote on this proposal when making future decisions regarding named executive officer compensation.</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present, the Board does not intend to present any other matters at this meeting, and knows of no matters other than these to be presented for shareholder action at the Annual Meeting. If any other matters properly come before the Annual Meeting, the persons named in the accompanying proxy card intend to vote the proxies in accordance with their best judgment and in their discretion to the extent permitted by Rule 14a-4(c)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will it affect the voting?</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broker non-vote occurs with respect to shares held in street name when a broker, bank or other holder of record, in nominee name or otherwise, submits a proxy for the Annual Meeting, but does not vote on a particular proposal because it has not received voting instructions from the beneficial owner, and it does not otherwise have discretion to vote the uninstructed shares. Brokers, banks, or other nominees are not permitted to vote your shares with respect to proposals that are deemed “non-routine” without instructions from you because such holders do not have discretionary voting power on “non-routine” proposals. Accordingly, a broker non-vote</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occurs when a broker, bank or other nominee holds shares for a beneficial owner, but is not empowered to vote on a particular proposal because the proposal is considered “non-routine” and the beneficial owner has not provided voting instructions on that proposal. The election of directors, the non-binding, advisory vote on the compensation of our named executive officers, and the amendment of the Performance Incentive Plan to increase total shares are deemed to be non-routine. As a result, if your shares are held in the name of a broker, bank or other nominee and you do not instruct the broker, bank or other nominee how to vote with respect to any such proposal, your shares will not be counted as having been voted on that proposal. However, the ratification of our independent registered public accounting firm is considered a “routine” matter. Therefore, brokers would have discretion to vote on this proposal without having received timely voting instructions from you.</w:t>
      </w:r>
    </w:p>
    <w:p>
      <w:pPr>
        <w:spacing w:after="0" w:line="7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you do not instruct your broker on how to vote your shares with respect to these non-routine matters, your broker will not be able to cast a vote on these proposals. Accordingly, we urge you to give instructions to your bank or broker or other holder of record as to how you wish your shares to be voted so you may vote on these important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 Is my vote confidential?</w:t>
      </w:r>
    </w:p>
    <w:p>
      <w:pPr>
        <w:spacing w:after="0" w:line="11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 representative of American Election Services, LLC will act as Inspector of Elections, supervise the voting, decide the validity of proxies, and receive and tabulate proxies. As a matter of policy, we keep confidential all shareholder meeting proxies, ballots and voting tabulations that identify individual shareholders. In addition, the vote of any shareholder is not disclosed except as may be necessary to meet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the voting results be disclosed?</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will publicly disclose voting results of the Annual Meeting within four business days after the Annual Meeting in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solicitation of proxies by mail, we also request brokerage houses, nominees, custodians, and fiduciaries to forward soliciting material to the beneficial owners of stock held of record and we reimburse such person for the cost of forwarding the material. We have engaged HKL &amp; Co., LLC to handle the distribution of soliciting material to, and the collection of proxies from, such entities. We will pay HKL</w:t>
      </w:r>
    </w:p>
    <w:p>
      <w:pPr>
        <w:spacing w:after="0" w:line="1" w:lineRule="exact"/>
        <w:rPr>
          <w:sz w:val="20"/>
          <w:szCs w:val="20"/>
          <w:color w:val="auto"/>
        </w:rPr>
      </w:pPr>
    </w:p>
    <w:p>
      <w:pPr>
        <w:ind w:right="240" w:firstLine="8"/>
        <w:spacing w:after="0" w:line="266" w:lineRule="auto"/>
        <w:tabs>
          <w:tab w:leader="none" w:pos="1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 LLC a fee of $25,000, plus reimbursement of out-of-pocket expenses, for this service. We bear the cost of all proxy solicitation. The Company may also solicit proxies by mail, in person, by telephone or via the internet through its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officers, directors and other individuals from our management team, who will receive no additional compensation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ind w:right="800"/>
        <w:spacing w:after="0" w:line="296" w:lineRule="auto"/>
        <w:rPr>
          <w:sz w:val="20"/>
          <w:szCs w:val="20"/>
          <w:color w:val="auto"/>
        </w:rPr>
      </w:pPr>
      <w:r>
        <w:rPr>
          <w:rFonts w:ascii="Arial" w:cs="Arial" w:eastAsia="Arial" w:hAnsi="Arial"/>
          <w:sz w:val="18"/>
          <w:szCs w:val="18"/>
          <w:b w:val="1"/>
          <w:bCs w:val="1"/>
          <w:color w:val="auto"/>
        </w:rPr>
        <w:t>Why did I receive a notice in the mail regarding internet availability of proxy materials instead of a full set of printed proxy materials?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rules adopted by the SEC, the Company has elected to provide access to its proxy materials over the internet. Accordingly, on or about April 7, 2026, a Notice is being sent to all of the Company’s registered shareholders and beneficial owners of record as of the Record Date. The Notice contains instructions on how to access the proxy materials over the internet, how to request a paper copy of the proxy materials, including a proxy card, and how shareholders may request to receive proxy materials in printed form by mail, or electronically by email, on a going forward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electronically access the proxy materials?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You can access the proxy materials online at </w:t>
      </w:r>
      <w:r>
        <w:rPr>
          <w:rFonts w:ascii="Arial" w:cs="Arial" w:eastAsia="Arial" w:hAnsi="Arial"/>
          <w:sz w:val="18"/>
          <w:szCs w:val="18"/>
          <w:b w:val="1"/>
          <w:bCs w:val="1"/>
          <w:color w:val="auto"/>
        </w:rPr>
        <w:t>www.xerox.com/investor</w:t>
      </w:r>
      <w:r>
        <w:rPr>
          <w:rFonts w:ascii="Arial" w:cs="Arial" w:eastAsia="Arial" w:hAnsi="Arial"/>
          <w:sz w:val="18"/>
          <w:szCs w:val="18"/>
          <w:color w:val="auto"/>
        </w:rPr>
        <w:t xml:space="preserve">. Shareholders may receive Proxy Statements, Annual Reports, and other shareholder materials via electronic delivery. You also can sign up for electronic delivery at </w:t>
      </w:r>
      <w:r>
        <w:rPr>
          <w:rFonts w:ascii="Arial" w:cs="Arial" w:eastAsia="Arial" w:hAnsi="Arial"/>
          <w:sz w:val="18"/>
          <w:szCs w:val="18"/>
          <w:b w:val="1"/>
          <w:bCs w:val="1"/>
          <w:color w:val="auto"/>
        </w:rPr>
        <w:t>www.proxyvote.com</w:t>
      </w:r>
      <w:r>
        <w:rPr>
          <w:rFonts w:ascii="Arial" w:cs="Arial" w:eastAsia="Arial" w:hAnsi="Arial"/>
          <w:sz w:val="18"/>
          <w:szCs w:val="18"/>
          <w:color w:val="auto"/>
        </w:rPr>
        <w:t>. Opting to receive future proxy materials electronically by email will provide the Company cost savings relating to printing and postage, and reduce the environmental impact of delivering documents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auto"/>
        </w:rPr>
        <w:t>What is the deadline to propose actions (other than Director nominations) for consideration at the 2027 Annual Meeting of Shareholders?</w:t>
      </w:r>
    </w:p>
    <w:p>
      <w:pPr>
        <w:spacing w:after="0" w:line="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may submit proposals for consideration at future shareholder meetings. For a shareholder proposal to be considered for inclusion in our proxy statement and proxy card for the annual meeting next year, the Corporate Secretary must receive the written proposal at our principal executive offices no later than December 8, 2026. Such proposals also must comply with SEC regulations under Rule 14a-8 regarding the inclusion of shareholder proposals in Company-sponsored proxy materials. Proposals should be addressed to our Corporate Secretary at Xerox Holdings Corporation, 401 Merritt 7, Norwalk, Connecticut 06851.</w:t>
      </w:r>
    </w:p>
    <w:p>
      <w:pPr>
        <w:spacing w:after="0" w:line="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a shareholder proposal that is not intended to be included in our proxy statement and proxy card for next year’s annual meeting under Rule 14a-8, the shareholder must provide the information required by our By-Laws and give timely notice to the Corporate Secretary in accordance with our By-Laws, which, in general, require that the notice be received by the Corporate Secretary:</w:t>
      </w:r>
    </w:p>
    <w:p>
      <w:pPr>
        <w:spacing w:after="0" w:line="63" w:lineRule="exact"/>
        <w:rPr>
          <w:sz w:val="20"/>
          <w:szCs w:val="20"/>
          <w:color w:val="auto"/>
        </w:rPr>
      </w:pPr>
    </w:p>
    <w:p>
      <w:pPr>
        <w:ind w:left="820" w:hanging="326"/>
        <w:spacing w:after="0"/>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 earlier than the close of business on November 8, 2026;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 later than the close of business on December 8, 2026.</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the date of the shareholder meeting is changed by more than 30 days from the date of the previous year’s annual meeting, then notice of a shareholder proposal that is not intended to be included in our proxy statement and proxy card under Rule 14a-8 must be received a reasonable time before the Company begins to print and mail its proxy statement.</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All submissions are reviewed by the Corporate Governance Committee. Deadlines for the nomination of Director candidates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recommend individuals to serve as Directors and what is the deadline for a Director recommendation?</w:t>
      </w:r>
    </w:p>
    <w:p>
      <w:pPr>
        <w:spacing w:after="0" w:line="117"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You may recommend Director candidates for consideration by the Corporate Governance Committee. Any such recommendations should include verification of the shareholder status of the person submitting the recommendation and the nominee’s name and qualifications for Board membership, and should be directed to the Corporate Secretary at Xerox Holdings Corporation, 401 Merritt 7, Norwalk, Connecticut 06851.</w:t>
      </w:r>
    </w:p>
    <w:p>
      <w:pPr>
        <w:spacing w:after="0" w:line="68"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A shareholder may send a recommended Director candidate’s name and information to the Board at any time. Generally, such proposed candidates are considered at the first or second Board meeting prior to the issuance of the proxy statement for our Annual Meeting.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765810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How may I nominate individuals to serve as Directors and what are the deadlines for a Director nomination?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By-Laws permit shareholders to nominate Directors for consideration at an annual meeting. To nominate a Director for consideration at an annual meeting, a nominating shareholder must provide the information required by our By-Laws and give timely notice of the nomination to the Corporate Secretary in accordance with our By-Laws, and each nominee must meet the qualifications required by our By-Laws.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 nominate a Director for consideration at next year’s annual meeting (but not for inclusion in our annual proxy statement), the notice must be received by the Corporate Secretary no earlier than November 8, 2026 and no later than December 8, 2026, unless the annual meeting is moved by more than 30 days from the date of the previous year’s annual meeting, in which case the notice must be received within a reasonable time before the Company begins to print and mail its proxy statement.</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our By-Laws provide that under certain circumstances, a shareholder or group of shareholders may submit Director nominees for inclusion in our annual meeting proxy statements and proxy cards, provided that the shareholder(s) and nominee(s) satisfy the requirements set forth in the By-Laws. These proxy access provisions of our By-Laws provide, among other things, that a shareholder or group of up to twenty (20) shareholders seeking to include Director candidates in our annual meeting proxy statement must own 3% or more of Xerox’s outstanding Common Stock continuously for at least the previous three (3) years. The number of shareholder-nominated candidates appearing in any annual meeting proxy statement cannot exceed the greater of (i) two (2) or (ii) 20% of the number of Directors in office as of the last day on which a request to include a shareholder-nominated candidate may be delivered in accordance with our By-Laws. The nominating shareholder or group of shareholders also must deliver the information required by our By-Laws, and each nominee must meet the qualifications required by our By-Laws. Requests to include shareholder-nominated candidates in our proxy materials for next year’s annual meeting must be received by the Corporate Secretary not earlier than November 8, 2026 and not later than December 8, 2026, unless the annual meeting is moved by more than 30 days from the date of the previous year’s annual meeting, in which case the notice must be received within a reasonable time before the Company begins to print and mail its proxy statement. In addition, to comply with the new universal proxy rules (once effective), shareholders who intend to solicit proxies in support of director nominees other than the Company’s nominees must provide notice that sets forth the information required by, and complies with the timing requirements of, Rule 14a-19 under the Exchange Act and must otherwise comply with the Company's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the Board?</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Under our Corporate Governance Guidelines, shareholders and other interested parties desiring to communicate with the non-management Directors regarding the Company may directly contact the Chairman of the Corporate Governance Committee, c/o Xerox Holdings Corporation, Corporate Secretary, 401 Merritt 7, Norwalk, CT 06851.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multiple shareholders have the same address?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Where multiple shareholders reside in the same household, we will deliver a single copy of the proxy materials, along with separate proxy cards, or a single Notice to multiple shareholders who reside in the same household unless we have received contrary instructions. If you share a household with another registered shareholder and would like to receive separate copies of our proxy materials or Notice, or if you are receiving multiple copies of the proxy materials or Notice and would like to receive only one copy, you may request a change in delivery preferences. If you want to request a change in your delivery preference, please contact Broadridge Financial Solutions, Inc. at (866) 540-7095 or in writing at Broadridge, Householding Department,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obtain additional copies of the proxy materials?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Copies of the 2025 Annual Report and 2025 Proxy Statement have been distributed to shareholders (unless you have received a copy of the Notice or have consented to electronic delivery). Additional paper copies of these documents are available at no cost upon request made to Xerox Holdings Corporation, 401 Merritt 7, Norwalk, Connecticut 06851, Attention: Corporate Secretary, or by contacting HKL &amp; Co., LLC, our proxy solicitor, by mail at 263 Tresser Blvd., 9th Floor Stamford, CT 06901, or by telephone toll-free at (800) 339-9883 (from the U.S.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104" w:name="page105"/>
    <w:bookmarkEnd w:id="104"/>
    <w:p>
      <w:pPr>
        <w:spacing w:after="0" w:line="268" w:lineRule="auto"/>
        <w:rPr>
          <w:sz w:val="20"/>
          <w:szCs w:val="20"/>
          <w:color w:val="auto"/>
        </w:rPr>
      </w:pPr>
      <w:r>
        <w:rPr>
          <w:rFonts w:ascii="Arial" w:cs="Arial" w:eastAsia="Arial" w:hAnsi="Arial"/>
          <w:sz w:val="18"/>
          <w:szCs w:val="18"/>
          <w:color w:val="auto"/>
        </w:rPr>
        <w:t>and Canada) or at (203) 564-1402 (from other locations) (Banks and Brokerage firms may call collect at (203) 564-1402). The Notice also provides you with instructions on how to request paper copies of the proxy materials. There is no charge to receive the materials by mail. You may request paper copies of the materials until one year after the date of the Annual Meeting.</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 xml:space="preserve">The 2025 Annual Report and 2025 Proxy Statement are also available on the Company’s website at </w:t>
      </w:r>
      <w:r>
        <w:rPr>
          <w:rFonts w:ascii="Arial" w:cs="Arial" w:eastAsia="Arial" w:hAnsi="Arial"/>
          <w:sz w:val="18"/>
          <w:szCs w:val="18"/>
          <w:b w:val="1"/>
          <w:bCs w:val="1"/>
          <w:color w:val="auto"/>
        </w:rPr>
        <w:t>www.xerox.com/investor</w:t>
      </w:r>
      <w:r>
        <w:rPr>
          <w:rFonts w:ascii="Arial" w:cs="Arial" w:eastAsia="Arial" w:hAnsi="Arial"/>
          <w:sz w:val="18"/>
          <w:szCs w:val="18"/>
          <w:color w:val="auto"/>
        </w:rPr>
        <w:t xml:space="preserve"> (under “Investor Materials —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shareholders entitled to vote at the Annual Meeting?</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 list of registered shareholders entitled to vote at the Annual Meeting will be available at the Annual Meeting and for 10 days prior to the Annual Meeting at our offices located at Xerox Holdings Corporation, 401 Merritt 7, Norwalk, CT 06851.</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5" w:name="page106"/>
    <w:bookmarkEnd w:id="105"/>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D92231"/>
        </w:rPr>
        <w:t>EXHIBIT 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SECOND AMENDMENT</w:t>
      </w:r>
    </w:p>
    <w:p>
      <w:pPr>
        <w:jc w:val="center"/>
        <w:ind w:right="-59"/>
        <w:spacing w:after="0" w:line="234" w:lineRule="auto"/>
        <w:rPr>
          <w:sz w:val="20"/>
          <w:szCs w:val="20"/>
          <w:color w:val="auto"/>
        </w:rPr>
      </w:pPr>
      <w:r>
        <w:rPr>
          <w:rFonts w:ascii="Arial" w:cs="Arial" w:eastAsia="Arial" w:hAnsi="Arial"/>
          <w:sz w:val="18"/>
          <w:szCs w:val="18"/>
          <w:color w:val="auto"/>
        </w:rPr>
        <w:t>to the</w:t>
      </w:r>
    </w:p>
    <w:p>
      <w:pPr>
        <w:jc w:val="center"/>
        <w:ind w:right="-59"/>
        <w:spacing w:after="0" w:line="235" w:lineRule="auto"/>
        <w:rPr>
          <w:sz w:val="20"/>
          <w:szCs w:val="20"/>
          <w:color w:val="auto"/>
        </w:rPr>
      </w:pPr>
      <w:r>
        <w:rPr>
          <w:rFonts w:ascii="Arial" w:cs="Arial" w:eastAsia="Arial" w:hAnsi="Arial"/>
          <w:sz w:val="18"/>
          <w:szCs w:val="18"/>
          <w:b w:val="1"/>
          <w:bCs w:val="1"/>
          <w:color w:val="auto"/>
        </w:rPr>
        <w:t>XEROX HOLDINGS CORPORATION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2024 EQUITY AND PERFORMANCE INCENTIVE PLAN</w:t>
      </w:r>
    </w:p>
    <w:p>
      <w:pPr>
        <w:spacing w:after="0" w:line="200" w:lineRule="exact"/>
        <w:rPr>
          <w:sz w:val="20"/>
          <w:szCs w:val="20"/>
          <w:color w:val="auto"/>
        </w:rPr>
      </w:pPr>
    </w:p>
    <w:p>
      <w:pPr>
        <w:spacing w:after="0" w:line="26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WHEREAS, Xerox Holdings Corporation (the “Company”) established the Xerox Holdings Corporation 2024 Equity and Performance Incentive Plan, which was approved by shareholders effective May 22, 2024 and amended as of May 21, 2025 (the “Plan”).</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WHEREAS, the Company desires to amend the Plan to increase the number of shares of the Company’s common stock (“Shares”) available for issuance under the Plan (the “Plan Amendment”); and</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WHEREAS, pursuant to Plan Section 13, the Board or the Compensation and Human Capital Committee may amend the Plan or any award agreement under the Plan as it deems necessary or appropriate, except that any amendment that constitutes a “material amendment,” as defined by Nasdaq rules, shall be submitted to the Company’s shareholders for approval; and</w:t>
      </w:r>
    </w:p>
    <w:p>
      <w:pPr>
        <w:spacing w:after="0" w:line="19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WHEREAS, an increase in the number of Shares available for issuance under the Plan constitutes a “material amendment” as defined by Nasdaq rules.</w:t>
      </w:r>
    </w:p>
    <w:p>
      <w:pPr>
        <w:spacing w:after="0" w:line="18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NOW, THEREFORE, subject to shareholder approval at the May 20, 2026 annual shareholder meeting, the Plan is hereby amended as follows, effective May 20, 2026:</w:t>
      </w:r>
    </w:p>
    <w:p>
      <w:pPr>
        <w:spacing w:after="0" w:line="181" w:lineRule="exact"/>
        <w:rPr>
          <w:sz w:val="20"/>
          <w:szCs w:val="20"/>
          <w:color w:val="auto"/>
        </w:rPr>
      </w:pPr>
    </w:p>
    <w:p>
      <w:pPr>
        <w:ind w:left="660" w:right="4080" w:hanging="328"/>
        <w:spacing w:after="0" w:line="516" w:lineRule="auto"/>
        <w:tabs>
          <w:tab w:leader="none" w:pos="6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below Section 5(a) replaces the current Section 5(a) in its entirety as follows: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5. </w:t>
      </w:r>
      <w:r>
        <w:rPr>
          <w:rFonts w:ascii="Arial" w:cs="Arial" w:eastAsia="Arial" w:hAnsi="Arial"/>
          <w:sz w:val="18"/>
          <w:szCs w:val="18"/>
          <w:u w:val="single" w:color="auto"/>
          <w:color w:val="auto"/>
        </w:rPr>
        <w:t>Shares of Stock Subject to the Plan</w:t>
      </w:r>
    </w:p>
    <w:p>
      <w:pPr>
        <w:ind w:firstLine="656"/>
        <w:spacing w:after="0" w:line="241" w:lineRule="auto"/>
        <w:tabs>
          <w:tab w:leader="none" w:pos="91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As of the Effective Date, a total number of 5,200,000 shares of common stock of the Company par value $1.00 per share (“Common Stock”), are available for issuance under the Plan. As of May 21, 2025, an additional 6,682,000 Shares of Common Stock are available for issuance under the Plan for a total of 11,882,000 Shares. As of May 20, 2026, an additional 15,000,000 Shares are available for issuance under the Plan, for a total of 26,882,000 Shares.</w:t>
      </w:r>
    </w:p>
    <w:p>
      <w:pPr>
        <w:spacing w:after="0" w:line="316" w:lineRule="exact"/>
        <w:rPr>
          <w:rFonts w:ascii="Arial" w:cs="Arial" w:eastAsia="Arial" w:hAnsi="Arial"/>
          <w:sz w:val="18"/>
          <w:szCs w:val="18"/>
          <w:color w:val="auto"/>
        </w:rPr>
      </w:pPr>
    </w:p>
    <w:p>
      <w:pPr>
        <w:ind w:left="640" w:hanging="308"/>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all other respects, the Plan shall remain unchanged.</w:t>
      </w:r>
    </w:p>
    <w:p>
      <w:pPr>
        <w:spacing w:after="0" w:line="34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IN WITNESS WHEREOF, the Company has caused this Amendment to be executed by its duly authorized officer as of the date shown below.</w:t>
      </w:r>
    </w:p>
    <w:p>
      <w:pPr>
        <w:spacing w:after="0" w:line="200" w:lineRule="exact"/>
        <w:rPr>
          <w:sz w:val="20"/>
          <w:szCs w:val="20"/>
          <w:color w:val="auto"/>
        </w:rPr>
      </w:pPr>
    </w:p>
    <w:p>
      <w:pPr>
        <w:spacing w:after="0" w:line="224"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XEROX HOLDINGS CORPORATION</w:t>
      </w: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Flor M. Colón</w:t>
      </w:r>
    </w:p>
    <w:p>
      <w:pPr>
        <w:ind w:left="2360"/>
        <w:spacing w:after="0"/>
        <w:rPr>
          <w:sz w:val="20"/>
          <w:szCs w:val="20"/>
          <w:color w:val="auto"/>
        </w:rPr>
      </w:pPr>
      <w:r>
        <w:rPr>
          <w:rFonts w:ascii="Arial" w:cs="Arial" w:eastAsia="Arial" w:hAnsi="Arial"/>
          <w:sz w:val="18"/>
          <w:szCs w:val="18"/>
          <w:color w:val="auto"/>
        </w:rPr>
        <w:t>Chief Legal Officer and Corporate Secretary</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011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801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757555</wp:posOffset>
            </wp:positionV>
            <wp:extent cx="7157720" cy="8036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803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8820150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757555</wp:posOffset>
            </wp:positionV>
            <wp:extent cx="5657850" cy="7277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277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063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063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o"/>
      <w:numFmt w:val="bullet"/>
      <w:start w:val="1"/>
    </w:lvl>
  </w:abstractNum>
  <w:abstractNum w:abstractNumId="1">
    <w:nsid w:val="4F4EF005"/>
    <w:multiLevelType w:val="hybridMultilevel"/>
    <w:lvl w:ilvl="0">
      <w:lvlJc w:val="left"/>
      <w:lvlText w:val="x"/>
      <w:numFmt w:val="bullet"/>
      <w:start w:val="1"/>
    </w:lvl>
  </w:abstractNum>
  <w:abstractNum w:abstractNumId="2">
    <w:nsid w:val="23F9C13C"/>
    <w:multiLevelType w:val="hybridMultilevel"/>
    <w:lvl w:ilvl="0">
      <w:lvlJc w:val="left"/>
      <w:lvlText w:val="o"/>
      <w:numFmt w:val="bullet"/>
      <w:start w:val="1"/>
    </w:lvl>
  </w:abstractNum>
  <w:abstractNum w:abstractNumId="3">
    <w:nsid w:val="649BB77C"/>
    <w:multiLevelType w:val="hybridMultilevel"/>
    <w:lvl w:ilvl="0">
      <w:lvlJc w:val="left"/>
      <w:lvlText w:val="x"/>
      <w:numFmt w:val="bullet"/>
      <w:start w:val="1"/>
    </w:lvl>
  </w:abstractNum>
  <w:abstractNum w:abstractNumId="4">
    <w:nsid w:val="275AC794"/>
    <w:multiLevelType w:val="hybridMultilevel"/>
    <w:lvl w:ilvl="0">
      <w:lvlJc w:val="left"/>
      <w:lvlText w:val="o"/>
      <w:numFmt w:val="bullet"/>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1."/>
      <w:numFmt w:val="decimal"/>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1)"/>
      <w:numFmt w:val="decimal"/>
      <w:start w:val="1"/>
    </w:lvl>
  </w:abstractNum>
  <w:abstractNum w:abstractNumId="22">
    <w:nsid w:val="2F305DEF"/>
    <w:multiLevelType w:val="hybridMultilevel"/>
    <w:lvl w:ilvl="0">
      <w:lvlJc w:val="left"/>
      <w:lvlText w:val="•"/>
      <w:numFmt w:val="bullet"/>
      <w:start w:val="1"/>
    </w:lvl>
    <w:lvl w:ilvl="1">
      <w:lvlJc w:val="left"/>
      <w:lvlText w:val="◦"/>
      <w:numFmt w:val="bullet"/>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1)"/>
      <w:numFmt w:val="decimal"/>
      <w:start w:val="3"/>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amp;"/>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4"/>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lvl w:ilvl="1">
      <w:lvlJc w:val="left"/>
      <w:lvlText w:val="◦"/>
      <w:numFmt w:val="bullet"/>
      <w:start w:val="1"/>
    </w:lvl>
  </w:abstractNum>
  <w:abstractNum w:abstractNumId="56">
    <w:nsid w:val="14330624"/>
    <w:multiLevelType w:val="hybridMultilevel"/>
    <w:lvl w:ilvl="0">
      <w:lvlJc w:val="left"/>
      <w:lvlText w:val="•"/>
      <w:numFmt w:val="bullet"/>
      <w:start w:val="1"/>
    </w:lvl>
    <w:lvl w:ilvl="1">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1)"/>
      <w:numFmt w:val="decimal"/>
      <w:start w:val="1"/>
    </w:lvl>
    <w:lvl w:ilvl="1">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upperLetter"/>
      <w:start w:val="1"/>
    </w:lvl>
  </w:abstractNum>
  <w:abstractNum w:abstractNumId="66">
    <w:nsid w:val="76272110"/>
    <w:multiLevelType w:val="hybridMultilevel"/>
    <w:lvl w:ilvl="0">
      <w:lvlJc w:val="left"/>
      <w:lvlText w:val="(%1)"/>
      <w:numFmt w:val="upperLetter"/>
      <w:start w:val="4"/>
    </w:lvl>
    <w:lvl w:ilvl="1">
      <w:lvlJc w:val="left"/>
      <w:lvlText w:val="•"/>
      <w:numFmt w:val="bullet"/>
      <w:start w:val="1"/>
    </w:lvl>
  </w:abstractNum>
  <w:abstractNum w:abstractNumId="67">
    <w:nsid w:val="4C04A8AF"/>
    <w:multiLevelType w:val="hybridMultilevel"/>
    <w:lvl w:ilvl="0">
      <w:lvlJc w:val="left"/>
      <w:lvlText w:val="(%1)"/>
      <w:numFmt w:val="upperLetter"/>
      <w:start w:val="1"/>
    </w:lvl>
  </w:abstractNum>
  <w:abstractNum w:abstractNumId="68">
    <w:nsid w:val="1716703B"/>
    <w:multiLevelType w:val="hybridMultilevel"/>
    <w:lvl w:ilvl="0">
      <w:lvlJc w:val="left"/>
      <w:lvlText w:val="(%1)"/>
      <w:numFmt w:val="upperLetter"/>
      <w:start w:val="2"/>
    </w:lvl>
  </w:abstractNum>
  <w:abstractNum w:abstractNumId="69">
    <w:nsid w:val="14E17E33"/>
    <w:multiLevelType w:val="hybridMultilevel"/>
    <w:lvl w:ilvl="0">
      <w:lvlJc w:val="left"/>
      <w:lvlText w:val="(%1)"/>
      <w:numFmt w:val="upperLetter"/>
      <w:start w:val="4"/>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1)"/>
      <w:numFmt w:val="upperLetter"/>
      <w:start w:val="1"/>
    </w:lvl>
  </w:abstractNum>
  <w:abstractNum w:abstractNumId="72">
    <w:nsid w:val="68EBC550"/>
    <w:multiLevelType w:val="hybridMultilevel"/>
    <w:lvl w:ilvl="0">
      <w:lvlJc w:val="left"/>
      <w:lvlText w:val="(%1)"/>
      <w:numFmt w:val="upperLetter"/>
      <w:start w:val="4"/>
    </w:lvl>
  </w:abstractNum>
  <w:abstractNum w:abstractNumId="73">
    <w:nsid w:val="2DF6D648"/>
    <w:multiLevelType w:val="hybridMultilevel"/>
    <w:lvl w:ilvl="0">
      <w:lvlJc w:val="left"/>
      <w:lvlText w:val="(%1)"/>
      <w:numFmt w:val="upperLetter"/>
      <w:start w:val="1"/>
    </w:lvl>
  </w:abstractNum>
  <w:abstractNum w:abstractNumId="74">
    <w:nsid w:val="46B7D447"/>
    <w:multiLevelType w:val="hybridMultilevel"/>
    <w:lvl w:ilvl="0">
      <w:lvlJc w:val="left"/>
      <w:lvlText w:val="(%1)"/>
      <w:numFmt w:val="upperLetter"/>
      <w:start w:val="1"/>
    </w:lvl>
  </w:abstractNum>
  <w:abstractNum w:abstractNumId="75">
    <w:nsid w:val="4A2AC315"/>
    <w:multiLevelType w:val="hybridMultilevel"/>
    <w:lvl w:ilvl="0">
      <w:lvlJc w:val="left"/>
      <w:lvlText w:val="(%1)"/>
      <w:numFmt w:val="upperLetter"/>
      <w:start w:val="2"/>
    </w:lvl>
  </w:abstractNum>
  <w:abstractNum w:abstractNumId="76">
    <w:nsid w:val="39EE015C"/>
    <w:multiLevelType w:val="hybridMultilevel"/>
    <w:lvl w:ilvl="0">
      <w:lvlJc w:val="left"/>
      <w:lvlText w:val="(%1)"/>
      <w:numFmt w:val="upperLetter"/>
      <w:start w:val="1"/>
    </w:lvl>
  </w:abstractNum>
  <w:abstractNum w:abstractNumId="77">
    <w:nsid w:val="57FC4FBB"/>
    <w:multiLevelType w:val="hybridMultilevel"/>
    <w:lvl w:ilvl="0">
      <w:lvlJc w:val="left"/>
      <w:lvlText w:val="(%1)"/>
      <w:numFmt w:val="upperLetter"/>
      <w:start w:val="1"/>
    </w:lvl>
  </w:abstractNum>
  <w:abstractNum w:abstractNumId="78">
    <w:nsid w:val="CC1016F"/>
    <w:multiLevelType w:val="hybridMultilevel"/>
    <w:lvl w:ilvl="0">
      <w:lvlJc w:val="left"/>
      <w:lvlText w:val="(%1)"/>
      <w:numFmt w:val="upperLetter"/>
      <w:start w:val="2"/>
    </w:lvl>
    <w:lvl w:ilvl="1">
      <w:lvlJc w:val="left"/>
      <w:lvlText w:val="•"/>
      <w:numFmt w:val="bullet"/>
      <w:start w:val="1"/>
    </w:lvl>
  </w:abstractNum>
  <w:abstractNum w:abstractNumId="79">
    <w:nsid w:val="43F18422"/>
    <w:multiLevelType w:val="hybridMultilevel"/>
    <w:lvl w:ilvl="0">
      <w:lvlJc w:val="left"/>
      <w:lvlText w:val="(%1)"/>
      <w:numFmt w:val="upperLetter"/>
      <w:start w:val="2"/>
    </w:lvl>
    <w:lvl w:ilvl="1">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upperLetter"/>
      <w:start w:val="4"/>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1)"/>
      <w:numFmt w:val="decimal"/>
      <w:start w:val="1"/>
    </w:lvl>
  </w:abstractNum>
  <w:abstractNum w:abstractNumId="86">
    <w:nsid w:val="50801EE1"/>
    <w:multiLevelType w:val="hybridMultilevel"/>
    <w:lvl w:ilvl="0">
      <w:lvlJc w:val="left"/>
      <w:lvlText w:val="(%1)"/>
      <w:numFmt w:val="decimal"/>
      <w:start w:val="1"/>
    </w:lvl>
    <w:lvl w:ilvl="1">
      <w:lvlJc w:val="left"/>
      <w:lvlText w:val="•"/>
      <w:numFmt w:val="bullet"/>
      <w:start w:val="1"/>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1)"/>
      <w:numFmt w:val="decimal"/>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lowerRoman"/>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decimal"/>
      <w:start w:val="3"/>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amp;"/>
      <w:numFmt w:val="bullet"/>
      <w:start w:val="1"/>
    </w:lvl>
  </w:abstractNum>
  <w:abstractNum w:abstractNumId="105">
    <w:nsid w:val="5092CA79"/>
    <w:multiLevelType w:val="hybridMultilevel"/>
    <w:lvl w:ilvl="0">
      <w:lvlJc w:val="left"/>
      <w:lvlText w:val="•"/>
      <w:numFmt w:val="bullet"/>
      <w:start w:val="1"/>
    </w:lvl>
  </w:abstractNum>
  <w:abstractNum w:abstractNumId="106">
    <w:nsid w:val="1D545C4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2026-04-07T16:21:05Z</dcterms:created>
  <dcterms:modified xsi:type="dcterms:W3CDTF">2026-04-07T16:21:05Z</dcterms:modified>
</cp:coreProperties>
</file>