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488950</wp:posOffset>
            </wp:positionH>
            <wp:positionV relativeFrom="page">
              <wp:posOffset>449580</wp:posOffset>
            </wp:positionV>
            <wp:extent cx="982345" cy="198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2345" cy="198755"/>
                    </a:xfrm>
                    <a:prstGeom prst="rect">
                      <a:avLst/>
                    </a:prstGeom>
                    <a:noFill/>
                  </pic:spPr>
                </pic:pic>
              </a:graphicData>
            </a:graphic>
          </wp:anchor>
        </w:drawing>
        <w:drawing>
          <wp:anchor simplePos="0" relativeHeight="251657728" behindDoc="1" locked="0" layoutInCell="0" allowOverlap="1">
            <wp:simplePos x="0" y="0"/>
            <wp:positionH relativeFrom="page">
              <wp:posOffset>504190</wp:posOffset>
            </wp:positionH>
            <wp:positionV relativeFrom="page">
              <wp:posOffset>2073910</wp:posOffset>
            </wp:positionV>
            <wp:extent cx="4176395"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76395" cy="47180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3653155</wp:posOffset>
            </wp:positionV>
            <wp:extent cx="7543800" cy="6176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617664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700"/>
        <w:spacing w:after="0"/>
        <w:rPr>
          <w:sz w:val="20"/>
          <w:szCs w:val="20"/>
          <w:color w:val="auto"/>
        </w:rPr>
      </w:pPr>
      <w:r>
        <w:rPr>
          <w:rFonts w:ascii="Arial" w:cs="Arial" w:eastAsia="Arial" w:hAnsi="Arial"/>
          <w:sz w:val="38"/>
          <w:szCs w:val="38"/>
          <w:color w:val="E3001D"/>
        </w:rPr>
        <w:t>Table of Contents</w:t>
      </w:r>
    </w:p>
    <w:p>
      <w:pPr>
        <w:spacing w:after="0" w:line="383" w:lineRule="exact"/>
        <w:rPr>
          <w:sz w:val="20"/>
          <w:szCs w:val="20"/>
          <w:color w:val="auto"/>
        </w:rPr>
      </w:pPr>
    </w:p>
    <w:p>
      <w:pPr>
        <w:ind w:left="2700"/>
        <w:spacing w:after="0"/>
        <w:rPr>
          <w:sz w:val="20"/>
          <w:szCs w:val="20"/>
          <w:color w:val="auto"/>
        </w:rPr>
      </w:pPr>
      <w:r>
        <w:rPr>
          <w:rFonts w:ascii="Arial" w:cs="Arial" w:eastAsia="Arial" w:hAnsi="Arial"/>
          <w:sz w:val="25"/>
          <w:szCs w:val="25"/>
          <w:color w:val="auto"/>
        </w:rPr>
        <w:t>Letter to the Shareholders</w:t>
      </w: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6"/>
          <w:szCs w:val="26"/>
          <w:color w:val="auto"/>
        </w:rPr>
        <w:t>Board of Directors</w:t>
      </w:r>
    </w:p>
    <w:p>
      <w:pPr>
        <w:spacing w:after="0" w:line="361" w:lineRule="exact"/>
        <w:rPr>
          <w:sz w:val="20"/>
          <w:szCs w:val="20"/>
          <w:color w:val="auto"/>
        </w:rPr>
      </w:pPr>
    </w:p>
    <w:p>
      <w:pPr>
        <w:ind w:left="2700"/>
        <w:spacing w:after="0"/>
        <w:rPr>
          <w:sz w:val="20"/>
          <w:szCs w:val="20"/>
          <w:color w:val="auto"/>
        </w:rPr>
      </w:pPr>
      <w:r>
        <w:rPr>
          <w:rFonts w:ascii="Arial" w:cs="Arial" w:eastAsia="Arial" w:hAnsi="Arial"/>
          <w:sz w:val="26"/>
          <w:szCs w:val="26"/>
          <w:color w:val="auto"/>
        </w:rPr>
        <w:t>Officers</w:t>
      </w:r>
    </w:p>
    <w:p>
      <w:pPr>
        <w:spacing w:after="0" w:line="361" w:lineRule="exact"/>
        <w:rPr>
          <w:sz w:val="20"/>
          <w:szCs w:val="20"/>
          <w:color w:val="auto"/>
        </w:rPr>
      </w:pPr>
    </w:p>
    <w:p>
      <w:pPr>
        <w:ind w:left="2700"/>
        <w:spacing w:after="0"/>
        <w:rPr>
          <w:sz w:val="20"/>
          <w:szCs w:val="20"/>
          <w:color w:val="auto"/>
        </w:rPr>
      </w:pPr>
      <w:r>
        <w:rPr>
          <w:rFonts w:ascii="Arial" w:cs="Arial" w:eastAsia="Arial" w:hAnsi="Arial"/>
          <w:sz w:val="26"/>
          <w:szCs w:val="26"/>
          <w:color w:val="auto"/>
        </w:rPr>
        <w:t>2025 Form 10-K Insert</w:t>
      </w:r>
    </w:p>
    <w:p>
      <w:pPr>
        <w:spacing w:after="0" w:line="361" w:lineRule="exact"/>
        <w:rPr>
          <w:sz w:val="20"/>
          <w:szCs w:val="20"/>
          <w:color w:val="auto"/>
        </w:rPr>
      </w:pPr>
    </w:p>
    <w:p>
      <w:pPr>
        <w:ind w:left="2700"/>
        <w:spacing w:after="0"/>
        <w:rPr>
          <w:sz w:val="20"/>
          <w:szCs w:val="20"/>
          <w:color w:val="auto"/>
        </w:rPr>
      </w:pPr>
      <w:r>
        <w:rPr>
          <w:rFonts w:ascii="Arial" w:cs="Arial" w:eastAsia="Arial" w:hAnsi="Arial"/>
          <w:sz w:val="26"/>
          <w:szCs w:val="26"/>
          <w:color w:val="auto"/>
        </w:rPr>
        <w:t>FYI</w:t>
      </w:r>
    </w:p>
    <w:p>
      <w:pPr>
        <w:sectPr>
          <w:pgSz w:w="11880" w:h="15480" w:orient="portrait"/>
          <w:cols w:equalWidth="0" w:num="1">
            <w:col w:w="9000"/>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54"/>
          <w:szCs w:val="54"/>
          <w:color w:val="auto"/>
        </w:rPr>
        <w:t>Shareholders</w:t>
      </w:r>
      <w:r>
        <w:rPr>
          <w:rFonts w:ascii="Arial" w:cs="Arial" w:eastAsia="Arial" w:hAnsi="Arial"/>
          <w:sz w:val="52"/>
          <w:szCs w:val="5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920"/>
        <w:spacing w:after="0" w:line="321" w:lineRule="auto"/>
        <w:rPr>
          <w:sz w:val="20"/>
          <w:szCs w:val="20"/>
          <w:color w:val="auto"/>
        </w:rPr>
      </w:pPr>
      <w:r>
        <w:rPr>
          <w:rFonts w:ascii="Arial" w:cs="Arial" w:eastAsia="Arial" w:hAnsi="Arial"/>
          <w:sz w:val="25"/>
          <w:szCs w:val="25"/>
          <w:color w:val="auto"/>
        </w:rPr>
        <w:t>As we reflect on 2025, it’s clear the year marked a defining turning point for our company. Despite the impact of tariffs, government shutdowns and a challenging macroeconomic environment, we entered 2026 with a stronger operating foundation, more robust offering portfolio and greater capabilities, having completed the acquisition of Lexmark and the integration of ITsavvy.</w:t>
      </w:r>
    </w:p>
    <w:p>
      <w:pPr>
        <w:spacing w:after="0" w:line="153" w:lineRule="exact"/>
        <w:rPr>
          <w:sz w:val="20"/>
          <w:szCs w:val="20"/>
          <w:color w:val="auto"/>
        </w:rPr>
      </w:pPr>
    </w:p>
    <w:p>
      <w:pPr>
        <w:ind w:right="3080"/>
        <w:spacing w:after="0" w:line="311" w:lineRule="auto"/>
        <w:rPr>
          <w:sz w:val="20"/>
          <w:szCs w:val="20"/>
          <w:color w:val="auto"/>
        </w:rPr>
      </w:pPr>
      <w:r>
        <w:rPr>
          <w:rFonts w:ascii="Arial" w:cs="Arial" w:eastAsia="Arial" w:hAnsi="Arial"/>
          <w:sz w:val="26"/>
          <w:szCs w:val="26"/>
          <w:color w:val="auto"/>
        </w:rPr>
        <w:t>Your continued support throughout this period of significant transformation has been essential to our progress. We are deeply grateful for your partnership.</w:t>
      </w:r>
    </w:p>
    <w:p>
      <w:pPr>
        <w:sectPr>
          <w:pgSz w:w="11880" w:h="15480" w:orient="portrait"/>
          <w:cols w:equalWidth="0" w:num="1">
            <w:col w:w="10440"/>
          </w:cols>
          <w:pgMar w:left="720" w:top="593" w:right="720"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340" w:lineRule="auto"/>
        <w:rPr>
          <w:sz w:val="20"/>
          <w:szCs w:val="20"/>
          <w:color w:val="auto"/>
        </w:rPr>
      </w:pPr>
      <w:r>
        <w:rPr>
          <w:rFonts w:ascii="Arial" w:cs="Arial" w:eastAsia="Arial" w:hAnsi="Arial"/>
          <w:sz w:val="16"/>
          <w:szCs w:val="16"/>
          <w:b w:val="1"/>
          <w:bCs w:val="1"/>
          <w:color w:val="E3001D"/>
        </w:rPr>
        <w:t>C O N T I N U I N G R E I N V E N T I O N &amp; S T R E N G T H E N I N G O U R C O R 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b w:val="1"/>
          <w:bCs w:val="1"/>
          <w:color w:val="E3001D"/>
        </w:rPr>
        <w:t>S T R AT E G I C M I L E S TO N E S : L E X M A R K &amp; I T S O LU T I O N S I N T E G R AT I O N</w:t>
      </w:r>
    </w:p>
    <w:p>
      <w:pPr>
        <w:spacing w:after="0" w:line="88" w:lineRule="exact"/>
        <w:rPr>
          <w:sz w:val="20"/>
          <w:szCs w:val="20"/>
          <w:color w:val="auto"/>
        </w:rPr>
      </w:pPr>
    </w:p>
    <w:p>
      <w:pPr>
        <w:sectPr>
          <w:pgSz w:w="11880" w:h="15480" w:orient="portrait"/>
          <w:cols w:equalWidth="0" w:num="2">
            <w:col w:w="4680" w:space="720"/>
            <w:col w:w="5040"/>
          </w:cols>
          <w:pgMar w:left="720" w:top="593" w:right="720" w:bottom="1055" w:gutter="0" w:footer="0" w:header="0"/>
          <w:type w:val="continuous"/>
        </w:sectPr>
      </w:pPr>
    </w:p>
    <w:p>
      <w:pPr>
        <w:ind w:right="40"/>
        <w:spacing w:after="0" w:line="280" w:lineRule="auto"/>
        <w:rPr>
          <w:sz w:val="20"/>
          <w:szCs w:val="20"/>
          <w:color w:val="auto"/>
        </w:rPr>
      </w:pPr>
      <w:r>
        <w:rPr>
          <w:rFonts w:ascii="Arial" w:cs="Arial" w:eastAsia="Arial" w:hAnsi="Arial"/>
          <w:sz w:val="18"/>
          <w:szCs w:val="18"/>
          <w:color w:val="auto"/>
        </w:rPr>
        <w:t>In 2025, the foundational work of our Reinvention created the capacity to overcome significant secular headwinds while strengthening our business. We simplified processes, modernized operations, and aligned our organization around what clients value most – assistance navigating rapidly changing workplace demands, from a partner they know and trust.</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As part of this progress, we continued our shift from a print-first company to a software-enabled, services-led business built to improve productivity, strengthen security and deliver measurable outcomes. We are executing this shift at a time when AI is reshaping workflow automation, content management, threat detection, analytics and service delivery. To meet this shift headon, we are embedding intelligent capabilities across our offerings so clients can move faster, operate more securely, and gain clearer insight, with an emphasis on responsible deployment, data protection and tangible results.</w:t>
      </w:r>
    </w:p>
    <w:p>
      <w:pPr>
        <w:spacing w:after="0" w:line="137"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We advanced this work while operating through a period of macro uncertainty, including volatile tariff policies, increased product costs and ongoing global supply chain and energy-related pressures. Throughout these conditions, we maintained executional discipline, protected service levels, and sustained momentum across our strategic priorities.</w:t>
      </w:r>
    </w:p>
    <w:p>
      <w:pPr>
        <w:spacing w:after="0" w:line="20" w:lineRule="exact"/>
        <w:rPr>
          <w:sz w:val="20"/>
          <w:szCs w:val="20"/>
          <w:color w:val="auto"/>
        </w:rPr>
      </w:pPr>
      <w:r>
        <w:rPr>
          <w:sz w:val="20"/>
          <w:szCs w:val="20"/>
          <w:color w:val="auto"/>
        </w:rPr>
        <w:br w:type="column"/>
      </w:r>
    </w:p>
    <w:p>
      <w:pPr>
        <w:ind w:right="600"/>
        <w:spacing w:after="0" w:line="284" w:lineRule="auto"/>
        <w:rPr>
          <w:sz w:val="20"/>
          <w:szCs w:val="20"/>
          <w:color w:val="auto"/>
        </w:rPr>
      </w:pPr>
      <w:r>
        <w:rPr>
          <w:rFonts w:ascii="Arial" w:cs="Arial" w:eastAsia="Arial" w:hAnsi="Arial"/>
          <w:sz w:val="18"/>
          <w:szCs w:val="18"/>
          <w:color w:val="auto"/>
        </w:rPr>
        <w:t>Two major accomplishments this year played essential roles in strengthening the company and accelerating our transformation: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E3001D"/>
        </w:rPr>
        <w:t>T H E A C Q U I S I T I O N O F L E X M A R K</w:t>
      </w:r>
    </w:p>
    <w:p>
      <w:pPr>
        <w:spacing w:after="0" w:line="18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Lexmark acquisition expanded our reach, broadened our product portfolio, and deepened our presence in key market segments. Lexmark’s strengths in A4 devices, channel distribution, embedded solutions, and internal manufacturing have enhanced our competitiveness and fortified our position with enterprise and midmarket clients. This integration improves quality, secures supply, accelerates innovation cycles, and strengthens our long-term cost position.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E3001D"/>
        </w:rPr>
        <w:t>T H E I N T E G R AT I O N O F X E R O X I T S O LU T I O N S</w:t>
      </w:r>
    </w:p>
    <w:p>
      <w:pPr>
        <w:spacing w:after="0" w:line="18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full integration of ITsavvy, now operating as the core platform within Xerox IT Solutions, represents one of our most significant mix-shift accelerators to date. By unifying ITsavvy and our legacy IT Solutions business under one operating model and embedding these capabilities directly into our go-to-market approach, we have strengthened our ability to compete in a total addressable market estimated to be nearly ten times</w:t>
      </w:r>
    </w:p>
    <w:p>
      <w:pPr>
        <w:spacing w:after="0" w:line="2"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the size of traditional print. This positions us to deepen client relationships and build recurring revenue streams that support predictable, sustainable growth.</w:t>
      </w:r>
    </w:p>
    <w:p>
      <w:pPr>
        <w:sectPr>
          <w:pgSz w:w="11880" w:h="15480" w:orient="portrait"/>
          <w:cols w:equalWidth="0" w:num="2">
            <w:col w:w="4820" w:space="580"/>
            <w:col w:w="5040"/>
          </w:cols>
          <w:pgMar w:left="720" w:top="593" w:right="720" w:bottom="1055"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E3001D"/>
        </w:rPr>
        <w:t>E N T E R I N G 2 0 2 6 W I T H A L L T H E P I E C E S I N P L A C E</w:t>
      </w:r>
    </w:p>
    <w:p>
      <w:pPr>
        <w:spacing w:after="0" w:line="185" w:lineRule="exact"/>
        <w:rPr>
          <w:sz w:val="20"/>
          <w:szCs w:val="20"/>
          <w:color w:val="auto"/>
        </w:rPr>
      </w:pPr>
    </w:p>
    <w:p>
      <w:pPr>
        <w:ind w:right="4640"/>
        <w:spacing w:after="0" w:line="280" w:lineRule="auto"/>
        <w:rPr>
          <w:sz w:val="20"/>
          <w:szCs w:val="20"/>
          <w:color w:val="auto"/>
        </w:rPr>
      </w:pPr>
      <w:r>
        <w:rPr>
          <w:rFonts w:ascii="Arial" w:cs="Arial" w:eastAsia="Arial" w:hAnsi="Arial"/>
          <w:sz w:val="18"/>
          <w:szCs w:val="18"/>
          <w:color w:val="auto"/>
        </w:rPr>
        <w:t>In 2026, we will continue to optimize our commercial operations, leverage the capabilities of our acquired businesses, and drive additional efficiencies through our Global Business Services organization. Our priorities remain clear: stabilize revenue, expand margins, and reduce debt as quickly as possible. Every operational, commercial, and strategic decision we make is aligned to these goals.</w:t>
      </w:r>
    </w:p>
    <w:p>
      <w:pPr>
        <w:spacing w:after="0" w:line="134" w:lineRule="exact"/>
        <w:rPr>
          <w:sz w:val="20"/>
          <w:szCs w:val="20"/>
          <w:color w:val="auto"/>
        </w:rPr>
      </w:pPr>
    </w:p>
    <w:p>
      <w:pPr>
        <w:ind w:right="4740"/>
        <w:spacing w:after="0" w:line="300" w:lineRule="auto"/>
        <w:rPr>
          <w:sz w:val="20"/>
          <w:szCs w:val="20"/>
          <w:color w:val="auto"/>
        </w:rPr>
      </w:pPr>
      <w:r>
        <w:rPr>
          <w:rFonts w:ascii="Arial" w:cs="Arial" w:eastAsia="Arial" w:hAnsi="Arial"/>
          <w:sz w:val="17"/>
          <w:szCs w:val="17"/>
          <w:color w:val="auto"/>
        </w:rPr>
        <w:t>The foundation we built over the past several years has brought us to this point. Every process we simplified, every route to market we unified, and every growth engine we invested in has strengthened the company and prepared us for the next stage of performance. We’ve entered 2026 a stronger company fully prepared to achieve sustainable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future is now. And together, we are ready to win it.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565150" cy="314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150" cy="31496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161290</wp:posOffset>
            </wp:positionV>
            <wp:extent cx="729615" cy="302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615" cy="302895"/>
                    </a:xfrm>
                    <a:prstGeom prst="rect">
                      <a:avLst/>
                    </a:prstGeom>
                    <a:noFill/>
                  </pic:spPr>
                </pic:pic>
              </a:graphicData>
            </a:graphic>
          </wp:anchor>
        </w:drawing>
      </w:r>
    </w:p>
    <w:p>
      <w:pPr>
        <w:sectPr>
          <w:pgSz w:w="11880" w:h="15480" w:orient="portrait"/>
          <w:cols w:equalWidth="0" w:num="1">
            <w:col w:w="9720"/>
          </w:cols>
          <w:pgMar w:left="7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Scott Letier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Louie Pastor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880" w:h="15480" w:orient="portrait"/>
          <w:cols w:equalWidth="0" w:num="2">
            <w:col w:w="1780" w:space="500"/>
            <w:col w:w="7440"/>
          </w:cols>
          <w:pgMar w:left="720" w:top="1440" w:right="1440"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E3001D"/>
        </w:rPr>
        <w:t>B O A R D O F D I R E C TO 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6622415" cy="1132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241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Pr>
          <w:p>
            <w:pPr>
              <w:spacing w:after="0"/>
              <w:rPr>
                <w:sz w:val="20"/>
                <w:szCs w:val="20"/>
                <w:color w:val="auto"/>
              </w:rPr>
            </w:pPr>
            <w:r>
              <w:rPr>
                <w:rFonts w:ascii="Arial" w:cs="Arial" w:eastAsia="Arial" w:hAnsi="Arial"/>
                <w:sz w:val="16"/>
                <w:szCs w:val="16"/>
                <w:b w:val="1"/>
                <w:bCs w:val="1"/>
                <w:color w:val="auto"/>
              </w:rPr>
              <w:t>Scott Letier</w:t>
            </w:r>
          </w:p>
        </w:tc>
        <w:tc>
          <w:tcPr>
            <w:tcW w:w="2040" w:type="dxa"/>
            <w:vAlign w:val="bottom"/>
          </w:tcPr>
          <w:p>
            <w:pPr>
              <w:ind w:left="160"/>
              <w:spacing w:after="0"/>
              <w:rPr>
                <w:sz w:val="20"/>
                <w:szCs w:val="20"/>
                <w:color w:val="auto"/>
              </w:rPr>
            </w:pPr>
            <w:r>
              <w:rPr>
                <w:rFonts w:ascii="Arial" w:cs="Arial" w:eastAsia="Arial" w:hAnsi="Arial"/>
                <w:sz w:val="16"/>
                <w:szCs w:val="16"/>
                <w:b w:val="1"/>
                <w:bCs w:val="1"/>
                <w:color w:val="auto"/>
              </w:rPr>
              <w:t>Louie Pastor</w:t>
            </w:r>
          </w:p>
        </w:tc>
        <w:tc>
          <w:tcPr>
            <w:tcW w:w="2220" w:type="dxa"/>
            <w:vAlign w:val="bottom"/>
          </w:tcPr>
          <w:p>
            <w:pPr>
              <w:ind w:left="260"/>
              <w:spacing w:after="0"/>
              <w:rPr>
                <w:sz w:val="20"/>
                <w:szCs w:val="20"/>
                <w:color w:val="auto"/>
              </w:rPr>
            </w:pPr>
            <w:r>
              <w:rPr>
                <w:rFonts w:ascii="Arial" w:cs="Arial" w:eastAsia="Arial" w:hAnsi="Arial"/>
                <w:sz w:val="16"/>
                <w:szCs w:val="16"/>
                <w:b w:val="1"/>
                <w:bCs w:val="1"/>
                <w:color w:val="auto"/>
              </w:rPr>
              <w:t>John G. Bruno</w:t>
            </w:r>
          </w:p>
        </w:tc>
        <w:tc>
          <w:tcPr>
            <w:tcW w:w="2140" w:type="dxa"/>
            <w:vAlign w:val="bottom"/>
          </w:tcPr>
          <w:p>
            <w:pPr>
              <w:ind w:left="180"/>
              <w:spacing w:after="0"/>
              <w:rPr>
                <w:sz w:val="20"/>
                <w:szCs w:val="20"/>
                <w:color w:val="auto"/>
              </w:rPr>
            </w:pPr>
            <w:r>
              <w:rPr>
                <w:rFonts w:ascii="Arial" w:cs="Arial" w:eastAsia="Arial" w:hAnsi="Arial"/>
                <w:sz w:val="16"/>
                <w:szCs w:val="16"/>
                <w:b w:val="1"/>
                <w:bCs w:val="1"/>
                <w:color w:val="auto"/>
              </w:rPr>
              <w:t>Tami A. Erwin</w:t>
            </w:r>
          </w:p>
        </w:tc>
        <w:tc>
          <w:tcPr>
            <w:tcW w:w="1820" w:type="dxa"/>
            <w:vAlign w:val="bottom"/>
          </w:tcPr>
          <w:p>
            <w:pPr>
              <w:ind w:left="160"/>
              <w:spacing w:after="0"/>
              <w:rPr>
                <w:sz w:val="20"/>
                <w:szCs w:val="20"/>
                <w:color w:val="auto"/>
              </w:rPr>
            </w:pPr>
            <w:r>
              <w:rPr>
                <w:rFonts w:ascii="Arial" w:cs="Arial" w:eastAsia="Arial" w:hAnsi="Arial"/>
                <w:sz w:val="16"/>
                <w:szCs w:val="16"/>
                <w:b w:val="1"/>
                <w:bCs w:val="1"/>
                <w:color w:val="auto"/>
              </w:rPr>
              <w:t>Priscilla Hung</w:t>
            </w:r>
          </w:p>
        </w:tc>
      </w:tr>
      <w:tr>
        <w:trPr>
          <w:trHeight w:val="247"/>
        </w:trPr>
        <w:tc>
          <w:tcPr>
            <w:tcW w:w="2000" w:type="dxa"/>
            <w:vAlign w:val="bottom"/>
          </w:tcPr>
          <w:p>
            <w:pPr>
              <w:spacing w:after="0"/>
              <w:rPr>
                <w:sz w:val="20"/>
                <w:szCs w:val="20"/>
                <w:color w:val="auto"/>
              </w:rPr>
            </w:pPr>
            <w:r>
              <w:rPr>
                <w:rFonts w:ascii="Arial" w:cs="Arial" w:eastAsia="Arial" w:hAnsi="Arial"/>
                <w:sz w:val="16"/>
                <w:szCs w:val="16"/>
                <w:color w:val="575058"/>
              </w:rPr>
              <w:t>Chairman of Xerox</w:t>
            </w:r>
          </w:p>
        </w:tc>
        <w:tc>
          <w:tcPr>
            <w:tcW w:w="2040" w:type="dxa"/>
            <w:vAlign w:val="bottom"/>
          </w:tcPr>
          <w:p>
            <w:pPr>
              <w:ind w:left="160"/>
              <w:spacing w:after="0"/>
              <w:rPr>
                <w:sz w:val="20"/>
                <w:szCs w:val="20"/>
                <w:color w:val="auto"/>
              </w:rPr>
            </w:pPr>
            <w:r>
              <w:rPr>
                <w:rFonts w:ascii="Arial" w:cs="Arial" w:eastAsia="Arial" w:hAnsi="Arial"/>
                <w:sz w:val="16"/>
                <w:szCs w:val="16"/>
                <w:color w:val="575058"/>
              </w:rPr>
              <w:t>Chief Executive Officer,</w:t>
            </w:r>
          </w:p>
        </w:tc>
        <w:tc>
          <w:tcPr>
            <w:tcW w:w="2220" w:type="dxa"/>
            <w:vAlign w:val="bottom"/>
          </w:tcPr>
          <w:p>
            <w:pPr>
              <w:ind w:left="260"/>
              <w:spacing w:after="0"/>
              <w:rPr>
                <w:sz w:val="20"/>
                <w:szCs w:val="20"/>
                <w:color w:val="auto"/>
              </w:rPr>
            </w:pPr>
            <w:r>
              <w:rPr>
                <w:rFonts w:ascii="Arial" w:cs="Arial" w:eastAsia="Arial" w:hAnsi="Arial"/>
                <w:sz w:val="16"/>
                <w:szCs w:val="16"/>
                <w:color w:val="575058"/>
              </w:rPr>
              <w:t>Chief Executive Officer of</w:t>
            </w:r>
          </w:p>
        </w:tc>
        <w:tc>
          <w:tcPr>
            <w:tcW w:w="2140" w:type="dxa"/>
            <w:vAlign w:val="bottom"/>
          </w:tcPr>
          <w:p>
            <w:pPr>
              <w:ind w:left="180"/>
              <w:spacing w:after="0"/>
              <w:rPr>
                <w:sz w:val="20"/>
                <w:szCs w:val="20"/>
                <w:color w:val="auto"/>
              </w:rPr>
            </w:pPr>
            <w:r>
              <w:rPr>
                <w:rFonts w:ascii="Arial" w:cs="Arial" w:eastAsia="Arial" w:hAnsi="Arial"/>
                <w:sz w:val="16"/>
                <w:szCs w:val="16"/>
                <w:color w:val="575058"/>
              </w:rPr>
              <w:t>Former Executive Vice</w:t>
            </w:r>
          </w:p>
        </w:tc>
        <w:tc>
          <w:tcPr>
            <w:tcW w:w="1820" w:type="dxa"/>
            <w:vAlign w:val="bottom"/>
          </w:tcPr>
          <w:p>
            <w:pPr>
              <w:ind w:left="160"/>
              <w:spacing w:after="0"/>
              <w:rPr>
                <w:sz w:val="20"/>
                <w:szCs w:val="20"/>
                <w:color w:val="auto"/>
              </w:rPr>
            </w:pPr>
            <w:r>
              <w:rPr>
                <w:rFonts w:ascii="Arial" w:cs="Arial" w:eastAsia="Arial" w:hAnsi="Arial"/>
                <w:sz w:val="16"/>
                <w:szCs w:val="16"/>
                <w:color w:val="575058"/>
              </w:rPr>
              <w:t>Former President and</w:t>
            </w:r>
          </w:p>
        </w:tc>
      </w:tr>
      <w:tr>
        <w:trPr>
          <w:trHeight w:val="210"/>
        </w:trPr>
        <w:tc>
          <w:tcPr>
            <w:tcW w:w="2000" w:type="dxa"/>
            <w:vAlign w:val="bottom"/>
          </w:tcPr>
          <w:p>
            <w:pPr>
              <w:spacing w:after="0"/>
              <w:rPr>
                <w:sz w:val="20"/>
                <w:szCs w:val="20"/>
                <w:color w:val="auto"/>
              </w:rPr>
            </w:pPr>
            <w:r>
              <w:rPr>
                <w:rFonts w:ascii="Arial" w:cs="Arial" w:eastAsia="Arial" w:hAnsi="Arial"/>
                <w:sz w:val="16"/>
                <w:szCs w:val="16"/>
                <w:color w:val="575058"/>
              </w:rPr>
              <w:t>Holdings, Chief Investment</w:t>
            </w:r>
          </w:p>
        </w:tc>
        <w:tc>
          <w:tcPr>
            <w:tcW w:w="2040" w:type="dxa"/>
            <w:vAlign w:val="bottom"/>
          </w:tcPr>
          <w:p>
            <w:pPr>
              <w:ind w:left="160"/>
              <w:spacing w:after="0"/>
              <w:rPr>
                <w:sz w:val="20"/>
                <w:szCs w:val="20"/>
                <w:color w:val="auto"/>
              </w:rPr>
            </w:pPr>
            <w:r>
              <w:rPr>
                <w:rFonts w:ascii="Arial" w:cs="Arial" w:eastAsia="Arial" w:hAnsi="Arial"/>
                <w:sz w:val="16"/>
                <w:szCs w:val="16"/>
                <w:color w:val="575058"/>
              </w:rPr>
              <w:t>Xerox Holdings</w:t>
            </w:r>
          </w:p>
        </w:tc>
        <w:tc>
          <w:tcPr>
            <w:tcW w:w="2220" w:type="dxa"/>
            <w:vAlign w:val="bottom"/>
          </w:tcPr>
          <w:p>
            <w:pPr>
              <w:ind w:left="260"/>
              <w:spacing w:after="0"/>
              <w:rPr>
                <w:sz w:val="20"/>
                <w:szCs w:val="20"/>
                <w:color w:val="auto"/>
              </w:rPr>
            </w:pPr>
            <w:r>
              <w:rPr>
                <w:rFonts w:ascii="Arial" w:cs="Arial" w:eastAsia="Arial" w:hAnsi="Arial"/>
                <w:sz w:val="16"/>
                <w:szCs w:val="16"/>
                <w:color w:val="575058"/>
              </w:rPr>
              <w:t>the National Veterinary</w:t>
            </w:r>
          </w:p>
        </w:tc>
        <w:tc>
          <w:tcPr>
            <w:tcW w:w="2140" w:type="dxa"/>
            <w:vAlign w:val="bottom"/>
          </w:tcPr>
          <w:p>
            <w:pPr>
              <w:ind w:left="180"/>
              <w:spacing w:after="0"/>
              <w:rPr>
                <w:sz w:val="20"/>
                <w:szCs w:val="20"/>
                <w:color w:val="auto"/>
              </w:rPr>
            </w:pPr>
            <w:r>
              <w:rPr>
                <w:rFonts w:ascii="Arial" w:cs="Arial" w:eastAsia="Arial" w:hAnsi="Arial"/>
                <w:sz w:val="16"/>
                <w:szCs w:val="16"/>
                <w:color w:val="575058"/>
              </w:rPr>
              <w:t>President and Group CEO,</w:t>
            </w:r>
          </w:p>
        </w:tc>
        <w:tc>
          <w:tcPr>
            <w:tcW w:w="1820" w:type="dxa"/>
            <w:vAlign w:val="bottom"/>
          </w:tcPr>
          <w:p>
            <w:pPr>
              <w:ind w:left="160"/>
              <w:spacing w:after="0"/>
              <w:rPr>
                <w:sz w:val="20"/>
                <w:szCs w:val="20"/>
                <w:color w:val="auto"/>
              </w:rPr>
            </w:pPr>
            <w:r>
              <w:rPr>
                <w:rFonts w:ascii="Arial" w:cs="Arial" w:eastAsia="Arial" w:hAnsi="Arial"/>
                <w:sz w:val="16"/>
                <w:szCs w:val="16"/>
                <w:color w:val="575058"/>
                <w:w w:val="97"/>
              </w:rPr>
              <w:t>Chief Operating Officer,</w:t>
            </w:r>
          </w:p>
        </w:tc>
      </w:tr>
      <w:tr>
        <w:trPr>
          <w:trHeight w:val="210"/>
        </w:trPr>
        <w:tc>
          <w:tcPr>
            <w:tcW w:w="2000" w:type="dxa"/>
            <w:vAlign w:val="bottom"/>
          </w:tcPr>
          <w:p>
            <w:pPr>
              <w:spacing w:after="0"/>
              <w:rPr>
                <w:sz w:val="20"/>
                <w:szCs w:val="20"/>
                <w:color w:val="auto"/>
              </w:rPr>
            </w:pPr>
            <w:r>
              <w:rPr>
                <w:rFonts w:ascii="Arial" w:cs="Arial" w:eastAsia="Arial" w:hAnsi="Arial"/>
                <w:sz w:val="16"/>
                <w:szCs w:val="16"/>
                <w:color w:val="575058"/>
              </w:rPr>
              <w:t>Officer and Managing</w:t>
            </w:r>
          </w:p>
        </w:tc>
        <w:tc>
          <w:tcPr>
            <w:tcW w:w="2040" w:type="dxa"/>
            <w:vAlign w:val="bottom"/>
          </w:tcPr>
          <w:p>
            <w:pPr>
              <w:ind w:left="160"/>
              <w:spacing w:after="0"/>
              <w:rPr>
                <w:sz w:val="20"/>
                <w:szCs w:val="20"/>
                <w:color w:val="auto"/>
              </w:rPr>
            </w:pPr>
            <w:r>
              <w:rPr>
                <w:rFonts w:ascii="Arial" w:cs="Arial" w:eastAsia="Arial" w:hAnsi="Arial"/>
                <w:sz w:val="16"/>
                <w:szCs w:val="16"/>
                <w:color w:val="575058"/>
              </w:rPr>
              <w:t>Corporation</w:t>
            </w:r>
          </w:p>
        </w:tc>
        <w:tc>
          <w:tcPr>
            <w:tcW w:w="2220" w:type="dxa"/>
            <w:vAlign w:val="bottom"/>
          </w:tcPr>
          <w:p>
            <w:pPr>
              <w:ind w:left="260"/>
              <w:spacing w:after="0"/>
              <w:rPr>
                <w:sz w:val="20"/>
                <w:szCs w:val="20"/>
                <w:color w:val="auto"/>
              </w:rPr>
            </w:pPr>
            <w:r>
              <w:rPr>
                <w:rFonts w:ascii="Arial" w:cs="Arial" w:eastAsia="Arial" w:hAnsi="Arial"/>
                <w:sz w:val="16"/>
                <w:szCs w:val="16"/>
                <w:color w:val="575058"/>
              </w:rPr>
              <w:t>Associates Group</w:t>
            </w:r>
          </w:p>
        </w:tc>
        <w:tc>
          <w:tcPr>
            <w:tcW w:w="2140" w:type="dxa"/>
            <w:vAlign w:val="bottom"/>
          </w:tcPr>
          <w:p>
            <w:pPr>
              <w:ind w:left="180"/>
              <w:spacing w:after="0"/>
              <w:rPr>
                <w:sz w:val="20"/>
                <w:szCs w:val="20"/>
                <w:color w:val="auto"/>
              </w:rPr>
            </w:pPr>
            <w:r>
              <w:rPr>
                <w:rFonts w:ascii="Arial" w:cs="Arial" w:eastAsia="Arial" w:hAnsi="Arial"/>
                <w:sz w:val="16"/>
                <w:szCs w:val="16"/>
                <w:color w:val="575058"/>
              </w:rPr>
              <w:t>Verizon Business Group</w:t>
            </w:r>
          </w:p>
        </w:tc>
        <w:tc>
          <w:tcPr>
            <w:tcW w:w="1820" w:type="dxa"/>
            <w:vAlign w:val="bottom"/>
          </w:tcPr>
          <w:p>
            <w:pPr>
              <w:ind w:left="160"/>
              <w:spacing w:after="0"/>
              <w:rPr>
                <w:sz w:val="20"/>
                <w:szCs w:val="20"/>
                <w:color w:val="auto"/>
              </w:rPr>
            </w:pPr>
            <w:r>
              <w:rPr>
                <w:rFonts w:ascii="Arial" w:cs="Arial" w:eastAsia="Arial" w:hAnsi="Arial"/>
                <w:sz w:val="16"/>
                <w:szCs w:val="16"/>
                <w:color w:val="575058"/>
              </w:rPr>
              <w:t>Guidewire Software</w:t>
            </w:r>
          </w:p>
        </w:tc>
      </w:tr>
      <w:tr>
        <w:trPr>
          <w:trHeight w:val="210"/>
        </w:trPr>
        <w:tc>
          <w:tcPr>
            <w:tcW w:w="2000" w:type="dxa"/>
            <w:vAlign w:val="bottom"/>
          </w:tcPr>
          <w:p>
            <w:pPr>
              <w:spacing w:after="0"/>
              <w:rPr>
                <w:sz w:val="20"/>
                <w:szCs w:val="20"/>
                <w:color w:val="auto"/>
              </w:rPr>
            </w:pPr>
            <w:r>
              <w:rPr>
                <w:rFonts w:ascii="Arial" w:cs="Arial" w:eastAsia="Arial" w:hAnsi="Arial"/>
                <w:sz w:val="16"/>
                <w:szCs w:val="16"/>
                <w:color w:val="575058"/>
              </w:rPr>
              <w:t>Director, Deason Capital</w:t>
            </w:r>
          </w:p>
        </w:tc>
        <w:tc>
          <w:tcPr>
            <w:tcW w:w="2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6"/>
                <w:szCs w:val="16"/>
                <w:color w:val="575058"/>
              </w:rPr>
              <w:t>Services, LLC</w:t>
            </w:r>
          </w:p>
        </w:tc>
        <w:tc>
          <w:tcPr>
            <w:tcW w:w="2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5263515" cy="1132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351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80" w:type="dxa"/>
            <w:vAlign w:val="bottom"/>
          </w:tcPr>
          <w:p>
            <w:pPr>
              <w:spacing w:after="0"/>
              <w:rPr>
                <w:sz w:val="20"/>
                <w:szCs w:val="20"/>
                <w:color w:val="auto"/>
              </w:rPr>
            </w:pPr>
            <w:r>
              <w:rPr>
                <w:rFonts w:ascii="Arial" w:cs="Arial" w:eastAsia="Arial" w:hAnsi="Arial"/>
                <w:sz w:val="16"/>
                <w:szCs w:val="16"/>
                <w:b w:val="1"/>
                <w:bCs w:val="1"/>
                <w:color w:val="auto"/>
              </w:rPr>
              <w:t>Nichelle Maynard-Elliot</w:t>
            </w:r>
          </w:p>
        </w:tc>
        <w:tc>
          <w:tcPr>
            <w:tcW w:w="2060" w:type="dxa"/>
            <w:vAlign w:val="bottom"/>
          </w:tcPr>
          <w:p>
            <w:pPr>
              <w:ind w:left="160"/>
              <w:spacing w:after="0"/>
              <w:rPr>
                <w:sz w:val="20"/>
                <w:szCs w:val="20"/>
                <w:color w:val="auto"/>
              </w:rPr>
            </w:pPr>
            <w:r>
              <w:rPr>
                <w:rFonts w:ascii="Arial" w:cs="Arial" w:eastAsia="Arial" w:hAnsi="Arial"/>
                <w:sz w:val="16"/>
                <w:szCs w:val="16"/>
                <w:b w:val="1"/>
                <w:bCs w:val="1"/>
                <w:color w:val="auto"/>
              </w:rPr>
              <w:t>Edward G. McLaughlin</w:t>
            </w:r>
          </w:p>
        </w:tc>
        <w:tc>
          <w:tcPr>
            <w:tcW w:w="2180" w:type="dxa"/>
            <w:vAlign w:val="bottom"/>
          </w:tcPr>
          <w:p>
            <w:pPr>
              <w:ind w:left="260"/>
              <w:spacing w:after="0"/>
              <w:rPr>
                <w:sz w:val="20"/>
                <w:szCs w:val="20"/>
                <w:color w:val="auto"/>
              </w:rPr>
            </w:pPr>
            <w:r>
              <w:rPr>
                <w:rFonts w:ascii="Arial" w:cs="Arial" w:eastAsia="Arial" w:hAnsi="Arial"/>
                <w:sz w:val="16"/>
                <w:szCs w:val="16"/>
                <w:b w:val="1"/>
                <w:bCs w:val="1"/>
                <w:color w:val="auto"/>
              </w:rPr>
              <w:t>John J. Roese</w:t>
            </w:r>
          </w:p>
        </w:tc>
        <w:tc>
          <w:tcPr>
            <w:tcW w:w="1960" w:type="dxa"/>
            <w:vAlign w:val="bottom"/>
          </w:tcPr>
          <w:p>
            <w:pPr>
              <w:ind w:left="200"/>
              <w:spacing w:after="0"/>
              <w:rPr>
                <w:sz w:val="20"/>
                <w:szCs w:val="20"/>
                <w:color w:val="auto"/>
              </w:rPr>
            </w:pPr>
            <w:r>
              <w:rPr>
                <w:rFonts w:ascii="Arial" w:cs="Arial" w:eastAsia="Arial" w:hAnsi="Arial"/>
                <w:sz w:val="16"/>
                <w:szCs w:val="16"/>
                <w:b w:val="1"/>
                <w:bCs w:val="1"/>
                <w:color w:val="auto"/>
              </w:rPr>
              <w:t>Amy Schwetz</w:t>
            </w:r>
          </w:p>
        </w:tc>
      </w:tr>
      <w:tr>
        <w:trPr>
          <w:trHeight w:val="247"/>
        </w:trPr>
        <w:tc>
          <w:tcPr>
            <w:tcW w:w="1980" w:type="dxa"/>
            <w:vAlign w:val="bottom"/>
          </w:tcPr>
          <w:p>
            <w:pPr>
              <w:spacing w:after="0"/>
              <w:rPr>
                <w:sz w:val="20"/>
                <w:szCs w:val="20"/>
                <w:color w:val="auto"/>
              </w:rPr>
            </w:pPr>
            <w:r>
              <w:rPr>
                <w:rFonts w:ascii="Arial" w:cs="Arial" w:eastAsia="Arial" w:hAnsi="Arial"/>
                <w:sz w:val="16"/>
                <w:szCs w:val="16"/>
                <w:color w:val="575058"/>
              </w:rPr>
              <w:t>Former Executive Director,</w:t>
            </w:r>
          </w:p>
        </w:tc>
        <w:tc>
          <w:tcPr>
            <w:tcW w:w="2060" w:type="dxa"/>
            <w:vAlign w:val="bottom"/>
          </w:tcPr>
          <w:p>
            <w:pPr>
              <w:ind w:left="160"/>
              <w:spacing w:after="0"/>
              <w:rPr>
                <w:sz w:val="20"/>
                <w:szCs w:val="20"/>
                <w:color w:val="auto"/>
              </w:rPr>
            </w:pPr>
            <w:r>
              <w:rPr>
                <w:rFonts w:ascii="Arial" w:cs="Arial" w:eastAsia="Arial" w:hAnsi="Arial"/>
                <w:sz w:val="16"/>
                <w:szCs w:val="16"/>
                <w:color w:val="575058"/>
              </w:rPr>
              <w:t>President and Chief</w:t>
            </w:r>
          </w:p>
        </w:tc>
        <w:tc>
          <w:tcPr>
            <w:tcW w:w="2180" w:type="dxa"/>
            <w:vAlign w:val="bottom"/>
          </w:tcPr>
          <w:p>
            <w:pPr>
              <w:ind w:left="260"/>
              <w:spacing w:after="0"/>
              <w:rPr>
                <w:sz w:val="20"/>
                <w:szCs w:val="20"/>
                <w:color w:val="auto"/>
              </w:rPr>
            </w:pPr>
            <w:r>
              <w:rPr>
                <w:rFonts w:ascii="Arial" w:cs="Arial" w:eastAsia="Arial" w:hAnsi="Arial"/>
                <w:sz w:val="16"/>
                <w:szCs w:val="16"/>
                <w:color w:val="575058"/>
              </w:rPr>
              <w:t>Chief Technology Officer</w:t>
            </w:r>
          </w:p>
        </w:tc>
        <w:tc>
          <w:tcPr>
            <w:tcW w:w="1960" w:type="dxa"/>
            <w:vAlign w:val="bottom"/>
          </w:tcPr>
          <w:p>
            <w:pPr>
              <w:ind w:left="200"/>
              <w:spacing w:after="0"/>
              <w:rPr>
                <w:sz w:val="20"/>
                <w:szCs w:val="20"/>
                <w:color w:val="auto"/>
              </w:rPr>
            </w:pPr>
            <w:r>
              <w:rPr>
                <w:rFonts w:ascii="Arial" w:cs="Arial" w:eastAsia="Arial" w:hAnsi="Arial"/>
                <w:sz w:val="16"/>
                <w:szCs w:val="16"/>
                <w:color w:val="575058"/>
                <w:w w:val="94"/>
              </w:rPr>
              <w:t>Senior Vice President and</w:t>
            </w:r>
          </w:p>
        </w:tc>
      </w:tr>
      <w:tr>
        <w:trPr>
          <w:trHeight w:val="210"/>
        </w:trPr>
        <w:tc>
          <w:tcPr>
            <w:tcW w:w="1980" w:type="dxa"/>
            <w:vAlign w:val="bottom"/>
          </w:tcPr>
          <w:p>
            <w:pPr>
              <w:spacing w:after="0"/>
              <w:rPr>
                <w:sz w:val="20"/>
                <w:szCs w:val="20"/>
                <w:color w:val="auto"/>
              </w:rPr>
            </w:pPr>
            <w:r>
              <w:rPr>
                <w:rFonts w:ascii="Arial" w:cs="Arial" w:eastAsia="Arial" w:hAnsi="Arial"/>
                <w:sz w:val="16"/>
                <w:szCs w:val="16"/>
                <w:color w:val="575058"/>
              </w:rPr>
              <w:t>Mergers and Acquisitions,</w:t>
            </w:r>
          </w:p>
        </w:tc>
        <w:tc>
          <w:tcPr>
            <w:tcW w:w="2060" w:type="dxa"/>
            <w:vAlign w:val="bottom"/>
          </w:tcPr>
          <w:p>
            <w:pPr>
              <w:ind w:left="160"/>
              <w:spacing w:after="0"/>
              <w:rPr>
                <w:sz w:val="20"/>
                <w:szCs w:val="20"/>
                <w:color w:val="auto"/>
              </w:rPr>
            </w:pPr>
            <w:r>
              <w:rPr>
                <w:rFonts w:ascii="Arial" w:cs="Arial" w:eastAsia="Arial" w:hAnsi="Arial"/>
                <w:sz w:val="16"/>
                <w:szCs w:val="16"/>
                <w:color w:val="575058"/>
              </w:rPr>
              <w:t>Technology Officer,</w:t>
            </w:r>
          </w:p>
        </w:tc>
        <w:tc>
          <w:tcPr>
            <w:tcW w:w="2180" w:type="dxa"/>
            <w:vAlign w:val="bottom"/>
          </w:tcPr>
          <w:p>
            <w:pPr>
              <w:ind w:left="260"/>
              <w:spacing w:after="0"/>
              <w:rPr>
                <w:sz w:val="20"/>
                <w:szCs w:val="20"/>
                <w:color w:val="auto"/>
              </w:rPr>
            </w:pPr>
            <w:r>
              <w:rPr>
                <w:rFonts w:ascii="Arial" w:cs="Arial" w:eastAsia="Arial" w:hAnsi="Arial"/>
                <w:sz w:val="16"/>
                <w:szCs w:val="16"/>
                <w:color w:val="575058"/>
              </w:rPr>
              <w:t>and Chief AI Officer,</w:t>
            </w:r>
          </w:p>
        </w:tc>
        <w:tc>
          <w:tcPr>
            <w:tcW w:w="1960" w:type="dxa"/>
            <w:vAlign w:val="bottom"/>
          </w:tcPr>
          <w:p>
            <w:pPr>
              <w:ind w:left="200"/>
              <w:spacing w:after="0"/>
              <w:rPr>
                <w:sz w:val="20"/>
                <w:szCs w:val="20"/>
                <w:color w:val="auto"/>
              </w:rPr>
            </w:pPr>
            <w:r>
              <w:rPr>
                <w:rFonts w:ascii="Arial" w:cs="Arial" w:eastAsia="Arial" w:hAnsi="Arial"/>
                <w:sz w:val="16"/>
                <w:szCs w:val="16"/>
                <w:color w:val="575058"/>
              </w:rPr>
              <w:t>Chief Financial Officer,</w:t>
            </w:r>
          </w:p>
        </w:tc>
      </w:tr>
      <w:tr>
        <w:trPr>
          <w:trHeight w:val="210"/>
        </w:trPr>
        <w:tc>
          <w:tcPr>
            <w:tcW w:w="1980" w:type="dxa"/>
            <w:vAlign w:val="bottom"/>
          </w:tcPr>
          <w:p>
            <w:pPr>
              <w:spacing w:after="0"/>
              <w:rPr>
                <w:sz w:val="20"/>
                <w:szCs w:val="20"/>
                <w:color w:val="auto"/>
              </w:rPr>
            </w:pPr>
            <w:r>
              <w:rPr>
                <w:rFonts w:ascii="Arial" w:cs="Arial" w:eastAsia="Arial" w:hAnsi="Arial"/>
                <w:sz w:val="16"/>
                <w:szCs w:val="16"/>
                <w:color w:val="575058"/>
              </w:rPr>
              <w:t>for Praxair, Inc.</w:t>
            </w:r>
          </w:p>
        </w:tc>
        <w:tc>
          <w:tcPr>
            <w:tcW w:w="2060" w:type="dxa"/>
            <w:vAlign w:val="bottom"/>
          </w:tcPr>
          <w:p>
            <w:pPr>
              <w:ind w:left="160"/>
              <w:spacing w:after="0"/>
              <w:rPr>
                <w:sz w:val="20"/>
                <w:szCs w:val="20"/>
                <w:color w:val="auto"/>
              </w:rPr>
            </w:pPr>
            <w:r>
              <w:rPr>
                <w:rFonts w:ascii="Arial" w:cs="Arial" w:eastAsia="Arial" w:hAnsi="Arial"/>
                <w:sz w:val="16"/>
                <w:szCs w:val="16"/>
                <w:color w:val="575058"/>
              </w:rPr>
              <w:t>Mastercard</w:t>
            </w:r>
          </w:p>
        </w:tc>
        <w:tc>
          <w:tcPr>
            <w:tcW w:w="2180" w:type="dxa"/>
            <w:vAlign w:val="bottom"/>
          </w:tcPr>
          <w:p>
            <w:pPr>
              <w:ind w:left="260"/>
              <w:spacing w:after="0"/>
              <w:rPr>
                <w:sz w:val="20"/>
                <w:szCs w:val="20"/>
                <w:color w:val="auto"/>
              </w:rPr>
            </w:pPr>
            <w:r>
              <w:rPr>
                <w:rFonts w:ascii="Arial" w:cs="Arial" w:eastAsia="Arial" w:hAnsi="Arial"/>
                <w:sz w:val="16"/>
                <w:szCs w:val="16"/>
                <w:color w:val="575058"/>
              </w:rPr>
              <w:t>Dell Technologies</w:t>
            </w:r>
          </w:p>
        </w:tc>
        <w:tc>
          <w:tcPr>
            <w:tcW w:w="1960" w:type="dxa"/>
            <w:vAlign w:val="bottom"/>
          </w:tcPr>
          <w:p>
            <w:pPr>
              <w:ind w:left="200"/>
              <w:spacing w:after="0"/>
              <w:rPr>
                <w:sz w:val="20"/>
                <w:szCs w:val="20"/>
                <w:color w:val="auto"/>
              </w:rPr>
            </w:pPr>
            <w:r>
              <w:rPr>
                <w:rFonts w:ascii="Arial" w:cs="Arial" w:eastAsia="Arial" w:hAnsi="Arial"/>
                <w:sz w:val="16"/>
                <w:szCs w:val="16"/>
                <w:color w:val="575058"/>
              </w:rPr>
              <w:t>Flowserve</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20"/>
                <w:szCs w:val="20"/>
                <w:color w:val="auto"/>
              </w:rPr>
            </w:pPr>
            <w:r>
              <w:rPr>
                <w:rFonts w:ascii="Arial" w:cs="Arial" w:eastAsia="Arial" w:hAnsi="Arial"/>
                <w:sz w:val="16"/>
                <w:szCs w:val="16"/>
                <w:b w:val="1"/>
                <w:bCs w:val="1"/>
                <w:color w:val="E3001D"/>
              </w:rPr>
              <w:t>O F F I C E R S</w:t>
            </w: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3340" w:type="dxa"/>
            <w:vAlign w:val="bottom"/>
          </w:tcPr>
          <w:p>
            <w:pPr>
              <w:spacing w:after="0"/>
              <w:rPr>
                <w:sz w:val="20"/>
                <w:szCs w:val="20"/>
                <w:color w:val="auto"/>
              </w:rPr>
            </w:pPr>
            <w:r>
              <w:rPr>
                <w:rFonts w:ascii="Arial" w:cs="Arial" w:eastAsia="Arial" w:hAnsi="Arial"/>
                <w:sz w:val="16"/>
                <w:szCs w:val="16"/>
                <w:b w:val="1"/>
                <w:bCs w:val="1"/>
                <w:color w:val="auto"/>
              </w:rPr>
              <w:t>Louie Pastor</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6"/>
                <w:szCs w:val="16"/>
                <w:color w:val="575058"/>
              </w:rPr>
              <w:t>Chief Executive Officer</w:t>
            </w:r>
          </w:p>
        </w:tc>
        <w:tc>
          <w:tcPr>
            <w:tcW w:w="3580" w:type="dxa"/>
            <w:vAlign w:val="bottom"/>
          </w:tcPr>
          <w:p>
            <w:pPr>
              <w:ind w:left="540"/>
              <w:spacing w:after="0"/>
              <w:rPr>
                <w:sz w:val="20"/>
                <w:szCs w:val="20"/>
                <w:color w:val="auto"/>
              </w:rPr>
            </w:pPr>
            <w:r>
              <w:rPr>
                <w:rFonts w:ascii="Arial" w:cs="Arial" w:eastAsia="Arial" w:hAnsi="Arial"/>
                <w:sz w:val="16"/>
                <w:szCs w:val="16"/>
                <w:b w:val="1"/>
                <w:bCs w:val="1"/>
                <w:color w:val="auto"/>
              </w:rPr>
              <w:t>Munu Gandhi</w:t>
            </w:r>
          </w:p>
        </w:tc>
        <w:tc>
          <w:tcPr>
            <w:tcW w:w="0" w:type="dxa"/>
            <w:vAlign w:val="bottom"/>
          </w:tcPr>
          <w:p>
            <w:pPr>
              <w:spacing w:after="0"/>
              <w:rPr>
                <w:sz w:val="1"/>
                <w:szCs w:val="1"/>
                <w:color w:val="auto"/>
              </w:rPr>
            </w:pPr>
          </w:p>
        </w:tc>
      </w:tr>
      <w:tr>
        <w:trPr>
          <w:trHeight w:val="214"/>
        </w:trPr>
        <w:tc>
          <w:tcPr>
            <w:tcW w:w="3340" w:type="dxa"/>
            <w:vAlign w:val="bottom"/>
            <w:vMerge w:val="restart"/>
          </w:tcPr>
          <w:p>
            <w:pPr>
              <w:spacing w:after="0"/>
              <w:rPr>
                <w:sz w:val="20"/>
                <w:szCs w:val="20"/>
                <w:color w:val="auto"/>
              </w:rPr>
            </w:pPr>
            <w:r>
              <w:rPr>
                <w:rFonts w:ascii="Arial" w:cs="Arial" w:eastAsia="Arial" w:hAnsi="Arial"/>
                <w:sz w:val="16"/>
                <w:szCs w:val="16"/>
                <w:b w:val="1"/>
                <w:bCs w:val="1"/>
                <w:color w:val="auto"/>
              </w:rPr>
              <w:t>Chuck Butler</w:t>
            </w:r>
          </w:p>
        </w:tc>
        <w:tc>
          <w:tcPr>
            <w:tcW w:w="3580" w:type="dxa"/>
            <w:vAlign w:val="bottom"/>
          </w:tcPr>
          <w:p>
            <w:pPr>
              <w:ind w:left="540"/>
              <w:spacing w:after="0"/>
              <w:rPr>
                <w:sz w:val="20"/>
                <w:szCs w:val="20"/>
                <w:color w:val="auto"/>
              </w:rPr>
            </w:pPr>
            <w:r>
              <w:rPr>
                <w:rFonts w:ascii="Arial" w:cs="Arial" w:eastAsia="Arial" w:hAnsi="Arial"/>
                <w:sz w:val="16"/>
                <w:szCs w:val="16"/>
                <w:color w:val="575058"/>
              </w:rPr>
              <w:t>President IT Solutions</w:t>
            </w:r>
          </w:p>
        </w:tc>
        <w:tc>
          <w:tcPr>
            <w:tcW w:w="0" w:type="dxa"/>
            <w:vAlign w:val="bottom"/>
          </w:tcPr>
          <w:p>
            <w:pPr>
              <w:spacing w:after="0"/>
              <w:rPr>
                <w:sz w:val="1"/>
                <w:szCs w:val="1"/>
                <w:color w:val="auto"/>
              </w:rPr>
            </w:pPr>
          </w:p>
        </w:tc>
      </w:tr>
      <w:tr>
        <w:trPr>
          <w:trHeight w:val="186"/>
        </w:trPr>
        <w:tc>
          <w:tcPr>
            <w:tcW w:w="3340" w:type="dxa"/>
            <w:vAlign w:val="bottom"/>
            <w:vMerge w:val="continue"/>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6"/>
                <w:szCs w:val="16"/>
                <w:color w:val="575058"/>
              </w:rPr>
              <w:t>Executive Vice President</w:t>
            </w:r>
          </w:p>
        </w:tc>
        <w:tc>
          <w:tcPr>
            <w:tcW w:w="3580" w:type="dxa"/>
            <w:vAlign w:val="bottom"/>
          </w:tcPr>
          <w:p>
            <w:pPr>
              <w:ind w:left="540"/>
              <w:spacing w:after="0"/>
              <w:rPr>
                <w:sz w:val="20"/>
                <w:szCs w:val="20"/>
                <w:color w:val="auto"/>
              </w:rPr>
            </w:pPr>
            <w:r>
              <w:rPr>
                <w:rFonts w:ascii="Arial" w:cs="Arial" w:eastAsia="Arial" w:hAnsi="Arial"/>
                <w:sz w:val="16"/>
                <w:szCs w:val="16"/>
                <w:b w:val="1"/>
                <w:bCs w:val="1"/>
                <w:color w:val="auto"/>
              </w:rPr>
              <w:t>William Twomey</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6"/>
                <w:szCs w:val="16"/>
                <w:color w:val="575058"/>
              </w:rPr>
              <w:t>and Chief Financial Officer</w:t>
            </w:r>
          </w:p>
        </w:tc>
        <w:tc>
          <w:tcPr>
            <w:tcW w:w="3580" w:type="dxa"/>
            <w:vAlign w:val="bottom"/>
          </w:tcPr>
          <w:p>
            <w:pPr>
              <w:ind w:left="540"/>
              <w:spacing w:after="0"/>
              <w:rPr>
                <w:sz w:val="20"/>
                <w:szCs w:val="20"/>
                <w:color w:val="auto"/>
              </w:rPr>
            </w:pPr>
            <w:r>
              <w:rPr>
                <w:rFonts w:ascii="Arial" w:cs="Arial" w:eastAsia="Arial" w:hAnsi="Arial"/>
                <w:sz w:val="16"/>
                <w:szCs w:val="16"/>
                <w:color w:val="575058"/>
                <w:w w:val="97"/>
              </w:rPr>
              <w:t>Vice President and Chief Accounting Officer</w:t>
            </w:r>
          </w:p>
        </w:tc>
        <w:tc>
          <w:tcPr>
            <w:tcW w:w="0" w:type="dxa"/>
            <w:vAlign w:val="bottom"/>
          </w:tcPr>
          <w:p>
            <w:pPr>
              <w:spacing w:after="0"/>
              <w:rPr>
                <w:sz w:val="1"/>
                <w:szCs w:val="1"/>
                <w:color w:val="auto"/>
              </w:rPr>
            </w:pPr>
          </w:p>
        </w:tc>
      </w:tr>
      <w:tr>
        <w:trPr>
          <w:trHeight w:val="406"/>
        </w:trPr>
        <w:tc>
          <w:tcPr>
            <w:tcW w:w="3340" w:type="dxa"/>
            <w:vAlign w:val="bottom"/>
          </w:tcPr>
          <w:p>
            <w:pPr>
              <w:spacing w:after="0"/>
              <w:rPr>
                <w:sz w:val="20"/>
                <w:szCs w:val="20"/>
                <w:color w:val="auto"/>
              </w:rPr>
            </w:pPr>
            <w:r>
              <w:rPr>
                <w:rFonts w:ascii="Arial" w:cs="Arial" w:eastAsia="Arial" w:hAnsi="Arial"/>
                <w:sz w:val="16"/>
                <w:szCs w:val="16"/>
                <w:b w:val="1"/>
                <w:bCs w:val="1"/>
                <w:color w:val="auto"/>
              </w:rPr>
              <w:t>Flor Colón</w:t>
            </w:r>
          </w:p>
        </w:tc>
        <w:tc>
          <w:tcPr>
            <w:tcW w:w="3580" w:type="dxa"/>
            <w:vAlign w:val="bottom"/>
          </w:tcPr>
          <w:p>
            <w:pPr>
              <w:ind w:left="540"/>
              <w:spacing w:after="0"/>
              <w:rPr>
                <w:sz w:val="20"/>
                <w:szCs w:val="20"/>
                <w:color w:val="auto"/>
              </w:rPr>
            </w:pPr>
            <w:r>
              <w:rPr>
                <w:rFonts w:ascii="Arial" w:cs="Arial" w:eastAsia="Arial" w:hAnsi="Arial"/>
                <w:sz w:val="16"/>
                <w:szCs w:val="16"/>
                <w:b w:val="1"/>
                <w:bCs w:val="1"/>
                <w:color w:val="auto"/>
              </w:rPr>
              <w:t>Stuart Kirk</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6"/>
                <w:szCs w:val="16"/>
                <w:color w:val="575058"/>
              </w:rPr>
              <w:t>Executive Vice President and Chief Legal</w:t>
            </w:r>
          </w:p>
        </w:tc>
        <w:tc>
          <w:tcPr>
            <w:tcW w:w="3580" w:type="dxa"/>
            <w:vAlign w:val="bottom"/>
          </w:tcPr>
          <w:p>
            <w:pPr>
              <w:ind w:left="540"/>
              <w:spacing w:after="0"/>
              <w:rPr>
                <w:sz w:val="20"/>
                <w:szCs w:val="20"/>
                <w:color w:val="auto"/>
              </w:rPr>
            </w:pPr>
            <w:r>
              <w:rPr>
                <w:rFonts w:ascii="Arial" w:cs="Arial" w:eastAsia="Arial" w:hAnsi="Arial"/>
                <w:sz w:val="16"/>
                <w:szCs w:val="16"/>
                <w:color w:val="575058"/>
              </w:rPr>
              <w:t>Vice President and Treasurer</w:t>
            </w: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6"/>
                <w:szCs w:val="16"/>
                <w:color w:val="575058"/>
              </w:rPr>
              <w:t>Officer and Corporate Secretary</w:t>
            </w:r>
          </w:p>
        </w:tc>
        <w:tc>
          <w:tcPr>
            <w:tcW w:w="358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Eric Risi</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6"/>
                <w:szCs w:val="16"/>
                <w:b w:val="1"/>
                <w:bCs w:val="1"/>
                <w:color w:val="auto"/>
              </w:rPr>
              <w:t>Jacques-Edouard Gueden</w:t>
            </w:r>
          </w:p>
        </w:tc>
        <w:tc>
          <w:tcPr>
            <w:tcW w:w="3580" w:type="dxa"/>
            <w:vAlign w:val="bottom"/>
          </w:tcPr>
          <w:p>
            <w:pPr>
              <w:ind w:left="540"/>
              <w:spacing w:after="0"/>
              <w:rPr>
                <w:sz w:val="20"/>
                <w:szCs w:val="20"/>
                <w:color w:val="auto"/>
              </w:rPr>
            </w:pPr>
            <w:r>
              <w:rPr>
                <w:rFonts w:ascii="Arial" w:cs="Arial" w:eastAsia="Arial" w:hAnsi="Arial"/>
                <w:sz w:val="16"/>
                <w:szCs w:val="16"/>
                <w:color w:val="575058"/>
              </w:rPr>
              <w:t>Assistant Secretary</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6"/>
                <w:szCs w:val="16"/>
                <w:color w:val="575058"/>
              </w:rPr>
              <w:t>Executive Vice President</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6"/>
                <w:szCs w:val="16"/>
                <w:color w:val="575058"/>
              </w:rPr>
              <w:t>and Chief Revenue Officer</w:t>
            </w: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880" w:h="15480" w:orient="portrait"/>
          <w:cols w:equalWidth="0" w:num="1">
            <w:col w:w="10220"/>
          </w:cols>
          <w:pgMar w:left="720" w:top="1440" w:right="9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04"/>
          <w:szCs w:val="104"/>
          <w:color w:val="D1D4D6"/>
        </w:rPr>
        <w:t>Intentionally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06"/>
          <w:szCs w:val="106"/>
          <w:color w:val="D1D4D6"/>
        </w:rPr>
        <w:t>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ind w:left="3080"/>
        <w:spacing w:after="0" w:line="224" w:lineRule="auto"/>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8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79" w:lineRule="exact"/>
        <w:rPr>
          <w:sz w:val="20"/>
          <w:szCs w:val="20"/>
          <w:color w:val="auto"/>
        </w:rPr>
      </w:pPr>
    </w:p>
    <w:p>
      <w:pPr>
        <w:ind w:left="580" w:right="60" w:hanging="536"/>
        <w:spacing w:after="0" w:line="246" w:lineRule="auto"/>
        <w:tabs>
          <w:tab w:leader="none" w:pos="58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177" w:lineRule="exact"/>
        <w:rPr>
          <w:sz w:val="20"/>
          <w:szCs w:val="20"/>
          <w:color w:val="auto"/>
        </w:rPr>
      </w:pPr>
    </w:p>
    <w:p>
      <w:pPr>
        <w:ind w:left="580" w:right="60" w:hanging="536"/>
        <w:spacing w:after="0" w:line="246" w:lineRule="auto"/>
        <w:tabs>
          <w:tab w:leader="none" w:pos="5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For the transition period from: ______ to: _______</w:t>
      </w:r>
    </w:p>
    <w:p>
      <w:pPr>
        <w:spacing w:after="0" w:line="3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46355</wp:posOffset>
            </wp:positionV>
            <wp:extent cx="1319530" cy="261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9530" cy="261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XEROX HOLDINGS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XEROX CORPORATION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7"/>
              </w:rPr>
              <w:t>New York</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7"/>
              </w:rPr>
              <w:t>001-39013</w:t>
            </w:r>
          </w:p>
        </w:tc>
        <w:tc>
          <w:tcPr>
            <w:tcW w:w="3340" w:type="dxa"/>
            <w:vAlign w:val="bottom"/>
          </w:tcPr>
          <w:p>
            <w:pPr>
              <w:jc w:val="center"/>
              <w:ind w:left="35"/>
              <w:spacing w:after="0"/>
              <w:rPr>
                <w:sz w:val="20"/>
                <w:szCs w:val="20"/>
                <w:color w:val="auto"/>
              </w:rPr>
            </w:pPr>
            <w:r>
              <w:rPr>
                <w:rFonts w:ascii="Arial" w:cs="Arial" w:eastAsia="Arial" w:hAnsi="Arial"/>
                <w:sz w:val="18"/>
                <w:szCs w:val="18"/>
                <w:b w:val="1"/>
                <w:bCs w:val="1"/>
                <w:color w:val="auto"/>
                <w:w w:val="97"/>
              </w:rPr>
              <w:t>83-3933743</w:t>
            </w:r>
          </w:p>
        </w:tc>
        <w:tc>
          <w:tcPr>
            <w:tcW w:w="0" w:type="dxa"/>
            <w:vAlign w:val="bottom"/>
          </w:tcPr>
          <w:p>
            <w:pPr>
              <w:spacing w:after="0"/>
              <w:rPr>
                <w:sz w:val="1"/>
                <w:szCs w:val="1"/>
                <w:color w:val="auto"/>
              </w:rPr>
            </w:pPr>
          </w:p>
        </w:tc>
      </w:tr>
      <w:tr>
        <w:trPr>
          <w:trHeight w:val="244"/>
        </w:trPr>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7"/>
              </w:rPr>
              <w:t>New York</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7"/>
              </w:rPr>
              <w:t>001-04471</w:t>
            </w:r>
          </w:p>
        </w:tc>
        <w:tc>
          <w:tcPr>
            <w:tcW w:w="3340" w:type="dxa"/>
            <w:vAlign w:val="bottom"/>
          </w:tcPr>
          <w:p>
            <w:pPr>
              <w:jc w:val="center"/>
              <w:ind w:left="35"/>
              <w:spacing w:after="0"/>
              <w:rPr>
                <w:sz w:val="20"/>
                <w:szCs w:val="20"/>
                <w:color w:val="auto"/>
              </w:rPr>
            </w:pPr>
            <w:r>
              <w:rPr>
                <w:rFonts w:ascii="Arial" w:cs="Arial" w:eastAsia="Arial" w:hAnsi="Arial"/>
                <w:sz w:val="18"/>
                <w:szCs w:val="18"/>
                <w:b w:val="1"/>
                <w:bCs w:val="1"/>
                <w:color w:val="auto"/>
                <w:w w:val="97"/>
              </w:rPr>
              <w:t>16-0468020</w:t>
            </w:r>
          </w:p>
        </w:tc>
        <w:tc>
          <w:tcPr>
            <w:tcW w:w="0" w:type="dxa"/>
            <w:vAlign w:val="bottom"/>
          </w:tcPr>
          <w:p>
            <w:pPr>
              <w:spacing w:after="0"/>
              <w:rPr>
                <w:sz w:val="1"/>
                <w:szCs w:val="1"/>
                <w:color w:val="auto"/>
              </w:rPr>
            </w:pPr>
          </w:p>
        </w:tc>
      </w:tr>
      <w:tr>
        <w:trPr>
          <w:trHeight w:val="188"/>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9"/>
              </w:rPr>
              <w:t>(State or other jurisdiction of incorporation or</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2"/>
              </w:rPr>
              <w:t>(Commission File Number)</w:t>
            </w:r>
          </w:p>
        </w:tc>
        <w:tc>
          <w:tcPr>
            <w:tcW w:w="334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(IRS Employer Identification No.)</w:t>
            </w:r>
          </w:p>
        </w:tc>
        <w:tc>
          <w:tcPr>
            <w:tcW w:w="0" w:type="dxa"/>
            <w:vAlign w:val="bottom"/>
          </w:tcPr>
          <w:p>
            <w:pPr>
              <w:spacing w:after="0"/>
              <w:rPr>
                <w:sz w:val="1"/>
                <w:szCs w:val="1"/>
                <w:color w:val="auto"/>
              </w:rPr>
            </w:pPr>
          </w:p>
        </w:tc>
      </w:tr>
      <w:tr>
        <w:trPr>
          <w:trHeight w:val="208"/>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9"/>
              </w:rPr>
              <w:t>organization)</w:t>
            </w:r>
          </w:p>
        </w:tc>
        <w:tc>
          <w:tcPr>
            <w:tcW w:w="30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4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8"/>
              </w:rPr>
              <w:t>P.O. Box 4505, 401 Merritt 7</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8"/>
              </w:rPr>
              <w:t>Norwalk, Connecticut 06851-1056</w:t>
            </w: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840" w:type="dxa"/>
            <w:vAlign w:val="bottom"/>
            <w:gridSpan w:val="3"/>
          </w:tcPr>
          <w:p>
            <w:pPr>
              <w:jc w:val="center"/>
              <w:ind w:left="36"/>
              <w:spacing w:after="0"/>
              <w:rPr>
                <w:sz w:val="20"/>
                <w:szCs w:val="20"/>
                <w:color w:val="auto"/>
              </w:rPr>
            </w:pPr>
            <w:r>
              <w:rPr>
                <w:rFonts w:ascii="Arial" w:cs="Arial" w:eastAsia="Arial" w:hAnsi="Arial"/>
                <w:sz w:val="16"/>
                <w:szCs w:val="16"/>
                <w:b w:val="1"/>
                <w:bCs w:val="1"/>
                <w:color w:val="auto"/>
                <w:w w:val="90"/>
              </w:rPr>
              <w:t>(Address of principal executive offices and Zip Code)</w:t>
            </w:r>
          </w:p>
        </w:tc>
        <w:tc>
          <w:tcPr>
            <w:tcW w:w="0" w:type="dxa"/>
            <w:vAlign w:val="bottom"/>
          </w:tcPr>
          <w:p>
            <w:pPr>
              <w:spacing w:after="0"/>
              <w:rPr>
                <w:sz w:val="1"/>
                <w:szCs w:val="1"/>
                <w:color w:val="auto"/>
              </w:rPr>
            </w:pPr>
          </w:p>
        </w:tc>
      </w:tr>
      <w:tr>
        <w:trPr>
          <w:trHeight w:val="409"/>
        </w:trPr>
        <w:tc>
          <w:tcPr>
            <w:tcW w:w="348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6"/>
              </w:rPr>
              <w:t>203-849-5216</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40" w:type="dxa"/>
            <w:vAlign w:val="bottom"/>
            <w:gridSpan w:val="3"/>
          </w:tcPr>
          <w:p>
            <w:pPr>
              <w:jc w:val="center"/>
              <w:ind w:left="36"/>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0" w:type="dxa"/>
            <w:vAlign w:val="bottom"/>
          </w:tcPr>
          <w:p>
            <w:pPr>
              <w:spacing w:after="0"/>
              <w:rPr>
                <w:sz w:val="1"/>
                <w:szCs w:val="1"/>
                <w:color w:val="auto"/>
              </w:rPr>
            </w:pPr>
          </w:p>
        </w:tc>
      </w:tr>
      <w:tr>
        <w:trPr>
          <w:trHeight w:val="400"/>
        </w:trPr>
        <w:tc>
          <w:tcPr>
            <w:tcW w:w="9840" w:type="dxa"/>
            <w:vAlign w:val="bottom"/>
            <w:gridSpan w:val="3"/>
          </w:tcPr>
          <w:p>
            <w:pPr>
              <w:jc w:val="center"/>
              <w:ind w:left="36"/>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78"/>
        </w:trPr>
        <w:tc>
          <w:tcPr>
            <w:tcW w:w="3480" w:type="dxa"/>
            <w:vAlign w:val="bottom"/>
          </w:tcPr>
          <w:p>
            <w:pPr>
              <w:spacing w:after="0" w:line="178" w:lineRule="exact"/>
              <w:rPr>
                <w:sz w:val="20"/>
                <w:szCs w:val="20"/>
                <w:color w:val="auto"/>
              </w:rPr>
            </w:pPr>
            <w:r>
              <w:rPr>
                <w:rFonts w:ascii="Arial" w:cs="Arial" w:eastAsia="Arial" w:hAnsi="Arial"/>
                <w:sz w:val="18"/>
                <w:szCs w:val="18"/>
                <w:b w:val="1"/>
                <w:bCs w:val="1"/>
                <w:color w:val="auto"/>
              </w:rPr>
              <w:t>Xerox Holdings Corporation Common</w:t>
            </w:r>
          </w:p>
        </w:tc>
        <w:tc>
          <w:tcPr>
            <w:tcW w:w="3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XRX</w:t>
            </w:r>
          </w:p>
        </w:tc>
        <w:tc>
          <w:tcPr>
            <w:tcW w:w="334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7"/>
              </w:rPr>
              <w:t>Nasdaq Global Select Market</w:t>
            </w:r>
          </w:p>
        </w:tc>
        <w:tc>
          <w:tcPr>
            <w:tcW w:w="0" w:type="dxa"/>
            <w:vAlign w:val="bottom"/>
          </w:tcPr>
          <w:p>
            <w:pPr>
              <w:spacing w:after="0"/>
              <w:rPr>
                <w:sz w:val="1"/>
                <w:szCs w:val="1"/>
                <w:color w:val="auto"/>
              </w:rPr>
            </w:pPr>
          </w:p>
        </w:tc>
      </w:tr>
      <w:tr>
        <w:trPr>
          <w:trHeight w:val="233"/>
        </w:trPr>
        <w:tc>
          <w:tcPr>
            <w:tcW w:w="3480" w:type="dxa"/>
            <w:vAlign w:val="bottom"/>
          </w:tcPr>
          <w:p>
            <w:pPr>
              <w:spacing w:after="0"/>
              <w:rPr>
                <w:sz w:val="20"/>
                <w:szCs w:val="20"/>
                <w:color w:val="auto"/>
              </w:rPr>
            </w:pPr>
            <w:r>
              <w:rPr>
                <w:rFonts w:ascii="Arial" w:cs="Arial" w:eastAsia="Arial" w:hAnsi="Arial"/>
                <w:sz w:val="18"/>
                <w:szCs w:val="18"/>
                <w:b w:val="1"/>
                <w:bCs w:val="1"/>
                <w:color w:val="auto"/>
              </w:rPr>
              <w:t>Stock, $1 par value</w:t>
            </w:r>
          </w:p>
        </w:tc>
        <w:tc>
          <w:tcPr>
            <w:tcW w:w="3020" w:type="dxa"/>
            <w:vAlign w:val="bottom"/>
            <w:vMerge w:val="continue"/>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line="178" w:lineRule="exact"/>
              <w:rPr>
                <w:sz w:val="20"/>
                <w:szCs w:val="20"/>
                <w:color w:val="auto"/>
              </w:rPr>
            </w:pPr>
            <w:r>
              <w:rPr>
                <w:rFonts w:ascii="Arial" w:cs="Arial" w:eastAsia="Arial" w:hAnsi="Arial"/>
                <w:sz w:val="18"/>
                <w:szCs w:val="18"/>
                <w:b w:val="1"/>
                <w:bCs w:val="1"/>
                <w:color w:val="auto"/>
              </w:rPr>
              <w:t>Xerox Holdings Corporation Warrants to</w:t>
            </w:r>
          </w:p>
        </w:tc>
        <w:tc>
          <w:tcPr>
            <w:tcW w:w="3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XRXDW</w:t>
            </w:r>
          </w:p>
        </w:tc>
        <w:tc>
          <w:tcPr>
            <w:tcW w:w="334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7"/>
              </w:rPr>
              <w:t>Nasdaq Global Select Market</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8"/>
                <w:szCs w:val="18"/>
                <w:b w:val="1"/>
                <w:bCs w:val="1"/>
                <w:color w:val="auto"/>
              </w:rPr>
              <w:t>Purchase Common Stock, $1 par value</w:t>
            </w:r>
          </w:p>
        </w:tc>
        <w:tc>
          <w:tcPr>
            <w:tcW w:w="3020" w:type="dxa"/>
            <w:vAlign w:val="bottom"/>
            <w:vMerge w:val="continue"/>
          </w:tcPr>
          <w:p>
            <w:pPr>
              <w:spacing w:after="0"/>
              <w:rPr>
                <w:sz w:val="21"/>
                <w:szCs w:val="21"/>
                <w:color w:val="auto"/>
              </w:rPr>
            </w:pP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340" w:type="dxa"/>
            <w:vAlign w:val="bottom"/>
          </w:tcPr>
          <w:p>
            <w:pPr>
              <w:jc w:val="center"/>
              <w:ind w:left="55"/>
              <w:spacing w:after="0"/>
              <w:rPr>
                <w:sz w:val="20"/>
                <w:szCs w:val="20"/>
                <w:color w:val="auto"/>
              </w:rPr>
            </w:pPr>
            <w:r>
              <w:rPr>
                <w:rFonts w:ascii="Arial" w:cs="Arial" w:eastAsia="Arial" w:hAnsi="Arial"/>
                <w:sz w:val="16"/>
                <w:szCs w:val="16"/>
                <w:b w:val="1"/>
                <w:bCs w:val="1"/>
                <w:color w:val="auto"/>
                <w:w w:val="91"/>
              </w:rPr>
              <w:t>(Name of each exchange on which registered)</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ind w:left="360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71" w:lineRule="exact"/>
        <w:rPr>
          <w:sz w:val="20"/>
          <w:szCs w:val="20"/>
          <w:color w:val="auto"/>
        </w:rPr>
      </w:pPr>
    </w:p>
    <w:p>
      <w:pPr>
        <w:jc w:val="both"/>
        <w:ind w:firstLine="485"/>
        <w:spacing w:after="0" w:line="275" w:lineRule="auto"/>
        <w:rPr>
          <w:sz w:val="20"/>
          <w:szCs w:val="20"/>
          <w:color w:val="auto"/>
        </w:rPr>
      </w:pPr>
      <w:r>
        <w:rPr>
          <w:rFonts w:ascii="Arial" w:cs="Arial" w:eastAsia="Arial" w:hAnsi="Arial"/>
          <w:sz w:val="20"/>
          <w:szCs w:val="20"/>
          <w:b w:val="1"/>
          <w:bCs w:val="1"/>
          <w:color w:val="auto"/>
        </w:rPr>
        <w:t>Indicate by check mark if the registrant is a well-known seasoned issuer, as defined in Rule 405 of the Securities Act.</w:t>
      </w:r>
    </w:p>
    <w:p>
      <w:pPr>
        <w:spacing w:after="0" w:line="25" w:lineRule="exact"/>
        <w:rPr>
          <w:sz w:val="20"/>
          <w:szCs w:val="20"/>
          <w:color w:val="auto"/>
        </w:rPr>
      </w:pPr>
    </w:p>
    <w:p>
      <w:pPr>
        <w:ind w:left="40"/>
        <w:spacing w:after="0" w:line="268" w:lineRule="exact"/>
        <w:tabs>
          <w:tab w:leader="none" w:pos="3600" w:val="left"/>
          <w:tab w:leader="none" w:pos="4020" w:val="left"/>
          <w:tab w:leader="none" w:pos="6320" w:val="left"/>
          <w:tab w:leader="none" w:pos="8360" w:val="left"/>
          <w:tab w:leader="none" w:pos="9200" w:val="left"/>
          <w:tab w:leader="none" w:pos="9700" w:val="left"/>
        </w:tabs>
        <w:rPr>
          <w:sz w:val="20"/>
          <w:szCs w:val="20"/>
          <w:color w:val="auto"/>
        </w:rPr>
      </w:pPr>
      <w:r>
        <w:rPr>
          <w:rFonts w:ascii="Arial" w:cs="Arial" w:eastAsia="Arial" w:hAnsi="Arial"/>
          <w:sz w:val="20"/>
          <w:szCs w:val="20"/>
          <w:b w:val="1"/>
          <w:bCs w:val="1"/>
          <w:color w:val="auto"/>
        </w:rPr>
        <w:t xml:space="preserve">Xerox Holdings Corporation  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No</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w:cs="Arial" w:eastAsia="Arial" w:hAnsi="Arial"/>
          <w:sz w:val="20"/>
          <w:szCs w:val="20"/>
          <w:b w:val="1"/>
          <w:bCs w:val="1"/>
          <w:color w:val="auto"/>
        </w:rPr>
        <w:t xml:space="preserve">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No</w:t>
      </w:r>
      <w:r>
        <w:rPr>
          <w:sz w:val="20"/>
          <w:szCs w:val="20"/>
          <w:color w:val="auto"/>
        </w:rPr>
        <w:tab/>
      </w:r>
      <w:r>
        <w:rPr>
          <w:rFonts w:ascii="Arial Unicode MS" w:cs="Arial Unicode MS" w:eastAsia="Arial Unicode MS" w:hAnsi="Arial Unicode MS"/>
          <w:sz w:val="20"/>
          <w:szCs w:val="20"/>
          <w:b w:val="1"/>
          <w:bCs w:val="1"/>
          <w:color w:val="auto"/>
        </w:rPr>
        <w:t>☒</w:t>
      </w:r>
    </w:p>
    <w:p>
      <w:pPr>
        <w:spacing w:after="0" w:line="155" w:lineRule="exact"/>
        <w:rPr>
          <w:sz w:val="20"/>
          <w:szCs w:val="20"/>
          <w:color w:val="auto"/>
        </w:rPr>
      </w:pPr>
    </w:p>
    <w:p>
      <w:pPr>
        <w:jc w:val="both"/>
        <w:ind w:firstLine="485"/>
        <w:spacing w:after="0" w:line="275" w:lineRule="auto"/>
        <w:rPr>
          <w:sz w:val="20"/>
          <w:szCs w:val="20"/>
          <w:color w:val="auto"/>
        </w:rPr>
      </w:pPr>
      <w:r>
        <w:rPr>
          <w:rFonts w:ascii="Arial" w:cs="Arial" w:eastAsia="Arial" w:hAnsi="Arial"/>
          <w:sz w:val="20"/>
          <w:szCs w:val="20"/>
          <w:b w:val="1"/>
          <w:bCs w:val="1"/>
          <w:color w:val="auto"/>
        </w:rPr>
        <w:t>Indicate by check mark if the registrant is not required to file reports pursuant to Section 13 or Section 15(d) of the Act.</w:t>
      </w:r>
    </w:p>
    <w:p>
      <w:pPr>
        <w:spacing w:after="0" w:line="25" w:lineRule="exact"/>
        <w:rPr>
          <w:sz w:val="20"/>
          <w:szCs w:val="20"/>
          <w:color w:val="auto"/>
        </w:rPr>
      </w:pPr>
    </w:p>
    <w:p>
      <w:pPr>
        <w:ind w:left="520"/>
        <w:spacing w:after="0" w:line="268" w:lineRule="exact"/>
        <w:tabs>
          <w:tab w:leader="none" w:pos="3960" w:val="left"/>
          <w:tab w:leader="none" w:pos="4380" w:val="left"/>
          <w:tab w:leader="none" w:pos="6440" w:val="left"/>
          <w:tab w:leader="none" w:pos="8340" w:val="left"/>
          <w:tab w:leader="none" w:pos="9420" w:val="left"/>
        </w:tabs>
        <w:rPr>
          <w:sz w:val="20"/>
          <w:szCs w:val="20"/>
          <w:color w:val="auto"/>
        </w:rPr>
      </w:pPr>
      <w:r>
        <w:rPr>
          <w:rFonts w:ascii="Arial" w:cs="Arial" w:eastAsia="Arial" w:hAnsi="Arial"/>
          <w:sz w:val="20"/>
          <w:szCs w:val="20"/>
          <w:b w:val="1"/>
          <w:bCs w:val="1"/>
          <w:color w:val="auto"/>
        </w:rPr>
        <w:t xml:space="preserve">Xerox Holdings Corporation  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No</w:t>
      </w:r>
      <w:r>
        <w:rPr>
          <w:sz w:val="20"/>
          <w:szCs w:val="20"/>
          <w:color w:val="auto"/>
        </w:rPr>
        <w:tab/>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w:cs="Arial" w:eastAsia="Arial" w:hAnsi="Arial"/>
          <w:sz w:val="20"/>
          <w:szCs w:val="20"/>
          <w:b w:val="1"/>
          <w:bCs w:val="1"/>
          <w:color w:val="auto"/>
        </w:rPr>
        <w:t xml:space="preserve">Yes </w:t>
      </w:r>
      <w:r>
        <w:rPr>
          <w:rFonts w:ascii="Arial Unicode MS" w:cs="Arial Unicode MS" w:eastAsia="Arial Unicode MS" w:hAnsi="Arial Unicode MS"/>
          <w:sz w:val="20"/>
          <w:szCs w:val="20"/>
          <w:b w:val="1"/>
          <w:bCs w:val="1"/>
          <w:color w:val="auto"/>
        </w:rPr>
        <w:t>☐</w:t>
      </w:r>
      <w:r>
        <w:rPr>
          <w:rFonts w:ascii="Arial" w:cs="Arial" w:eastAsia="Arial" w:hAnsi="Arial"/>
          <w:sz w:val="20"/>
          <w:szCs w:val="20"/>
          <w:b w:val="1"/>
          <w:bCs w:val="1"/>
          <w:color w:val="auto"/>
        </w:rPr>
        <w:t xml:space="preserve"> No</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155"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20"/>
          <w:szCs w:val="20"/>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ind w:left="40"/>
        <w:spacing w:after="0" w:line="268" w:lineRule="exact"/>
        <w:tabs>
          <w:tab w:leader="none" w:pos="3620" w:val="left"/>
          <w:tab w:leader="none" w:pos="6620" w:val="left"/>
          <w:tab w:leader="none" w:pos="8580" w:val="left"/>
          <w:tab w:leader="none" w:pos="9420" w:val="left"/>
        </w:tabs>
        <w:rPr>
          <w:sz w:val="20"/>
          <w:szCs w:val="20"/>
          <w:color w:val="auto"/>
        </w:rPr>
      </w:pPr>
      <w:r>
        <w:rPr>
          <w:rFonts w:ascii="Arial" w:cs="Arial" w:eastAsia="Arial" w:hAnsi="Arial"/>
          <w:sz w:val="20"/>
          <w:szCs w:val="20"/>
          <w:b w:val="1"/>
          <w:bCs w:val="1"/>
          <w:color w:val="auto"/>
        </w:rPr>
        <w:t xml:space="preserve">Xerox Holdings Corporation  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 xml:space="preserve">No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w:cs="Arial" w:eastAsia="Arial" w:hAnsi="Arial"/>
          <w:sz w:val="20"/>
          <w:szCs w:val="20"/>
          <w:b w:val="1"/>
          <w:bCs w:val="1"/>
          <w:color w:val="auto"/>
        </w:rPr>
        <w:t xml:space="preserve">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17"/>
          <w:szCs w:val="17"/>
          <w:b w:val="1"/>
          <w:bCs w:val="1"/>
          <w:color w:val="auto"/>
        </w:rPr>
        <w:t xml:space="preserve">No </w:t>
      </w:r>
      <w:r>
        <w:rPr>
          <w:rFonts w:ascii="Arial Unicode MS" w:cs="Arial Unicode MS" w:eastAsia="Arial Unicode MS" w:hAnsi="Arial Unicode MS"/>
          <w:sz w:val="17"/>
          <w:szCs w:val="17"/>
          <w:b w:val="1"/>
          <w:bCs w:val="1"/>
          <w:color w:val="auto"/>
        </w:rPr>
        <w:t>☐</w:t>
      </w:r>
    </w:p>
    <w:p>
      <w:pPr>
        <w:sectPr>
          <w:pgSz w:w="11880" w:h="15480" w:orient="portrait"/>
          <w:cols w:equalWidth="0" w:num="1">
            <w:col w:w="10040"/>
          </w:cols>
          <w:pgMar w:left="920" w:top="683" w:right="920" w:bottom="414" w:gutter="0" w:footer="0" w:header="0"/>
        </w:sectPr>
      </w:pPr>
    </w:p>
    <w:bookmarkStart w:id="7" w:name="page8"/>
    <w:bookmarkEnd w:id="7"/>
    <w:p>
      <w:pPr>
        <w:jc w:val="both"/>
        <w:ind w:right="260" w:firstLine="485"/>
        <w:spacing w:after="0" w:line="260" w:lineRule="auto"/>
        <w:rPr>
          <w:sz w:val="20"/>
          <w:szCs w:val="20"/>
          <w:color w:val="auto"/>
        </w:rPr>
      </w:pPr>
      <w:r>
        <w:rPr>
          <w:rFonts w:ascii="Arial" w:cs="Arial" w:eastAsia="Arial" w:hAnsi="Arial"/>
          <w:sz w:val="20"/>
          <w:szCs w:val="20"/>
          <w:b w:val="1"/>
          <w:bCs w:val="1"/>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23" w:lineRule="exact"/>
        <w:rPr>
          <w:sz w:val="20"/>
          <w:szCs w:val="20"/>
          <w:color w:val="auto"/>
        </w:rPr>
      </w:pPr>
    </w:p>
    <w:p>
      <w:pPr>
        <w:ind w:left="40"/>
        <w:spacing w:after="0" w:line="268" w:lineRule="exact"/>
        <w:tabs>
          <w:tab w:leader="none" w:pos="3620" w:val="left"/>
          <w:tab w:leader="none" w:pos="6600" w:val="left"/>
          <w:tab w:leader="none" w:pos="8560" w:val="left"/>
          <w:tab w:leader="none" w:pos="9420" w:val="left"/>
        </w:tabs>
        <w:rPr>
          <w:sz w:val="20"/>
          <w:szCs w:val="20"/>
          <w:color w:val="auto"/>
        </w:rPr>
      </w:pPr>
      <w:r>
        <w:rPr>
          <w:rFonts w:ascii="Arial" w:cs="Arial" w:eastAsia="Arial" w:hAnsi="Arial"/>
          <w:sz w:val="20"/>
          <w:szCs w:val="20"/>
          <w:b w:val="1"/>
          <w:bCs w:val="1"/>
          <w:color w:val="auto"/>
        </w:rPr>
        <w:t xml:space="preserve">Xerox Holdings Corporation  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 xml:space="preserve">No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w:cs="Arial" w:eastAsia="Arial" w:hAnsi="Arial"/>
          <w:sz w:val="20"/>
          <w:szCs w:val="20"/>
          <w:b w:val="1"/>
          <w:bCs w:val="1"/>
          <w:color w:val="auto"/>
        </w:rPr>
        <w:t xml:space="preserve">Yes  </w:t>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17"/>
          <w:szCs w:val="17"/>
          <w:b w:val="1"/>
          <w:bCs w:val="1"/>
          <w:color w:val="auto"/>
        </w:rPr>
        <w:t xml:space="preserve">No </w:t>
      </w:r>
      <w:r>
        <w:rPr>
          <w:rFonts w:ascii="Arial Unicode MS" w:cs="Arial Unicode MS" w:eastAsia="Arial Unicode MS" w:hAnsi="Arial Unicode MS"/>
          <w:sz w:val="17"/>
          <w:szCs w:val="17"/>
          <w:b w:val="1"/>
          <w:bCs w:val="1"/>
          <w:color w:val="auto"/>
        </w:rPr>
        <w:t>☐</w:t>
      </w:r>
    </w:p>
    <w:p>
      <w:pPr>
        <w:spacing w:after="0" w:line="175" w:lineRule="exact"/>
        <w:rPr>
          <w:sz w:val="20"/>
          <w:szCs w:val="20"/>
          <w:color w:val="auto"/>
        </w:rPr>
      </w:pPr>
    </w:p>
    <w:p>
      <w:pPr>
        <w:jc w:val="both"/>
        <w:ind w:right="260" w:firstLine="485"/>
        <w:spacing w:after="0" w:line="255" w:lineRule="auto"/>
        <w:rPr>
          <w:sz w:val="20"/>
          <w:szCs w:val="20"/>
          <w:color w:val="auto"/>
        </w:rPr>
      </w:pPr>
      <w:r>
        <w:rPr>
          <w:rFonts w:ascii="Arial" w:cs="Arial" w:eastAsia="Arial" w:hAnsi="Arial"/>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2840" w:type="dxa"/>
            <w:vAlign w:val="bottom"/>
          </w:tcPr>
          <w:p>
            <w:pPr>
              <w:spacing w:after="0"/>
              <w:rPr>
                <w:sz w:val="20"/>
                <w:szCs w:val="20"/>
                <w:color w:val="auto"/>
              </w:rPr>
            </w:pPr>
            <w:r>
              <w:rPr>
                <w:rFonts w:ascii="Arial" w:cs="Arial" w:eastAsia="Arial" w:hAnsi="Arial"/>
                <w:sz w:val="20"/>
                <w:szCs w:val="20"/>
                <w:b w:val="1"/>
                <w:bCs w:val="1"/>
                <w:color w:val="auto"/>
              </w:rPr>
              <w:t>Xerox Holdings Corporation</w:t>
            </w:r>
          </w:p>
        </w:tc>
        <w:tc>
          <w:tcPr>
            <w:tcW w:w="2060" w:type="dxa"/>
            <w:vAlign w:val="bottom"/>
            <w:vMerge w:val="restart"/>
          </w:tcPr>
          <w:p>
            <w:pPr>
              <w:ind w:left="24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380" w:type="dxa"/>
            <w:vAlign w:val="bottom"/>
          </w:tcPr>
          <w:p>
            <w:pPr>
              <w:ind w:left="1680"/>
              <w:spacing w:after="0"/>
              <w:rPr>
                <w:sz w:val="20"/>
                <w:szCs w:val="20"/>
                <w:color w:val="auto"/>
              </w:rPr>
            </w:pPr>
            <w:r>
              <w:rPr>
                <w:rFonts w:ascii="Arial" w:cs="Arial" w:eastAsia="Arial" w:hAnsi="Arial"/>
                <w:sz w:val="20"/>
                <w:szCs w:val="20"/>
                <w:b w:val="1"/>
                <w:bCs w:val="1"/>
                <w:color w:val="auto"/>
              </w:rPr>
              <w:t>Xerox Corporation</w:t>
            </w:r>
          </w:p>
        </w:tc>
        <w:tc>
          <w:tcPr>
            <w:tcW w:w="520" w:type="dxa"/>
            <w:vAlign w:val="bottom"/>
            <w:vMerge w:val="restart"/>
          </w:tcPr>
          <w:p>
            <w:pPr>
              <w:ind w:left="360"/>
              <w:spacing w:after="0" w:line="268" w:lineRule="exact"/>
              <w:rPr>
                <w:sz w:val="20"/>
                <w:szCs w:val="20"/>
                <w:color w:val="auto"/>
              </w:rPr>
            </w:pPr>
            <w:r>
              <w:rPr>
                <w:rFonts w:ascii="Arial Unicode MS" w:cs="Arial Unicode MS" w:eastAsia="Arial Unicode MS" w:hAnsi="Arial Unicode MS"/>
                <w:sz w:val="20"/>
                <w:szCs w:val="20"/>
                <w:b w:val="1"/>
                <w:bCs w:val="1"/>
                <w:color w:val="auto"/>
                <w:w w:val="95"/>
              </w:rPr>
              <w:t>☐</w:t>
            </w: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r>
              <w:rPr>
                <w:rFonts w:ascii="Arial" w:cs="Arial" w:eastAsia="Arial" w:hAnsi="Arial"/>
                <w:sz w:val="20"/>
                <w:szCs w:val="20"/>
                <w:b w:val="1"/>
                <w:bCs w:val="1"/>
                <w:color w:val="auto"/>
              </w:rPr>
              <w:t>Large accelerated filer</w:t>
            </w:r>
          </w:p>
        </w:tc>
        <w:tc>
          <w:tcPr>
            <w:tcW w:w="2060" w:type="dxa"/>
            <w:vAlign w:val="bottom"/>
            <w:vMerge w:val="continue"/>
          </w:tcPr>
          <w:p>
            <w:pPr>
              <w:spacing w:after="0"/>
              <w:rPr>
                <w:sz w:val="20"/>
                <w:szCs w:val="20"/>
                <w:color w:val="auto"/>
              </w:rPr>
            </w:pPr>
          </w:p>
        </w:tc>
        <w:tc>
          <w:tcPr>
            <w:tcW w:w="4380" w:type="dxa"/>
            <w:vAlign w:val="bottom"/>
          </w:tcPr>
          <w:p>
            <w:pPr>
              <w:ind w:left="1680"/>
              <w:spacing w:after="0"/>
              <w:rPr>
                <w:sz w:val="20"/>
                <w:szCs w:val="20"/>
                <w:color w:val="auto"/>
              </w:rPr>
            </w:pPr>
            <w:r>
              <w:rPr>
                <w:rFonts w:ascii="Arial" w:cs="Arial" w:eastAsia="Arial" w:hAnsi="Arial"/>
                <w:sz w:val="20"/>
                <w:szCs w:val="20"/>
                <w:b w:val="1"/>
                <w:bCs w:val="1"/>
                <w:color w:val="auto"/>
              </w:rPr>
              <w:t>Large accelerated filer</w:t>
            </w: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line="213" w:lineRule="exact"/>
              <w:rPr>
                <w:sz w:val="20"/>
                <w:szCs w:val="20"/>
                <w:color w:val="auto"/>
              </w:rPr>
            </w:pPr>
            <w:r>
              <w:rPr>
                <w:rFonts w:ascii="Arial" w:cs="Arial" w:eastAsia="Arial" w:hAnsi="Arial"/>
                <w:sz w:val="20"/>
                <w:szCs w:val="20"/>
                <w:b w:val="1"/>
                <w:bCs w:val="1"/>
                <w:color w:val="auto"/>
              </w:rPr>
              <w:t>Accelerated filer</w:t>
            </w:r>
          </w:p>
        </w:tc>
        <w:tc>
          <w:tcPr>
            <w:tcW w:w="2060" w:type="dxa"/>
            <w:vAlign w:val="bottom"/>
          </w:tcPr>
          <w:p>
            <w:pPr>
              <w:ind w:left="240"/>
              <w:spacing w:after="0" w:line="213" w:lineRule="exact"/>
              <w:rPr>
                <w:sz w:val="20"/>
                <w:szCs w:val="20"/>
                <w:color w:val="auto"/>
              </w:rPr>
            </w:pPr>
            <w:r>
              <w:rPr>
                <w:rFonts w:ascii="Arial Unicode MS" w:cs="Arial Unicode MS" w:eastAsia="Arial Unicode MS" w:hAnsi="Arial Unicode MS"/>
                <w:sz w:val="20"/>
                <w:szCs w:val="20"/>
                <w:b w:val="1"/>
                <w:bCs w:val="1"/>
                <w:color w:val="auto"/>
              </w:rPr>
              <w:t>☐</w:t>
            </w:r>
          </w:p>
        </w:tc>
        <w:tc>
          <w:tcPr>
            <w:tcW w:w="4380" w:type="dxa"/>
            <w:vAlign w:val="bottom"/>
          </w:tcPr>
          <w:p>
            <w:pPr>
              <w:ind w:left="1680"/>
              <w:spacing w:after="0" w:line="213" w:lineRule="exact"/>
              <w:rPr>
                <w:sz w:val="20"/>
                <w:szCs w:val="20"/>
                <w:color w:val="auto"/>
              </w:rPr>
            </w:pPr>
            <w:r>
              <w:rPr>
                <w:rFonts w:ascii="Arial" w:cs="Arial" w:eastAsia="Arial" w:hAnsi="Arial"/>
                <w:sz w:val="20"/>
                <w:szCs w:val="20"/>
                <w:b w:val="1"/>
                <w:bCs w:val="1"/>
                <w:color w:val="auto"/>
              </w:rPr>
              <w:t>Accelerated filer</w:t>
            </w:r>
          </w:p>
        </w:tc>
        <w:tc>
          <w:tcPr>
            <w:tcW w:w="520" w:type="dxa"/>
            <w:vAlign w:val="bottom"/>
          </w:tcPr>
          <w:p>
            <w:pPr>
              <w:ind w:left="360"/>
              <w:spacing w:after="0" w:line="213" w:lineRule="exact"/>
              <w:rPr>
                <w:sz w:val="20"/>
                <w:szCs w:val="20"/>
                <w:color w:val="auto"/>
              </w:rPr>
            </w:pPr>
            <w:r>
              <w:rPr>
                <w:rFonts w:ascii="Arial Unicode MS" w:cs="Arial Unicode MS" w:eastAsia="Arial Unicode MS" w:hAnsi="Arial Unicode MS"/>
                <w:sz w:val="20"/>
                <w:szCs w:val="20"/>
                <w:b w:val="1"/>
                <w:bCs w:val="1"/>
                <w:color w:val="auto"/>
                <w:w w:val="95"/>
              </w:rPr>
              <w:t>☐</w:t>
            </w:r>
          </w:p>
        </w:tc>
        <w:tc>
          <w:tcPr>
            <w:tcW w:w="0" w:type="dxa"/>
            <w:vAlign w:val="bottom"/>
          </w:tcPr>
          <w:p>
            <w:pPr>
              <w:spacing w:after="0"/>
              <w:rPr>
                <w:sz w:val="1"/>
                <w:szCs w:val="1"/>
                <w:color w:val="auto"/>
              </w:rPr>
            </w:pPr>
          </w:p>
        </w:tc>
      </w:tr>
      <w:tr>
        <w:trPr>
          <w:trHeight w:val="287"/>
        </w:trPr>
        <w:tc>
          <w:tcPr>
            <w:tcW w:w="2840" w:type="dxa"/>
            <w:vAlign w:val="bottom"/>
          </w:tcPr>
          <w:p>
            <w:pPr>
              <w:spacing w:after="0"/>
              <w:rPr>
                <w:sz w:val="20"/>
                <w:szCs w:val="20"/>
                <w:color w:val="auto"/>
              </w:rPr>
            </w:pPr>
            <w:r>
              <w:rPr>
                <w:rFonts w:ascii="Arial" w:cs="Arial" w:eastAsia="Arial" w:hAnsi="Arial"/>
                <w:sz w:val="20"/>
                <w:szCs w:val="20"/>
                <w:b w:val="1"/>
                <w:bCs w:val="1"/>
                <w:color w:val="auto"/>
              </w:rPr>
              <w:t>Non-accelerated filer</w:t>
            </w:r>
          </w:p>
        </w:tc>
        <w:tc>
          <w:tcPr>
            <w:tcW w:w="2060" w:type="dxa"/>
            <w:vAlign w:val="bottom"/>
          </w:tcPr>
          <w:p>
            <w:pPr>
              <w:ind w:left="24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380" w:type="dxa"/>
            <w:vAlign w:val="bottom"/>
          </w:tcPr>
          <w:p>
            <w:pPr>
              <w:ind w:left="1680"/>
              <w:spacing w:after="0"/>
              <w:rPr>
                <w:sz w:val="20"/>
                <w:szCs w:val="20"/>
                <w:color w:val="auto"/>
              </w:rPr>
            </w:pPr>
            <w:r>
              <w:rPr>
                <w:rFonts w:ascii="Arial" w:cs="Arial" w:eastAsia="Arial" w:hAnsi="Arial"/>
                <w:sz w:val="20"/>
                <w:szCs w:val="20"/>
                <w:b w:val="1"/>
                <w:bCs w:val="1"/>
                <w:color w:val="auto"/>
              </w:rPr>
              <w:t>Non-accelerated filer</w:t>
            </w:r>
          </w:p>
        </w:tc>
        <w:tc>
          <w:tcPr>
            <w:tcW w:w="520" w:type="dxa"/>
            <w:vAlign w:val="bottom"/>
          </w:tcPr>
          <w:p>
            <w:pPr>
              <w:ind w:left="360"/>
              <w:spacing w:after="0" w:line="268" w:lineRule="exact"/>
              <w:rPr>
                <w:sz w:val="20"/>
                <w:szCs w:val="20"/>
                <w:color w:val="auto"/>
              </w:rPr>
            </w:pPr>
            <w:r>
              <w:rPr>
                <w:rFonts w:ascii="Arial Unicode MS" w:cs="Arial Unicode MS" w:eastAsia="Arial Unicode MS" w:hAnsi="Arial Unicode MS"/>
                <w:sz w:val="20"/>
                <w:szCs w:val="20"/>
                <w:b w:val="1"/>
                <w:bCs w:val="1"/>
                <w:color w:val="auto"/>
                <w:w w:val="95"/>
              </w:rPr>
              <w:t>☒</w:t>
            </w: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0"/>
                <w:szCs w:val="20"/>
                <w:color w:val="auto"/>
              </w:rPr>
            </w:pPr>
            <w:r>
              <w:rPr>
                <w:rFonts w:ascii="Arial" w:cs="Arial" w:eastAsia="Arial" w:hAnsi="Arial"/>
                <w:sz w:val="20"/>
                <w:szCs w:val="20"/>
                <w:b w:val="1"/>
                <w:bCs w:val="1"/>
                <w:color w:val="auto"/>
              </w:rPr>
              <w:t>Smaller reporting company</w:t>
            </w:r>
          </w:p>
        </w:tc>
        <w:tc>
          <w:tcPr>
            <w:tcW w:w="2060" w:type="dxa"/>
            <w:vAlign w:val="bottom"/>
          </w:tcPr>
          <w:p>
            <w:pPr>
              <w:ind w:left="240"/>
              <w:spacing w:after="0" w:line="249" w:lineRule="exact"/>
              <w:rPr>
                <w:sz w:val="20"/>
                <w:szCs w:val="20"/>
                <w:color w:val="auto"/>
              </w:rPr>
            </w:pPr>
            <w:r>
              <w:rPr>
                <w:rFonts w:ascii="Arial Unicode MS" w:cs="Arial Unicode MS" w:eastAsia="Arial Unicode MS" w:hAnsi="Arial Unicode MS"/>
                <w:sz w:val="20"/>
                <w:szCs w:val="20"/>
                <w:b w:val="1"/>
                <w:bCs w:val="1"/>
                <w:color w:val="auto"/>
              </w:rPr>
              <w:t>☐</w:t>
            </w:r>
          </w:p>
        </w:tc>
        <w:tc>
          <w:tcPr>
            <w:tcW w:w="4380" w:type="dxa"/>
            <w:vAlign w:val="bottom"/>
          </w:tcPr>
          <w:p>
            <w:pPr>
              <w:ind w:left="1680"/>
              <w:spacing w:after="0"/>
              <w:rPr>
                <w:sz w:val="20"/>
                <w:szCs w:val="20"/>
                <w:color w:val="auto"/>
              </w:rPr>
            </w:pPr>
            <w:r>
              <w:rPr>
                <w:rFonts w:ascii="Arial" w:cs="Arial" w:eastAsia="Arial" w:hAnsi="Arial"/>
                <w:sz w:val="20"/>
                <w:szCs w:val="20"/>
                <w:b w:val="1"/>
                <w:bCs w:val="1"/>
                <w:color w:val="auto"/>
              </w:rPr>
              <w:t>Smaller reporting company</w:t>
            </w:r>
          </w:p>
        </w:tc>
        <w:tc>
          <w:tcPr>
            <w:tcW w:w="520" w:type="dxa"/>
            <w:vAlign w:val="bottom"/>
          </w:tcPr>
          <w:p>
            <w:pPr>
              <w:ind w:left="360"/>
              <w:spacing w:after="0" w:line="249" w:lineRule="exact"/>
              <w:rPr>
                <w:sz w:val="20"/>
                <w:szCs w:val="20"/>
                <w:color w:val="auto"/>
              </w:rPr>
            </w:pPr>
            <w:r>
              <w:rPr>
                <w:rFonts w:ascii="Arial Unicode MS" w:cs="Arial Unicode MS" w:eastAsia="Arial Unicode MS" w:hAnsi="Arial Unicode MS"/>
                <w:sz w:val="20"/>
                <w:szCs w:val="20"/>
                <w:b w:val="1"/>
                <w:bCs w:val="1"/>
                <w:color w:val="auto"/>
                <w:w w:val="95"/>
              </w:rPr>
              <w:t>☐</w:t>
            </w:r>
          </w:p>
        </w:tc>
        <w:tc>
          <w:tcPr>
            <w:tcW w:w="0" w:type="dxa"/>
            <w:vAlign w:val="bottom"/>
          </w:tcPr>
          <w:p>
            <w:pPr>
              <w:spacing w:after="0"/>
              <w:rPr>
                <w:sz w:val="1"/>
                <w:szCs w:val="1"/>
                <w:color w:val="auto"/>
              </w:rPr>
            </w:pPr>
          </w:p>
        </w:tc>
      </w:tr>
      <w:tr>
        <w:trPr>
          <w:trHeight w:val="275"/>
        </w:trPr>
        <w:tc>
          <w:tcPr>
            <w:tcW w:w="2840" w:type="dxa"/>
            <w:vAlign w:val="bottom"/>
          </w:tcPr>
          <w:p>
            <w:pPr>
              <w:spacing w:after="0"/>
              <w:rPr>
                <w:sz w:val="20"/>
                <w:szCs w:val="20"/>
                <w:color w:val="auto"/>
              </w:rPr>
            </w:pPr>
            <w:r>
              <w:rPr>
                <w:rFonts w:ascii="Arial" w:cs="Arial" w:eastAsia="Arial" w:hAnsi="Arial"/>
                <w:sz w:val="20"/>
                <w:szCs w:val="20"/>
                <w:b w:val="1"/>
                <w:bCs w:val="1"/>
                <w:color w:val="auto"/>
              </w:rPr>
              <w:t>Emerging growth company</w:t>
            </w:r>
          </w:p>
        </w:tc>
        <w:tc>
          <w:tcPr>
            <w:tcW w:w="2060" w:type="dxa"/>
            <w:vAlign w:val="bottom"/>
          </w:tcPr>
          <w:p>
            <w:pPr>
              <w:ind w:left="24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380" w:type="dxa"/>
            <w:vAlign w:val="bottom"/>
          </w:tcPr>
          <w:p>
            <w:pPr>
              <w:ind w:left="1680"/>
              <w:spacing w:after="0"/>
              <w:rPr>
                <w:sz w:val="20"/>
                <w:szCs w:val="20"/>
                <w:color w:val="auto"/>
              </w:rPr>
            </w:pPr>
            <w:r>
              <w:rPr>
                <w:rFonts w:ascii="Arial" w:cs="Arial" w:eastAsia="Arial" w:hAnsi="Arial"/>
                <w:sz w:val="20"/>
                <w:szCs w:val="20"/>
                <w:b w:val="1"/>
                <w:bCs w:val="1"/>
                <w:color w:val="auto"/>
              </w:rPr>
              <w:t>Emerging growth company</w:t>
            </w:r>
          </w:p>
        </w:tc>
        <w:tc>
          <w:tcPr>
            <w:tcW w:w="520" w:type="dxa"/>
            <w:vAlign w:val="bottom"/>
          </w:tcPr>
          <w:p>
            <w:pPr>
              <w:ind w:left="360"/>
              <w:spacing w:after="0" w:line="268" w:lineRule="exact"/>
              <w:rPr>
                <w:sz w:val="20"/>
                <w:szCs w:val="20"/>
                <w:color w:val="auto"/>
              </w:rPr>
            </w:pPr>
            <w:r>
              <w:rPr>
                <w:rFonts w:ascii="Arial Unicode MS" w:cs="Arial Unicode MS" w:eastAsia="Arial Unicode MS" w:hAnsi="Arial Unicode MS"/>
                <w:sz w:val="20"/>
                <w:szCs w:val="20"/>
                <w:b w:val="1"/>
                <w:bCs w:val="1"/>
                <w:color w:val="auto"/>
                <w:w w:val="95"/>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360" w:firstLine="441"/>
        <w:spacing w:after="0" w:line="260" w:lineRule="auto"/>
        <w:rPr>
          <w:sz w:val="20"/>
          <w:szCs w:val="20"/>
          <w:color w:val="auto"/>
        </w:rPr>
      </w:pPr>
      <w:r>
        <w:rPr>
          <w:rFonts w:ascii="Arial" w:cs="Arial" w:eastAsia="Arial" w:hAnsi="Arial"/>
          <w:sz w:val="20"/>
          <w:szCs w:val="20"/>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5" w:lineRule="exact"/>
        <w:rPr>
          <w:sz w:val="20"/>
          <w:szCs w:val="20"/>
          <w:color w:val="auto"/>
        </w:rPr>
      </w:pPr>
    </w:p>
    <w:p>
      <w:pPr>
        <w:ind w:left="40"/>
        <w:spacing w:after="0" w:line="268" w:lineRule="exact"/>
        <w:tabs>
          <w:tab w:leader="none" w:pos="2800" w:val="left"/>
          <w:tab w:leader="none" w:pos="6920" w:val="left"/>
          <w:tab w:leader="none" w:pos="8840" w:val="left"/>
        </w:tabs>
        <w:rPr>
          <w:sz w:val="20"/>
          <w:szCs w:val="20"/>
          <w:color w:val="auto"/>
        </w:rPr>
      </w:pPr>
      <w:r>
        <w:rPr>
          <w:rFonts w:ascii="Arial" w:cs="Arial" w:eastAsia="Arial" w:hAnsi="Arial"/>
          <w:sz w:val="20"/>
          <w:szCs w:val="20"/>
          <w:b w:val="1"/>
          <w:bCs w:val="1"/>
          <w:color w:val="auto"/>
        </w:rPr>
        <w:t>Xerox Holdings Corporation</w:t>
      </w:r>
      <w:r>
        <w:rPr>
          <w:sz w:val="20"/>
          <w:szCs w:val="20"/>
          <w:color w:val="auto"/>
        </w:rPr>
        <w:tab/>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234" w:lineRule="exact"/>
        <w:rPr>
          <w:sz w:val="20"/>
          <w:szCs w:val="20"/>
          <w:color w:val="auto"/>
        </w:rPr>
      </w:pPr>
    </w:p>
    <w:p>
      <w:pPr>
        <w:jc w:val="both"/>
        <w:ind w:right="260" w:firstLine="485"/>
        <w:spacing w:after="0" w:line="316" w:lineRule="auto"/>
        <w:rPr>
          <w:sz w:val="20"/>
          <w:szCs w:val="20"/>
          <w:color w:val="auto"/>
        </w:rPr>
      </w:pPr>
      <w:r>
        <w:rPr>
          <w:rFonts w:ascii="Arial" w:cs="Arial" w:eastAsia="Arial" w:hAnsi="Arial"/>
          <w:sz w:val="17"/>
          <w:szCs w:val="17"/>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40"/>
        <w:spacing w:after="0" w:line="268" w:lineRule="exact"/>
        <w:tabs>
          <w:tab w:leader="none" w:pos="2800" w:val="left"/>
          <w:tab w:leader="none" w:pos="6920" w:val="left"/>
          <w:tab w:leader="none" w:pos="8840" w:val="left"/>
        </w:tabs>
        <w:rPr>
          <w:sz w:val="20"/>
          <w:szCs w:val="20"/>
          <w:color w:val="auto"/>
        </w:rPr>
      </w:pPr>
      <w:r>
        <w:rPr>
          <w:rFonts w:ascii="Arial" w:cs="Arial" w:eastAsia="Arial" w:hAnsi="Arial"/>
          <w:sz w:val="20"/>
          <w:szCs w:val="20"/>
          <w:b w:val="1"/>
          <w:bCs w:val="1"/>
          <w:color w:val="auto"/>
        </w:rPr>
        <w:t>Xerox Holdings Corporation</w:t>
      </w:r>
      <w:r>
        <w:rPr>
          <w:sz w:val="20"/>
          <w:szCs w:val="20"/>
          <w:color w:val="auto"/>
        </w:rPr>
        <w:tab/>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175" w:lineRule="exact"/>
        <w:rPr>
          <w:sz w:val="20"/>
          <w:szCs w:val="20"/>
          <w:color w:val="auto"/>
        </w:rPr>
      </w:pPr>
    </w:p>
    <w:p>
      <w:pPr>
        <w:jc w:val="both"/>
        <w:ind w:right="260" w:firstLine="485"/>
        <w:spacing w:after="0" w:line="260" w:lineRule="auto"/>
        <w:rPr>
          <w:sz w:val="20"/>
          <w:szCs w:val="20"/>
          <w:color w:val="auto"/>
        </w:rPr>
      </w:pPr>
      <w:r>
        <w:rPr>
          <w:rFonts w:ascii="Arial" w:cs="Arial" w:eastAsia="Arial" w:hAnsi="Arial"/>
          <w:sz w:val="20"/>
          <w:szCs w:val="20"/>
          <w:b w:val="1"/>
          <w:bCs w:val="1"/>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43" w:lineRule="exact"/>
        <w:rPr>
          <w:sz w:val="20"/>
          <w:szCs w:val="20"/>
          <w:color w:val="auto"/>
        </w:rPr>
      </w:pPr>
    </w:p>
    <w:p>
      <w:pPr>
        <w:ind w:left="40"/>
        <w:spacing w:after="0" w:line="268" w:lineRule="exact"/>
        <w:tabs>
          <w:tab w:leader="none" w:pos="2800" w:val="left"/>
          <w:tab w:leader="none" w:pos="6920" w:val="left"/>
          <w:tab w:leader="none" w:pos="8840" w:val="left"/>
        </w:tabs>
        <w:rPr>
          <w:sz w:val="20"/>
          <w:szCs w:val="20"/>
          <w:color w:val="auto"/>
        </w:rPr>
      </w:pPr>
      <w:r>
        <w:rPr>
          <w:rFonts w:ascii="Arial" w:cs="Arial" w:eastAsia="Arial" w:hAnsi="Arial"/>
          <w:sz w:val="20"/>
          <w:szCs w:val="20"/>
          <w:b w:val="1"/>
          <w:bCs w:val="1"/>
          <w:color w:val="auto"/>
        </w:rPr>
        <w:t>Xerox Holdings Corporation</w:t>
      </w:r>
      <w:r>
        <w:rPr>
          <w:sz w:val="20"/>
          <w:szCs w:val="20"/>
          <w:color w:val="auto"/>
        </w:rPr>
        <w:tab/>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175" w:lineRule="exact"/>
        <w:rPr>
          <w:sz w:val="20"/>
          <w:szCs w:val="20"/>
          <w:color w:val="auto"/>
        </w:rPr>
      </w:pPr>
    </w:p>
    <w:p>
      <w:pPr>
        <w:jc w:val="both"/>
        <w:ind w:right="260" w:firstLine="485"/>
        <w:spacing w:after="0" w:line="260" w:lineRule="auto"/>
        <w:rPr>
          <w:sz w:val="20"/>
          <w:szCs w:val="20"/>
          <w:color w:val="auto"/>
        </w:rPr>
      </w:pPr>
      <w:r>
        <w:rPr>
          <w:rFonts w:ascii="Arial" w:cs="Arial" w:eastAsia="Arial" w:hAnsi="Arial"/>
          <w:sz w:val="20"/>
          <w:szCs w:val="20"/>
          <w:b w:val="1"/>
          <w:bCs w:val="1"/>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43" w:lineRule="exact"/>
        <w:rPr>
          <w:sz w:val="20"/>
          <w:szCs w:val="20"/>
          <w:color w:val="auto"/>
        </w:rPr>
      </w:pPr>
    </w:p>
    <w:p>
      <w:pPr>
        <w:ind w:left="40"/>
        <w:spacing w:after="0" w:line="268" w:lineRule="exact"/>
        <w:tabs>
          <w:tab w:leader="none" w:pos="2800" w:val="left"/>
          <w:tab w:leader="none" w:pos="6920" w:val="left"/>
          <w:tab w:leader="none" w:pos="8840" w:val="left"/>
        </w:tabs>
        <w:rPr>
          <w:sz w:val="20"/>
          <w:szCs w:val="20"/>
          <w:color w:val="auto"/>
        </w:rPr>
      </w:pPr>
      <w:r>
        <w:rPr>
          <w:rFonts w:ascii="Arial" w:cs="Arial" w:eastAsia="Arial" w:hAnsi="Arial"/>
          <w:sz w:val="20"/>
          <w:szCs w:val="20"/>
          <w:b w:val="1"/>
          <w:bCs w:val="1"/>
          <w:color w:val="auto"/>
        </w:rPr>
        <w:t>Xerox Holdings Corporation</w:t>
      </w:r>
      <w:r>
        <w:rPr>
          <w:sz w:val="20"/>
          <w:szCs w:val="20"/>
          <w:color w:val="auto"/>
        </w:rPr>
        <w:tab/>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Indicate by check mark whether the registrant is a shell company (as defined in Rule 12b-2 of the Act).</w:t>
      </w:r>
    </w:p>
    <w:p>
      <w:pPr>
        <w:spacing w:after="0" w:line="170" w:lineRule="exact"/>
        <w:rPr>
          <w:sz w:val="20"/>
          <w:szCs w:val="20"/>
          <w:color w:val="auto"/>
        </w:rPr>
      </w:pPr>
    </w:p>
    <w:p>
      <w:pPr>
        <w:ind w:left="520"/>
        <w:spacing w:after="0" w:line="268" w:lineRule="exact"/>
        <w:tabs>
          <w:tab w:leader="none" w:pos="3280" w:val="left"/>
          <w:tab w:leader="none" w:pos="4340" w:val="left"/>
          <w:tab w:leader="none" w:pos="7160" w:val="left"/>
          <w:tab w:leader="none" w:pos="9060" w:val="left"/>
          <w:tab w:leader="none" w:pos="10140" w:val="left"/>
        </w:tabs>
        <w:rPr>
          <w:sz w:val="20"/>
          <w:szCs w:val="20"/>
          <w:color w:val="auto"/>
        </w:rPr>
      </w:pPr>
      <w:r>
        <w:rPr>
          <w:rFonts w:ascii="Arial" w:cs="Arial" w:eastAsia="Arial" w:hAnsi="Arial"/>
          <w:sz w:val="20"/>
          <w:szCs w:val="20"/>
          <w:b w:val="1"/>
          <w:bCs w:val="1"/>
          <w:color w:val="auto"/>
        </w:rPr>
        <w:t>Xerox Holdings Corporation</w:t>
      </w:r>
      <w:r>
        <w:rPr>
          <w:sz w:val="20"/>
          <w:szCs w:val="20"/>
          <w:color w:val="auto"/>
        </w:rPr>
        <w:tab/>
      </w:r>
      <w:r>
        <w:rPr>
          <w:rFonts w:ascii="Arial" w:cs="Arial" w:eastAsia="Arial" w:hAnsi="Arial"/>
          <w:sz w:val="20"/>
          <w:szCs w:val="20"/>
          <w:b w:val="1"/>
          <w:bCs w:val="1"/>
          <w:color w:val="auto"/>
        </w:rPr>
        <w:t xml:space="preserve">Yes </w:t>
      </w:r>
      <w:r>
        <w:rPr>
          <w:rFonts w:ascii="Arial Unicode MS" w:cs="Arial Unicode MS" w:eastAsia="Arial Unicode MS" w:hAnsi="Arial Unicode MS"/>
          <w:sz w:val="20"/>
          <w:szCs w:val="20"/>
          <w:b w:val="1"/>
          <w:bCs w:val="1"/>
          <w:color w:val="auto"/>
        </w:rPr>
        <w:t>☐</w:t>
      </w:r>
      <w:r>
        <w:rPr>
          <w:rFonts w:ascii="Arial" w:cs="Arial" w:eastAsia="Arial" w:hAnsi="Arial"/>
          <w:sz w:val="20"/>
          <w:szCs w:val="20"/>
          <w:b w:val="1"/>
          <w:bCs w:val="1"/>
          <w:color w:val="auto"/>
        </w:rPr>
        <w:t xml:space="preserve"> No</w:t>
      </w:r>
      <w:r>
        <w:rPr>
          <w:sz w:val="20"/>
          <w:szCs w:val="20"/>
          <w:color w:val="auto"/>
        </w:rPr>
        <w:tab/>
      </w:r>
      <w:r>
        <w:rPr>
          <w:rFonts w:ascii="Arial Unicode MS" w:cs="Arial Unicode MS" w:eastAsia="Arial Unicode MS" w:hAnsi="Arial Unicode MS"/>
          <w:sz w:val="20"/>
          <w:szCs w:val="20"/>
          <w:b w:val="1"/>
          <w:bCs w:val="1"/>
          <w:color w:val="auto"/>
        </w:rPr>
        <w:t>☒</w:t>
      </w:r>
      <w:r>
        <w:rPr>
          <w:sz w:val="20"/>
          <w:szCs w:val="20"/>
          <w:color w:val="auto"/>
        </w:rPr>
        <w:tab/>
      </w:r>
      <w:r>
        <w:rPr>
          <w:rFonts w:ascii="Arial" w:cs="Arial" w:eastAsia="Arial" w:hAnsi="Arial"/>
          <w:sz w:val="20"/>
          <w:szCs w:val="20"/>
          <w:b w:val="1"/>
          <w:bCs w:val="1"/>
          <w:color w:val="auto"/>
        </w:rPr>
        <w:t>Xerox Corporation</w:t>
      </w:r>
      <w:r>
        <w:rPr>
          <w:sz w:val="20"/>
          <w:szCs w:val="20"/>
          <w:color w:val="auto"/>
        </w:rPr>
        <w:tab/>
      </w:r>
      <w:r>
        <w:rPr>
          <w:rFonts w:ascii="Arial" w:cs="Arial" w:eastAsia="Arial" w:hAnsi="Arial"/>
          <w:sz w:val="20"/>
          <w:szCs w:val="20"/>
          <w:b w:val="1"/>
          <w:bCs w:val="1"/>
          <w:color w:val="auto"/>
        </w:rPr>
        <w:t xml:space="preserve">Yes </w:t>
      </w:r>
      <w:r>
        <w:rPr>
          <w:rFonts w:ascii="Arial Unicode MS" w:cs="Arial Unicode MS" w:eastAsia="Arial Unicode MS" w:hAnsi="Arial Unicode MS"/>
          <w:sz w:val="20"/>
          <w:szCs w:val="20"/>
          <w:b w:val="1"/>
          <w:bCs w:val="1"/>
          <w:color w:val="auto"/>
        </w:rPr>
        <w:t>☐</w:t>
      </w:r>
      <w:r>
        <w:rPr>
          <w:rFonts w:ascii="Arial" w:cs="Arial" w:eastAsia="Arial" w:hAnsi="Arial"/>
          <w:sz w:val="20"/>
          <w:szCs w:val="20"/>
          <w:b w:val="1"/>
          <w:bCs w:val="1"/>
          <w:color w:val="auto"/>
        </w:rPr>
        <w:t xml:space="preserve"> No</w:t>
      </w:r>
      <w:r>
        <w:rPr>
          <w:sz w:val="20"/>
          <w:szCs w:val="20"/>
          <w:color w:val="auto"/>
        </w:rPr>
        <w:tab/>
      </w:r>
      <w:r>
        <w:rPr>
          <w:rFonts w:ascii="Arial Unicode MS" w:cs="Arial Unicode MS" w:eastAsia="Arial Unicode MS" w:hAnsi="Arial Unicode MS"/>
          <w:sz w:val="19"/>
          <w:szCs w:val="19"/>
          <w:b w:val="1"/>
          <w:bCs w:val="1"/>
          <w:color w:val="auto"/>
        </w:rPr>
        <w:t>☒</w:t>
      </w:r>
    </w:p>
    <w:p>
      <w:pPr>
        <w:spacing w:after="0" w:line="136" w:lineRule="exact"/>
        <w:rPr>
          <w:sz w:val="20"/>
          <w:szCs w:val="20"/>
          <w:color w:val="auto"/>
        </w:rPr>
      </w:pPr>
    </w:p>
    <w:p>
      <w:pPr>
        <w:jc w:val="both"/>
        <w:ind w:right="260" w:firstLine="485"/>
        <w:spacing w:after="0" w:line="275" w:lineRule="auto"/>
        <w:rPr>
          <w:sz w:val="20"/>
          <w:szCs w:val="20"/>
          <w:color w:val="auto"/>
        </w:rPr>
      </w:pPr>
      <w:r>
        <w:rPr>
          <w:rFonts w:ascii="Arial" w:cs="Arial" w:eastAsia="Arial" w:hAnsi="Arial"/>
          <w:sz w:val="20"/>
          <w:szCs w:val="20"/>
          <w:b w:val="1"/>
          <w:bCs w:val="1"/>
          <w:color w:val="auto"/>
        </w:rPr>
        <w:t>The aggregate market value of the voting stock of the registrant held by non-affiliates as of June 30, 2025 was $612,685,125.</w:t>
      </w:r>
    </w:p>
    <w:p>
      <w:pPr>
        <w:spacing w:after="0" w:line="61" w:lineRule="exact"/>
        <w:rPr>
          <w:sz w:val="20"/>
          <w:szCs w:val="20"/>
          <w:color w:val="auto"/>
        </w:rPr>
      </w:pPr>
    </w:p>
    <w:p>
      <w:pPr>
        <w:jc w:val="both"/>
        <w:ind w:right="260" w:firstLine="485"/>
        <w:spacing w:after="0" w:line="275" w:lineRule="auto"/>
        <w:rPr>
          <w:sz w:val="20"/>
          <w:szCs w:val="20"/>
          <w:color w:val="auto"/>
        </w:rPr>
      </w:pPr>
      <w:r>
        <w:rPr>
          <w:rFonts w:ascii="Arial" w:cs="Arial" w:eastAsia="Arial" w:hAnsi="Arial"/>
          <w:sz w:val="20"/>
          <w:szCs w:val="20"/>
          <w:b w:val="1"/>
          <w:bCs w:val="1"/>
          <w:color w:val="auto"/>
        </w:rPr>
        <w:t>Indicate the number of shares outstanding of each of the registrant's classes of common stock, as of the latest practicable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Borders>
              <w:bottom w:val="single" w:sz="8" w:color="auto"/>
            </w:tcBorders>
          </w:tcPr>
          <w:p>
            <w:pPr>
              <w:jc w:val="right"/>
              <w:ind w:right="2109"/>
              <w:spacing w:after="0"/>
              <w:rPr>
                <w:sz w:val="20"/>
                <w:szCs w:val="20"/>
                <w:color w:val="auto"/>
              </w:rPr>
            </w:pPr>
            <w:r>
              <w:rPr>
                <w:rFonts w:ascii="Arial" w:cs="Arial" w:eastAsia="Arial" w:hAnsi="Arial"/>
                <w:sz w:val="16"/>
                <w:szCs w:val="16"/>
                <w:b w:val="1"/>
                <w:bCs w:val="1"/>
                <w:color w:val="auto"/>
              </w:rPr>
              <w:t>Class</w:t>
            </w:r>
          </w:p>
        </w:tc>
        <w:tc>
          <w:tcPr>
            <w:tcW w:w="360" w:type="dxa"/>
            <w:vAlign w:val="bottom"/>
          </w:tcPr>
          <w:p>
            <w:pPr>
              <w:spacing w:after="0"/>
              <w:rPr>
                <w:sz w:val="18"/>
                <w:szCs w:val="18"/>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Outstanding at February 28, 2026</w:t>
            </w:r>
          </w:p>
        </w:tc>
        <w:tc>
          <w:tcPr>
            <w:tcW w:w="0" w:type="dxa"/>
            <w:vAlign w:val="bottom"/>
          </w:tcPr>
          <w:p>
            <w:pPr>
              <w:spacing w:after="0"/>
              <w:rPr>
                <w:sz w:val="1"/>
                <w:szCs w:val="1"/>
                <w:color w:val="auto"/>
              </w:rPr>
            </w:pPr>
          </w:p>
        </w:tc>
      </w:tr>
      <w:tr>
        <w:trPr>
          <w:trHeight w:val="206"/>
        </w:trPr>
        <w:tc>
          <w:tcPr>
            <w:tcW w:w="4820" w:type="dxa"/>
            <w:vAlign w:val="bottom"/>
          </w:tcPr>
          <w:p>
            <w:pPr>
              <w:jc w:val="right"/>
              <w:ind w:right="1069"/>
              <w:spacing w:after="0" w:line="206" w:lineRule="exact"/>
              <w:rPr>
                <w:sz w:val="20"/>
                <w:szCs w:val="20"/>
                <w:color w:val="auto"/>
              </w:rPr>
            </w:pPr>
            <w:r>
              <w:rPr>
                <w:rFonts w:ascii="Arial" w:cs="Arial" w:eastAsia="Arial" w:hAnsi="Arial"/>
                <w:sz w:val="20"/>
                <w:szCs w:val="20"/>
                <w:b w:val="1"/>
                <w:bCs w:val="1"/>
                <w:color w:val="auto"/>
              </w:rPr>
              <w:t>Xerox Holdings Corporation</w:t>
            </w:r>
          </w:p>
        </w:tc>
        <w:tc>
          <w:tcPr>
            <w:tcW w:w="5200" w:type="dxa"/>
            <w:vAlign w:val="bottom"/>
            <w:gridSpan w:val="2"/>
            <w:vMerge w:val="restart"/>
          </w:tcPr>
          <w:p>
            <w:pPr>
              <w:jc w:val="right"/>
              <w:ind w:right="1802"/>
              <w:spacing w:after="0"/>
              <w:rPr>
                <w:sz w:val="20"/>
                <w:szCs w:val="20"/>
                <w:color w:val="auto"/>
              </w:rPr>
            </w:pPr>
            <w:r>
              <w:rPr>
                <w:rFonts w:ascii="Arial" w:cs="Arial" w:eastAsia="Arial" w:hAnsi="Arial"/>
                <w:sz w:val="20"/>
                <w:szCs w:val="20"/>
                <w:b w:val="1"/>
                <w:bCs w:val="1"/>
                <w:color w:val="auto"/>
              </w:rPr>
              <w:t>128,617,804</w:t>
            </w:r>
          </w:p>
        </w:tc>
        <w:tc>
          <w:tcPr>
            <w:tcW w:w="0" w:type="dxa"/>
            <w:vAlign w:val="bottom"/>
          </w:tcPr>
          <w:p>
            <w:pPr>
              <w:spacing w:after="0"/>
              <w:rPr>
                <w:sz w:val="1"/>
                <w:szCs w:val="1"/>
                <w:color w:val="auto"/>
              </w:rPr>
            </w:pPr>
          </w:p>
        </w:tc>
      </w:tr>
      <w:tr>
        <w:trPr>
          <w:trHeight w:val="259"/>
        </w:trPr>
        <w:tc>
          <w:tcPr>
            <w:tcW w:w="4820" w:type="dxa"/>
            <w:vAlign w:val="bottom"/>
          </w:tcPr>
          <w:p>
            <w:pPr>
              <w:jc w:val="right"/>
              <w:ind w:right="1069"/>
              <w:spacing w:after="0"/>
              <w:rPr>
                <w:sz w:val="20"/>
                <w:szCs w:val="20"/>
                <w:color w:val="auto"/>
              </w:rPr>
            </w:pPr>
            <w:r>
              <w:rPr>
                <w:rFonts w:ascii="Arial" w:cs="Arial" w:eastAsia="Arial" w:hAnsi="Arial"/>
                <w:sz w:val="20"/>
                <w:szCs w:val="20"/>
                <w:b w:val="1"/>
                <w:bCs w:val="1"/>
                <w:color w:val="auto"/>
              </w:rPr>
              <w:t>Common Stock, $1 par value</w:t>
            </w:r>
          </w:p>
        </w:tc>
        <w:tc>
          <w:tcPr>
            <w:tcW w:w="5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Portions of the following document are incorporated herein by reference:</w:t>
      </w:r>
    </w:p>
    <w:p>
      <w:pPr>
        <w:spacing w:after="0" w:line="74"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6"/>
          <w:szCs w:val="16"/>
          <w:b w:val="1"/>
          <w:bCs w:val="1"/>
          <w:color w:val="auto"/>
        </w:rPr>
        <w:t>Document</w:t>
      </w:r>
      <w:r>
        <w:rPr>
          <w:sz w:val="20"/>
          <w:szCs w:val="20"/>
          <w:color w:val="auto"/>
        </w:rPr>
        <w:tab/>
      </w:r>
      <w:r>
        <w:rPr>
          <w:rFonts w:ascii="Arial" w:cs="Arial" w:eastAsia="Arial" w:hAnsi="Arial"/>
          <w:sz w:val="16"/>
          <w:szCs w:val="16"/>
          <w:b w:val="1"/>
          <w:bCs w:val="1"/>
          <w:color w:val="auto"/>
        </w:rPr>
        <w:t>Part of Form 10-K in Which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37540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5400" cy="12700"/>
                    </a:xfrm>
                    <a:prstGeom prst="rect">
                      <a:avLst/>
                    </a:prstGeom>
                    <a:noFill/>
                  </pic:spPr>
                </pic:pic>
              </a:graphicData>
            </a:graphic>
          </wp:anchor>
        </w:drawing>
      </w:r>
    </w:p>
    <w:p>
      <w:pPr>
        <w:sectPr>
          <w:pgSz w:w="11880" w:h="15480" w:orient="portrait"/>
          <w:cols w:equalWidth="0" w:num="1">
            <w:col w:w="10300"/>
          </w:cols>
          <w:pgMar w:left="920" w:top="717" w:right="660" w:bottom="345" w:gutter="0" w:footer="0" w:header="0"/>
        </w:sectPr>
      </w:pPr>
    </w:p>
    <w:p>
      <w:pPr>
        <w:spacing w:after="0" w:line="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Xerox Holdings Corporation Notice of 2026 Annual Meeting of</w:t>
      </w:r>
    </w:p>
    <w:p>
      <w:pPr>
        <w:ind w:left="40" w:right="1840"/>
        <w:spacing w:after="0" w:line="237" w:lineRule="auto"/>
        <w:rPr>
          <w:sz w:val="20"/>
          <w:szCs w:val="20"/>
          <w:color w:val="auto"/>
        </w:rPr>
      </w:pPr>
      <w:r>
        <w:rPr>
          <w:rFonts w:ascii="Arial" w:cs="Arial" w:eastAsia="Arial" w:hAnsi="Arial"/>
          <w:sz w:val="20"/>
          <w:szCs w:val="20"/>
          <w:b w:val="1"/>
          <w:bCs w:val="1"/>
          <w:color w:val="auto"/>
        </w:rPr>
        <w:t>Shareholders and Proxy Statement (to be filed no later than 120 days after III the close of the fiscal year covered by this report on Form 10-K)</w:t>
      </w:r>
    </w:p>
    <w:p>
      <w:pPr>
        <w:sectPr>
          <w:pgSz w:w="11880" w:h="15480" w:orient="portrait"/>
          <w:cols w:equalWidth="0" w:num="1">
            <w:col w:w="10300"/>
          </w:cols>
          <w:pgMar w:left="920" w:top="717" w:right="660" w:bottom="345" w:gutter="0" w:footer="0" w:header="0"/>
          <w:type w:val="continuous"/>
        </w:sectPr>
      </w:pPr>
    </w:p>
    <w:bookmarkStart w:id="8" w:name="page9"/>
    <w:bookmarkEnd w:id="8"/>
    <w:p>
      <w:pPr>
        <w:spacing w:after="0"/>
        <w:rPr>
          <w:sz w:val="20"/>
          <w:szCs w:val="20"/>
          <w:color w:val="auto"/>
        </w:rPr>
      </w:pPr>
      <w:r>
        <w:rPr>
          <w:rFonts w:ascii="Arial" w:cs="Arial" w:eastAsia="Arial" w:hAnsi="Arial"/>
          <w:sz w:val="24"/>
          <w:szCs w:val="24"/>
          <w:b w:val="1"/>
          <w:bCs w:val="1"/>
          <w:color w:val="DA2031"/>
        </w:rPr>
        <w:t>Cautionary Statement Regarding Forward-Looking Statements</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This combined Annual Report on Form 10-K (Form 10-K), and other written or oral statements made from time to time by management contain “forward-looking statements” as defined in the Private Securities Litigation Reform Act of 1995 that involve certain risks and uncertainties. The words “anticipate”, “believe”, “estimate”, “expect”, “intend”, “will”, “would”, “could”, “can” “should”, “targeting”, “projecting”, “driving”, “future”, “plan”, “predict”, “may” and similar expressions are intended to identify forward-looking statements. Forward-looking statements are not guarantees of future performance and the Company’s actual results may differ significantly from the results discussed in the forward-looking statements. Factors that might cause such differences include, but are not limited to, those discussed in Part I, Item 1A of this Form 10-K under the heading “Risk Factors.” The Company assumes no obligation to revise or update any forward-looking statements for any reason, except as required by law.</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Additional risks that may affect Xerox’s operations that are set forth in the “Legal Proceedings” section, the “Management’s Discussion and Analysis of Financial Condition and Results of Operations” section and other sections of this Form 10-K, as well as in Xerox Holdings Corporation’s and Xerox Corporation’s combined Quarterly Reports on Form 10-Q and Xerox Holdings Corporation’s and Xerox Corporation’s Current Reports on Form 8-K filed with the Securities and Exchange Commission. These forward-looking statements speak only as of the date of this document or as of the date to which they refer, and we assume no obligation to update any forward-looking statements as a result of new information or future events or developments, except as required by law.</w:t>
      </w:r>
    </w:p>
    <w:p>
      <w:pPr>
        <w:spacing w:after="0" w:line="4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color w:val="auto"/>
        </w:rPr>
        <w:t>Throughout this Form 10-K, references to “Xerox Holdings” refer to Xerox Holdings Corporation and its consolidated subsidiaries while references to “Xerox” refer to Xerox Corporation and its consolidated subsidiaries. References herein to “we,” “us,” “our,” or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subsidiaries.</w:t>
      </w:r>
    </w:p>
    <w:p>
      <w:pPr>
        <w:spacing w:after="0" w:line="8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Xerox Holdings Corporation's primary direct operating subsidiary is Xerox and therefore Xerox reflects nearly all of Xerox Holdings' operations.</w:t>
      </w:r>
    </w:p>
    <w:p>
      <w:pPr>
        <w:sectPr>
          <w:pgSz w:w="11880" w:h="15480" w:orient="portrait"/>
          <w:cols w:equalWidth="0" w:num="1">
            <w:col w:w="10040"/>
          </w:cols>
          <w:pgMar w:left="900" w:top="691" w:right="940"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DA2031"/>
        </w:rPr>
        <w:t>Xerox Holdings Corporation</w:t>
      </w:r>
    </w:p>
    <w:p>
      <w:pPr>
        <w:spacing w:after="0" w:line="6" w:lineRule="exact"/>
        <w:rPr>
          <w:sz w:val="20"/>
          <w:szCs w:val="20"/>
          <w:color w:val="auto"/>
        </w:rPr>
      </w:pPr>
    </w:p>
    <w:p>
      <w:pPr>
        <w:spacing w:after="0"/>
        <w:rPr>
          <w:sz w:val="20"/>
          <w:szCs w:val="20"/>
          <w:color w:val="auto"/>
        </w:rPr>
      </w:pPr>
      <w:r>
        <w:rPr>
          <w:rFonts w:ascii="Arial" w:cs="Arial" w:eastAsia="Arial" w:hAnsi="Arial"/>
          <w:sz w:val="24"/>
          <w:szCs w:val="24"/>
          <w:b w:val="1"/>
          <w:bCs w:val="1"/>
          <w:color w:val="DA2031"/>
        </w:rPr>
        <w:t>Xerox Corporation</w:t>
      </w:r>
    </w:p>
    <w:p>
      <w:pPr>
        <w:spacing w:after="0" w:line="6" w:lineRule="exact"/>
        <w:rPr>
          <w:sz w:val="20"/>
          <w:szCs w:val="20"/>
          <w:color w:val="auto"/>
        </w:rPr>
      </w:pPr>
    </w:p>
    <w:p>
      <w:pPr>
        <w:spacing w:after="0"/>
        <w:rPr>
          <w:sz w:val="20"/>
          <w:szCs w:val="20"/>
          <w:color w:val="auto"/>
        </w:rPr>
      </w:pPr>
      <w:r>
        <w:rPr>
          <w:rFonts w:ascii="Arial" w:cs="Arial" w:eastAsia="Arial" w:hAnsi="Arial"/>
          <w:sz w:val="24"/>
          <w:szCs w:val="24"/>
          <w:b w:val="1"/>
          <w:bCs w:val="1"/>
          <w:color w:val="DA2031"/>
        </w:rPr>
        <w:t>Form 10-K</w:t>
      </w:r>
    </w:p>
    <w:p>
      <w:pPr>
        <w:spacing w:after="0" w:line="6" w:lineRule="exact"/>
        <w:rPr>
          <w:sz w:val="20"/>
          <w:szCs w:val="20"/>
          <w:color w:val="auto"/>
        </w:rPr>
      </w:pPr>
    </w:p>
    <w:p>
      <w:pPr>
        <w:spacing w:after="0"/>
        <w:rPr>
          <w:sz w:val="20"/>
          <w:szCs w:val="20"/>
          <w:color w:val="auto"/>
        </w:rPr>
      </w:pPr>
      <w:r>
        <w:rPr>
          <w:rFonts w:ascii="Arial" w:cs="Arial" w:eastAsia="Arial" w:hAnsi="Arial"/>
          <w:sz w:val="24"/>
          <w:szCs w:val="24"/>
          <w:b w:val="1"/>
          <w:bCs w:val="1"/>
          <w:color w:val="DA2031"/>
        </w:rPr>
        <w:t>December 31, 2025</w:t>
      </w:r>
    </w:p>
    <w:p>
      <w:pPr>
        <w:spacing w:after="0" w:line="183" w:lineRule="exact"/>
        <w:rPr>
          <w:sz w:val="20"/>
          <w:szCs w:val="20"/>
          <w:color w:val="auto"/>
        </w:rPr>
      </w:pPr>
    </w:p>
    <w:p>
      <w:pPr>
        <w:ind w:left="4020"/>
        <w:spacing w:after="0"/>
        <w:rPr>
          <w:sz w:val="20"/>
          <w:szCs w:val="20"/>
          <w:color w:val="auto"/>
        </w:rPr>
      </w:pPr>
      <w:r>
        <w:rPr>
          <w:rFonts w:ascii="Arial" w:cs="Arial" w:eastAsia="Arial" w:hAnsi="Arial"/>
          <w:sz w:val="24"/>
          <w:szCs w:val="24"/>
          <w:b w:val="1"/>
          <w:bCs w:val="1"/>
          <w:color w:val="DA2031"/>
        </w:rPr>
        <w:t>Table of Contents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DA2031"/>
        </w:rPr>
        <w:t>Page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DA2031"/>
        </w:rPr>
        <w:t>Part I</w:t>
      </w:r>
    </w:p>
    <w:p>
      <w:pPr>
        <w:spacing w:after="0" w:line="57" w:lineRule="exact"/>
        <w:rPr>
          <w:sz w:val="20"/>
          <w:szCs w:val="20"/>
          <w:color w:val="auto"/>
        </w:rPr>
      </w:pPr>
    </w:p>
    <w:p>
      <w:pPr>
        <w:ind w:left="60"/>
        <w:spacing w:after="0"/>
        <w:tabs>
          <w:tab w:leader="none" w:pos="1220" w:val="left"/>
          <w:tab w:leader="none" w:pos="9860" w:val="left"/>
        </w:tabs>
        <w:rPr>
          <w:sz w:val="20"/>
          <w:szCs w:val="20"/>
          <w:color w:val="auto"/>
        </w:rPr>
      </w:pPr>
      <w:r>
        <w:rPr>
          <w:rFonts w:ascii="Arial" w:cs="Arial" w:eastAsia="Arial" w:hAnsi="Arial"/>
          <w:sz w:val="20"/>
          <w:szCs w:val="20"/>
          <w:b w:val="1"/>
          <w:bCs w:val="1"/>
          <w:color w:val="0000FF"/>
        </w:rPr>
        <w:t>Item 1.</w:t>
      </w:r>
      <w:r>
        <w:rPr>
          <w:sz w:val="20"/>
          <w:szCs w:val="20"/>
          <w:color w:val="auto"/>
        </w:rPr>
        <w:tab/>
      </w:r>
      <w:r>
        <w:rPr>
          <w:rFonts w:ascii="Arial" w:cs="Arial" w:eastAsia="Arial" w:hAnsi="Arial"/>
          <w:sz w:val="20"/>
          <w:szCs w:val="20"/>
          <w:b w:val="1"/>
          <w:bCs w:val="1"/>
          <w:color w:val="0000FF"/>
        </w:rPr>
        <w:t xml:space="preserve">Business </w:t>
      </w:r>
      <w:r>
        <w:rPr>
          <w:rFonts w:ascii="Times New Roman" w:cs="Times New Roman" w:eastAsia="Times New Roman" w:hAnsi="Times New Roman"/>
          <w:sz w:val="20"/>
          <w:szCs w:val="20"/>
          <w:color w:val="B4B4B4"/>
        </w:rPr>
        <w:t>. . . . . . . . . . . . . . . . . . . . . . . . . . . . . . . . . . . . . . . . . . . . . . . . . . . . . . . . . . . . . . . . . . .</w:t>
      </w:r>
      <w:r>
        <w:rPr>
          <w:sz w:val="20"/>
          <w:szCs w:val="20"/>
          <w:color w:val="auto"/>
        </w:rPr>
        <w:tab/>
      </w:r>
      <w:r>
        <w:rPr>
          <w:rFonts w:ascii="Arial" w:cs="Arial" w:eastAsia="Arial" w:hAnsi="Arial"/>
          <w:sz w:val="17"/>
          <w:szCs w:val="17"/>
          <w:b w:val="1"/>
          <w:bCs w:val="1"/>
          <w:color w:val="DA2031"/>
        </w:rPr>
        <w:t>1</w:t>
      </w:r>
    </w:p>
    <w:p>
      <w:pPr>
        <w:spacing w:after="0" w:line="55"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1A.</w:t>
      </w:r>
      <w:r>
        <w:rPr>
          <w:sz w:val="20"/>
          <w:szCs w:val="20"/>
          <w:color w:val="auto"/>
        </w:rPr>
        <w:tab/>
      </w:r>
      <w:r>
        <w:rPr>
          <w:rFonts w:ascii="Arial" w:cs="Arial" w:eastAsia="Arial" w:hAnsi="Arial"/>
          <w:sz w:val="20"/>
          <w:szCs w:val="20"/>
          <w:b w:val="1"/>
          <w:bCs w:val="1"/>
          <w:color w:val="0000FF"/>
        </w:rPr>
        <w:t xml:space="preserve">Risk Factors </w:t>
      </w:r>
      <w:r>
        <w:rPr>
          <w:rFonts w:ascii="Times New Roman" w:cs="Times New Roman" w:eastAsia="Times New Roman" w:hAnsi="Times New Roman"/>
          <w:sz w:val="20"/>
          <w:szCs w:val="20"/>
          <w:color w:val="B4B4B4"/>
        </w:rPr>
        <w:t>. . . . . . . . . . . . . . . . . . . . . . . . . . . . . . . . . . . . . . . . . . . . . . . . . . . . . . . . . . . . . . . .</w:t>
      </w:r>
      <w:r>
        <w:rPr>
          <w:sz w:val="20"/>
          <w:szCs w:val="20"/>
          <w:color w:val="auto"/>
        </w:rPr>
        <w:tab/>
      </w:r>
      <w:r>
        <w:rPr>
          <w:rFonts w:ascii="Arial" w:cs="Arial" w:eastAsia="Arial" w:hAnsi="Arial"/>
          <w:sz w:val="17"/>
          <w:szCs w:val="17"/>
          <w:b w:val="1"/>
          <w:bCs w:val="1"/>
          <w:color w:val="DA2031"/>
        </w:rPr>
        <w:t>10</w:t>
      </w:r>
    </w:p>
    <w:p>
      <w:pPr>
        <w:spacing w:after="0" w:line="48"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1B.</w:t>
      </w:r>
      <w:r>
        <w:rPr>
          <w:sz w:val="20"/>
          <w:szCs w:val="20"/>
          <w:color w:val="auto"/>
        </w:rPr>
        <w:tab/>
      </w:r>
      <w:r>
        <w:rPr>
          <w:rFonts w:ascii="Arial" w:cs="Arial" w:eastAsia="Arial" w:hAnsi="Arial"/>
          <w:sz w:val="20"/>
          <w:szCs w:val="20"/>
          <w:b w:val="1"/>
          <w:bCs w:val="1"/>
          <w:color w:val="0000FF"/>
        </w:rPr>
        <w:t xml:space="preserve">Unresolved Staff Comments </w:t>
      </w:r>
      <w:r>
        <w:rPr>
          <w:rFonts w:ascii="Times New Roman" w:cs="Times New Roman" w:eastAsia="Times New Roman" w:hAnsi="Times New Roman"/>
          <w:sz w:val="20"/>
          <w:szCs w:val="20"/>
          <w:color w:val="B4B4B4"/>
        </w:rPr>
        <w:t>. . . . . . . . . . . . . . . . . . . . . . . . . . . . . . . . . . . . . . . . . . . . . . . . . .</w:t>
      </w:r>
      <w:r>
        <w:rPr>
          <w:sz w:val="20"/>
          <w:szCs w:val="20"/>
          <w:color w:val="auto"/>
        </w:rPr>
        <w:tab/>
      </w:r>
      <w:r>
        <w:rPr>
          <w:rFonts w:ascii="Arial" w:cs="Arial" w:eastAsia="Arial" w:hAnsi="Arial"/>
          <w:sz w:val="17"/>
          <w:szCs w:val="17"/>
          <w:b w:val="1"/>
          <w:bCs w:val="1"/>
          <w:color w:val="DA2031"/>
        </w:rPr>
        <w:t>27</w:t>
      </w:r>
    </w:p>
    <w:p>
      <w:pPr>
        <w:spacing w:after="0" w:line="48"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1C.</w:t>
      </w:r>
      <w:r>
        <w:rPr>
          <w:sz w:val="20"/>
          <w:szCs w:val="20"/>
          <w:color w:val="auto"/>
        </w:rPr>
        <w:tab/>
      </w:r>
      <w:r>
        <w:rPr>
          <w:rFonts w:ascii="Arial" w:cs="Arial" w:eastAsia="Arial" w:hAnsi="Arial"/>
          <w:sz w:val="20"/>
          <w:szCs w:val="20"/>
          <w:b w:val="1"/>
          <w:bCs w:val="1"/>
          <w:color w:val="0000FF"/>
        </w:rPr>
        <w:t xml:space="preserve">Cybersecurity </w:t>
      </w:r>
      <w:r>
        <w:rPr>
          <w:rFonts w:ascii="Times New Roman" w:cs="Times New Roman" w:eastAsia="Times New Roman" w:hAnsi="Times New Roman"/>
          <w:sz w:val="20"/>
          <w:szCs w:val="20"/>
          <w:color w:val="B4B4B4"/>
        </w:rPr>
        <w:t>. . . . . . . . . . . . . . . . . . . . . . . . . . . . . . . . . . . . . . . . . . . . . . . . . . . . . . . . . . . . . . .</w:t>
      </w:r>
      <w:r>
        <w:rPr>
          <w:sz w:val="20"/>
          <w:szCs w:val="20"/>
          <w:color w:val="auto"/>
        </w:rPr>
        <w:tab/>
      </w:r>
      <w:r>
        <w:rPr>
          <w:rFonts w:ascii="Arial" w:cs="Arial" w:eastAsia="Arial" w:hAnsi="Arial"/>
          <w:sz w:val="17"/>
          <w:szCs w:val="17"/>
          <w:b w:val="1"/>
          <w:bCs w:val="1"/>
          <w:color w:val="DA2031"/>
        </w:rPr>
        <w:t>27</w:t>
      </w:r>
    </w:p>
    <w:p>
      <w:pPr>
        <w:spacing w:after="0" w:line="48"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2.</w:t>
      </w:r>
      <w:r>
        <w:rPr>
          <w:sz w:val="20"/>
          <w:szCs w:val="20"/>
          <w:color w:val="auto"/>
        </w:rPr>
        <w:tab/>
      </w:r>
      <w:r>
        <w:rPr>
          <w:rFonts w:ascii="Arial" w:cs="Arial" w:eastAsia="Arial" w:hAnsi="Arial"/>
          <w:sz w:val="20"/>
          <w:szCs w:val="20"/>
          <w:b w:val="1"/>
          <w:bCs w:val="1"/>
          <w:color w:val="0000FF"/>
        </w:rPr>
        <w:t xml:space="preserve">Properties </w:t>
      </w:r>
      <w:r>
        <w:rPr>
          <w:rFonts w:ascii="Times New Roman" w:cs="Times New Roman" w:eastAsia="Times New Roman" w:hAnsi="Times New Roman"/>
          <w:sz w:val="20"/>
          <w:szCs w:val="20"/>
          <w:color w:val="B4B4B4"/>
        </w:rPr>
        <w:t>. . . . . . . . . . . . . . . . . . . . . . . . . . . . . . . . . . . . . . . . . . . . . . . . . . . . . . . . . . . . . . . . . .</w:t>
      </w:r>
      <w:r>
        <w:rPr>
          <w:sz w:val="20"/>
          <w:szCs w:val="20"/>
          <w:color w:val="auto"/>
        </w:rPr>
        <w:tab/>
      </w:r>
      <w:r>
        <w:rPr>
          <w:rFonts w:ascii="Arial" w:cs="Arial" w:eastAsia="Arial" w:hAnsi="Arial"/>
          <w:sz w:val="17"/>
          <w:szCs w:val="17"/>
          <w:b w:val="1"/>
          <w:bCs w:val="1"/>
          <w:color w:val="DA2031"/>
        </w:rPr>
        <w:t>29</w:t>
      </w:r>
    </w:p>
    <w:p>
      <w:pPr>
        <w:spacing w:after="0" w:line="48"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3.</w:t>
      </w:r>
      <w:r>
        <w:rPr>
          <w:sz w:val="20"/>
          <w:szCs w:val="20"/>
          <w:color w:val="auto"/>
        </w:rPr>
        <w:tab/>
      </w:r>
      <w:r>
        <w:rPr>
          <w:rFonts w:ascii="Arial" w:cs="Arial" w:eastAsia="Arial" w:hAnsi="Arial"/>
          <w:sz w:val="20"/>
          <w:szCs w:val="20"/>
          <w:b w:val="1"/>
          <w:bCs w:val="1"/>
          <w:color w:val="0000FF"/>
        </w:rPr>
        <w:t xml:space="preserve">Legal Proceedings </w:t>
      </w:r>
      <w:r>
        <w:rPr>
          <w:rFonts w:ascii="Times New Roman" w:cs="Times New Roman" w:eastAsia="Times New Roman" w:hAnsi="Times New Roman"/>
          <w:sz w:val="20"/>
          <w:szCs w:val="20"/>
          <w:color w:val="B4B4B4"/>
        </w:rPr>
        <w:t>. . . . . . . . . . . . . . . . . . . . . . . . . . . . . . . . . . . . . . . . . . . . . . . . . . . . . . . . . .</w:t>
      </w:r>
      <w:r>
        <w:rPr>
          <w:sz w:val="20"/>
          <w:szCs w:val="20"/>
          <w:color w:val="auto"/>
        </w:rPr>
        <w:tab/>
      </w:r>
      <w:r>
        <w:rPr>
          <w:rFonts w:ascii="Arial" w:cs="Arial" w:eastAsia="Arial" w:hAnsi="Arial"/>
          <w:sz w:val="17"/>
          <w:szCs w:val="17"/>
          <w:b w:val="1"/>
          <w:bCs w:val="1"/>
          <w:color w:val="DA2031"/>
        </w:rPr>
        <w:t>29</w:t>
      </w:r>
    </w:p>
    <w:p>
      <w:pPr>
        <w:spacing w:after="0" w:line="56"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4.</w:t>
      </w:r>
      <w:r>
        <w:rPr>
          <w:sz w:val="20"/>
          <w:szCs w:val="20"/>
          <w:color w:val="auto"/>
        </w:rPr>
        <w:tab/>
      </w:r>
      <w:r>
        <w:rPr>
          <w:rFonts w:ascii="Arial" w:cs="Arial" w:eastAsia="Arial" w:hAnsi="Arial"/>
          <w:sz w:val="20"/>
          <w:szCs w:val="20"/>
          <w:b w:val="1"/>
          <w:bCs w:val="1"/>
          <w:color w:val="0000FF"/>
        </w:rPr>
        <w:t xml:space="preserve">Mine Safety Disclosures </w:t>
      </w:r>
      <w:r>
        <w:rPr>
          <w:rFonts w:ascii="Times New Roman" w:cs="Times New Roman" w:eastAsia="Times New Roman" w:hAnsi="Times New Roman"/>
          <w:sz w:val="20"/>
          <w:szCs w:val="20"/>
          <w:color w:val="B4B4B4"/>
        </w:rPr>
        <w:t>. . . . . . . . . . . . . . . . . . . . . . . . . . . . . . . . . . . . . . . . . . . . . . . . . . . . .</w:t>
      </w:r>
      <w:r>
        <w:rPr>
          <w:sz w:val="20"/>
          <w:szCs w:val="20"/>
          <w:color w:val="auto"/>
        </w:rPr>
        <w:tab/>
      </w:r>
      <w:r>
        <w:rPr>
          <w:rFonts w:ascii="Arial" w:cs="Arial" w:eastAsia="Arial" w:hAnsi="Arial"/>
          <w:sz w:val="17"/>
          <w:szCs w:val="17"/>
          <w:b w:val="1"/>
          <w:bCs w:val="1"/>
          <w:color w:val="DA2031"/>
        </w:rPr>
        <w:t>29</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DA2031"/>
        </w:rPr>
        <w:t>Part II</w:t>
      </w:r>
    </w:p>
    <w:p>
      <w:pPr>
        <w:spacing w:after="0" w:line="23"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20"/>
          <w:szCs w:val="20"/>
          <w:b w:val="1"/>
          <w:bCs w:val="1"/>
          <w:color w:val="0000FF"/>
        </w:rPr>
        <w:t>Item 5.</w:t>
      </w:r>
      <w:r>
        <w:rPr>
          <w:sz w:val="20"/>
          <w:szCs w:val="20"/>
          <w:color w:val="auto"/>
        </w:rPr>
        <w:tab/>
      </w:r>
      <w:r>
        <w:rPr>
          <w:rFonts w:ascii="Arial" w:cs="Arial" w:eastAsia="Arial" w:hAnsi="Arial"/>
          <w:sz w:val="17"/>
          <w:szCs w:val="17"/>
          <w:b w:val="1"/>
          <w:bCs w:val="1"/>
          <w:color w:val="0000FF"/>
        </w:rPr>
        <w:t>Market for Registrant's Common Equity, Related Stockholder Matters and Issuer</w:t>
      </w:r>
    </w:p>
    <w:p>
      <w:pPr>
        <w:jc w:val="right"/>
        <w:spacing w:after="0"/>
        <w:tabs>
          <w:tab w:leader="none" w:pos="180" w:val="left"/>
        </w:tabs>
        <w:rPr>
          <w:sz w:val="20"/>
          <w:szCs w:val="20"/>
          <w:color w:val="auto"/>
        </w:rPr>
      </w:pPr>
      <w:r>
        <w:rPr>
          <w:rFonts w:ascii="Arial" w:cs="Arial" w:eastAsia="Arial" w:hAnsi="Arial"/>
          <w:sz w:val="20"/>
          <w:szCs w:val="20"/>
          <w:b w:val="1"/>
          <w:bCs w:val="1"/>
          <w:color w:val="0000FF"/>
        </w:rPr>
        <w:t xml:space="preserve">Purchases of Equity Securities </w:t>
      </w:r>
      <w:r>
        <w:rPr>
          <w:rFonts w:ascii="Times New Roman" w:cs="Times New Roman" w:eastAsia="Times New Roman" w:hAnsi="Times New Roman"/>
          <w:sz w:val="20"/>
          <w:szCs w:val="20"/>
          <w:color w:val="B4B4B4"/>
        </w:rPr>
        <w:t>. . . . . . . . . . . . . . . . . . . . . . . . . . . . . . . . . . . . . . . . . . . . . . . .</w:t>
      </w:r>
      <w:r>
        <w:rPr>
          <w:sz w:val="20"/>
          <w:szCs w:val="20"/>
          <w:color w:val="auto"/>
        </w:rPr>
        <w:tab/>
      </w:r>
      <w:r>
        <w:rPr>
          <w:rFonts w:ascii="Arial" w:cs="Arial" w:eastAsia="Arial" w:hAnsi="Arial"/>
          <w:sz w:val="17"/>
          <w:szCs w:val="17"/>
          <w:b w:val="1"/>
          <w:bCs w:val="1"/>
          <w:color w:val="DA2031"/>
        </w:rPr>
        <w:t>30</w:t>
      </w:r>
    </w:p>
    <w:p>
      <w:pPr>
        <w:spacing w:after="0" w:line="50"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6.</w:t>
      </w:r>
      <w:r>
        <w:rPr>
          <w:sz w:val="20"/>
          <w:szCs w:val="20"/>
          <w:color w:val="auto"/>
        </w:rPr>
        <w:tab/>
      </w:r>
      <w:r>
        <w:rPr>
          <w:rFonts w:ascii="Arial" w:cs="Arial" w:eastAsia="Arial" w:hAnsi="Arial"/>
          <w:sz w:val="20"/>
          <w:szCs w:val="20"/>
          <w:b w:val="1"/>
          <w:bCs w:val="1"/>
          <w:color w:val="0000FF"/>
        </w:rPr>
        <w:t xml:space="preserve">[Reserved] </w:t>
      </w:r>
      <w:r>
        <w:rPr>
          <w:rFonts w:ascii="Times New Roman" w:cs="Times New Roman" w:eastAsia="Times New Roman" w:hAnsi="Times New Roman"/>
          <w:sz w:val="20"/>
          <w:szCs w:val="20"/>
          <w:color w:val="B4B4B4"/>
        </w:rPr>
        <w:t>. . . . . . . . . . . . . . . . . . . . . . . . . . . . . . . . . . . . . . . . . . . . . . . . . . . . . . . . . . . . . . . . .</w:t>
      </w:r>
      <w:r>
        <w:rPr>
          <w:sz w:val="20"/>
          <w:szCs w:val="20"/>
          <w:color w:val="auto"/>
        </w:rPr>
        <w:tab/>
      </w:r>
      <w:r>
        <w:rPr>
          <w:rFonts w:ascii="Arial" w:cs="Arial" w:eastAsia="Arial" w:hAnsi="Arial"/>
          <w:sz w:val="17"/>
          <w:szCs w:val="17"/>
          <w:b w:val="1"/>
          <w:bCs w:val="1"/>
          <w:color w:val="DA2031"/>
        </w:rPr>
        <w:t>31</w:t>
      </w:r>
    </w:p>
    <w:p>
      <w:pPr>
        <w:spacing w:after="0" w:line="23"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20"/>
          <w:szCs w:val="20"/>
          <w:b w:val="1"/>
          <w:bCs w:val="1"/>
          <w:color w:val="0000FF"/>
        </w:rPr>
        <w:t>Item 7.</w:t>
      </w:r>
      <w:r>
        <w:rPr>
          <w:sz w:val="20"/>
          <w:szCs w:val="20"/>
          <w:color w:val="auto"/>
        </w:rPr>
        <w:tab/>
      </w:r>
      <w:r>
        <w:rPr>
          <w:rFonts w:ascii="Arial" w:cs="Arial" w:eastAsia="Arial" w:hAnsi="Arial"/>
          <w:sz w:val="17"/>
          <w:szCs w:val="17"/>
          <w:b w:val="1"/>
          <w:bCs w:val="1"/>
          <w:color w:val="0000FF"/>
        </w:rPr>
        <w:t>Management's Discussion and Analysis of Financial Condition and Results of</w:t>
      </w:r>
    </w:p>
    <w:p>
      <w:pPr>
        <w:jc w:val="right"/>
        <w:spacing w:after="0"/>
        <w:tabs>
          <w:tab w:leader="none" w:pos="180" w:val="left"/>
        </w:tabs>
        <w:rPr>
          <w:sz w:val="20"/>
          <w:szCs w:val="20"/>
          <w:color w:val="auto"/>
        </w:rPr>
      </w:pPr>
      <w:r>
        <w:rPr>
          <w:rFonts w:ascii="Arial" w:cs="Arial" w:eastAsia="Arial" w:hAnsi="Arial"/>
          <w:sz w:val="20"/>
          <w:szCs w:val="20"/>
          <w:b w:val="1"/>
          <w:bCs w:val="1"/>
          <w:color w:val="0000FF"/>
        </w:rPr>
        <w:t xml:space="preserve">Operations </w:t>
      </w:r>
      <w:r>
        <w:rPr>
          <w:rFonts w:ascii="Times New Roman" w:cs="Times New Roman" w:eastAsia="Times New Roman" w:hAnsi="Times New Roman"/>
          <w:sz w:val="20"/>
          <w:szCs w:val="20"/>
          <w:color w:val="B4B4B4"/>
        </w:rPr>
        <w:t>. . . . . . . . . . . . . . . . . . . . . . . . . . . . . . . . . . . . . . . . . . . . . . . . . . . . . . . . . . . . . . . . .</w:t>
      </w:r>
      <w:r>
        <w:rPr>
          <w:sz w:val="20"/>
          <w:szCs w:val="20"/>
          <w:color w:val="auto"/>
        </w:rPr>
        <w:tab/>
      </w:r>
      <w:r>
        <w:rPr>
          <w:rFonts w:ascii="Arial" w:cs="Arial" w:eastAsia="Arial" w:hAnsi="Arial"/>
          <w:sz w:val="17"/>
          <w:szCs w:val="17"/>
          <w:b w:val="1"/>
          <w:bCs w:val="1"/>
          <w:color w:val="DA2031"/>
        </w:rPr>
        <w:t>32</w:t>
      </w:r>
    </w:p>
    <w:p>
      <w:pPr>
        <w:spacing w:after="0" w:line="50"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7A.</w:t>
      </w:r>
      <w:r>
        <w:rPr>
          <w:sz w:val="20"/>
          <w:szCs w:val="20"/>
          <w:color w:val="auto"/>
        </w:rPr>
        <w:tab/>
      </w:r>
      <w:r>
        <w:rPr>
          <w:rFonts w:ascii="Arial" w:cs="Arial" w:eastAsia="Arial" w:hAnsi="Arial"/>
          <w:sz w:val="20"/>
          <w:szCs w:val="20"/>
          <w:b w:val="1"/>
          <w:bCs w:val="1"/>
          <w:color w:val="0000FF"/>
        </w:rPr>
        <w:t xml:space="preserve">Quantitative and Qualitative Disclosures About Market Risk </w:t>
      </w:r>
      <w:r>
        <w:rPr>
          <w:rFonts w:ascii="Times New Roman" w:cs="Times New Roman" w:eastAsia="Times New Roman" w:hAnsi="Times New Roman"/>
          <w:sz w:val="20"/>
          <w:szCs w:val="20"/>
          <w:color w:val="B4B4B4"/>
        </w:rPr>
        <w:t>. . . . . . . . . . . . . . . . . . . . . . .</w:t>
      </w:r>
      <w:r>
        <w:rPr>
          <w:sz w:val="20"/>
          <w:szCs w:val="20"/>
          <w:color w:val="auto"/>
        </w:rPr>
        <w:tab/>
      </w:r>
      <w:r>
        <w:rPr>
          <w:rFonts w:ascii="Arial" w:cs="Arial" w:eastAsia="Arial" w:hAnsi="Arial"/>
          <w:sz w:val="17"/>
          <w:szCs w:val="17"/>
          <w:b w:val="1"/>
          <w:bCs w:val="1"/>
          <w:color w:val="DA2031"/>
        </w:rPr>
        <w:t>74</w:t>
      </w:r>
    </w:p>
    <w:p>
      <w:pPr>
        <w:spacing w:after="0" w:line="48" w:lineRule="exact"/>
        <w:rPr>
          <w:sz w:val="20"/>
          <w:szCs w:val="20"/>
          <w:color w:val="auto"/>
        </w:rPr>
      </w:pPr>
    </w:p>
    <w:p>
      <w:pPr>
        <w:ind w:left="60"/>
        <w:spacing w:after="0"/>
        <w:tabs>
          <w:tab w:leader="none" w:pos="1220" w:val="left"/>
          <w:tab w:leader="none" w:pos="9760" w:val="left"/>
        </w:tabs>
        <w:rPr>
          <w:sz w:val="20"/>
          <w:szCs w:val="20"/>
          <w:color w:val="auto"/>
        </w:rPr>
      </w:pPr>
      <w:r>
        <w:rPr>
          <w:rFonts w:ascii="Arial" w:cs="Arial" w:eastAsia="Arial" w:hAnsi="Arial"/>
          <w:sz w:val="20"/>
          <w:szCs w:val="20"/>
          <w:b w:val="1"/>
          <w:bCs w:val="1"/>
          <w:color w:val="0000FF"/>
        </w:rPr>
        <w:t>Item 8.</w:t>
      </w:r>
      <w:r>
        <w:rPr>
          <w:sz w:val="20"/>
          <w:szCs w:val="20"/>
          <w:color w:val="auto"/>
        </w:rPr>
        <w:tab/>
      </w:r>
      <w:r>
        <w:rPr>
          <w:rFonts w:ascii="Arial" w:cs="Arial" w:eastAsia="Arial" w:hAnsi="Arial"/>
          <w:sz w:val="20"/>
          <w:szCs w:val="20"/>
          <w:b w:val="1"/>
          <w:bCs w:val="1"/>
          <w:color w:val="0000FF"/>
        </w:rPr>
        <w:t xml:space="preserve">Financial Statements and Supplementary Data  </w:t>
      </w:r>
      <w:r>
        <w:rPr>
          <w:rFonts w:ascii="Times New Roman" w:cs="Times New Roman" w:eastAsia="Times New Roman" w:hAnsi="Times New Roman"/>
          <w:sz w:val="20"/>
          <w:szCs w:val="20"/>
          <w:color w:val="B4B4B4"/>
        </w:rPr>
        <w:t>. . . . . . . . . . . . . . . . . . . . . . . . . . . . . . . . .</w:t>
      </w:r>
      <w:r>
        <w:rPr>
          <w:sz w:val="20"/>
          <w:szCs w:val="20"/>
          <w:color w:val="auto"/>
        </w:rPr>
        <w:tab/>
      </w:r>
      <w:r>
        <w:rPr>
          <w:rFonts w:ascii="Arial" w:cs="Arial" w:eastAsia="Arial" w:hAnsi="Arial"/>
          <w:sz w:val="17"/>
          <w:szCs w:val="17"/>
          <w:b w:val="1"/>
          <w:bCs w:val="1"/>
          <w:color w:val="DA2031"/>
        </w:rPr>
        <w:t>74</w:t>
      </w:r>
    </w:p>
    <w:p>
      <w:pPr>
        <w:spacing w:after="0" w:line="23"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20"/>
          <w:szCs w:val="20"/>
          <w:b w:val="1"/>
          <w:bCs w:val="1"/>
          <w:color w:val="0000FF"/>
        </w:rPr>
        <w:t>Item 9.</w:t>
      </w:r>
      <w:r>
        <w:rPr>
          <w:sz w:val="20"/>
          <w:szCs w:val="20"/>
          <w:color w:val="auto"/>
        </w:rPr>
        <w:tab/>
      </w:r>
      <w:r>
        <w:rPr>
          <w:rFonts w:ascii="Arial" w:cs="Arial" w:eastAsia="Arial" w:hAnsi="Arial"/>
          <w:sz w:val="17"/>
          <w:szCs w:val="17"/>
          <w:b w:val="1"/>
          <w:bCs w:val="1"/>
          <w:color w:val="0000FF"/>
        </w:rPr>
        <w:t>Changes in and Disagreements with Accountants on Accounting and Financial</w:t>
      </w:r>
    </w:p>
    <w:p>
      <w:pPr>
        <w:jc w:val="right"/>
        <w:spacing w:after="0"/>
        <w:tabs>
          <w:tab w:leader="none" w:pos="300" w:val="left"/>
        </w:tabs>
        <w:rPr>
          <w:sz w:val="20"/>
          <w:szCs w:val="20"/>
          <w:color w:val="auto"/>
        </w:rPr>
      </w:pPr>
      <w:r>
        <w:rPr>
          <w:rFonts w:ascii="Arial" w:cs="Arial" w:eastAsia="Arial" w:hAnsi="Arial"/>
          <w:sz w:val="20"/>
          <w:szCs w:val="20"/>
          <w:b w:val="1"/>
          <w:bCs w:val="1"/>
          <w:color w:val="0000FF"/>
        </w:rPr>
        <w:t xml:space="preserve">Disclosure  </w:t>
      </w:r>
      <w:r>
        <w:rPr>
          <w:rFonts w:ascii="Times New Roman" w:cs="Times New Roman" w:eastAsia="Times New Roman" w:hAnsi="Times New Roman"/>
          <w:sz w:val="20"/>
          <w:szCs w:val="20"/>
          <w:color w:val="B4B4B4"/>
        </w:rPr>
        <w:t>. . . . . . . . . . . . . . . . . . . . . . . . . . . . . . . . . . . . . . . . . . . . . . . . . . . . . . . . . . . . . . . . .</w:t>
      </w:r>
      <w:r>
        <w:rPr>
          <w:sz w:val="20"/>
          <w:szCs w:val="20"/>
          <w:color w:val="auto"/>
        </w:rPr>
        <w:tab/>
      </w:r>
      <w:r>
        <w:rPr>
          <w:rFonts w:ascii="Arial" w:cs="Arial" w:eastAsia="Arial" w:hAnsi="Arial"/>
          <w:sz w:val="19"/>
          <w:szCs w:val="19"/>
          <w:b w:val="1"/>
          <w:bCs w:val="1"/>
          <w:color w:val="DA2031"/>
        </w:rPr>
        <w:t>164</w:t>
      </w:r>
    </w:p>
    <w:p>
      <w:pPr>
        <w:spacing w:after="0" w:line="50"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9A.</w:t>
      </w:r>
      <w:r>
        <w:rPr>
          <w:sz w:val="20"/>
          <w:szCs w:val="20"/>
          <w:color w:val="auto"/>
        </w:rPr>
        <w:tab/>
      </w:r>
      <w:r>
        <w:rPr>
          <w:rFonts w:ascii="Arial" w:cs="Arial" w:eastAsia="Arial" w:hAnsi="Arial"/>
          <w:sz w:val="20"/>
          <w:szCs w:val="20"/>
          <w:b w:val="1"/>
          <w:bCs w:val="1"/>
          <w:color w:val="0000FF"/>
        </w:rPr>
        <w:t xml:space="preserve">Controls and Procedures </w:t>
      </w:r>
      <w:r>
        <w:rPr>
          <w:rFonts w:ascii="Times New Roman" w:cs="Times New Roman" w:eastAsia="Times New Roman" w:hAnsi="Times New Roman"/>
          <w:sz w:val="20"/>
          <w:szCs w:val="20"/>
          <w:color w:val="B4B4B4"/>
        </w:rPr>
        <w:t>. . . . . . . . . . . . . . . . . . . . . . . . . . . . . . . . . . . . . . . . . . . . . . . . . . . . .</w:t>
      </w:r>
      <w:r>
        <w:rPr>
          <w:sz w:val="20"/>
          <w:szCs w:val="20"/>
          <w:color w:val="auto"/>
        </w:rPr>
        <w:tab/>
      </w:r>
      <w:r>
        <w:rPr>
          <w:rFonts w:ascii="Arial" w:cs="Arial" w:eastAsia="Arial" w:hAnsi="Arial"/>
          <w:sz w:val="19"/>
          <w:szCs w:val="19"/>
          <w:b w:val="1"/>
          <w:bCs w:val="1"/>
          <w:color w:val="DA2031"/>
        </w:rPr>
        <w:t>164</w:t>
      </w:r>
    </w:p>
    <w:p>
      <w:pPr>
        <w:spacing w:after="0" w:line="48"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9B.</w:t>
      </w:r>
      <w:r>
        <w:rPr>
          <w:sz w:val="20"/>
          <w:szCs w:val="20"/>
          <w:color w:val="auto"/>
        </w:rPr>
        <w:tab/>
      </w:r>
      <w:r>
        <w:rPr>
          <w:rFonts w:ascii="Arial" w:cs="Arial" w:eastAsia="Arial" w:hAnsi="Arial"/>
          <w:sz w:val="20"/>
          <w:szCs w:val="20"/>
          <w:b w:val="1"/>
          <w:bCs w:val="1"/>
          <w:color w:val="0000FF"/>
        </w:rPr>
        <w:t xml:space="preserve">Other Information </w:t>
      </w:r>
      <w:r>
        <w:rPr>
          <w:rFonts w:ascii="Times New Roman" w:cs="Times New Roman" w:eastAsia="Times New Roman" w:hAnsi="Times New Roman"/>
          <w:sz w:val="20"/>
          <w:szCs w:val="20"/>
          <w:color w:val="B4B4B4"/>
        </w:rPr>
        <w:t>. . . . . . . . . . . . . . . . . . . . . . . . . . . . . . . . . . . . . . . . . . . . . . . . . . . . . . . . . . .</w:t>
      </w:r>
      <w:r>
        <w:rPr>
          <w:sz w:val="20"/>
          <w:szCs w:val="20"/>
          <w:color w:val="auto"/>
        </w:rPr>
        <w:tab/>
      </w:r>
      <w:r>
        <w:rPr>
          <w:rFonts w:ascii="Arial" w:cs="Arial" w:eastAsia="Arial" w:hAnsi="Arial"/>
          <w:sz w:val="19"/>
          <w:szCs w:val="19"/>
          <w:b w:val="1"/>
          <w:bCs w:val="1"/>
          <w:color w:val="DA2031"/>
        </w:rPr>
        <w:t>165</w:t>
      </w:r>
    </w:p>
    <w:p>
      <w:pPr>
        <w:spacing w:after="0" w:line="48"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9C</w:t>
      </w:r>
      <w:r>
        <w:rPr>
          <w:sz w:val="20"/>
          <w:szCs w:val="20"/>
          <w:color w:val="auto"/>
        </w:rPr>
        <w:tab/>
      </w:r>
      <w:r>
        <w:rPr>
          <w:rFonts w:ascii="Arial" w:cs="Arial" w:eastAsia="Arial" w:hAnsi="Arial"/>
          <w:sz w:val="20"/>
          <w:szCs w:val="20"/>
          <w:b w:val="1"/>
          <w:bCs w:val="1"/>
          <w:color w:val="0000FF"/>
        </w:rPr>
        <w:t xml:space="preserve">Disclosure Regarding Foreign Jurisdictions that Prevent Inspections </w:t>
      </w:r>
      <w:r>
        <w:rPr>
          <w:rFonts w:ascii="Times New Roman" w:cs="Times New Roman" w:eastAsia="Times New Roman" w:hAnsi="Times New Roman"/>
          <w:sz w:val="20"/>
          <w:szCs w:val="20"/>
          <w:color w:val="B4B4B4"/>
        </w:rPr>
        <w:t>. . . . . . . . . . . . . . .</w:t>
      </w:r>
      <w:r>
        <w:rPr>
          <w:sz w:val="20"/>
          <w:szCs w:val="20"/>
          <w:color w:val="auto"/>
        </w:rPr>
        <w:tab/>
      </w:r>
      <w:r>
        <w:rPr>
          <w:rFonts w:ascii="Arial" w:cs="Arial" w:eastAsia="Arial" w:hAnsi="Arial"/>
          <w:sz w:val="19"/>
          <w:szCs w:val="19"/>
          <w:b w:val="1"/>
          <w:bCs w:val="1"/>
          <w:color w:val="DA2031"/>
        </w:rPr>
        <w:t>165</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DA2031"/>
        </w:rPr>
        <w:t>Part III</w:t>
      </w:r>
    </w:p>
    <w:p>
      <w:pPr>
        <w:spacing w:after="0" w:line="49"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10.</w:t>
      </w:r>
      <w:r>
        <w:rPr>
          <w:sz w:val="20"/>
          <w:szCs w:val="20"/>
          <w:color w:val="auto"/>
        </w:rPr>
        <w:tab/>
      </w:r>
      <w:r>
        <w:rPr>
          <w:rFonts w:ascii="Arial" w:cs="Arial" w:eastAsia="Arial" w:hAnsi="Arial"/>
          <w:sz w:val="20"/>
          <w:szCs w:val="20"/>
          <w:b w:val="1"/>
          <w:bCs w:val="1"/>
          <w:color w:val="0000FF"/>
        </w:rPr>
        <w:t xml:space="preserve">Directors, Executive Officers and Corporate Governance </w:t>
      </w:r>
      <w:r>
        <w:rPr>
          <w:rFonts w:ascii="Times New Roman" w:cs="Times New Roman" w:eastAsia="Times New Roman" w:hAnsi="Times New Roman"/>
          <w:sz w:val="20"/>
          <w:szCs w:val="20"/>
          <w:color w:val="B4B4B4"/>
        </w:rPr>
        <w:t>. . . . . . . . . . . . . . . . . . . . . . . . .</w:t>
      </w:r>
      <w:r>
        <w:rPr>
          <w:sz w:val="20"/>
          <w:szCs w:val="20"/>
          <w:color w:val="auto"/>
        </w:rPr>
        <w:tab/>
      </w:r>
      <w:r>
        <w:rPr>
          <w:rFonts w:ascii="Arial" w:cs="Arial" w:eastAsia="Arial" w:hAnsi="Arial"/>
          <w:sz w:val="19"/>
          <w:szCs w:val="19"/>
          <w:b w:val="1"/>
          <w:bCs w:val="1"/>
          <w:color w:val="DA2031"/>
        </w:rPr>
        <w:t>166</w:t>
      </w:r>
    </w:p>
    <w:p>
      <w:pPr>
        <w:spacing w:after="0" w:line="48"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11.</w:t>
      </w:r>
      <w:r>
        <w:rPr>
          <w:sz w:val="20"/>
          <w:szCs w:val="20"/>
          <w:color w:val="auto"/>
        </w:rPr>
        <w:tab/>
      </w:r>
      <w:r>
        <w:rPr>
          <w:rFonts w:ascii="Arial" w:cs="Arial" w:eastAsia="Arial" w:hAnsi="Arial"/>
          <w:sz w:val="20"/>
          <w:szCs w:val="20"/>
          <w:b w:val="1"/>
          <w:bCs w:val="1"/>
          <w:color w:val="0000FF"/>
        </w:rPr>
        <w:t xml:space="preserve">Executive Compensation </w:t>
      </w:r>
      <w:r>
        <w:rPr>
          <w:rFonts w:ascii="Times New Roman" w:cs="Times New Roman" w:eastAsia="Times New Roman" w:hAnsi="Times New Roman"/>
          <w:sz w:val="20"/>
          <w:szCs w:val="20"/>
          <w:color w:val="B4B4B4"/>
        </w:rPr>
        <w:t>. . . . . . . . . . . . . . . . . . . . . . . . . . . . . . . . . . . . . . . . . . . . . . . . . . . . .</w:t>
      </w:r>
      <w:r>
        <w:rPr>
          <w:sz w:val="20"/>
          <w:szCs w:val="20"/>
          <w:color w:val="auto"/>
        </w:rPr>
        <w:tab/>
      </w:r>
      <w:r>
        <w:rPr>
          <w:rFonts w:ascii="Arial" w:cs="Arial" w:eastAsia="Arial" w:hAnsi="Arial"/>
          <w:sz w:val="19"/>
          <w:szCs w:val="19"/>
          <w:b w:val="1"/>
          <w:bCs w:val="1"/>
          <w:color w:val="DA2031"/>
        </w:rPr>
        <w:t>167</w:t>
      </w:r>
    </w:p>
    <w:p>
      <w:pPr>
        <w:spacing w:after="0" w:line="23"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20"/>
          <w:szCs w:val="20"/>
          <w:b w:val="1"/>
          <w:bCs w:val="1"/>
          <w:color w:val="0000FF"/>
        </w:rPr>
        <w:t>Item 12.</w:t>
      </w:r>
      <w:r>
        <w:rPr>
          <w:sz w:val="20"/>
          <w:szCs w:val="20"/>
          <w:color w:val="auto"/>
        </w:rPr>
        <w:tab/>
      </w:r>
      <w:r>
        <w:rPr>
          <w:rFonts w:ascii="Arial" w:cs="Arial" w:eastAsia="Arial" w:hAnsi="Arial"/>
          <w:sz w:val="17"/>
          <w:szCs w:val="17"/>
          <w:b w:val="1"/>
          <w:bCs w:val="1"/>
          <w:color w:val="0000FF"/>
        </w:rPr>
        <w:t>Security Ownership of Certain Beneficial Owners and Management and Related</w:t>
      </w:r>
    </w:p>
    <w:p>
      <w:pPr>
        <w:jc w:val="right"/>
        <w:spacing w:after="0"/>
        <w:tabs>
          <w:tab w:leader="none" w:pos="300" w:val="left"/>
        </w:tabs>
        <w:rPr>
          <w:sz w:val="20"/>
          <w:szCs w:val="20"/>
          <w:color w:val="auto"/>
        </w:rPr>
      </w:pPr>
      <w:r>
        <w:rPr>
          <w:rFonts w:ascii="Arial" w:cs="Arial" w:eastAsia="Arial" w:hAnsi="Arial"/>
          <w:sz w:val="20"/>
          <w:szCs w:val="20"/>
          <w:b w:val="1"/>
          <w:bCs w:val="1"/>
          <w:color w:val="0000FF"/>
        </w:rPr>
        <w:t xml:space="preserve">Stockholder Matters </w:t>
      </w:r>
      <w:r>
        <w:rPr>
          <w:rFonts w:ascii="Times New Roman" w:cs="Times New Roman" w:eastAsia="Times New Roman" w:hAnsi="Times New Roman"/>
          <w:sz w:val="20"/>
          <w:szCs w:val="20"/>
          <w:color w:val="B4B4B4"/>
        </w:rPr>
        <w:t>. . . . . . . . . . . . . . . . . . . . . . . . . . . . . . . . . . . . . . . . . . . . . . . . . . . . . . . . .</w:t>
      </w:r>
      <w:r>
        <w:rPr>
          <w:sz w:val="20"/>
          <w:szCs w:val="20"/>
          <w:color w:val="auto"/>
        </w:rPr>
        <w:tab/>
      </w:r>
      <w:r>
        <w:rPr>
          <w:rFonts w:ascii="Arial" w:cs="Arial" w:eastAsia="Arial" w:hAnsi="Arial"/>
          <w:sz w:val="19"/>
          <w:szCs w:val="19"/>
          <w:b w:val="1"/>
          <w:bCs w:val="1"/>
          <w:color w:val="DA2031"/>
        </w:rPr>
        <w:t>167</w:t>
      </w:r>
    </w:p>
    <w:p>
      <w:pPr>
        <w:spacing w:after="0" w:line="50"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13.</w:t>
      </w:r>
      <w:r>
        <w:rPr>
          <w:sz w:val="20"/>
          <w:szCs w:val="20"/>
          <w:color w:val="auto"/>
        </w:rPr>
        <w:tab/>
      </w:r>
      <w:r>
        <w:rPr>
          <w:rFonts w:ascii="Arial" w:cs="Arial" w:eastAsia="Arial" w:hAnsi="Arial"/>
          <w:sz w:val="20"/>
          <w:szCs w:val="20"/>
          <w:b w:val="1"/>
          <w:bCs w:val="1"/>
          <w:color w:val="0000FF"/>
        </w:rPr>
        <w:t xml:space="preserve">Certain Relationships, Related Transactions and Director Independence </w:t>
      </w:r>
      <w:r>
        <w:rPr>
          <w:rFonts w:ascii="Times New Roman" w:cs="Times New Roman" w:eastAsia="Times New Roman" w:hAnsi="Times New Roman"/>
          <w:sz w:val="20"/>
          <w:szCs w:val="20"/>
          <w:color w:val="B4B4B4"/>
        </w:rPr>
        <w:t>. . . . . . . . . . .</w:t>
      </w:r>
      <w:r>
        <w:rPr>
          <w:sz w:val="20"/>
          <w:szCs w:val="20"/>
          <w:color w:val="auto"/>
        </w:rPr>
        <w:tab/>
      </w:r>
      <w:r>
        <w:rPr>
          <w:rFonts w:ascii="Arial" w:cs="Arial" w:eastAsia="Arial" w:hAnsi="Arial"/>
          <w:sz w:val="19"/>
          <w:szCs w:val="19"/>
          <w:b w:val="1"/>
          <w:bCs w:val="1"/>
          <w:color w:val="DA2031"/>
        </w:rPr>
        <w:t>167</w:t>
      </w:r>
    </w:p>
    <w:p>
      <w:pPr>
        <w:spacing w:after="0" w:line="48"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14.</w:t>
      </w:r>
      <w:r>
        <w:rPr>
          <w:sz w:val="20"/>
          <w:szCs w:val="20"/>
          <w:color w:val="auto"/>
        </w:rPr>
        <w:tab/>
      </w:r>
      <w:r>
        <w:rPr>
          <w:rFonts w:ascii="Arial" w:cs="Arial" w:eastAsia="Arial" w:hAnsi="Arial"/>
          <w:sz w:val="20"/>
          <w:szCs w:val="20"/>
          <w:b w:val="1"/>
          <w:bCs w:val="1"/>
          <w:color w:val="0000FF"/>
        </w:rPr>
        <w:t xml:space="preserve">Principal Accounting Fees and Services </w:t>
      </w:r>
      <w:r>
        <w:rPr>
          <w:rFonts w:ascii="Times New Roman" w:cs="Times New Roman" w:eastAsia="Times New Roman" w:hAnsi="Times New Roman"/>
          <w:sz w:val="20"/>
          <w:szCs w:val="20"/>
          <w:color w:val="B4B4B4"/>
        </w:rPr>
        <w:t>. . . . . . . . . . . . . . . . . . . . . . . . . . . . . . . . . . . . . . . .</w:t>
      </w:r>
      <w:r>
        <w:rPr>
          <w:sz w:val="20"/>
          <w:szCs w:val="20"/>
          <w:color w:val="auto"/>
        </w:rPr>
        <w:tab/>
      </w:r>
      <w:r>
        <w:rPr>
          <w:rFonts w:ascii="Arial" w:cs="Arial" w:eastAsia="Arial" w:hAnsi="Arial"/>
          <w:sz w:val="19"/>
          <w:szCs w:val="19"/>
          <w:b w:val="1"/>
          <w:bCs w:val="1"/>
          <w:color w:val="DA2031"/>
        </w:rPr>
        <w:t>167</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DA2031"/>
        </w:rPr>
        <w:t>Part IV</w:t>
      </w:r>
    </w:p>
    <w:p>
      <w:pPr>
        <w:spacing w:after="0" w:line="49"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15.</w:t>
      </w:r>
      <w:r>
        <w:rPr>
          <w:sz w:val="20"/>
          <w:szCs w:val="20"/>
          <w:color w:val="auto"/>
        </w:rPr>
        <w:tab/>
      </w:r>
      <w:r>
        <w:rPr>
          <w:rFonts w:ascii="Arial" w:cs="Arial" w:eastAsia="Arial" w:hAnsi="Arial"/>
          <w:sz w:val="20"/>
          <w:szCs w:val="20"/>
          <w:b w:val="1"/>
          <w:bCs w:val="1"/>
          <w:color w:val="0000FF"/>
        </w:rPr>
        <w:t xml:space="preserve">Exhibit and Financial Statement Schedules </w:t>
      </w:r>
      <w:r>
        <w:rPr>
          <w:rFonts w:ascii="Times New Roman" w:cs="Times New Roman" w:eastAsia="Times New Roman" w:hAnsi="Times New Roman"/>
          <w:sz w:val="20"/>
          <w:szCs w:val="20"/>
          <w:color w:val="B4B4B4"/>
        </w:rPr>
        <w:t>. . . . . . . . . . . . . . . . . . . . . . . . . . . . . . . . . . . . .</w:t>
      </w:r>
      <w:r>
        <w:rPr>
          <w:sz w:val="20"/>
          <w:szCs w:val="20"/>
          <w:color w:val="auto"/>
        </w:rPr>
        <w:tab/>
      </w:r>
      <w:r>
        <w:rPr>
          <w:rFonts w:ascii="Arial" w:cs="Arial" w:eastAsia="Arial" w:hAnsi="Arial"/>
          <w:sz w:val="19"/>
          <w:szCs w:val="19"/>
          <w:b w:val="1"/>
          <w:bCs w:val="1"/>
          <w:color w:val="DA2031"/>
        </w:rPr>
        <w:t>168</w:t>
      </w:r>
    </w:p>
    <w:p>
      <w:pPr>
        <w:spacing w:after="0" w:line="48" w:lineRule="exact"/>
        <w:rPr>
          <w:sz w:val="20"/>
          <w:szCs w:val="20"/>
          <w:color w:val="auto"/>
        </w:rPr>
      </w:pPr>
    </w:p>
    <w:p>
      <w:pPr>
        <w:ind w:left="60"/>
        <w:spacing w:after="0"/>
        <w:tabs>
          <w:tab w:leader="none" w:pos="9640" w:val="left"/>
        </w:tabs>
        <w:rPr>
          <w:sz w:val="20"/>
          <w:szCs w:val="20"/>
          <w:color w:val="auto"/>
        </w:rPr>
      </w:pPr>
      <w:r>
        <w:rPr>
          <w:rFonts w:ascii="Arial" w:cs="Arial" w:eastAsia="Arial" w:hAnsi="Arial"/>
          <w:sz w:val="20"/>
          <w:szCs w:val="20"/>
          <w:b w:val="1"/>
          <w:bCs w:val="1"/>
          <w:color w:val="0000FF"/>
        </w:rPr>
        <w:t xml:space="preserve">Schedule II </w:t>
      </w:r>
      <w:r>
        <w:rPr>
          <w:rFonts w:ascii="Times New Roman" w:cs="Times New Roman" w:eastAsia="Times New Roman" w:hAnsi="Times New Roman"/>
          <w:sz w:val="20"/>
          <w:szCs w:val="20"/>
          <w:color w:val="B4B4B4"/>
        </w:rPr>
        <w:t>.</w:t>
      </w:r>
      <w:r>
        <w:rPr>
          <w:rFonts w:ascii="Arial" w:cs="Arial" w:eastAsia="Arial" w:hAnsi="Arial"/>
          <w:sz w:val="20"/>
          <w:szCs w:val="20"/>
          <w:b w:val="1"/>
          <w:bCs w:val="1"/>
          <w:color w:val="0000FF"/>
        </w:rPr>
        <w:t xml:space="preserve">  Xerox Holdings Corporation Valuation and Qualifying Accounts </w:t>
      </w:r>
      <w:r>
        <w:rPr>
          <w:rFonts w:ascii="Times New Roman" w:cs="Times New Roman" w:eastAsia="Times New Roman" w:hAnsi="Times New Roman"/>
          <w:sz w:val="20"/>
          <w:szCs w:val="20"/>
          <w:color w:val="B4B4B4"/>
        </w:rPr>
        <w:t>. . . . . . . . . . . . . . . . . . . .</w:t>
      </w:r>
      <w:r>
        <w:rPr>
          <w:sz w:val="20"/>
          <w:szCs w:val="20"/>
          <w:color w:val="auto"/>
        </w:rPr>
        <w:tab/>
      </w:r>
      <w:r>
        <w:rPr>
          <w:rFonts w:ascii="Arial" w:cs="Arial" w:eastAsia="Arial" w:hAnsi="Arial"/>
          <w:sz w:val="19"/>
          <w:szCs w:val="19"/>
          <w:b w:val="1"/>
          <w:bCs w:val="1"/>
          <w:color w:val="DA2031"/>
        </w:rPr>
        <w:t>169</w:t>
      </w:r>
    </w:p>
    <w:p>
      <w:pPr>
        <w:spacing w:after="0" w:line="48" w:lineRule="exact"/>
        <w:rPr>
          <w:sz w:val="20"/>
          <w:szCs w:val="20"/>
          <w:color w:val="auto"/>
        </w:rPr>
      </w:pPr>
    </w:p>
    <w:p>
      <w:pPr>
        <w:ind w:left="60"/>
        <w:spacing w:after="0"/>
        <w:tabs>
          <w:tab w:leader="none" w:pos="9640" w:val="left"/>
        </w:tabs>
        <w:rPr>
          <w:sz w:val="20"/>
          <w:szCs w:val="20"/>
          <w:color w:val="auto"/>
        </w:rPr>
      </w:pPr>
      <w:r>
        <w:rPr>
          <w:rFonts w:ascii="Arial" w:cs="Arial" w:eastAsia="Arial" w:hAnsi="Arial"/>
          <w:sz w:val="20"/>
          <w:szCs w:val="20"/>
          <w:b w:val="1"/>
          <w:bCs w:val="1"/>
          <w:color w:val="0000FF"/>
        </w:rPr>
        <w:t xml:space="preserve">Schedule II </w:t>
      </w:r>
      <w:r>
        <w:rPr>
          <w:rFonts w:ascii="Times New Roman" w:cs="Times New Roman" w:eastAsia="Times New Roman" w:hAnsi="Times New Roman"/>
          <w:sz w:val="20"/>
          <w:szCs w:val="20"/>
          <w:color w:val="B4B4B4"/>
        </w:rPr>
        <w:t>.</w:t>
      </w:r>
      <w:r>
        <w:rPr>
          <w:rFonts w:ascii="Arial" w:cs="Arial" w:eastAsia="Arial" w:hAnsi="Arial"/>
          <w:sz w:val="20"/>
          <w:szCs w:val="20"/>
          <w:b w:val="1"/>
          <w:bCs w:val="1"/>
          <w:color w:val="0000FF"/>
        </w:rPr>
        <w:t xml:space="preserve">  Xerox Corporation Valuation and Qualifying Accounts </w:t>
      </w:r>
      <w:r>
        <w:rPr>
          <w:rFonts w:ascii="Times New Roman" w:cs="Times New Roman" w:eastAsia="Times New Roman" w:hAnsi="Times New Roman"/>
          <w:sz w:val="20"/>
          <w:szCs w:val="20"/>
          <w:color w:val="B4B4B4"/>
        </w:rPr>
        <w:t>. . . . . . . . . . . . . . . . . . . . . . . . . . . .</w:t>
      </w:r>
      <w:r>
        <w:rPr>
          <w:sz w:val="20"/>
          <w:szCs w:val="20"/>
          <w:color w:val="auto"/>
        </w:rPr>
        <w:tab/>
      </w:r>
      <w:r>
        <w:rPr>
          <w:rFonts w:ascii="Arial" w:cs="Arial" w:eastAsia="Arial" w:hAnsi="Arial"/>
          <w:sz w:val="19"/>
          <w:szCs w:val="19"/>
          <w:b w:val="1"/>
          <w:bCs w:val="1"/>
          <w:color w:val="DA2031"/>
        </w:rPr>
        <w:t>170</w:t>
      </w:r>
    </w:p>
    <w:p>
      <w:pPr>
        <w:spacing w:after="0" w:line="48" w:lineRule="exact"/>
        <w:rPr>
          <w:sz w:val="20"/>
          <w:szCs w:val="20"/>
          <w:color w:val="auto"/>
        </w:rPr>
      </w:pPr>
    </w:p>
    <w:p>
      <w:pPr>
        <w:ind w:left="60"/>
        <w:spacing w:after="0"/>
        <w:tabs>
          <w:tab w:leader="none" w:pos="9640" w:val="left"/>
        </w:tabs>
        <w:rPr>
          <w:sz w:val="20"/>
          <w:szCs w:val="20"/>
          <w:color w:val="auto"/>
        </w:rPr>
      </w:pPr>
      <w:r>
        <w:rPr>
          <w:rFonts w:ascii="Arial" w:cs="Arial" w:eastAsia="Arial" w:hAnsi="Arial"/>
          <w:sz w:val="20"/>
          <w:szCs w:val="20"/>
          <w:b w:val="1"/>
          <w:bCs w:val="1"/>
          <w:color w:val="0000FF"/>
        </w:rPr>
        <w:t xml:space="preserve">Index of Exhibits </w:t>
      </w:r>
      <w:r>
        <w:rPr>
          <w:rFonts w:ascii="Times New Roman" w:cs="Times New Roman" w:eastAsia="Times New Roman" w:hAnsi="Times New Roman"/>
          <w:sz w:val="20"/>
          <w:szCs w:val="20"/>
          <w:color w:val="B4B4B4"/>
        </w:rPr>
        <w:t>. . . . . . . . . . . . . . . . . . . . . . . . . . . . . . . . . . . . . . . . . . . . . . . . . . . . . . . . . . . . . . . . . . . . . . . .</w:t>
      </w:r>
      <w:r>
        <w:rPr>
          <w:sz w:val="20"/>
          <w:szCs w:val="20"/>
          <w:color w:val="auto"/>
        </w:rPr>
        <w:tab/>
      </w:r>
      <w:r>
        <w:rPr>
          <w:rFonts w:ascii="Arial" w:cs="Arial" w:eastAsia="Arial" w:hAnsi="Arial"/>
          <w:sz w:val="19"/>
          <w:szCs w:val="19"/>
          <w:b w:val="1"/>
          <w:bCs w:val="1"/>
          <w:color w:val="DA2031"/>
        </w:rPr>
        <w:t>171</w:t>
      </w:r>
    </w:p>
    <w:p>
      <w:pPr>
        <w:spacing w:after="0" w:line="49"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Item 16.</w:t>
      </w:r>
      <w:r>
        <w:rPr>
          <w:sz w:val="20"/>
          <w:szCs w:val="20"/>
          <w:color w:val="auto"/>
        </w:rPr>
        <w:tab/>
      </w:r>
      <w:r>
        <w:rPr>
          <w:rFonts w:ascii="Arial" w:cs="Arial" w:eastAsia="Arial" w:hAnsi="Arial"/>
          <w:sz w:val="20"/>
          <w:szCs w:val="20"/>
          <w:b w:val="1"/>
          <w:bCs w:val="1"/>
          <w:color w:val="0000FF"/>
        </w:rPr>
        <w:t xml:space="preserve">Form 10-K Summary </w:t>
      </w:r>
      <w:r>
        <w:rPr>
          <w:rFonts w:ascii="Times New Roman" w:cs="Times New Roman" w:eastAsia="Times New Roman" w:hAnsi="Times New Roman"/>
          <w:sz w:val="20"/>
          <w:szCs w:val="20"/>
          <w:color w:val="B4B4B4"/>
        </w:rPr>
        <w:t>. . . . . . . . . . . . . . . . . . . . . . . . . . . . . . . . . . . . . . . . . . . . . . . . . . . . . . . .</w:t>
      </w:r>
      <w:r>
        <w:rPr>
          <w:sz w:val="20"/>
          <w:szCs w:val="20"/>
          <w:color w:val="auto"/>
        </w:rPr>
        <w:tab/>
      </w:r>
      <w:r>
        <w:rPr>
          <w:rFonts w:ascii="Arial" w:cs="Arial" w:eastAsia="Arial" w:hAnsi="Arial"/>
          <w:sz w:val="19"/>
          <w:szCs w:val="19"/>
          <w:b w:val="1"/>
          <w:bCs w:val="1"/>
          <w:color w:val="DA2031"/>
        </w:rPr>
        <w:t>179</w:t>
      </w:r>
    </w:p>
    <w:p>
      <w:pPr>
        <w:spacing w:after="0" w:line="48"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Signatures</w:t>
        <w:tab/>
        <w:t xml:space="preserve">Xerox Holdings Corporation </w:t>
      </w:r>
      <w:r>
        <w:rPr>
          <w:rFonts w:ascii="Times New Roman" w:cs="Times New Roman" w:eastAsia="Times New Roman" w:hAnsi="Times New Roman"/>
          <w:sz w:val="20"/>
          <w:szCs w:val="20"/>
          <w:color w:val="B4B4B4"/>
        </w:rPr>
        <w:t>. . . . . . . . . . . . . . . . . . . . . . . . . . . . . . . . . . . . . . . . . . . . . . . . . .</w:t>
      </w:r>
      <w:r>
        <w:rPr>
          <w:sz w:val="20"/>
          <w:szCs w:val="20"/>
          <w:color w:val="auto"/>
        </w:rPr>
        <w:tab/>
      </w:r>
      <w:r>
        <w:rPr>
          <w:rFonts w:ascii="Arial" w:cs="Arial" w:eastAsia="Arial" w:hAnsi="Arial"/>
          <w:sz w:val="19"/>
          <w:szCs w:val="19"/>
          <w:b w:val="1"/>
          <w:bCs w:val="1"/>
          <w:color w:val="DA2031"/>
        </w:rPr>
        <w:t>180</w:t>
      </w:r>
    </w:p>
    <w:p>
      <w:pPr>
        <w:spacing w:after="0" w:line="48" w:lineRule="exact"/>
        <w:rPr>
          <w:sz w:val="20"/>
          <w:szCs w:val="20"/>
          <w:color w:val="auto"/>
        </w:rPr>
      </w:pPr>
    </w:p>
    <w:p>
      <w:pPr>
        <w:ind w:left="60"/>
        <w:spacing w:after="0"/>
        <w:tabs>
          <w:tab w:leader="none" w:pos="1220" w:val="left"/>
          <w:tab w:leader="none" w:pos="9640" w:val="left"/>
        </w:tabs>
        <w:rPr>
          <w:sz w:val="20"/>
          <w:szCs w:val="20"/>
          <w:color w:val="auto"/>
        </w:rPr>
      </w:pPr>
      <w:r>
        <w:rPr>
          <w:rFonts w:ascii="Arial" w:cs="Arial" w:eastAsia="Arial" w:hAnsi="Arial"/>
          <w:sz w:val="20"/>
          <w:szCs w:val="20"/>
          <w:b w:val="1"/>
          <w:bCs w:val="1"/>
          <w:color w:val="0000FF"/>
        </w:rPr>
        <w:t>Signatures</w:t>
        <w:tab/>
        <w:t xml:space="preserve">Xerox Corporation </w:t>
      </w:r>
      <w:r>
        <w:rPr>
          <w:rFonts w:ascii="Times New Roman" w:cs="Times New Roman" w:eastAsia="Times New Roman" w:hAnsi="Times New Roman"/>
          <w:sz w:val="20"/>
          <w:szCs w:val="20"/>
          <w:color w:val="B4B4B4"/>
        </w:rPr>
        <w:t>. . . . . . . . . . . . . . . . . . . . . . . . . . . . . . . . . . . . . . . . . . . . . . . . . . . . . . . . . . .</w:t>
      </w:r>
      <w:r>
        <w:rPr>
          <w:sz w:val="20"/>
          <w:szCs w:val="20"/>
          <w:color w:val="auto"/>
        </w:rPr>
        <w:tab/>
      </w:r>
      <w:r>
        <w:rPr>
          <w:rFonts w:ascii="Arial" w:cs="Arial" w:eastAsia="Arial" w:hAnsi="Arial"/>
          <w:sz w:val="19"/>
          <w:szCs w:val="19"/>
          <w:b w:val="1"/>
          <w:bCs w:val="1"/>
          <w:color w:val="DA2031"/>
        </w:rPr>
        <w:t>181</w:t>
      </w:r>
    </w:p>
    <w:p>
      <w:pPr>
        <w:sectPr>
          <w:pgSz w:w="11880" w:h="15480" w:orient="portrait"/>
          <w:cols w:equalWidth="0" w:num="1">
            <w:col w:w="9980"/>
          </w:cols>
          <w:pgMar w:left="920" w:top="793" w:right="980" w:bottom="1440" w:gutter="0" w:footer="0" w:header="0"/>
        </w:sectPr>
      </w:pPr>
    </w:p>
    <w:bookmarkStart w:id="10" w:name="page11"/>
    <w:bookmarkEnd w:id="10"/>
    <w:p>
      <w:pPr>
        <w:ind w:left="3"/>
        <w:spacing w:after="0"/>
        <w:rPr>
          <w:sz w:val="20"/>
          <w:szCs w:val="20"/>
          <w:color w:val="auto"/>
        </w:rPr>
      </w:pPr>
      <w:r>
        <w:rPr>
          <w:rFonts w:ascii="Arial" w:cs="Arial" w:eastAsia="Arial" w:hAnsi="Arial"/>
          <w:sz w:val="23"/>
          <w:szCs w:val="23"/>
          <w:b w:val="1"/>
          <w:bCs w:val="1"/>
          <w:color w:val="DA2031"/>
        </w:rPr>
        <w:t>Part I</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DA2031"/>
        </w:rPr>
        <w:t>Item 1. Business</w:t>
      </w:r>
    </w:p>
    <w:p>
      <w:pPr>
        <w:spacing w:after="0" w:line="143" w:lineRule="exact"/>
        <w:rPr>
          <w:sz w:val="20"/>
          <w:szCs w:val="20"/>
          <w:color w:val="auto"/>
        </w:rPr>
      </w:pPr>
    </w:p>
    <w:p>
      <w:pPr>
        <w:jc w:val="both"/>
        <w:ind w:left="3"/>
        <w:spacing w:after="0" w:line="279" w:lineRule="auto"/>
        <w:rPr>
          <w:sz w:val="20"/>
          <w:szCs w:val="20"/>
          <w:color w:val="auto"/>
        </w:rPr>
      </w:pPr>
      <w:r>
        <w:rPr>
          <w:rFonts w:ascii="Arial" w:cs="Arial" w:eastAsia="Arial" w:hAnsi="Arial"/>
          <w:sz w:val="18"/>
          <w:szCs w:val="18"/>
          <w:b w:val="1"/>
          <w:bCs w:val="1"/>
          <w:color w:val="auto"/>
        </w:rPr>
        <w:t>Xerox is a workplace technology company, building and integrating services-led, software-enabled, workplace solutions for enterprises large and small. As customers seek to manage information and document workflows across digital and physical platforms, we deliver a seamless, secure, and sustainable experience. Whether inventing the copier, the Ethernet, the laser printer or more, Xerox has long defined the modern work experience and continues to do so with investments in IT infrastructure, artificial intelligence (AI), Internet of Things (IoT), intelligent document processing (IDP), robotic process automation (RPA) and other technologies that enable Xerox to deliver essential products and services to address the productivity challenges of a hybrid workplace and distributed workforce.</w:t>
      </w:r>
    </w:p>
    <w:p>
      <w:pPr>
        <w:spacing w:after="0" w:line="62" w:lineRule="exact"/>
        <w:rPr>
          <w:sz w:val="20"/>
          <w:szCs w:val="20"/>
          <w:color w:val="auto"/>
        </w:rPr>
      </w:pPr>
    </w:p>
    <w:p>
      <w:pPr>
        <w:jc w:val="both"/>
        <w:ind w:left="3"/>
        <w:spacing w:after="0" w:line="276" w:lineRule="auto"/>
        <w:rPr>
          <w:sz w:val="20"/>
          <w:szCs w:val="20"/>
          <w:color w:val="auto"/>
        </w:rPr>
      </w:pPr>
      <w:r>
        <w:rPr>
          <w:rFonts w:ascii="Arial" w:cs="Arial" w:eastAsia="Arial" w:hAnsi="Arial"/>
          <w:sz w:val="19"/>
          <w:szCs w:val="19"/>
          <w:b w:val="1"/>
          <w:bCs w:val="1"/>
          <w:color w:val="auto"/>
        </w:rPr>
        <w:t>Xerox serves customers globally in North America, Europe, Latin America, Brazil, Asia Pacific (APAC), the Middle East, Africa, and India. This geographic span allows us to deliver our technology and solutions to customers of all sizes, regardless of complexity or number of customer locations.</w:t>
      </w:r>
    </w:p>
    <w:p>
      <w:pPr>
        <w:spacing w:after="0" w:line="55"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Recent Changes and Developments</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DA2031"/>
        </w:rPr>
        <w:t>Reinvention</w:t>
      </w:r>
    </w:p>
    <w:p>
      <w:pPr>
        <w:spacing w:after="0" w:line="131" w:lineRule="exact"/>
        <w:rPr>
          <w:sz w:val="20"/>
          <w:szCs w:val="20"/>
          <w:color w:val="auto"/>
        </w:rPr>
      </w:pPr>
    </w:p>
    <w:p>
      <w:pPr>
        <w:jc w:val="both"/>
        <w:ind w:left="3"/>
        <w:spacing w:after="0" w:line="271" w:lineRule="auto"/>
        <w:rPr>
          <w:sz w:val="20"/>
          <w:szCs w:val="20"/>
          <w:color w:val="auto"/>
        </w:rPr>
      </w:pPr>
      <w:r>
        <w:rPr>
          <w:rFonts w:ascii="Arial" w:cs="Arial" w:eastAsia="Arial" w:hAnsi="Arial"/>
          <w:sz w:val="18"/>
          <w:szCs w:val="18"/>
          <w:b w:val="1"/>
          <w:bCs w:val="1"/>
          <w:color w:val="auto"/>
        </w:rPr>
        <w:t>2025 was a pivotal year for Reinvention, which is a multi-year strategy designed to transform the way Xerox operates. Its objectives are to strengthen our core business and improve financial flexibility enabling investments in solutions, initiatives, and capabilities intended to support market share gains and expansion into higher-growth verticals beyond print, with the goal of delivering sustainable long-term revenue and profit growth.</w:t>
      </w:r>
    </w:p>
    <w:p>
      <w:pPr>
        <w:spacing w:after="0" w:line="51" w:lineRule="exact"/>
        <w:rPr>
          <w:sz w:val="20"/>
          <w:szCs w:val="20"/>
          <w:color w:val="auto"/>
        </w:rPr>
      </w:pPr>
    </w:p>
    <w:p>
      <w:pPr>
        <w:jc w:val="both"/>
        <w:ind w:left="3"/>
        <w:spacing w:after="0" w:line="259" w:lineRule="auto"/>
        <w:rPr>
          <w:sz w:val="20"/>
          <w:szCs w:val="20"/>
          <w:color w:val="auto"/>
        </w:rPr>
      </w:pPr>
      <w:r>
        <w:rPr>
          <w:rFonts w:ascii="Arial" w:cs="Arial" w:eastAsia="Arial" w:hAnsi="Arial"/>
          <w:sz w:val="19"/>
          <w:szCs w:val="19"/>
          <w:b w:val="1"/>
          <w:bCs w:val="1"/>
          <w:color w:val="auto"/>
        </w:rPr>
        <w:t>In 2025, we completed the acquisition of Lexmark International II, LLC (Lexmark) (the Lexmark Acquisition). The addition of Lexmark is intended to enhance Xerox's operational resilience and cost structure. Expected benefits include increased presence in the A4 color segment, entry into the APAC print market, potential reductions in product and tariff-related costs through the use of Lexmark’s manufacturing footprint, improved supply chain flexibility, and the ability to leverage Lexmark’s global capability centers and IT infrastructure to support customer satisfaction and operational efficiency. The combined company also offers a wider portfolio of offerings and services to Lexmark’s large customer base. During the year we also completed the integration of ITsavvy, forming our new Xerox IT Solutions organization (IT Solutions). IT Solutions meaningfully expands Xerox’s reach of the typical IT budget by providing additional offerings as well as opportunities that strengthen our relationship with existing clients. In 2025, growth of the IT Solutions business was driven primarily by ITsavvy as well as client demand for integrated infrastructure, cloud, security, and automation solutions.</w:t>
      </w:r>
    </w:p>
    <w:p>
      <w:pPr>
        <w:spacing w:after="0" w:line="84"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Our Reinvention efforts are focused on Operational Simplification, and Commercial Optimization and Growth. During 2025, we made significant progress across each priority.</w:t>
      </w:r>
    </w:p>
    <w:p>
      <w:pPr>
        <w:spacing w:after="0" w:line="39" w:lineRule="exact"/>
        <w:rPr>
          <w:sz w:val="20"/>
          <w:szCs w:val="20"/>
          <w:color w:val="auto"/>
        </w:rPr>
      </w:pPr>
    </w:p>
    <w:p>
      <w:pPr>
        <w:ind w:left="343" w:hanging="343"/>
        <w:spacing w:after="0"/>
        <w:tabs>
          <w:tab w:leader="none" w:pos="343" w:val="left"/>
        </w:tabs>
        <w:numPr>
          <w:ilvl w:val="0"/>
          <w:numId w:val="3"/>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Operational Simplification</w:t>
      </w:r>
    </w:p>
    <w:p>
      <w:pPr>
        <w:spacing w:after="0" w:line="14" w:lineRule="exact"/>
        <w:rPr>
          <w:rFonts w:ascii="Arial" w:cs="Arial" w:eastAsia="Arial" w:hAnsi="Arial"/>
          <w:sz w:val="19"/>
          <w:szCs w:val="19"/>
          <w:b w:val="1"/>
          <w:bCs w:val="1"/>
          <w:color w:val="DA2031"/>
        </w:rPr>
      </w:pPr>
    </w:p>
    <w:p>
      <w:pPr>
        <w:ind w:left="703" w:hanging="349"/>
        <w:spacing w:after="0" w:line="255"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Achieved cumulative run-rate gross cost savings of more than $500 million through year-end 2025, including Integration savings</w:t>
      </w:r>
    </w:p>
    <w:p>
      <w:pPr>
        <w:spacing w:after="0" w:line="1" w:lineRule="exact"/>
        <w:rPr>
          <w:rFonts w:ascii="Arial" w:cs="Arial" w:eastAsia="Arial" w:hAnsi="Arial"/>
          <w:sz w:val="19"/>
          <w:szCs w:val="19"/>
          <w:b w:val="1"/>
          <w:bCs w:val="1"/>
          <w:color w:val="DA2031"/>
        </w:rPr>
      </w:pPr>
    </w:p>
    <w:p>
      <w:pPr>
        <w:ind w:left="703" w:right="860" w:hanging="349"/>
        <w:spacing w:after="0" w:line="251" w:lineRule="auto"/>
        <w:rPr>
          <w:rFonts w:ascii="Arial" w:cs="Arial" w:eastAsia="Arial" w:hAnsi="Arial"/>
          <w:sz w:val="19"/>
          <w:szCs w:val="19"/>
          <w:b w:val="1"/>
          <w:bCs w:val="1"/>
          <w:color w:val="DA2031"/>
        </w:rPr>
      </w:pPr>
      <w:r>
        <w:rPr>
          <w:rFonts w:ascii="Arial" w:cs="Arial" w:eastAsia="Arial" w:hAnsi="Arial"/>
          <w:sz w:val="18"/>
          <w:szCs w:val="18"/>
          <w:b w:val="1"/>
          <w:bCs w:val="1"/>
          <w:color w:val="auto"/>
        </w:rPr>
        <w:t>– Eliminated duplicative systems, implemented more efficient systems and processes, and enhanced efficiency in procurement, warehousing, inventory management and demand planning</w:t>
      </w:r>
    </w:p>
    <w:p>
      <w:pPr>
        <w:spacing w:after="0" w:line="1" w:lineRule="exact"/>
        <w:rPr>
          <w:rFonts w:ascii="Arial" w:cs="Arial" w:eastAsia="Arial" w:hAnsi="Arial"/>
          <w:sz w:val="19"/>
          <w:szCs w:val="19"/>
          <w:b w:val="1"/>
          <w:bCs w:val="1"/>
          <w:color w:val="DA2031"/>
        </w:rPr>
      </w:pPr>
    </w:p>
    <w:p>
      <w:pPr>
        <w:ind w:left="343"/>
        <w:spacing w:after="0"/>
        <w:rPr>
          <w:rFonts w:ascii="Arial" w:cs="Arial" w:eastAsia="Arial" w:hAnsi="Arial"/>
          <w:sz w:val="19"/>
          <w:szCs w:val="19"/>
          <w:b w:val="1"/>
          <w:bCs w:val="1"/>
          <w:color w:val="DA2031"/>
        </w:rPr>
      </w:pPr>
      <w:r>
        <w:rPr>
          <w:rFonts w:ascii="Arial" w:cs="Arial" w:eastAsia="Arial" w:hAnsi="Arial"/>
          <w:sz w:val="19"/>
          <w:szCs w:val="19"/>
          <w:b w:val="1"/>
          <w:bCs w:val="1"/>
          <w:color w:val="auto"/>
        </w:rPr>
        <w:t>–   Launched tools focused on digital transformation</w:t>
      </w:r>
    </w:p>
    <w:p>
      <w:pPr>
        <w:spacing w:after="0" w:line="72" w:lineRule="exact"/>
        <w:rPr>
          <w:rFonts w:ascii="Arial" w:cs="Arial" w:eastAsia="Arial" w:hAnsi="Arial"/>
          <w:sz w:val="19"/>
          <w:szCs w:val="19"/>
          <w:b w:val="1"/>
          <w:bCs w:val="1"/>
          <w:color w:val="DA2031"/>
        </w:rPr>
      </w:pPr>
    </w:p>
    <w:p>
      <w:pPr>
        <w:ind w:left="343" w:hanging="343"/>
        <w:spacing w:after="0"/>
        <w:tabs>
          <w:tab w:leader="none" w:pos="343" w:val="left"/>
        </w:tabs>
        <w:numPr>
          <w:ilvl w:val="0"/>
          <w:numId w:val="3"/>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Commercial Optimization and Growth:</w:t>
      </w:r>
    </w:p>
    <w:p>
      <w:pPr>
        <w:spacing w:after="0" w:line="14" w:lineRule="exact"/>
        <w:rPr>
          <w:rFonts w:ascii="Arial" w:cs="Arial" w:eastAsia="Arial" w:hAnsi="Arial"/>
          <w:sz w:val="19"/>
          <w:szCs w:val="19"/>
          <w:b w:val="1"/>
          <w:bCs w:val="1"/>
          <w:color w:val="DA2031"/>
        </w:rPr>
      </w:pPr>
    </w:p>
    <w:p>
      <w:pPr>
        <w:ind w:left="703" w:right="20" w:hanging="349"/>
        <w:spacing w:after="0" w:line="238"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Re-entered the growing mid-volume Production inkjet market through partnerships, with the launch of IJP900 and Proficio products</w:t>
      </w:r>
    </w:p>
    <w:p>
      <w:pPr>
        <w:spacing w:after="0" w:line="1" w:lineRule="exact"/>
        <w:rPr>
          <w:rFonts w:ascii="Arial" w:cs="Arial" w:eastAsia="Arial" w:hAnsi="Arial"/>
          <w:sz w:val="19"/>
          <w:szCs w:val="19"/>
          <w:b w:val="1"/>
          <w:bCs w:val="1"/>
          <w:color w:val="DA2031"/>
        </w:rPr>
      </w:pPr>
    </w:p>
    <w:p>
      <w:pPr>
        <w:ind w:left="343"/>
        <w:spacing w:after="0"/>
        <w:rPr>
          <w:rFonts w:ascii="Arial" w:cs="Arial" w:eastAsia="Arial" w:hAnsi="Arial"/>
          <w:sz w:val="19"/>
          <w:szCs w:val="19"/>
          <w:b w:val="1"/>
          <w:bCs w:val="1"/>
          <w:color w:val="DA2031"/>
        </w:rPr>
      </w:pPr>
      <w:r>
        <w:rPr>
          <w:rFonts w:ascii="Arial" w:cs="Arial" w:eastAsia="Arial" w:hAnsi="Arial"/>
          <w:sz w:val="19"/>
          <w:szCs w:val="19"/>
          <w:b w:val="1"/>
          <w:bCs w:val="1"/>
          <w:color w:val="auto"/>
        </w:rPr>
        <w:t>–   Launched Inside Sales operations in U.S. and Canada</w:t>
      </w:r>
    </w:p>
    <w:p>
      <w:pPr>
        <w:spacing w:after="0" w:line="14" w:lineRule="exact"/>
        <w:rPr>
          <w:rFonts w:ascii="Arial" w:cs="Arial" w:eastAsia="Arial" w:hAnsi="Arial"/>
          <w:sz w:val="19"/>
          <w:szCs w:val="19"/>
          <w:b w:val="1"/>
          <w:bCs w:val="1"/>
          <w:color w:val="DA2031"/>
        </w:rPr>
      </w:pPr>
    </w:p>
    <w:p>
      <w:pPr>
        <w:ind w:left="343"/>
        <w:spacing w:after="0" w:line="238"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Invested in partner programs and customer initiatives</w:t>
      </w:r>
    </w:p>
    <w:p>
      <w:pPr>
        <w:ind w:left="703" w:right="180" w:hanging="349"/>
        <w:spacing w:after="0" w:line="238"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Integrated ITsavvy, enhancing Xerox’s IT Solutions offering and expanding Total Addressable Market (TAM) of Xerox's offerings</w:t>
      </w:r>
    </w:p>
    <w:p>
      <w:pPr>
        <w:spacing w:after="0" w:line="1" w:lineRule="exact"/>
        <w:rPr>
          <w:rFonts w:ascii="Arial" w:cs="Arial" w:eastAsia="Arial" w:hAnsi="Arial"/>
          <w:sz w:val="19"/>
          <w:szCs w:val="19"/>
          <w:b w:val="1"/>
          <w:bCs w:val="1"/>
          <w:color w:val="DA2031"/>
        </w:rPr>
      </w:pPr>
    </w:p>
    <w:p>
      <w:pPr>
        <w:ind w:left="343"/>
        <w:spacing w:after="0"/>
        <w:rPr>
          <w:rFonts w:ascii="Arial" w:cs="Arial" w:eastAsia="Arial" w:hAnsi="Arial"/>
          <w:sz w:val="19"/>
          <w:szCs w:val="19"/>
          <w:b w:val="1"/>
          <w:bCs w:val="1"/>
          <w:color w:val="DA2031"/>
        </w:rPr>
      </w:pPr>
      <w:r>
        <w:rPr>
          <w:rFonts w:ascii="Arial" w:cs="Arial" w:eastAsia="Arial" w:hAnsi="Arial"/>
          <w:sz w:val="19"/>
          <w:szCs w:val="19"/>
          <w:b w:val="1"/>
          <w:bCs w:val="1"/>
          <w:color w:val="auto"/>
        </w:rPr>
        <w:t>–   Closed the Lexmark Acquisition, providing greater exposure to growing Print markets</w:t>
      </w:r>
    </w:p>
    <w:p>
      <w:pPr>
        <w:spacing w:after="0" w:line="131" w:lineRule="exact"/>
        <w:rPr>
          <w:sz w:val="20"/>
          <w:szCs w:val="20"/>
          <w:color w:val="auto"/>
        </w:rPr>
      </w:pPr>
    </w:p>
    <w:p>
      <w:pPr>
        <w:jc w:val="both"/>
        <w:ind w:left="3"/>
        <w:spacing w:after="0" w:line="269" w:lineRule="auto"/>
        <w:rPr>
          <w:sz w:val="20"/>
          <w:szCs w:val="20"/>
          <w:color w:val="auto"/>
        </w:rPr>
      </w:pPr>
      <w:r>
        <w:rPr>
          <w:rFonts w:ascii="Arial" w:cs="Arial" w:eastAsia="Arial" w:hAnsi="Arial"/>
          <w:sz w:val="19"/>
          <w:szCs w:val="19"/>
          <w:b w:val="1"/>
          <w:bCs w:val="1"/>
          <w:color w:val="auto"/>
        </w:rPr>
        <w:t>In 2026, the focus of Reinvention will progress to specific initiatives designed to i) further optimize our commercial operations, ii) leverage the capabilities of our acquired business to accelerate Reinvention, and iii) simplify the business. We will continue to leverage the Global Business Services (GBS) organization to design and implement continuous operating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w:t>
      </w:r>
    </w:p>
    <w:p>
      <w:pPr>
        <w:sectPr>
          <w:pgSz w:w="11880" w:h="15480" w:orient="portrait"/>
          <w:cols w:equalWidth="0" w:num="1">
            <w:col w:w="10043"/>
          </w:cols>
          <w:pgMar w:left="877" w:top="681" w:right="960" w:bottom="0" w:gutter="0" w:footer="0" w:header="0"/>
        </w:sectPr>
      </w:pPr>
    </w:p>
    <w:bookmarkStart w:id="11" w:name="page12"/>
    <w:bookmarkEnd w:id="11"/>
    <w:p>
      <w:pPr>
        <w:ind w:left="3"/>
        <w:spacing w:after="0"/>
        <w:rPr>
          <w:sz w:val="20"/>
          <w:szCs w:val="20"/>
          <w:color w:val="auto"/>
        </w:rPr>
      </w:pPr>
      <w:r>
        <w:rPr>
          <w:rFonts w:ascii="Arial" w:cs="Arial" w:eastAsia="Arial" w:hAnsi="Arial"/>
          <w:sz w:val="21"/>
          <w:szCs w:val="21"/>
          <w:b w:val="1"/>
          <w:bCs w:val="1"/>
          <w:color w:val="DA2031"/>
        </w:rPr>
        <w:t>Other Strategic Changes</w:t>
      </w:r>
    </w:p>
    <w:p>
      <w:pPr>
        <w:spacing w:after="0" w:line="137"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b w:val="1"/>
          <w:bCs w:val="1"/>
          <w:color w:val="auto"/>
        </w:rPr>
        <w:t>During the year, the Company extended its forward flow program to Europe to support liquidity and balance sheet management. During 2025, the Company entered into a funding arrangement in the United Kingdom and France with an affiliate of LCM Capital LLP, as well as an arrangement with an additional partner in Portugal. These transactions provide for the sale of certain finance receivables, with the Company continuing to service the receivables under separate servicing agreements.</w:t>
      </w:r>
    </w:p>
    <w:p>
      <w:pPr>
        <w:spacing w:after="0" w:line="70" w:lineRule="exact"/>
        <w:rPr>
          <w:sz w:val="20"/>
          <w:szCs w:val="20"/>
          <w:color w:val="auto"/>
        </w:rPr>
      </w:pPr>
    </w:p>
    <w:p>
      <w:pPr>
        <w:jc w:val="both"/>
        <w:ind w:left="3"/>
        <w:spacing w:after="0" w:line="281" w:lineRule="auto"/>
        <w:rPr>
          <w:sz w:val="20"/>
          <w:szCs w:val="20"/>
          <w:color w:val="auto"/>
        </w:rPr>
      </w:pPr>
      <w:r>
        <w:rPr>
          <w:rFonts w:ascii="Arial" w:cs="Arial" w:eastAsia="Arial" w:hAnsi="Arial"/>
          <w:sz w:val="19"/>
          <w:szCs w:val="19"/>
          <w:b w:val="1"/>
          <w:bCs w:val="1"/>
          <w:color w:val="auto"/>
        </w:rPr>
        <w:t>The Company plans to continue to assess similar arrangements in other jurisdictions, subject to market conditions, regulatory requirements, and internal approval processes.</w:t>
      </w:r>
    </w:p>
    <w:p>
      <w:pPr>
        <w:spacing w:after="0" w:line="33"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Strategic Priorities</w:t>
      </w:r>
    </w:p>
    <w:p>
      <w:pPr>
        <w:spacing w:after="0" w:line="137" w:lineRule="exact"/>
        <w:rPr>
          <w:sz w:val="20"/>
          <w:szCs w:val="20"/>
          <w:color w:val="auto"/>
        </w:rPr>
      </w:pPr>
    </w:p>
    <w:p>
      <w:pPr>
        <w:jc w:val="both"/>
        <w:ind w:left="3"/>
        <w:spacing w:after="0" w:line="264" w:lineRule="auto"/>
        <w:rPr>
          <w:sz w:val="20"/>
          <w:szCs w:val="20"/>
          <w:color w:val="auto"/>
        </w:rPr>
      </w:pPr>
      <w:r>
        <w:rPr>
          <w:rFonts w:ascii="Arial" w:cs="Arial" w:eastAsia="Arial" w:hAnsi="Arial"/>
          <w:sz w:val="19"/>
          <w:szCs w:val="19"/>
          <w:b w:val="1"/>
          <w:bCs w:val="1"/>
          <w:color w:val="auto"/>
        </w:rPr>
        <w:t>Our long-term strategic objective is to increase our share of our clients' technology spending through increased penetration of Xerox's solutions among our existing client base, the development of new, content-driven solutions, and expanded distribution with third-party channel partners. We believe Xerox’s globally recognizable brand, our deep understanding of clients’ industries and businesses, and clients' trust have afforded us a path to compete in IT Solutions and Digital Services, markets where we already have leading solutions and where we are actively investing to develop more.</w:t>
      </w:r>
    </w:p>
    <w:p>
      <w:pPr>
        <w:spacing w:after="0" w:line="70" w:lineRule="exact"/>
        <w:rPr>
          <w:sz w:val="20"/>
          <w:szCs w:val="20"/>
          <w:color w:val="auto"/>
        </w:rPr>
      </w:pPr>
    </w:p>
    <w:p>
      <w:pPr>
        <w:jc w:val="both"/>
        <w:ind w:left="3"/>
        <w:spacing w:after="0" w:line="310" w:lineRule="auto"/>
        <w:rPr>
          <w:sz w:val="20"/>
          <w:szCs w:val="20"/>
          <w:color w:val="auto"/>
        </w:rPr>
      </w:pPr>
      <w:r>
        <w:rPr>
          <w:rFonts w:ascii="Arial" w:cs="Arial" w:eastAsia="Arial" w:hAnsi="Arial"/>
          <w:sz w:val="19"/>
          <w:szCs w:val="19"/>
          <w:b w:val="1"/>
          <w:bCs w:val="1"/>
          <w:color w:val="auto"/>
        </w:rPr>
        <w:t xml:space="preserve">Our strategic priorities for 2026 continue to be: </w:t>
      </w:r>
      <w:r>
        <w:rPr>
          <w:rFonts w:ascii="Arial" w:cs="Arial" w:eastAsia="Arial" w:hAnsi="Arial"/>
          <w:sz w:val="19"/>
          <w:szCs w:val="19"/>
          <w:b w:val="1"/>
          <w:bCs w:val="1"/>
          <w:color w:val="DA2031"/>
        </w:rPr>
        <w:t>Execute Reinvention, Realize the Benefits of Recent</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DA2031"/>
        </w:rPr>
        <w:t>Acquisitions, and Strengthen the Balance Sheet.</w:t>
      </w:r>
    </w:p>
    <w:p>
      <w:pPr>
        <w:spacing w:after="0" w:line="18" w:lineRule="exact"/>
        <w:rPr>
          <w:sz w:val="20"/>
          <w:szCs w:val="20"/>
          <w:color w:val="auto"/>
        </w:rPr>
      </w:pPr>
    </w:p>
    <w:p>
      <w:pPr>
        <w:jc w:val="both"/>
        <w:ind w:left="3"/>
        <w:spacing w:after="0" w:line="278" w:lineRule="auto"/>
        <w:rPr>
          <w:sz w:val="20"/>
          <w:szCs w:val="20"/>
          <w:color w:val="auto"/>
        </w:rPr>
      </w:pPr>
      <w:r>
        <w:rPr>
          <w:rFonts w:ascii="Arial" w:cs="Arial" w:eastAsia="Arial" w:hAnsi="Arial"/>
          <w:sz w:val="18"/>
          <w:szCs w:val="18"/>
          <w:b w:val="1"/>
          <w:bCs w:val="1"/>
          <w:color w:val="DA2031"/>
        </w:rPr>
        <w:t xml:space="preserve">Execute Reinvention: </w:t>
      </w:r>
      <w:r>
        <w:rPr>
          <w:rFonts w:ascii="Arial" w:cs="Arial" w:eastAsia="Arial" w:hAnsi="Arial"/>
          <w:sz w:val="18"/>
          <w:szCs w:val="18"/>
          <w:b w:val="1"/>
          <w:bCs w:val="1"/>
          <w:color w:val="000000"/>
        </w:rPr>
        <w:t>In 2026, the Company plans to shift the focus of Reinvention to the implementation of</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initiatives designed to enhance revenue and improve profitability. We plan to continue to leverage the GBS organization to design and implement continuous operating efficiencies and further utilize Lexmark’s global capability centers in the Philippines, Hungary, and India. These efforts are expected to support structural cost improvements and higher service quality through continued technology-enabled productivity enhancements, outsourcing optimization, and process standardization. Additional initiatives are expected to focus on strengthening our core business through continued route-to-market and offering optimization, expanded Partner relationships and greater penetration of IT Solutions &amp; Digital Services across Xerox’s Print client base.</w:t>
      </w:r>
    </w:p>
    <w:p>
      <w:pPr>
        <w:spacing w:after="0" w:line="61" w:lineRule="exact"/>
        <w:rPr>
          <w:sz w:val="20"/>
          <w:szCs w:val="20"/>
          <w:color w:val="auto"/>
        </w:rPr>
      </w:pPr>
    </w:p>
    <w:p>
      <w:pPr>
        <w:jc w:val="both"/>
        <w:ind w:left="3"/>
        <w:spacing w:after="0" w:line="270" w:lineRule="auto"/>
        <w:rPr>
          <w:sz w:val="20"/>
          <w:szCs w:val="20"/>
          <w:color w:val="auto"/>
        </w:rPr>
      </w:pPr>
      <w:r>
        <w:rPr>
          <w:rFonts w:ascii="Arial" w:cs="Arial" w:eastAsia="Arial" w:hAnsi="Arial"/>
          <w:sz w:val="19"/>
          <w:szCs w:val="19"/>
          <w:b w:val="1"/>
          <w:bCs w:val="1"/>
          <w:color w:val="DA2031"/>
        </w:rPr>
        <w:t xml:space="preserve">Realize the Benefits of Recent Acquisitions: </w:t>
      </w:r>
      <w:r>
        <w:rPr>
          <w:rFonts w:ascii="Arial" w:cs="Arial" w:eastAsia="Arial" w:hAnsi="Arial"/>
          <w:sz w:val="19"/>
          <w:szCs w:val="19"/>
          <w:b w:val="1"/>
          <w:bCs w:val="1"/>
          <w:color w:val="000000"/>
        </w:rPr>
        <w:t>2026 is an important year for accelerating growth in the IT Solutions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business and advancing the integration of Lexmark. As we integrate Lexmark, we aim to take a best-in breed approach and offer the best of both companies to our clients, while generating more than $300 million of expected run rate synergies by the end of 2027.</w:t>
      </w:r>
    </w:p>
    <w:p>
      <w:pPr>
        <w:spacing w:after="0" w:line="64" w:lineRule="exact"/>
        <w:rPr>
          <w:sz w:val="20"/>
          <w:szCs w:val="20"/>
          <w:color w:val="auto"/>
        </w:rPr>
      </w:pPr>
    </w:p>
    <w:p>
      <w:pPr>
        <w:jc w:val="both"/>
        <w:ind w:left="3"/>
        <w:spacing w:after="0" w:line="299" w:lineRule="auto"/>
        <w:rPr>
          <w:sz w:val="20"/>
          <w:szCs w:val="20"/>
          <w:color w:val="auto"/>
        </w:rPr>
      </w:pPr>
      <w:r>
        <w:rPr>
          <w:rFonts w:ascii="Arial" w:cs="Arial" w:eastAsia="Arial" w:hAnsi="Arial"/>
          <w:sz w:val="19"/>
          <w:szCs w:val="19"/>
          <w:b w:val="1"/>
          <w:bCs w:val="1"/>
          <w:color w:val="DA2031"/>
        </w:rPr>
        <w:t xml:space="preserve">Strengthen the Balance Sheet: </w:t>
      </w:r>
      <w:r>
        <w:rPr>
          <w:rFonts w:ascii="Arial" w:cs="Arial" w:eastAsia="Arial" w:hAnsi="Arial"/>
          <w:sz w:val="19"/>
          <w:szCs w:val="19"/>
          <w:b w:val="1"/>
          <w:bCs w:val="1"/>
          <w:color w:val="000000"/>
        </w:rPr>
        <w:t>Reduction of debt is our primary capital allocation priority. We target a leverage</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ratio of less than 3.0x total debt to EBITDA.</w:t>
      </w:r>
    </w:p>
    <w:p>
      <w:pPr>
        <w:spacing w:after="0" w:line="32"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Reportable Segments and Geographic Sales Channels</w:t>
      </w:r>
    </w:p>
    <w:p>
      <w:pPr>
        <w:spacing w:after="0" w:line="118" w:lineRule="exact"/>
        <w:rPr>
          <w:sz w:val="20"/>
          <w:szCs w:val="20"/>
          <w:color w:val="auto"/>
        </w:rPr>
      </w:pPr>
    </w:p>
    <w:p>
      <w:pPr>
        <w:jc w:val="both"/>
        <w:ind w:left="3"/>
        <w:spacing w:after="0" w:line="262" w:lineRule="auto"/>
        <w:rPr>
          <w:sz w:val="20"/>
          <w:szCs w:val="20"/>
          <w:color w:val="auto"/>
        </w:rPr>
      </w:pPr>
      <w:r>
        <w:rPr>
          <w:rFonts w:ascii="Arial" w:cs="Arial" w:eastAsia="Arial" w:hAnsi="Arial"/>
          <w:sz w:val="19"/>
          <w:szCs w:val="19"/>
          <w:b w:val="1"/>
          <w:bCs w:val="1"/>
          <w:color w:val="auto"/>
        </w:rPr>
        <w:t xml:space="preserve">During the first quarter of 2025, the Company updated its determination of reportable segments to align with a change in how the Chief Operating Decision Maker (CODM), our Chief Executive Officer (CEO), allocates resources and assesses performance against the Company’s key growth and Reinvention strategies. As such, it was determined that there are two reportable segments - </w:t>
      </w:r>
      <w:r>
        <w:rPr>
          <w:rFonts w:ascii="Arial" w:cs="Arial" w:eastAsia="Arial" w:hAnsi="Arial"/>
          <w:sz w:val="19"/>
          <w:szCs w:val="19"/>
          <w:b w:val="1"/>
          <w:bCs w:val="1"/>
          <w:color w:val="DA2031"/>
        </w:rPr>
        <w:t>Print and Other</w:t>
      </w:r>
      <w:r>
        <w:rPr>
          <w:rFonts w:ascii="Arial" w:cs="Arial" w:eastAsia="Arial" w:hAnsi="Arial"/>
          <w:sz w:val="19"/>
          <w:szCs w:val="19"/>
          <w:b w:val="1"/>
          <w:bCs w:val="1"/>
          <w:color w:val="auto"/>
        </w:rPr>
        <w:t xml:space="preserve"> and </w:t>
      </w:r>
      <w:r>
        <w:rPr>
          <w:rFonts w:ascii="Arial" w:cs="Arial" w:eastAsia="Arial" w:hAnsi="Arial"/>
          <w:sz w:val="19"/>
          <w:szCs w:val="19"/>
          <w:b w:val="1"/>
          <w:bCs w:val="1"/>
          <w:color w:val="DA2031"/>
        </w:rPr>
        <w:t>IT Solutions</w:t>
      </w:r>
      <w:r>
        <w:rPr>
          <w:rFonts w:ascii="Arial" w:cs="Arial" w:eastAsia="Arial" w:hAnsi="Arial"/>
          <w:sz w:val="19"/>
          <w:szCs w:val="19"/>
          <w:b w:val="1"/>
          <w:bCs w:val="1"/>
          <w:color w:val="auto"/>
        </w:rPr>
        <w:t>. Prior to this change, the Company had determined that there were two reportable segments - Print and Other and Xerox Financial Solutions (XFS). As a result of this change, prior period reportable segment results and related disclosures have been conformed to reflect the Company’s current reportable segments as follows:</w:t>
      </w:r>
    </w:p>
    <w:p>
      <w:pPr>
        <w:spacing w:after="0" w:line="17" w:lineRule="exact"/>
        <w:rPr>
          <w:sz w:val="20"/>
          <w:szCs w:val="20"/>
          <w:color w:val="auto"/>
        </w:rPr>
      </w:pPr>
    </w:p>
    <w:p>
      <w:pPr>
        <w:jc w:val="both"/>
        <w:ind w:left="343" w:hanging="343"/>
        <w:spacing w:after="0" w:line="255" w:lineRule="auto"/>
        <w:tabs>
          <w:tab w:leader="none" w:pos="343" w:val="left"/>
        </w:tabs>
        <w:numPr>
          <w:ilvl w:val="0"/>
          <w:numId w:val="4"/>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Print and Other </w:t>
      </w:r>
      <w:r>
        <w:rPr>
          <w:rFonts w:ascii="Arial" w:cs="Arial" w:eastAsia="Arial" w:hAnsi="Arial"/>
          <w:sz w:val="19"/>
          <w:szCs w:val="19"/>
          <w:b w:val="1"/>
          <w:bCs w:val="1"/>
          <w:color w:val="000000"/>
        </w:rPr>
        <w:t>– includes the design, development and sale of document management systems, supplies and</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services as well as financing and technology-related offerings, digital and print-related software products and services. This segment includes revenues from the following primary offerings: Workplace Solutions, Production Solutions, Xerox Services, and XFS.</w:t>
      </w:r>
    </w:p>
    <w:p>
      <w:pPr>
        <w:spacing w:after="0" w:line="2" w:lineRule="exact"/>
        <w:rPr>
          <w:rFonts w:ascii="Arial" w:cs="Arial" w:eastAsia="Arial" w:hAnsi="Arial"/>
          <w:sz w:val="19"/>
          <w:szCs w:val="19"/>
          <w:b w:val="1"/>
          <w:bCs w:val="1"/>
          <w:color w:val="DA2031"/>
        </w:rPr>
      </w:pPr>
    </w:p>
    <w:p>
      <w:pPr>
        <w:jc w:val="both"/>
        <w:ind w:left="343" w:hanging="343"/>
        <w:spacing w:after="0" w:line="289" w:lineRule="auto"/>
        <w:tabs>
          <w:tab w:leader="none" w:pos="343" w:val="left"/>
        </w:tabs>
        <w:numPr>
          <w:ilvl w:val="0"/>
          <w:numId w:val="4"/>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IT Solutions </w:t>
      </w:r>
      <w:r>
        <w:rPr>
          <w:rFonts w:ascii="Arial" w:cs="Arial" w:eastAsia="Arial" w:hAnsi="Arial"/>
          <w:sz w:val="18"/>
          <w:szCs w:val="18"/>
          <w:b w:val="1"/>
          <w:bCs w:val="1"/>
          <w:color w:val="000000"/>
        </w:rPr>
        <w:t>– provides clients of all sizes integrated IT infrastructure solutions, delivering business outcomes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w:t>
      </w:r>
    </w:p>
    <w:p>
      <w:pPr>
        <w:spacing w:after="0" w:line="32"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We also employ a matrix organization that includes a product and geographic focus based on alignment with the economic buyers of our products and services.</w:t>
      </w:r>
    </w:p>
    <w:p>
      <w:pPr>
        <w:spacing w:after="0" w:line="19" w:lineRule="exact"/>
        <w:rPr>
          <w:sz w:val="20"/>
          <w:szCs w:val="20"/>
          <w:color w:val="auto"/>
        </w:rPr>
      </w:pPr>
    </w:p>
    <w:p>
      <w:pPr>
        <w:jc w:val="both"/>
        <w:ind w:left="3"/>
        <w:spacing w:after="0" w:line="277" w:lineRule="auto"/>
        <w:rPr>
          <w:sz w:val="20"/>
          <w:szCs w:val="20"/>
          <w:color w:val="auto"/>
        </w:rPr>
      </w:pPr>
      <w:r>
        <w:rPr>
          <w:rFonts w:ascii="Arial" w:cs="Arial" w:eastAsia="Arial" w:hAnsi="Arial"/>
          <w:sz w:val="19"/>
          <w:szCs w:val="19"/>
          <w:b w:val="1"/>
          <w:bCs w:val="1"/>
          <w:color w:val="auto"/>
        </w:rPr>
        <w:t xml:space="preserve">Please refer to the </w:t>
      </w:r>
      <w:r>
        <w:rPr>
          <w:rFonts w:ascii="Arial" w:cs="Arial" w:eastAsia="Arial" w:hAnsi="Arial"/>
          <w:sz w:val="19"/>
          <w:szCs w:val="19"/>
          <w:b w:val="1"/>
          <w:bCs w:val="1"/>
          <w:color w:val="DA2031"/>
        </w:rPr>
        <w:t>Reportable Segments</w:t>
      </w:r>
      <w:r>
        <w:rPr>
          <w:rFonts w:ascii="Arial" w:cs="Arial" w:eastAsia="Arial" w:hAnsi="Arial"/>
          <w:sz w:val="19"/>
          <w:szCs w:val="19"/>
          <w:b w:val="1"/>
          <w:bCs w:val="1"/>
          <w:color w:val="auto"/>
        </w:rPr>
        <w:t xml:space="preserve"> section of Item 7 - Management's Discussion and Analysis of Financial Condition and Results of Operations and Note 4 - Segment and Geographic Area Reporting in the Consolidated Financial Statements for additional information.</w:t>
      </w:r>
    </w:p>
    <w:p>
      <w:pPr>
        <w:spacing w:after="0" w:line="200" w:lineRule="exact"/>
        <w:rPr>
          <w:sz w:val="20"/>
          <w:szCs w:val="20"/>
          <w:color w:val="auto"/>
        </w:rPr>
      </w:pPr>
    </w:p>
    <w:p>
      <w:pPr>
        <w:spacing w:after="0" w:line="311"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2</w:t>
      </w:r>
    </w:p>
    <w:p>
      <w:pPr>
        <w:sectPr>
          <w:pgSz w:w="11880" w:h="15480" w:orient="portrait"/>
          <w:cols w:equalWidth="0" w:num="1">
            <w:col w:w="10043"/>
          </w:cols>
          <w:pgMar w:left="877" w:top="686" w:right="960" w:bottom="0" w:gutter="0" w:footer="0" w:header="0"/>
        </w:sectPr>
      </w:pPr>
    </w:p>
    <w:bookmarkStart w:id="12" w:name="page13"/>
    <w:bookmarkEnd w:id="12"/>
    <w:p>
      <w:pPr>
        <w:ind w:left="3"/>
        <w:spacing w:after="0"/>
        <w:rPr>
          <w:sz w:val="20"/>
          <w:szCs w:val="20"/>
          <w:color w:val="auto"/>
        </w:rPr>
      </w:pPr>
      <w:r>
        <w:rPr>
          <w:rFonts w:ascii="Arial" w:cs="Arial" w:eastAsia="Arial" w:hAnsi="Arial"/>
          <w:sz w:val="21"/>
          <w:szCs w:val="21"/>
          <w:b w:val="1"/>
          <w:bCs w:val="1"/>
          <w:color w:val="DA2031"/>
        </w:rPr>
        <w:t>Revenues</w:t>
      </w:r>
    </w:p>
    <w:p>
      <w:pPr>
        <w:spacing w:after="0" w:line="118" w:lineRule="exact"/>
        <w:rPr>
          <w:sz w:val="20"/>
          <w:szCs w:val="20"/>
          <w:color w:val="auto"/>
        </w:rPr>
      </w:pPr>
    </w:p>
    <w:p>
      <w:pPr>
        <w:jc w:val="both"/>
        <w:ind w:left="3"/>
        <w:spacing w:after="0" w:line="293" w:lineRule="auto"/>
        <w:rPr>
          <w:sz w:val="20"/>
          <w:szCs w:val="20"/>
          <w:color w:val="auto"/>
        </w:rPr>
      </w:pPr>
      <w:r>
        <w:rPr>
          <w:rFonts w:ascii="Arial" w:cs="Arial" w:eastAsia="Arial" w:hAnsi="Arial"/>
          <w:sz w:val="18"/>
          <w:szCs w:val="18"/>
          <w:b w:val="1"/>
          <w:bCs w:val="1"/>
          <w:color w:val="auto"/>
        </w:rPr>
        <w:t xml:space="preserve">We have a broad and diverse base of customers by both geography and industry, ranging from small and mid-sized clients to printing production companies, governmental entities, educational institutions and Fortune 1000 corporations. Our business does not depend upon a single customer, or a few customers. Our business spans five primary offering areas: </w:t>
      </w:r>
      <w:r>
        <w:rPr>
          <w:rFonts w:ascii="Arial" w:cs="Arial" w:eastAsia="Arial" w:hAnsi="Arial"/>
          <w:sz w:val="18"/>
          <w:szCs w:val="18"/>
          <w:b w:val="1"/>
          <w:bCs w:val="1"/>
          <w:color w:val="DA2031"/>
        </w:rPr>
        <w:t>Workplace Solutions, Production Solutions, Xerox Services, XFS, and IT Solutions.</w:t>
      </w:r>
    </w:p>
    <w:p>
      <w:pPr>
        <w:spacing w:after="0" w:line="17" w:lineRule="exact"/>
        <w:rPr>
          <w:sz w:val="20"/>
          <w:szCs w:val="20"/>
          <w:color w:val="auto"/>
        </w:rPr>
      </w:pPr>
    </w:p>
    <w:p>
      <w:pPr>
        <w:jc w:val="both"/>
        <w:ind w:left="3"/>
        <w:spacing w:after="0" w:line="270" w:lineRule="auto"/>
        <w:rPr>
          <w:sz w:val="20"/>
          <w:szCs w:val="20"/>
          <w:color w:val="auto"/>
        </w:rPr>
      </w:pPr>
      <w:r>
        <w:rPr>
          <w:rFonts w:ascii="Arial" w:cs="Arial" w:eastAsia="Arial" w:hAnsi="Arial"/>
          <w:sz w:val="19"/>
          <w:szCs w:val="19"/>
          <w:b w:val="1"/>
          <w:bCs w:val="1"/>
          <w:color w:val="DA2031"/>
        </w:rPr>
        <w:t xml:space="preserve">Workplace Solutions </w:t>
      </w:r>
      <w:r>
        <w:rPr>
          <w:rFonts w:ascii="Arial" w:cs="Arial" w:eastAsia="Arial" w:hAnsi="Arial"/>
          <w:sz w:val="19"/>
          <w:szCs w:val="19"/>
          <w:b w:val="1"/>
          <w:bCs w:val="1"/>
          <w:color w:val="000000"/>
        </w:rPr>
        <w:t>is comprised of two strategic product groups,</w:t>
      </w:r>
      <w:r>
        <w:rPr>
          <w:rFonts w:ascii="Arial" w:cs="Arial" w:eastAsia="Arial" w:hAnsi="Arial"/>
          <w:sz w:val="19"/>
          <w:szCs w:val="19"/>
          <w:b w:val="1"/>
          <w:bCs w:val="1"/>
          <w:color w:val="DA2031"/>
        </w:rPr>
        <w:t xml:space="preserve"> Entry </w:t>
      </w:r>
      <w:r>
        <w:rPr>
          <w:rFonts w:ascii="Arial" w:cs="Arial" w:eastAsia="Arial" w:hAnsi="Arial"/>
          <w:sz w:val="19"/>
          <w:szCs w:val="19"/>
          <w:b w:val="1"/>
          <w:bCs w:val="1"/>
          <w:color w:val="000000"/>
        </w:rPr>
        <w:t>and</w:t>
      </w:r>
      <w:r>
        <w:rPr>
          <w:rFonts w:ascii="Arial" w:cs="Arial" w:eastAsia="Arial" w:hAnsi="Arial"/>
          <w:sz w:val="19"/>
          <w:szCs w:val="19"/>
          <w:b w:val="1"/>
          <w:bCs w:val="1"/>
          <w:color w:val="DA2031"/>
        </w:rPr>
        <w:t xml:space="preserve"> Mid-Range</w:t>
      </w:r>
      <w:r>
        <w:rPr>
          <w:rFonts w:ascii="Arial" w:cs="Arial" w:eastAsia="Arial" w:hAnsi="Arial"/>
          <w:sz w:val="19"/>
          <w:szCs w:val="19"/>
          <w:b w:val="1"/>
          <w:bCs w:val="1"/>
          <w:color w:val="000000"/>
        </w:rPr>
        <w:t>, much of which share</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common solutions, apps and ConnectKey® software. Workplace Solutions revenues include the sale of products (captured primarily as equipment sales) as well as software, supplies and the associated technical service and financing of those products through XFS (captured as post sale revenue).</w:t>
      </w:r>
    </w:p>
    <w:p>
      <w:pPr>
        <w:spacing w:after="0" w:line="45" w:lineRule="exact"/>
        <w:rPr>
          <w:sz w:val="20"/>
          <w:szCs w:val="20"/>
          <w:color w:val="auto"/>
        </w:rPr>
      </w:pPr>
    </w:p>
    <w:p>
      <w:pPr>
        <w:jc w:val="both"/>
        <w:ind w:left="343" w:hanging="343"/>
        <w:spacing w:after="0" w:line="277" w:lineRule="auto"/>
        <w:tabs>
          <w:tab w:leader="none" w:pos="343" w:val="left"/>
        </w:tabs>
        <w:numPr>
          <w:ilvl w:val="0"/>
          <w:numId w:val="5"/>
        </w:numPr>
        <w:rPr>
          <w:rFonts w:ascii="Arial" w:cs="Arial" w:eastAsia="Arial" w:hAnsi="Arial"/>
          <w:sz w:val="19"/>
          <w:szCs w:val="19"/>
          <w:b w:val="1"/>
          <w:bCs w:val="1"/>
          <w:i w:val="1"/>
          <w:iCs w:val="1"/>
          <w:color w:val="DA2031"/>
        </w:rPr>
      </w:pPr>
      <w:r>
        <w:rPr>
          <w:rFonts w:ascii="Arial" w:cs="Arial" w:eastAsia="Arial" w:hAnsi="Arial"/>
          <w:sz w:val="19"/>
          <w:szCs w:val="19"/>
          <w:b w:val="1"/>
          <w:bCs w:val="1"/>
          <w:color w:val="DA2031"/>
        </w:rPr>
        <w:t xml:space="preserve">Entry </w:t>
      </w:r>
      <w:r>
        <w:rPr>
          <w:rFonts w:ascii="Arial" w:cs="Arial" w:eastAsia="Arial" w:hAnsi="Arial"/>
          <w:sz w:val="19"/>
          <w:szCs w:val="19"/>
          <w:b w:val="1"/>
          <w:bCs w:val="1"/>
          <w:color w:val="000000"/>
        </w:rPr>
        <w:t>is comprised of A4 desktop monochrome and color printers and multifunction printers (MFPs) ranging from</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small/home office devices to office workgroup devices. We offer our ConnectKey® system of digital workflow and applications across a large portion of these devices.</w:t>
      </w:r>
    </w:p>
    <w:p>
      <w:pPr>
        <w:spacing w:after="0" w:line="38" w:lineRule="exact"/>
        <w:rPr>
          <w:rFonts w:ascii="Arial" w:cs="Arial" w:eastAsia="Arial" w:hAnsi="Arial"/>
          <w:sz w:val="19"/>
          <w:szCs w:val="19"/>
          <w:b w:val="1"/>
          <w:bCs w:val="1"/>
          <w:i w:val="1"/>
          <w:iCs w:val="1"/>
          <w:color w:val="DA2031"/>
        </w:rPr>
      </w:pPr>
    </w:p>
    <w:p>
      <w:pPr>
        <w:jc w:val="both"/>
        <w:ind w:left="343" w:hanging="343"/>
        <w:spacing w:after="0" w:line="299" w:lineRule="auto"/>
        <w:tabs>
          <w:tab w:leader="none" w:pos="343" w:val="left"/>
        </w:tabs>
        <w:numPr>
          <w:ilvl w:val="0"/>
          <w:numId w:val="5"/>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Mid-Range </w:t>
      </w:r>
      <w:r>
        <w:rPr>
          <w:rFonts w:ascii="Arial" w:cs="Arial" w:eastAsia="Arial" w:hAnsi="Arial"/>
          <w:sz w:val="18"/>
          <w:szCs w:val="18"/>
          <w:b w:val="1"/>
          <w:bCs w:val="1"/>
          <w:color w:val="000000"/>
        </w:rPr>
        <w:t>are A3 devices that have more features and can handle higher print volumes and larger paper sizes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than entry devices. We are a leader in this area of the market and offer a wide range of MFPs, digital printing presses and light production devices, as well as solutions that deliver flexibility and advanced features.</w:t>
      </w:r>
    </w:p>
    <w:p>
      <w:pPr>
        <w:spacing w:after="0" w:line="22" w:lineRule="exact"/>
        <w:rPr>
          <w:sz w:val="20"/>
          <w:szCs w:val="20"/>
          <w:color w:val="auto"/>
        </w:rPr>
      </w:pPr>
    </w:p>
    <w:p>
      <w:pPr>
        <w:jc w:val="both"/>
        <w:ind w:left="3"/>
        <w:spacing w:after="0" w:line="275" w:lineRule="auto"/>
        <w:rPr>
          <w:sz w:val="20"/>
          <w:szCs w:val="20"/>
          <w:color w:val="auto"/>
        </w:rPr>
      </w:pPr>
      <w:r>
        <w:rPr>
          <w:rFonts w:ascii="Arial" w:cs="Arial" w:eastAsia="Arial" w:hAnsi="Arial"/>
          <w:sz w:val="18"/>
          <w:szCs w:val="18"/>
          <w:b w:val="1"/>
          <w:bCs w:val="1"/>
          <w:color w:val="DA2031"/>
        </w:rPr>
        <w:t xml:space="preserve">Production Solutions (High-End) </w:t>
      </w:r>
      <w:r>
        <w:rPr>
          <w:rFonts w:ascii="Arial" w:cs="Arial" w:eastAsia="Arial" w:hAnsi="Arial"/>
          <w:sz w:val="18"/>
          <w:szCs w:val="18"/>
          <w:b w:val="1"/>
          <w:bCs w:val="1"/>
          <w:color w:val="000000"/>
        </w:rPr>
        <w:t>are designed for customers in the graphic communications, in-plant and</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 xml:space="preserve">production print environments with high-volume printing requirements. Our broad portfolio of presses and solutions provides black-and-white and full-color, as well as on-demand printing of a wide range of applications. Our xerographic and ink jet presses provide high-speed, high-volume cut-sheet printing, ideal for publishing, and transactional printing, including variable data for personalized content and one-to-one marketing, to the highest quality of color and embellishment requirements. Our portfolio spans a variety of print speeds, image quality, feeding, finishing and media options. Production Solutions revenues include the sale of products (captured primarily in equipment sales) as well as, software, supplies and the associated technical service and financing of those products (captured as post sale revenue). </w:t>
      </w:r>
      <w:r>
        <w:rPr>
          <w:rFonts w:ascii="Arial" w:cs="Arial" w:eastAsia="Arial" w:hAnsi="Arial"/>
          <w:sz w:val="18"/>
          <w:szCs w:val="18"/>
          <w:b w:val="1"/>
          <w:bCs w:val="1"/>
          <w:color w:val="DA2031"/>
        </w:rPr>
        <w:t>FreeFlow®</w:t>
      </w:r>
      <w:r>
        <w:rPr>
          <w:rFonts w:ascii="Arial" w:cs="Arial" w:eastAsia="Arial" w:hAnsi="Arial"/>
          <w:sz w:val="18"/>
          <w:szCs w:val="18"/>
          <w:b w:val="1"/>
          <w:bCs w:val="1"/>
          <w:color w:val="000000"/>
        </w:rPr>
        <w:t xml:space="preserve"> is a portfolio of software offerings that brings intelligent workflow automation and integration to the processing of High-End print jobs, including automated file preparation with visibility of press health, utilization, and Overall Equipment Effectiveness (OEE), and solutions that help customers of all sizes address a wide range of business opportunities including personalization and electronic publishing.</w:t>
      </w:r>
    </w:p>
    <w:p>
      <w:pPr>
        <w:spacing w:after="0" w:line="45" w:lineRule="exact"/>
        <w:rPr>
          <w:sz w:val="20"/>
          <w:szCs w:val="20"/>
          <w:color w:val="auto"/>
        </w:rPr>
      </w:pPr>
    </w:p>
    <w:p>
      <w:pPr>
        <w:jc w:val="both"/>
        <w:ind w:left="3"/>
        <w:spacing w:after="0" w:line="260" w:lineRule="auto"/>
        <w:rPr>
          <w:sz w:val="20"/>
          <w:szCs w:val="20"/>
          <w:color w:val="auto"/>
        </w:rPr>
      </w:pPr>
      <w:r>
        <w:rPr>
          <w:rFonts w:ascii="Arial" w:cs="Arial" w:eastAsia="Arial" w:hAnsi="Arial"/>
          <w:sz w:val="19"/>
          <w:szCs w:val="19"/>
          <w:b w:val="1"/>
          <w:bCs w:val="1"/>
          <w:color w:val="DA2031"/>
        </w:rPr>
        <w:t xml:space="preserve">Xerox® Services </w:t>
      </w:r>
      <w:r>
        <w:rPr>
          <w:rFonts w:ascii="Arial" w:cs="Arial" w:eastAsia="Arial" w:hAnsi="Arial"/>
          <w:sz w:val="19"/>
          <w:szCs w:val="19"/>
          <w:b w:val="1"/>
          <w:bCs w:val="1"/>
          <w:color w:val="000000"/>
        </w:rPr>
        <w:t>includes a continuum of solutions and services that help our customers optimize their physical</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print and digital information infrastructures, apply automation and simplification to maximize productivity, and ensure the highest levels of security. Xerox has the capability to support integration and document security on a global scale, which are critical factors for large enterprises. Our primary offerings in this area are Xerox® Managed Print Services</w:t>
      </w:r>
      <w:r>
        <w:rPr>
          <w:rFonts w:ascii="Arial" w:cs="Arial" w:eastAsia="Arial" w:hAnsi="Arial"/>
          <w:sz w:val="12"/>
          <w:szCs w:val="12"/>
          <w:b w:val="1"/>
          <w:bCs w:val="1"/>
          <w:color w:val="000000"/>
        </w:rPr>
        <w:t>1</w:t>
      </w:r>
      <w:r>
        <w:rPr>
          <w:rFonts w:ascii="Arial" w:cs="Arial" w:eastAsia="Arial" w:hAnsi="Arial"/>
          <w:sz w:val="19"/>
          <w:szCs w:val="19"/>
          <w:b w:val="1"/>
          <w:bCs w:val="1"/>
          <w:color w:val="000000"/>
        </w:rPr>
        <w:t xml:space="preserve"> (MPS), Xerox® Capture &amp; Content Services (CCS) and Xerox® Customer Engagement Services (CES). CCS and CES encompass a range of Digital Services that leverage our software capabilities in Workflow Automation, Personalization and Communication Software, Content Management Solutions, and Digitization Services. The pandemic shifted our customers’ focus toward secure, efficient, and flexible solutions to operate in a hybrid work environment. As a result, we enhanced our focus on the development and promotion of offerings to help our customers accelerate their digital transformations.</w:t>
      </w:r>
    </w:p>
    <w:p>
      <w:pPr>
        <w:spacing w:after="0" w:line="58" w:lineRule="exact"/>
        <w:rPr>
          <w:sz w:val="20"/>
          <w:szCs w:val="20"/>
          <w:color w:val="auto"/>
        </w:rPr>
      </w:pPr>
    </w:p>
    <w:p>
      <w:pPr>
        <w:jc w:val="both"/>
        <w:ind w:left="343" w:hanging="343"/>
        <w:spacing w:after="0" w:line="268" w:lineRule="auto"/>
        <w:tabs>
          <w:tab w:leader="none" w:pos="343" w:val="left"/>
        </w:tabs>
        <w:numPr>
          <w:ilvl w:val="0"/>
          <w:numId w:val="6"/>
        </w:numPr>
        <w:rPr>
          <w:rFonts w:ascii="Arial" w:cs="Arial" w:eastAsia="Arial" w:hAnsi="Arial"/>
          <w:sz w:val="18"/>
          <w:szCs w:val="18"/>
          <w:b w:val="1"/>
          <w:bCs w:val="1"/>
          <w:color w:val="DA2031"/>
        </w:rPr>
      </w:pPr>
      <w:r>
        <w:rPr>
          <w:rFonts w:ascii="Arial" w:cs="Arial" w:eastAsia="Arial" w:hAnsi="Arial"/>
          <w:sz w:val="18"/>
          <w:szCs w:val="18"/>
          <w:b w:val="1"/>
          <w:bCs w:val="1"/>
          <w:color w:val="DA2031"/>
        </w:rPr>
        <w:t>Managed Print Services</w:t>
      </w:r>
      <w:r>
        <w:rPr>
          <w:rFonts w:ascii="Arial" w:cs="Arial" w:eastAsia="Arial" w:hAnsi="Arial"/>
          <w:sz w:val="23"/>
          <w:szCs w:val="23"/>
          <w:b w:val="1"/>
          <w:bCs w:val="1"/>
          <w:color w:val="DA2031"/>
          <w:vertAlign w:val="superscript"/>
        </w:rPr>
        <w:t>1</w:t>
      </w:r>
      <w:r>
        <w:rPr>
          <w:rFonts w:ascii="Arial" w:cs="Arial" w:eastAsia="Arial" w:hAnsi="Arial"/>
          <w:sz w:val="18"/>
          <w:szCs w:val="18"/>
          <w:b w:val="1"/>
          <w:bCs w:val="1"/>
          <w:color w:val="DA2031"/>
        </w:rPr>
        <w:t xml:space="preserve"> (MPS) </w:t>
      </w:r>
      <w:r>
        <w:rPr>
          <w:rFonts w:ascii="Arial" w:cs="Arial" w:eastAsia="Arial" w:hAnsi="Arial"/>
          <w:sz w:val="18"/>
          <w:szCs w:val="18"/>
          <w:b w:val="1"/>
          <w:bCs w:val="1"/>
          <w:color w:val="000000"/>
        </w:rPr>
        <w:t>utilizes our portfolio of security, analytics, cloud, digitization, and ConnectKey®</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 xml:space="preserve">technologies to help companies optimize their print infrastructure, secure their print environment, and automate related business processes. We provide the most comprehensive portfolio of MPS services in the industry and are recognized as an industry leader by major analyst firms including IDC and Quocirca. Our MPS offering targets clients ranging from global enterprises to governmental entities and small and mid-sized businesses, including those served through our channel partners. This portfolio includes a suite of services to help clients manage hybrid workforces, including cost effective and secure printing devices along with apps and software tools that enable work from anywhere, cloud server-enabled fleet management, security and automation software and remote customer support. </w:t>
      </w:r>
      <w:r>
        <w:rPr>
          <w:rFonts w:ascii="Arial" w:cs="Arial" w:eastAsia="Arial" w:hAnsi="Arial"/>
          <w:sz w:val="18"/>
          <w:szCs w:val="18"/>
          <w:b w:val="1"/>
          <w:bCs w:val="1"/>
          <w:color w:val="DA2031"/>
        </w:rPr>
        <w:t>Xerox® Workflow Central</w:t>
      </w:r>
      <w:r>
        <w:rPr>
          <w:rFonts w:ascii="Arial" w:cs="Arial" w:eastAsia="Arial" w:hAnsi="Arial"/>
          <w:sz w:val="18"/>
          <w:szCs w:val="18"/>
          <w:b w:val="1"/>
          <w:bCs w:val="1"/>
          <w:color w:val="000000"/>
        </w:rPr>
        <w:t xml:space="preserve"> extends the document workflow solutions available through our ConnectKey® technologies to all devices, including PCs and smartphones, for easier access to workflow solutions in hybrid workplace environments. </w:t>
      </w:r>
      <w:r>
        <w:rPr>
          <w:rFonts w:ascii="Arial" w:cs="Arial" w:eastAsia="Arial" w:hAnsi="Arial"/>
          <w:sz w:val="18"/>
          <w:szCs w:val="18"/>
          <w:b w:val="1"/>
          <w:bCs w:val="1"/>
          <w:color w:val="DA2031"/>
        </w:rPr>
        <w:t>Xerox® Digital Hub and Cloud Print</w:t>
      </w:r>
      <w:r>
        <w:rPr>
          <w:rFonts w:ascii="Arial" w:cs="Arial" w:eastAsia="Arial" w:hAnsi="Arial"/>
          <w:sz w:val="18"/>
          <w:szCs w:val="18"/>
          <w:b w:val="1"/>
          <w:bCs w:val="1"/>
          <w:color w:val="000000"/>
        </w:rPr>
        <w:t xml:space="preserve"> services allow customers to submit print jobs from anywhere and leverage our Web2Print portal with on and off-site printing networks to meet their printing or marketing collateral needs on demand.</w:t>
      </w:r>
    </w:p>
    <w:p>
      <w:pPr>
        <w:spacing w:after="0" w:line="54" w:lineRule="exact"/>
        <w:rPr>
          <w:rFonts w:ascii="Arial" w:cs="Arial" w:eastAsia="Arial" w:hAnsi="Arial"/>
          <w:sz w:val="18"/>
          <w:szCs w:val="18"/>
          <w:b w:val="1"/>
          <w:bCs w:val="1"/>
          <w:color w:val="DA2031"/>
        </w:rPr>
      </w:pPr>
    </w:p>
    <w:p>
      <w:pPr>
        <w:jc w:val="both"/>
        <w:ind w:left="343" w:hanging="343"/>
        <w:spacing w:after="0" w:line="284" w:lineRule="auto"/>
        <w:tabs>
          <w:tab w:leader="none" w:pos="343" w:val="left"/>
        </w:tabs>
        <w:numPr>
          <w:ilvl w:val="0"/>
          <w:numId w:val="6"/>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Capture &amp; Content Services (CCS) </w:t>
      </w:r>
      <w:r>
        <w:rPr>
          <w:rFonts w:ascii="Arial" w:cs="Arial" w:eastAsia="Arial" w:hAnsi="Arial"/>
          <w:sz w:val="18"/>
          <w:szCs w:val="18"/>
          <w:b w:val="1"/>
          <w:bCs w:val="1"/>
          <w:color w:val="000000"/>
        </w:rPr>
        <w:t>automates the extraction and integration of unstructured data, enhancing</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business efficiency. Using AI, RPA, and machine learning, we classify, extract, and process critical data from physical and digital documents. Our secure, cloud-based platform streamlines operations, reduces costs, and ensures compliance across key business functions. By transforming document-first workflows into data-driven processes, we help organizations unlock actionable insights and improve decision-making.</w:t>
      </w:r>
    </w:p>
    <w:p>
      <w:pPr>
        <w:spacing w:after="0" w:line="200" w:lineRule="exact"/>
        <w:rPr>
          <w:sz w:val="20"/>
          <w:szCs w:val="20"/>
          <w:color w:val="auto"/>
        </w:rPr>
      </w:pPr>
    </w:p>
    <w:p>
      <w:pPr>
        <w:spacing w:after="0" w:line="246"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3</w:t>
      </w:r>
    </w:p>
    <w:p>
      <w:pPr>
        <w:sectPr>
          <w:pgSz w:w="11880" w:h="15480" w:orient="portrait"/>
          <w:cols w:equalWidth="0" w:num="1">
            <w:col w:w="10043"/>
          </w:cols>
          <w:pgMar w:left="877" w:top="686" w:right="960" w:bottom="0" w:gutter="0" w:footer="0" w:header="0"/>
        </w:sectPr>
      </w:pPr>
    </w:p>
    <w:bookmarkStart w:id="13" w:name="page14"/>
    <w:bookmarkEnd w:id="13"/>
    <w:p>
      <w:pPr>
        <w:jc w:val="both"/>
        <w:ind w:left="343" w:hanging="343"/>
        <w:spacing w:after="0" w:line="262" w:lineRule="auto"/>
        <w:tabs>
          <w:tab w:leader="none" w:pos="343" w:val="left"/>
        </w:tabs>
        <w:numPr>
          <w:ilvl w:val="0"/>
          <w:numId w:val="7"/>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Customer Engagement Services (CES) </w:t>
      </w:r>
      <w:r>
        <w:rPr>
          <w:rFonts w:ascii="Arial" w:cs="Arial" w:eastAsia="Arial" w:hAnsi="Arial"/>
          <w:sz w:val="19"/>
          <w:szCs w:val="19"/>
          <w:b w:val="1"/>
          <w:bCs w:val="1"/>
          <w:color w:val="000000"/>
        </w:rPr>
        <w:t>enables clients to design, produce, and deliver printed</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communications with speed, security, and flexibility. It brings Xerox technology, software, and services to support print-on-demand and transactional print, as well as web-to-print and outsourced print production. This offer can also include outsourced onsite print operations and print shop management, helping organizations streamline workflows, improve turnaround times, and ensure consistent quality and compliance across locations. This also includes helping customers with optimizing postage and delivery of produced materials including delivering output in digital format (e.g., PDF).</w:t>
      </w:r>
    </w:p>
    <w:p>
      <w:pPr>
        <w:spacing w:after="0" w:line="56" w:lineRule="exact"/>
        <w:rPr>
          <w:rFonts w:ascii="Arial" w:cs="Arial" w:eastAsia="Arial" w:hAnsi="Arial"/>
          <w:sz w:val="19"/>
          <w:szCs w:val="19"/>
          <w:b w:val="1"/>
          <w:bCs w:val="1"/>
          <w:color w:val="DA2031"/>
        </w:rPr>
      </w:pPr>
    </w:p>
    <w:p>
      <w:pPr>
        <w:jc w:val="both"/>
        <w:ind w:left="343" w:hanging="343"/>
        <w:spacing w:after="0" w:line="281" w:lineRule="auto"/>
        <w:tabs>
          <w:tab w:leader="none" w:pos="343" w:val="left"/>
        </w:tabs>
        <w:numPr>
          <w:ilvl w:val="0"/>
          <w:numId w:val="7"/>
        </w:numPr>
        <w:rPr>
          <w:rFonts w:ascii="Arial" w:cs="Arial" w:eastAsia="Arial" w:hAnsi="Arial"/>
          <w:sz w:val="18"/>
          <w:szCs w:val="18"/>
          <w:b w:val="1"/>
          <w:bCs w:val="1"/>
          <w:color w:val="EE2724"/>
        </w:rPr>
      </w:pPr>
      <w:r>
        <w:rPr>
          <w:rFonts w:ascii="Arial" w:cs="Arial" w:eastAsia="Arial" w:hAnsi="Arial"/>
          <w:sz w:val="18"/>
          <w:szCs w:val="18"/>
          <w:b w:val="1"/>
          <w:bCs w:val="1"/>
          <w:color w:val="DA2031"/>
        </w:rPr>
        <w:t xml:space="preserve">Customer Communication Management (CCM) </w:t>
      </w:r>
      <w:r>
        <w:rPr>
          <w:rFonts w:ascii="Arial" w:cs="Arial" w:eastAsia="Arial" w:hAnsi="Arial"/>
          <w:sz w:val="18"/>
          <w:szCs w:val="18"/>
          <w:b w:val="1"/>
          <w:bCs w:val="1"/>
          <w:color w:val="000000"/>
        </w:rPr>
        <w:t>enables organizations to create, manage, and orchestrate</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personalized, compliant customer communications across channels as defined by the CCM industry. It integrates data, templates, business rules, and approval/governance workflows to produce consistent, targeted communication across print and digital touchpoints. It also supports campaigns and “communications on demand” use cases—leveraging solutions such as Go Inspire—to help clients deliver timely, relevant messages that improve customer experience while maintaining control, security, and brand consistency.</w:t>
      </w:r>
    </w:p>
    <w:p>
      <w:pPr>
        <w:spacing w:after="0" w:line="40" w:lineRule="exact"/>
        <w:rPr>
          <w:sz w:val="20"/>
          <w:szCs w:val="20"/>
          <w:color w:val="auto"/>
        </w:rPr>
      </w:pPr>
    </w:p>
    <w:p>
      <w:pPr>
        <w:jc w:val="both"/>
        <w:ind w:left="3"/>
        <w:spacing w:after="0" w:line="277" w:lineRule="auto"/>
        <w:rPr>
          <w:sz w:val="20"/>
          <w:szCs w:val="20"/>
          <w:color w:val="auto"/>
        </w:rPr>
      </w:pPr>
      <w:r>
        <w:rPr>
          <w:rFonts w:ascii="Arial" w:cs="Arial" w:eastAsia="Arial" w:hAnsi="Arial"/>
          <w:sz w:val="19"/>
          <w:szCs w:val="19"/>
          <w:b w:val="1"/>
          <w:bCs w:val="1"/>
          <w:color w:val="DA2031"/>
        </w:rPr>
        <w:t xml:space="preserve">XFS </w:t>
      </w:r>
      <w:r>
        <w:rPr>
          <w:rFonts w:ascii="Arial" w:cs="Arial" w:eastAsia="Arial" w:hAnsi="Arial"/>
          <w:sz w:val="19"/>
          <w:szCs w:val="19"/>
          <w:b w:val="1"/>
          <w:bCs w:val="1"/>
          <w:color w:val="000000"/>
        </w:rPr>
        <w:t>is a global financing solutions business and currently offers lease financing for direct channel customer</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purchases of Xerox equipment and solutions through bundled lease agreements and lease financing to end-user customers who purchase Xerox equipment and solutions through our indirect channels.</w:t>
      </w:r>
    </w:p>
    <w:p>
      <w:pPr>
        <w:spacing w:after="0" w:line="39" w:lineRule="exact"/>
        <w:rPr>
          <w:sz w:val="20"/>
          <w:szCs w:val="20"/>
          <w:color w:val="auto"/>
        </w:rPr>
      </w:pPr>
    </w:p>
    <w:p>
      <w:pPr>
        <w:jc w:val="both"/>
        <w:ind w:left="3"/>
        <w:spacing w:after="0" w:line="270" w:lineRule="auto"/>
        <w:rPr>
          <w:sz w:val="20"/>
          <w:szCs w:val="20"/>
          <w:color w:val="auto"/>
        </w:rPr>
      </w:pPr>
      <w:r>
        <w:rPr>
          <w:rFonts w:ascii="Arial" w:cs="Arial" w:eastAsia="Arial" w:hAnsi="Arial"/>
          <w:sz w:val="19"/>
          <w:szCs w:val="19"/>
          <w:b w:val="1"/>
          <w:bCs w:val="1"/>
          <w:color w:val="DA2031"/>
        </w:rPr>
        <w:t xml:space="preserve">IT Solutions </w:t>
      </w:r>
      <w:r>
        <w:rPr>
          <w:rFonts w:ascii="Arial" w:cs="Arial" w:eastAsia="Arial" w:hAnsi="Arial"/>
          <w:sz w:val="19"/>
          <w:szCs w:val="19"/>
          <w:b w:val="1"/>
          <w:bCs w:val="1"/>
          <w:color w:val="000000"/>
        </w:rPr>
        <w:t>provides clients of all sizes integrated IT infrastructure solutions, delivering business outcomes through</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w:t>
      </w:r>
    </w:p>
    <w:p>
      <w:pPr>
        <w:spacing w:after="0" w:line="45" w:lineRule="exact"/>
        <w:rPr>
          <w:sz w:val="20"/>
          <w:szCs w:val="20"/>
          <w:color w:val="auto"/>
        </w:rPr>
      </w:pPr>
    </w:p>
    <w:p>
      <w:pPr>
        <w:jc w:val="both"/>
        <w:ind w:left="343" w:hanging="343"/>
        <w:spacing w:after="0" w:line="266" w:lineRule="auto"/>
        <w:tabs>
          <w:tab w:leader="none" w:pos="343" w:val="left"/>
        </w:tabs>
        <w:numPr>
          <w:ilvl w:val="0"/>
          <w:numId w:val="8"/>
        </w:numPr>
        <w:rPr>
          <w:rFonts w:ascii="Arial" w:cs="Arial" w:eastAsia="Arial" w:hAnsi="Arial"/>
          <w:sz w:val="19"/>
          <w:szCs w:val="19"/>
          <w:b w:val="1"/>
          <w:bCs w:val="1"/>
          <w:color w:val="EE2724"/>
        </w:rPr>
      </w:pPr>
      <w:r>
        <w:rPr>
          <w:rFonts w:ascii="Arial" w:cs="Arial" w:eastAsia="Arial" w:hAnsi="Arial"/>
          <w:sz w:val="19"/>
          <w:szCs w:val="19"/>
          <w:b w:val="1"/>
          <w:bCs w:val="1"/>
          <w:color w:val="DA2031"/>
        </w:rPr>
        <w:t xml:space="preserve">Device Lifecycle Solutions </w:t>
      </w:r>
      <w:r>
        <w:rPr>
          <w:rFonts w:ascii="Arial" w:cs="Arial" w:eastAsia="Arial" w:hAnsi="Arial"/>
          <w:sz w:val="19"/>
          <w:szCs w:val="19"/>
          <w:b w:val="1"/>
          <w:bCs w:val="1"/>
          <w:color w:val="000000"/>
        </w:rPr>
        <w:t>provides end-to-end device lifecycle management services, including procurement,</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configuration and imaging, deployment, asset tracking, warranty and break/fix coordination, refresh planning, and secure data sanitization and disposition. These services are designed to improve workforce productivity, enhance asset visibility, reduce operational complexity, and support data security and regulatory compliance throughout the lifecycle of client IT assets.</w:t>
      </w:r>
    </w:p>
    <w:p>
      <w:pPr>
        <w:spacing w:after="0" w:line="50" w:lineRule="exact"/>
        <w:rPr>
          <w:rFonts w:ascii="Arial" w:cs="Arial" w:eastAsia="Arial" w:hAnsi="Arial"/>
          <w:sz w:val="19"/>
          <w:szCs w:val="19"/>
          <w:b w:val="1"/>
          <w:bCs w:val="1"/>
          <w:color w:val="EE2724"/>
        </w:rPr>
      </w:pPr>
    </w:p>
    <w:p>
      <w:pPr>
        <w:jc w:val="both"/>
        <w:ind w:left="343" w:hanging="343"/>
        <w:spacing w:after="0" w:line="266" w:lineRule="auto"/>
        <w:tabs>
          <w:tab w:leader="none" w:pos="343" w:val="left"/>
        </w:tabs>
        <w:numPr>
          <w:ilvl w:val="0"/>
          <w:numId w:val="8"/>
        </w:numPr>
        <w:rPr>
          <w:rFonts w:ascii="Arial" w:cs="Arial" w:eastAsia="Arial" w:hAnsi="Arial"/>
          <w:sz w:val="19"/>
          <w:szCs w:val="19"/>
          <w:b w:val="1"/>
          <w:bCs w:val="1"/>
          <w:color w:val="EE2724"/>
        </w:rPr>
      </w:pPr>
      <w:r>
        <w:rPr>
          <w:rFonts w:ascii="Arial" w:cs="Arial" w:eastAsia="Arial" w:hAnsi="Arial"/>
          <w:sz w:val="19"/>
          <w:szCs w:val="19"/>
          <w:b w:val="1"/>
          <w:bCs w:val="1"/>
          <w:color w:val="DA2031"/>
        </w:rPr>
        <w:t xml:space="preserve">Managed IT Services </w:t>
      </w:r>
      <w:r>
        <w:rPr>
          <w:rFonts w:ascii="Arial" w:cs="Arial" w:eastAsia="Arial" w:hAnsi="Arial"/>
          <w:sz w:val="19"/>
          <w:szCs w:val="19"/>
          <w:b w:val="1"/>
          <w:bCs w:val="1"/>
          <w:color w:val="000000"/>
        </w:rPr>
        <w:t>delivers managed IT services that include help desk support, remote and on-site technical</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services, infrastructure monitoring, patch management, network administration, backup and disaster recovery support, and strategic IT advisory services. Our offerings are structured under defined service level agreements and are intended to improve system availability, strengthen cybersecurity posture, manage IT costs, and align technology operations with clients’ business objectives.</w:t>
      </w:r>
    </w:p>
    <w:p>
      <w:pPr>
        <w:spacing w:after="0" w:line="50" w:lineRule="exact"/>
        <w:rPr>
          <w:rFonts w:ascii="Arial" w:cs="Arial" w:eastAsia="Arial" w:hAnsi="Arial"/>
          <w:sz w:val="19"/>
          <w:szCs w:val="19"/>
          <w:b w:val="1"/>
          <w:bCs w:val="1"/>
          <w:color w:val="EE2724"/>
        </w:rPr>
      </w:pPr>
    </w:p>
    <w:p>
      <w:pPr>
        <w:jc w:val="both"/>
        <w:ind w:left="343" w:hanging="343"/>
        <w:spacing w:after="0" w:line="266" w:lineRule="auto"/>
        <w:tabs>
          <w:tab w:leader="none" w:pos="343" w:val="left"/>
        </w:tabs>
        <w:numPr>
          <w:ilvl w:val="0"/>
          <w:numId w:val="8"/>
        </w:numPr>
        <w:rPr>
          <w:rFonts w:ascii="Arial" w:cs="Arial" w:eastAsia="Arial" w:hAnsi="Arial"/>
          <w:sz w:val="19"/>
          <w:szCs w:val="19"/>
          <w:b w:val="1"/>
          <w:bCs w:val="1"/>
          <w:color w:val="EE2724"/>
        </w:rPr>
      </w:pPr>
      <w:r>
        <w:rPr>
          <w:rFonts w:ascii="Arial" w:cs="Arial" w:eastAsia="Arial" w:hAnsi="Arial"/>
          <w:sz w:val="19"/>
          <w:szCs w:val="19"/>
          <w:b w:val="1"/>
          <w:bCs w:val="1"/>
          <w:color w:val="DA2031"/>
        </w:rPr>
        <w:t xml:space="preserve">Network and Security Solutions </w:t>
      </w:r>
      <w:r>
        <w:rPr>
          <w:rFonts w:ascii="Arial" w:cs="Arial" w:eastAsia="Arial" w:hAnsi="Arial"/>
          <w:sz w:val="19"/>
          <w:szCs w:val="19"/>
          <w:b w:val="1"/>
          <w:bCs w:val="1"/>
          <w:color w:val="000000"/>
        </w:rPr>
        <w:t>offers network and security solutions encompassing network design and</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implementation, firewall and VPN deployment, endpoint protection, threat detection and response, vulnerability assessments, and continuous monitoring. These services are designed to enhance infrastructure resilience, safeguard sensitive information, mitigate cybersecurity risks, and support compliance with applicable regulatory requirements.</w:t>
      </w:r>
    </w:p>
    <w:p>
      <w:pPr>
        <w:spacing w:after="0" w:line="50" w:lineRule="exact"/>
        <w:rPr>
          <w:rFonts w:ascii="Arial" w:cs="Arial" w:eastAsia="Arial" w:hAnsi="Arial"/>
          <w:sz w:val="19"/>
          <w:szCs w:val="19"/>
          <w:b w:val="1"/>
          <w:bCs w:val="1"/>
          <w:color w:val="EE2724"/>
        </w:rPr>
      </w:pPr>
    </w:p>
    <w:p>
      <w:pPr>
        <w:jc w:val="both"/>
        <w:ind w:left="343" w:hanging="343"/>
        <w:spacing w:after="0" w:line="262" w:lineRule="auto"/>
        <w:tabs>
          <w:tab w:leader="none" w:pos="343" w:val="left"/>
        </w:tabs>
        <w:numPr>
          <w:ilvl w:val="0"/>
          <w:numId w:val="8"/>
        </w:numPr>
        <w:rPr>
          <w:rFonts w:ascii="Arial" w:cs="Arial" w:eastAsia="Arial" w:hAnsi="Arial"/>
          <w:sz w:val="19"/>
          <w:szCs w:val="19"/>
          <w:b w:val="1"/>
          <w:bCs w:val="1"/>
          <w:color w:val="EE2724"/>
        </w:rPr>
      </w:pPr>
      <w:r>
        <w:rPr>
          <w:rFonts w:ascii="Arial" w:cs="Arial" w:eastAsia="Arial" w:hAnsi="Arial"/>
          <w:sz w:val="19"/>
          <w:szCs w:val="19"/>
          <w:b w:val="1"/>
          <w:bCs w:val="1"/>
          <w:color w:val="DA2031"/>
        </w:rPr>
        <w:t xml:space="preserve">Infrastructure and Cloud Solutions </w:t>
      </w:r>
      <w:r>
        <w:rPr>
          <w:rFonts w:ascii="Arial" w:cs="Arial" w:eastAsia="Arial" w:hAnsi="Arial"/>
          <w:sz w:val="19"/>
          <w:szCs w:val="19"/>
          <w:b w:val="1"/>
          <w:bCs w:val="1"/>
          <w:color w:val="000000"/>
        </w:rPr>
        <w:t>provides infrastructure and cloud solutions that support the modernization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and scalability of IT environments, including server and storage design, virtualization, hybrid and multi-cloud architecture, migration services, and ongoing monitoring and optimization. As an authorized Microsoft Cloud Solution Provider, we facilitate the licensing, deployment, billing, and support of Microsoft 365, Azure, and related cloud services, offering flexible licensing options and consolidated management. These solutions are intended to enhance operational agility, support secure and cost-effective cloud adoption, and enable clients to adapt to evolving technology and capacity requirements.</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3" w:hanging="343"/>
        <w:spacing w:after="0"/>
        <w:tabs>
          <w:tab w:leader="none" w:pos="343"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revenues from service, maintenance and rentals. IT Solutions and digital services are not included in managed print services.</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Geographic Information</w:t>
      </w:r>
    </w:p>
    <w:p>
      <w:pPr>
        <w:spacing w:after="0" w:line="137"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Overall, approximately 43% of our revenue is generated by customers outside the U.S. Additional details can be found in Note 4 - Segment and Geographic Area Reporting in the Consolidated Financial Statements.</w:t>
      </w:r>
    </w:p>
    <w:p>
      <w:pPr>
        <w:spacing w:after="0" w:line="33"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Patents, Trademarks and Licenses</w:t>
      </w:r>
    </w:p>
    <w:p>
      <w:pPr>
        <w:spacing w:after="0" w:line="137" w:lineRule="exact"/>
        <w:rPr>
          <w:sz w:val="20"/>
          <w:szCs w:val="20"/>
          <w:color w:val="auto"/>
        </w:rPr>
      </w:pPr>
    </w:p>
    <w:p>
      <w:pPr>
        <w:jc w:val="both"/>
        <w:ind w:left="3"/>
        <w:spacing w:after="0" w:line="249" w:lineRule="auto"/>
        <w:rPr>
          <w:sz w:val="20"/>
          <w:szCs w:val="20"/>
          <w:color w:val="auto"/>
        </w:rPr>
      </w:pPr>
      <w:r>
        <w:rPr>
          <w:rFonts w:ascii="Arial" w:cs="Arial" w:eastAsia="Arial" w:hAnsi="Arial"/>
          <w:sz w:val="19"/>
          <w:szCs w:val="19"/>
          <w:b w:val="1"/>
          <w:bCs w:val="1"/>
          <w:color w:val="auto"/>
        </w:rPr>
        <w:t>In 2025, Xerox and its subsidiaries were awarded 163 U.S. utility and design patents. Our patent portfolio evolves as new patents are awarded to us and older patents expire. As of December 31, 2025, Xerox held 4,153 U.S. utility and design patents. These patents expire at various dates up to 20 years or more from their original filing dates. While we believe that our portfolio of patents and applications has value, in general no single patent is essential to our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4</w:t>
      </w:r>
    </w:p>
    <w:p>
      <w:pPr>
        <w:sectPr>
          <w:pgSz w:w="11880" w:h="15480" w:orient="portrait"/>
          <w:cols w:equalWidth="0" w:num="1">
            <w:col w:w="10043"/>
          </w:cols>
          <w:pgMar w:left="877" w:top="692" w:right="960" w:bottom="0" w:gutter="0" w:footer="0" w:header="0"/>
        </w:sectPr>
      </w:pPr>
    </w:p>
    <w:bookmarkStart w:id="14" w:name="page15"/>
    <w:bookmarkEnd w:id="14"/>
    <w:p>
      <w:pPr>
        <w:jc w:val="both"/>
        <w:spacing w:after="0" w:line="252" w:lineRule="auto"/>
        <w:rPr>
          <w:sz w:val="20"/>
          <w:szCs w:val="20"/>
          <w:color w:val="auto"/>
        </w:rPr>
      </w:pPr>
      <w:r>
        <w:rPr>
          <w:rFonts w:ascii="Arial" w:cs="Arial" w:eastAsia="Arial" w:hAnsi="Arial"/>
          <w:sz w:val="19"/>
          <w:szCs w:val="19"/>
          <w:b w:val="1"/>
          <w:bCs w:val="1"/>
          <w:color w:val="auto"/>
        </w:rPr>
        <w:t>In 2025, we were party to multiple patent-related agreements in which we sold, licensed or assigned our patents to others in return for revenue and/or access to their patents or to further our business goals. Most patent licenses expire concurrently with the expiration of the last patent identified in the license or after a specified term of years. These agreements vary in subject matter, scope, financials, significance, and duration.</w:t>
      </w:r>
    </w:p>
    <w:p>
      <w:pPr>
        <w:spacing w:after="0" w:line="68"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color w:val="auto"/>
        </w:rPr>
        <w:t>As of December 31, 2025, we own 159 trademarks in the U.S., either registered or applied for. These trademarks have a perpetual life, subject to periodic renewal requirements. We vigorously enforce and protect our trademarks.</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In February 2026, Xerox Corporation entered into a joint venture arrangement with certain investors including certain funds and accounts managed by Angelo, Gordon &amp; Co., L.P. (collectively, TPG), under which Xerox Corporation contributed certain intellectual property and related assets, including the trademarks in respect of the Xerox brand. Refer to Note 26 – Subsequent Events in the Consolidated Financial Statements for additional information regarding the joint venture arrangement.</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Corporate Social Responsibility (CSR)</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The </w:t>
      </w:r>
      <w:r>
        <w:rPr>
          <w:rFonts w:ascii="Arial" w:cs="Arial" w:eastAsia="Arial" w:hAnsi="Arial"/>
          <w:sz w:val="19"/>
          <w:szCs w:val="19"/>
          <w:b w:val="1"/>
          <w:bCs w:val="1"/>
          <w:color w:val="DA2031"/>
        </w:rPr>
        <w:t>Xerox 2025 Corporate Social Responsibility Report</w:t>
      </w:r>
      <w:r>
        <w:rPr>
          <w:rFonts w:ascii="Arial" w:cs="Arial" w:eastAsia="Arial" w:hAnsi="Arial"/>
          <w:sz w:val="19"/>
          <w:szCs w:val="19"/>
          <w:b w:val="1"/>
          <w:bCs w:val="1"/>
          <w:color w:val="auto"/>
        </w:rPr>
        <w:t xml:space="preserve"> describes our management approach related to CSR. Our work aligns with the United Nations Sustainable Development Goals (SDGs), which provide a framework to end poverty, protect the planet and improve the lives and prospects of everyone, everywhere. To ensure we are responsive to all stakeholders, Xerox has also been reporting in accordance with the Sustainability Accounting Standards Board (SASB) and the Global Reporting Initiative (GRI). (The 2025 CSR Report, SASB report, and GRI report are accessible at www.xerox.com/CSR. The content of our website is not incorporated by reference in this combined Form 10-K unless expressly noted.)</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Environment</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Xerox's net zero goal is 2040 and climate change-related risks and opportunities are integrated into our Enterprise Risk Management. We share our roadmap to reach net zero in our 2025 CSR Report. Our roadmap covers our full value chain and focuses on improving processes and energy efficiency as well as designing products to help our clients meet their goals. We have set interim targets in line with science-based global warming guidelines, which are also validated and approved by the Science Based Targets initiative (SBTi). Our GHG emissions are third-party assured in accordance with the International Organization for Standardization (ISO) 14064-3:2019. We report progress towards our targets within our CSR report and progress summary reports. In 2025, Xerox was named to CDP’s Annual "A List” for climate change transparency and performance. CDP is a nonprofit organization that runs the global disclosure system for investors, companies, and regions to manage their environmental impacts.</w:t>
      </w:r>
    </w:p>
    <w:p>
      <w:pPr>
        <w:spacing w:after="0" w:line="6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Circular economy initiatives remain a part of our business strategy. We continued to expand collection and waste reduction programs, while also bringing to market additional remanufactured and refurbished product offerings. Based on data from 2024 (the latest full year data is available), approximately 97% of spent supplies, equipment, and parts returned through the Xerox Supplies Recycling Programs were recycled, reused or remanufactured. We continue to make progress towards increasing the post-consumer recycled content in our eco-label eligible devices.</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Human Capital</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Our Employees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As of December 31, 2025, we had approximately 22,900 employees, an increase of approximately 6,100, or 36.3%, since December 31, 2024. The increase primarily relates to the Lexmark Acquisition, partially offset by the impact of the Company's Reinvention, which includes the effects of workforce reduction decisions.</w:t>
      </w:r>
    </w:p>
    <w:p>
      <w:pPr>
        <w:spacing w:after="0" w:line="4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On a geographic basis, at December 31, 2025, approximately 9,400 employees were located in the U.S. and approximately 13,500 employees were located outside the U.S. We had approximately 10,100 employees, or approximately 45% of our total employees, engaged in providing services to customers (direct service and managed services) and approximately 2,400 employees engaged in direct sales.</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Approximately 15% of our employees are represented by unions or similar organizations, such as worker’s councils with approximately 90% located outside the U.S. As of December 31, 2025, approximately 30% of our employees were women and approximately 30% of our U.S. employees self-identified as diverse.</w:t>
      </w:r>
    </w:p>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Following the Lexmark Acquisition, the Company began the process of integrating the legacy Xerox and Lexmark organizations. In October 2025, the Company announced a targeted workforce reduction, with actions to be taken across all levels and areas of the combined organization. Reductions are subject to formal consultation with local works councils and employee representative bodies, where applicable, and we will fully comply with all required notifications, including U.S. state WARN laws, at the appropriate time. We believe the decision to reduce our workforce was a difficult but necessary step to accelerate our Reinvention journey and position Xerox for long-term, profitable, and sustainable growth. We are committed to providing transition support for affected employees.</w:t>
      </w:r>
    </w:p>
    <w:p>
      <w:pPr>
        <w:spacing w:after="0" w:line="358" w:lineRule="exact"/>
        <w:rPr>
          <w:sz w:val="20"/>
          <w:szCs w:val="20"/>
          <w:color w:val="auto"/>
        </w:rPr>
      </w:pPr>
    </w:p>
    <w:p>
      <w:pPr>
        <w:jc w:val="center"/>
        <w:ind w:right="-7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5</w:t>
      </w:r>
    </w:p>
    <w:p>
      <w:pPr>
        <w:sectPr>
          <w:pgSz w:w="11880" w:h="15480" w:orient="portrait"/>
          <w:cols w:equalWidth="0" w:num="1">
            <w:col w:w="10040"/>
          </w:cols>
          <w:pgMar w:left="880" w:top="693" w:right="960" w:bottom="0" w:gutter="0" w:footer="0" w:header="0"/>
        </w:sectPr>
      </w:pPr>
    </w:p>
    <w:bookmarkStart w:id="15" w:name="page16"/>
    <w:bookmarkEnd w:id="15"/>
    <w:p>
      <w:pPr>
        <w:jc w:val="both"/>
        <w:ind w:left="3"/>
        <w:spacing w:after="0" w:line="299" w:lineRule="auto"/>
        <w:rPr>
          <w:sz w:val="20"/>
          <w:szCs w:val="20"/>
          <w:color w:val="auto"/>
        </w:rPr>
      </w:pPr>
      <w:r>
        <w:rPr>
          <w:rFonts w:ascii="Arial" w:cs="Arial" w:eastAsia="Arial" w:hAnsi="Arial"/>
          <w:sz w:val="19"/>
          <w:szCs w:val="19"/>
          <w:b w:val="1"/>
          <w:bCs w:val="1"/>
          <w:color w:val="auto"/>
        </w:rPr>
        <w:t xml:space="preserve">Refer to the </w:t>
      </w:r>
      <w:r>
        <w:rPr>
          <w:rFonts w:ascii="Arial" w:cs="Arial" w:eastAsia="Arial" w:hAnsi="Arial"/>
          <w:sz w:val="19"/>
          <w:szCs w:val="19"/>
          <w:b w:val="1"/>
          <w:bCs w:val="1"/>
          <w:color w:val="DA2031"/>
        </w:rPr>
        <w:t>Recent Changes and Developments</w:t>
      </w:r>
      <w:r>
        <w:rPr>
          <w:rFonts w:ascii="Arial" w:cs="Arial" w:eastAsia="Arial" w:hAnsi="Arial"/>
          <w:sz w:val="19"/>
          <w:szCs w:val="19"/>
          <w:b w:val="1"/>
          <w:bCs w:val="1"/>
          <w:color w:val="auto"/>
        </w:rPr>
        <w:t xml:space="preserve"> section above for additional information the Lexmark Acquisition of Lexmark.</w:t>
      </w:r>
    </w:p>
    <w:p>
      <w:pPr>
        <w:spacing w:after="0" w:line="1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DA2031"/>
        </w:rPr>
        <w:t>Employee Safety</w:t>
      </w:r>
    </w:p>
    <w:p>
      <w:pPr>
        <w:spacing w:after="0" w:line="112" w:lineRule="exact"/>
        <w:rPr>
          <w:sz w:val="20"/>
          <w:szCs w:val="20"/>
          <w:color w:val="auto"/>
        </w:rPr>
      </w:pPr>
    </w:p>
    <w:p>
      <w:pPr>
        <w:jc w:val="both"/>
        <w:ind w:left="3"/>
        <w:spacing w:after="0" w:line="252" w:lineRule="auto"/>
        <w:rPr>
          <w:sz w:val="20"/>
          <w:szCs w:val="20"/>
          <w:color w:val="auto"/>
        </w:rPr>
      </w:pPr>
      <w:r>
        <w:rPr>
          <w:rFonts w:ascii="Arial" w:cs="Arial" w:eastAsia="Arial" w:hAnsi="Arial"/>
          <w:sz w:val="19"/>
          <w:szCs w:val="19"/>
          <w:b w:val="1"/>
          <w:bCs w:val="1"/>
          <w:color w:val="auto"/>
        </w:rPr>
        <w:t>At Xerox, we are committed to maintaining a safe workplace for our employees. We use an incident reporting process, regular safety inspections, and hazard analyses to identify opportunities for reducing or preventing incidents. To further promote safety awareness, we implement site-specific hazard management programs, share off-the-job safety information, and communicate proactively about safety concerns.</w:t>
      </w:r>
    </w:p>
    <w:p>
      <w:pPr>
        <w:spacing w:after="0" w:line="6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DA2031"/>
        </w:rPr>
        <w:t>Engagement and Talent Development</w:t>
      </w:r>
    </w:p>
    <w:p>
      <w:pPr>
        <w:spacing w:after="0" w:line="131"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b w:val="1"/>
          <w:bCs w:val="1"/>
          <w:color w:val="auto"/>
        </w:rPr>
        <w:t>Xerox remains committed to continuously revitalizing our employee experience and supporting employees through the shift to our new operating model, which is driving our Reinvention and Xerox's transformation. To facilitate these ongoing changes, we began strengthening our change management capabilities by creating a proactive, consistent global approach, upskilling our people, and enabling new ways of working. We improved our ability to make data-driven decisions and streamlined various processes to unlock our people's potential.</w:t>
      </w:r>
    </w:p>
    <w:p>
      <w:pPr>
        <w:spacing w:after="0" w:line="70" w:lineRule="exact"/>
        <w:rPr>
          <w:sz w:val="20"/>
          <w:szCs w:val="20"/>
          <w:color w:val="auto"/>
        </w:rPr>
      </w:pPr>
    </w:p>
    <w:p>
      <w:pPr>
        <w:jc w:val="both"/>
        <w:ind w:left="3"/>
        <w:spacing w:after="0" w:line="276" w:lineRule="auto"/>
        <w:rPr>
          <w:sz w:val="20"/>
          <w:szCs w:val="20"/>
          <w:color w:val="auto"/>
        </w:rPr>
      </w:pPr>
      <w:r>
        <w:rPr>
          <w:rFonts w:ascii="Arial" w:cs="Arial" w:eastAsia="Arial" w:hAnsi="Arial"/>
          <w:sz w:val="19"/>
          <w:szCs w:val="19"/>
          <w:b w:val="1"/>
          <w:bCs w:val="1"/>
          <w:color w:val="auto"/>
        </w:rPr>
        <w:t>To support the employee experience, we have enhanced manager enablement resources and strengthened our leadership capability model that help our managers excel. Additionally, we offer other benefits including paid parental leave in the U.S.</w:t>
      </w:r>
    </w:p>
    <w:p>
      <w:pPr>
        <w:spacing w:after="0" w:line="61" w:lineRule="exact"/>
        <w:rPr>
          <w:sz w:val="20"/>
          <w:szCs w:val="20"/>
          <w:color w:val="auto"/>
        </w:rPr>
      </w:pPr>
    </w:p>
    <w:p>
      <w:pPr>
        <w:jc w:val="both"/>
        <w:ind w:left="3"/>
        <w:spacing w:after="0" w:line="269" w:lineRule="auto"/>
        <w:rPr>
          <w:sz w:val="20"/>
          <w:szCs w:val="20"/>
          <w:color w:val="auto"/>
        </w:rPr>
      </w:pPr>
      <w:r>
        <w:rPr>
          <w:rFonts w:ascii="Arial" w:cs="Arial" w:eastAsia="Arial" w:hAnsi="Arial"/>
          <w:sz w:val="19"/>
          <w:szCs w:val="19"/>
          <w:b w:val="1"/>
          <w:bCs w:val="1"/>
          <w:color w:val="auto"/>
        </w:rPr>
        <w:t>We standardized the way employee performance is evaluated. By evolving our performance management processes, we have driven accountability and ensured employees received feedback and coaching to reach their highest potential. With a specific focus on sales performance, we redesigned and simplified our sales compensation plans.</w:t>
      </w:r>
    </w:p>
    <w:p>
      <w:pPr>
        <w:spacing w:after="0" w:line="68" w:lineRule="exact"/>
        <w:rPr>
          <w:sz w:val="20"/>
          <w:szCs w:val="20"/>
          <w:color w:val="auto"/>
        </w:rPr>
      </w:pPr>
    </w:p>
    <w:p>
      <w:pPr>
        <w:jc w:val="both"/>
        <w:ind w:left="3"/>
        <w:spacing w:after="0" w:line="276" w:lineRule="auto"/>
        <w:rPr>
          <w:sz w:val="20"/>
          <w:szCs w:val="20"/>
          <w:color w:val="auto"/>
        </w:rPr>
      </w:pPr>
      <w:r>
        <w:rPr>
          <w:rFonts w:ascii="Arial" w:cs="Arial" w:eastAsia="Arial" w:hAnsi="Arial"/>
          <w:sz w:val="19"/>
          <w:szCs w:val="19"/>
          <w:b w:val="1"/>
          <w:bCs w:val="1"/>
          <w:color w:val="auto"/>
        </w:rPr>
        <w:t>Xerox sponsors numerous corporate development initiatives for targeted populations (i.e., high potentials, emerging technology professionals, and senior leaders, etc.), and corporate processes such as succession planning to ensure that we have a clear leadership pipeline for critical organizational roles.</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DA2031"/>
        </w:rPr>
        <w:t>Total Rewards</w:t>
      </w:r>
    </w:p>
    <w:p>
      <w:pPr>
        <w:spacing w:after="0" w:line="122"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b w:val="1"/>
          <w:bCs w:val="1"/>
          <w:color w:val="auto"/>
        </w:rPr>
        <w:t>Xerox's ability to execute on its strategy depends on attracting, retaining, and motivating a highly productive, global workforce. To support this objective, we offer a comprehensive Total Rewards program that includes compensation, benefits, and work-life programs. These programs are designed to align employee rewards with business performance, promote consistency and fairness, and support the Company’s overall strategy. Our Total Rewards programs are guided by the following principles:</w:t>
      </w:r>
    </w:p>
    <w:p>
      <w:pPr>
        <w:spacing w:after="0" w:line="39" w:lineRule="exact"/>
        <w:rPr>
          <w:sz w:val="20"/>
          <w:szCs w:val="20"/>
          <w:color w:val="auto"/>
        </w:rPr>
      </w:pPr>
    </w:p>
    <w:p>
      <w:pPr>
        <w:ind w:left="343" w:hanging="343"/>
        <w:spacing w:after="0" w:line="267" w:lineRule="auto"/>
        <w:tabs>
          <w:tab w:leader="none" w:pos="343" w:val="left"/>
        </w:tabs>
        <w:numPr>
          <w:ilvl w:val="0"/>
          <w:numId w:val="10"/>
        </w:numPr>
        <w:rPr>
          <w:rFonts w:ascii="Arial" w:cs="Arial" w:eastAsia="Arial" w:hAnsi="Arial"/>
          <w:sz w:val="23"/>
          <w:szCs w:val="23"/>
          <w:b w:val="1"/>
          <w:bCs w:val="1"/>
          <w:color w:val="DA2031"/>
        </w:rPr>
      </w:pPr>
      <w:r>
        <w:rPr>
          <w:rFonts w:ascii="Arial" w:cs="Arial" w:eastAsia="Arial" w:hAnsi="Arial"/>
          <w:sz w:val="19"/>
          <w:szCs w:val="19"/>
          <w:b w:val="1"/>
          <w:bCs w:val="1"/>
          <w:color w:val="DA2031"/>
        </w:rPr>
        <w:t>Drive shareholder value</w:t>
      </w:r>
      <w:r>
        <w:rPr>
          <w:rFonts w:ascii="Arial" w:cs="Arial" w:eastAsia="Arial" w:hAnsi="Arial"/>
          <w:sz w:val="19"/>
          <w:szCs w:val="19"/>
          <w:b w:val="1"/>
          <w:bCs w:val="1"/>
          <w:color w:val="000000"/>
        </w:rPr>
        <w:t>: Align rewards with sustainable performance, operational efficiency, and long-term</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shareholder value.</w:t>
      </w:r>
    </w:p>
    <w:p>
      <w:pPr>
        <w:spacing w:after="0" w:line="21" w:lineRule="exact"/>
        <w:rPr>
          <w:rFonts w:ascii="Arial" w:cs="Arial" w:eastAsia="Arial" w:hAnsi="Arial"/>
          <w:sz w:val="23"/>
          <w:szCs w:val="23"/>
          <w:b w:val="1"/>
          <w:bCs w:val="1"/>
          <w:color w:val="DA2031"/>
        </w:rPr>
      </w:pPr>
    </w:p>
    <w:p>
      <w:pPr>
        <w:ind w:left="343" w:hanging="343"/>
        <w:spacing w:after="0" w:line="267" w:lineRule="auto"/>
        <w:tabs>
          <w:tab w:leader="none" w:pos="343" w:val="left"/>
        </w:tabs>
        <w:numPr>
          <w:ilvl w:val="0"/>
          <w:numId w:val="10"/>
        </w:numPr>
        <w:rPr>
          <w:rFonts w:ascii="Arial" w:cs="Arial" w:eastAsia="Arial" w:hAnsi="Arial"/>
          <w:sz w:val="23"/>
          <w:szCs w:val="23"/>
          <w:b w:val="1"/>
          <w:bCs w:val="1"/>
          <w:color w:val="DA2031"/>
        </w:rPr>
      </w:pPr>
      <w:r>
        <w:rPr>
          <w:rFonts w:ascii="Arial" w:cs="Arial" w:eastAsia="Arial" w:hAnsi="Arial"/>
          <w:sz w:val="19"/>
          <w:szCs w:val="19"/>
          <w:b w:val="1"/>
          <w:bCs w:val="1"/>
          <w:color w:val="DA2031"/>
        </w:rPr>
        <w:t>Reinforce performance alignment</w:t>
      </w:r>
      <w:r>
        <w:rPr>
          <w:rFonts w:ascii="Arial" w:cs="Arial" w:eastAsia="Arial" w:hAnsi="Arial"/>
          <w:sz w:val="19"/>
          <w:szCs w:val="19"/>
          <w:b w:val="1"/>
          <w:bCs w:val="1"/>
          <w:color w:val="000000"/>
        </w:rPr>
        <w:t>: Differentiate rewards based on performance and contributions, with an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emphasis on accountability and results.</w:t>
      </w:r>
    </w:p>
    <w:p>
      <w:pPr>
        <w:spacing w:after="0" w:line="21" w:lineRule="exact"/>
        <w:rPr>
          <w:rFonts w:ascii="Arial" w:cs="Arial" w:eastAsia="Arial" w:hAnsi="Arial"/>
          <w:sz w:val="23"/>
          <w:szCs w:val="23"/>
          <w:b w:val="1"/>
          <w:bCs w:val="1"/>
          <w:color w:val="DA2031"/>
        </w:rPr>
      </w:pPr>
    </w:p>
    <w:p>
      <w:pPr>
        <w:ind w:left="343" w:hanging="343"/>
        <w:spacing w:after="0" w:line="299" w:lineRule="auto"/>
        <w:tabs>
          <w:tab w:leader="none" w:pos="343" w:val="left"/>
        </w:tabs>
        <w:numPr>
          <w:ilvl w:val="0"/>
          <w:numId w:val="10"/>
        </w:numPr>
        <w:rPr>
          <w:rFonts w:ascii="Arial" w:cs="Arial" w:eastAsia="Arial" w:hAnsi="Arial"/>
          <w:sz w:val="23"/>
          <w:szCs w:val="23"/>
          <w:b w:val="1"/>
          <w:bCs w:val="1"/>
          <w:color w:val="DA2031"/>
        </w:rPr>
      </w:pPr>
      <w:r>
        <w:rPr>
          <w:rFonts w:ascii="Arial" w:cs="Arial" w:eastAsia="Arial" w:hAnsi="Arial"/>
          <w:sz w:val="19"/>
          <w:szCs w:val="19"/>
          <w:b w:val="1"/>
          <w:bCs w:val="1"/>
          <w:color w:val="DA2031"/>
        </w:rPr>
        <w:t>Support workforce needs</w:t>
      </w:r>
      <w:r>
        <w:rPr>
          <w:rFonts w:ascii="Arial" w:cs="Arial" w:eastAsia="Arial" w:hAnsi="Arial"/>
          <w:sz w:val="19"/>
          <w:szCs w:val="19"/>
          <w:b w:val="1"/>
          <w:bCs w:val="1"/>
          <w:color w:val="000000"/>
        </w:rPr>
        <w:t>: Maintain competitive and equitable programs that support attraction, retention, and</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engagement of our global workforce.</w:t>
      </w:r>
    </w:p>
    <w:p>
      <w:pPr>
        <w:spacing w:after="0" w:line="46" w:lineRule="exact"/>
        <w:rPr>
          <w:sz w:val="20"/>
          <w:szCs w:val="20"/>
          <w:color w:val="auto"/>
        </w:rPr>
      </w:pPr>
    </w:p>
    <w:p>
      <w:pPr>
        <w:jc w:val="both"/>
        <w:ind w:left="3"/>
        <w:spacing w:after="0" w:line="276" w:lineRule="auto"/>
        <w:rPr>
          <w:sz w:val="20"/>
          <w:szCs w:val="20"/>
          <w:color w:val="auto"/>
        </w:rPr>
      </w:pPr>
      <w:r>
        <w:rPr>
          <w:rFonts w:ascii="Arial" w:cs="Arial" w:eastAsia="Arial" w:hAnsi="Arial"/>
          <w:sz w:val="19"/>
          <w:szCs w:val="19"/>
          <w:b w:val="1"/>
          <w:bCs w:val="1"/>
          <w:color w:val="auto"/>
        </w:rPr>
        <w:t>As with most global companies, our compensation and benefits vary based on employee eligibility, and local practices and regulations. We benchmark our programs to ensure we remain competitive with our peers and the markets we serve, and to maintain alignment with our short-term and long-term business goals.</w:t>
      </w:r>
    </w:p>
    <w:p>
      <w:pPr>
        <w:spacing w:after="0" w:line="61"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b w:val="1"/>
          <w:bCs w:val="1"/>
          <w:color w:val="auto"/>
        </w:rPr>
        <w:t>Our compensation offerings include base pay, as well as short-term and long-term incentive programs. Our short-term programs include: a management incentive plan (MIP) designed to drive Xerox’s annual pay-for-performance culture and incentivize our leaders to help Xerox achieve sustainable growth and profitability; and a sales compensation program that tightly aligns our sales force with business goals. Our Long-Term Incentive (LTI) equity-based programs reinforces alignment of our leaders and key talent with shareholders.</w:t>
      </w:r>
    </w:p>
    <w:p>
      <w:pPr>
        <w:spacing w:after="0" w:line="70" w:lineRule="exact"/>
        <w:rPr>
          <w:sz w:val="20"/>
          <w:szCs w:val="20"/>
          <w:color w:val="auto"/>
        </w:rPr>
      </w:pPr>
    </w:p>
    <w:p>
      <w:pPr>
        <w:jc w:val="both"/>
        <w:ind w:left="3"/>
        <w:spacing w:after="0" w:line="276" w:lineRule="auto"/>
        <w:rPr>
          <w:sz w:val="20"/>
          <w:szCs w:val="20"/>
          <w:color w:val="auto"/>
        </w:rPr>
      </w:pPr>
      <w:r>
        <w:rPr>
          <w:rFonts w:ascii="Arial" w:cs="Arial" w:eastAsia="Arial" w:hAnsi="Arial"/>
          <w:sz w:val="19"/>
          <w:szCs w:val="19"/>
          <w:b w:val="1"/>
          <w:bCs w:val="1"/>
          <w:color w:val="auto"/>
        </w:rPr>
        <w:t>Our benefits offerings provide our employees with choice and flexibility to help them reach their health and financial goals. Our offerings include the following core programs: health, wellness, retirement, paid time off, life and disability insurance, and access to voluntary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6</w:t>
      </w:r>
    </w:p>
    <w:p>
      <w:pPr>
        <w:sectPr>
          <w:pgSz w:w="11880" w:h="15480" w:orient="portrait"/>
          <w:cols w:equalWidth="0" w:num="1">
            <w:col w:w="10043"/>
          </w:cols>
          <w:pgMar w:left="877" w:top="692" w:right="960" w:bottom="0" w:gutter="0" w:footer="0" w:header="0"/>
        </w:sectPr>
      </w:pPr>
    </w:p>
    <w:bookmarkStart w:id="16" w:name="page17"/>
    <w:bookmarkEnd w:id="16"/>
    <w:p>
      <w:pPr>
        <w:ind w:left="3"/>
        <w:spacing w:after="0"/>
        <w:rPr>
          <w:sz w:val="20"/>
          <w:szCs w:val="20"/>
          <w:color w:val="auto"/>
        </w:rPr>
      </w:pPr>
      <w:r>
        <w:rPr>
          <w:rFonts w:ascii="Arial" w:cs="Arial" w:eastAsia="Arial" w:hAnsi="Arial"/>
          <w:sz w:val="19"/>
          <w:szCs w:val="19"/>
          <w:b w:val="1"/>
          <w:bCs w:val="1"/>
          <w:color w:val="DA2031"/>
        </w:rPr>
        <w:t>Employee Training</w:t>
      </w:r>
    </w:p>
    <w:p>
      <w:pPr>
        <w:spacing w:after="0" w:line="112" w:lineRule="exact"/>
        <w:rPr>
          <w:sz w:val="20"/>
          <w:szCs w:val="20"/>
          <w:color w:val="auto"/>
        </w:rPr>
      </w:pPr>
    </w:p>
    <w:p>
      <w:pPr>
        <w:jc w:val="both"/>
        <w:ind w:left="3"/>
        <w:spacing w:after="0" w:line="276" w:lineRule="auto"/>
        <w:rPr>
          <w:sz w:val="20"/>
          <w:szCs w:val="20"/>
          <w:color w:val="auto"/>
        </w:rPr>
      </w:pPr>
      <w:r>
        <w:rPr>
          <w:rFonts w:ascii="Arial" w:cs="Arial" w:eastAsia="Arial" w:hAnsi="Arial"/>
          <w:sz w:val="19"/>
          <w:szCs w:val="19"/>
          <w:b w:val="1"/>
          <w:bCs w:val="1"/>
          <w:color w:val="auto"/>
        </w:rPr>
        <w:t>All employees are required to complete annual training in ethics, privacy, and security. Certain employees are required to complete additional specialized training pertaining to their roles within the organization. Additionally, numerous training programs are available for employees to take on their own initiative.</w:t>
      </w:r>
    </w:p>
    <w:p>
      <w:pPr>
        <w:spacing w:after="0" w:line="42" w:lineRule="exact"/>
        <w:rPr>
          <w:sz w:val="20"/>
          <w:szCs w:val="20"/>
          <w:color w:val="auto"/>
        </w:rPr>
      </w:pPr>
    </w:p>
    <w:p>
      <w:pPr>
        <w:jc w:val="both"/>
        <w:ind w:left="3"/>
        <w:spacing w:after="0" w:line="269" w:lineRule="auto"/>
        <w:rPr>
          <w:sz w:val="20"/>
          <w:szCs w:val="20"/>
          <w:color w:val="auto"/>
        </w:rPr>
      </w:pPr>
      <w:r>
        <w:rPr>
          <w:rFonts w:ascii="Arial" w:cs="Arial" w:eastAsia="Arial" w:hAnsi="Arial"/>
          <w:sz w:val="19"/>
          <w:szCs w:val="19"/>
          <w:b w:val="1"/>
          <w:bCs w:val="1"/>
          <w:color w:val="auto"/>
        </w:rPr>
        <w:t>We adopt a blended technology-led learning model to drive the Xerox business and talent strategies. The Xerox workforce has access to learning in various modalities that support professional development and build capabilities across the Company, on time, and in a cost-effective manner. Our Learning function is focused on business agility and driving digital transformation across our workforce.</w:t>
      </w:r>
    </w:p>
    <w:p>
      <w:pPr>
        <w:spacing w:after="0" w:line="49" w:lineRule="exact"/>
        <w:rPr>
          <w:sz w:val="20"/>
          <w:szCs w:val="20"/>
          <w:color w:val="auto"/>
        </w:rPr>
      </w:pPr>
    </w:p>
    <w:p>
      <w:pPr>
        <w:jc w:val="both"/>
        <w:ind w:left="3"/>
        <w:spacing w:after="0" w:line="281" w:lineRule="auto"/>
        <w:rPr>
          <w:sz w:val="20"/>
          <w:szCs w:val="20"/>
          <w:color w:val="auto"/>
        </w:rPr>
      </w:pPr>
      <w:r>
        <w:rPr>
          <w:rFonts w:ascii="Arial" w:cs="Arial" w:eastAsia="Arial" w:hAnsi="Arial"/>
          <w:sz w:val="18"/>
          <w:szCs w:val="18"/>
          <w:b w:val="1"/>
          <w:bCs w:val="1"/>
          <w:color w:val="auto"/>
        </w:rPr>
        <w:t>Our employees have access to a global learning platform that includes an extensive portfolio of online courses, virtual classroom events, simulations, job aids, and other learning and development resources. As our business evolves, we continue to leverage technology to identify new skills and capabilities required to ensure we remain competitive in the global market. Our Learning function partners with Xerox business leaders to design capability-building programs and Xerox's senior leadership champions a long-term vision to continually develop the skills of our employees. In 2025, our learning management system recorded over 195,000 learning completions.</w:t>
      </w:r>
    </w:p>
    <w:p>
      <w:pPr>
        <w:spacing w:after="0" w:line="40" w:lineRule="exact"/>
        <w:rPr>
          <w:sz w:val="20"/>
          <w:szCs w:val="20"/>
          <w:color w:val="auto"/>
        </w:rPr>
      </w:pPr>
    </w:p>
    <w:p>
      <w:pPr>
        <w:jc w:val="both"/>
        <w:ind w:left="3"/>
        <w:spacing w:after="0" w:line="266" w:lineRule="auto"/>
        <w:rPr>
          <w:sz w:val="20"/>
          <w:szCs w:val="20"/>
          <w:color w:val="auto"/>
        </w:rPr>
      </w:pPr>
      <w:r>
        <w:rPr>
          <w:rFonts w:ascii="Arial" w:cs="Arial" w:eastAsia="Arial" w:hAnsi="Arial"/>
          <w:sz w:val="19"/>
          <w:szCs w:val="19"/>
          <w:b w:val="1"/>
          <w:bCs w:val="1"/>
          <w:color w:val="auto"/>
        </w:rPr>
        <w:t>In 2025, we delivered a new era of learning with the launch of Xerox Learning Central, our next-generation Learning Management System. This platform modernized our approach to workforce development and strengthened learning as a core enabler of growth and innovation. As part of this delivery, we revitalized our enterprise learning framework through the implementation of the Xerox Competency Framework, ensuring our workforce is equipped with the capabilities required for a digital- and AI-driven environment</w:t>
      </w:r>
    </w:p>
    <w:p>
      <w:pPr>
        <w:spacing w:after="0" w:line="63"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Material Government Regulations</w:t>
      </w:r>
    </w:p>
    <w:p>
      <w:pPr>
        <w:spacing w:after="0" w:line="118" w:lineRule="exact"/>
        <w:rPr>
          <w:sz w:val="20"/>
          <w:szCs w:val="20"/>
          <w:color w:val="auto"/>
        </w:rPr>
      </w:pPr>
    </w:p>
    <w:p>
      <w:pPr>
        <w:jc w:val="both"/>
        <w:ind w:left="3"/>
        <w:spacing w:after="0" w:line="269" w:lineRule="auto"/>
        <w:rPr>
          <w:sz w:val="20"/>
          <w:szCs w:val="20"/>
          <w:color w:val="auto"/>
        </w:rPr>
      </w:pPr>
      <w:r>
        <w:rPr>
          <w:rFonts w:ascii="Arial" w:cs="Arial" w:eastAsia="Arial" w:hAnsi="Arial"/>
          <w:sz w:val="19"/>
          <w:szCs w:val="19"/>
          <w:b w:val="1"/>
          <w:bCs w:val="1"/>
          <w:color w:val="auto"/>
        </w:rPr>
        <w:t>Our business activities are worldwide and are subject to various federal, state, local, and foreign laws and our products and services are governed by a number of rules and regulations. In 2025, costs increased as a result of complying with U.S. tariff-related regulations. The increase was partially offset by pricing actions, supply chain optimization initiatives, and other mitigation efforts.</w:t>
      </w:r>
    </w:p>
    <w:p>
      <w:pPr>
        <w:spacing w:after="0" w:line="49"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For a discussion of the risks associated with government regulations that may materially impact us, please refer to Item 1A - Risk Factors included in this combined Annual Report on Form 10-K.</w:t>
      </w:r>
    </w:p>
    <w:p>
      <w:pPr>
        <w:spacing w:after="0" w:line="33"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Marketing and Distribution</w:t>
      </w:r>
    </w:p>
    <w:p>
      <w:pPr>
        <w:spacing w:after="0" w:line="118" w:lineRule="exact"/>
        <w:rPr>
          <w:sz w:val="20"/>
          <w:szCs w:val="20"/>
          <w:color w:val="auto"/>
        </w:rPr>
      </w:pPr>
    </w:p>
    <w:p>
      <w:pPr>
        <w:jc w:val="both"/>
        <w:ind w:left="3"/>
        <w:spacing w:after="0" w:line="261" w:lineRule="auto"/>
        <w:rPr>
          <w:sz w:val="20"/>
          <w:szCs w:val="20"/>
          <w:color w:val="auto"/>
        </w:rPr>
      </w:pPr>
      <w:r>
        <w:rPr>
          <w:rFonts w:ascii="Arial" w:cs="Arial" w:eastAsia="Arial" w:hAnsi="Arial"/>
          <w:sz w:val="19"/>
          <w:szCs w:val="19"/>
          <w:b w:val="1"/>
          <w:bCs w:val="1"/>
          <w:color w:val="auto"/>
        </w:rPr>
        <w:t>We go to market with a client-centric, market-informed, and services-led approach, selling workplace products and solutions that support the hybrid workplace and distributed workforce. We service our clients through our direct sales force, including our new inside sales organization, or indirectly through distributors, independent agents, dealers, value-added resellers, systems integrators, and e-commerce marketplaces. In addition, we continue to focus on broadening our footprint to sell offerings to the small and mid-sized markets primarily in the U.S., the U.K., and Canada through Xerox Business Solutions (XBS) which is comprised of regional core companies that provide office technology and services. Our IT Solutions business provides IT infrastructure solutions to clients of all sizes in the U.S., Canada, and Western Europe.</w:t>
      </w:r>
    </w:p>
    <w:p>
      <w:pPr>
        <w:spacing w:after="0" w:line="59" w:lineRule="exact"/>
        <w:rPr>
          <w:sz w:val="20"/>
          <w:szCs w:val="20"/>
          <w:color w:val="auto"/>
        </w:rPr>
      </w:pPr>
    </w:p>
    <w:p>
      <w:pPr>
        <w:jc w:val="both"/>
        <w:ind w:left="3"/>
        <w:spacing w:after="0" w:line="264" w:lineRule="auto"/>
        <w:rPr>
          <w:sz w:val="20"/>
          <w:szCs w:val="20"/>
          <w:color w:val="auto"/>
        </w:rPr>
      </w:pPr>
      <w:r>
        <w:rPr>
          <w:rFonts w:ascii="Arial" w:cs="Arial" w:eastAsia="Arial" w:hAnsi="Arial"/>
          <w:sz w:val="19"/>
          <w:szCs w:val="19"/>
          <w:b w:val="1"/>
          <w:bCs w:val="1"/>
          <w:color w:val="auto"/>
        </w:rPr>
        <w:t>We are structured to serve our clients globally through our business-unit led operating model and organizational structure which covers direct and indirect routes to market in the Americas (comprised of the U.S., Canada, and Latin America) and EMEA (comprised of Europe, the Middle East, Africa and India), the APAC region, and OEM clients. We have common global delivery model that we believe provides a consistent client experience worldwide. We believe that this structure creates a leaner and more effective go-to-market model that streamlines our supply chain and provides our clients with best-in-class services.</w:t>
      </w:r>
    </w:p>
    <w:p>
      <w:pPr>
        <w:spacing w:after="0" w:line="65" w:lineRule="exact"/>
        <w:rPr>
          <w:sz w:val="20"/>
          <w:szCs w:val="20"/>
          <w:color w:val="auto"/>
        </w:rPr>
      </w:pPr>
    </w:p>
    <w:p>
      <w:pPr>
        <w:ind w:left="3"/>
        <w:spacing w:after="0"/>
        <w:rPr>
          <w:sz w:val="20"/>
          <w:szCs w:val="20"/>
          <w:color w:val="auto"/>
        </w:rPr>
      </w:pPr>
      <w:r>
        <w:rPr>
          <w:rFonts w:ascii="Arial" w:cs="Arial" w:eastAsia="Arial" w:hAnsi="Arial"/>
          <w:sz w:val="21"/>
          <w:szCs w:val="21"/>
          <w:b w:val="1"/>
          <w:bCs w:val="1"/>
          <w:color w:val="DA2031"/>
        </w:rPr>
        <w:t>Competition</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Although we encounter competition in all areas of our business, we believe we are the leader - or among the leaders</w:t>
      </w:r>
    </w:p>
    <w:p>
      <w:pPr>
        <w:spacing w:after="0" w:line="26" w:lineRule="exact"/>
        <w:rPr>
          <w:sz w:val="20"/>
          <w:szCs w:val="20"/>
          <w:color w:val="auto"/>
        </w:rPr>
      </w:pPr>
    </w:p>
    <w:p>
      <w:pPr>
        <w:ind w:left="3" w:hanging="3"/>
        <w:spacing w:after="0" w:line="298" w:lineRule="auto"/>
        <w:tabs>
          <w:tab w:leader="none" w:pos="138"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in our core entry, mid-range and high-end product groups. We compete on the basis of technology, performance, price, quality, reliability, brand reputation, distribution, service and support.</w:t>
      </w:r>
    </w:p>
    <w:p>
      <w:pPr>
        <w:spacing w:after="0" w:line="20" w:lineRule="exact"/>
        <w:rPr>
          <w:sz w:val="20"/>
          <w:szCs w:val="20"/>
          <w:color w:val="auto"/>
        </w:rPr>
      </w:pPr>
    </w:p>
    <w:p>
      <w:pPr>
        <w:jc w:val="both"/>
        <w:ind w:left="3"/>
        <w:spacing w:after="0" w:line="264" w:lineRule="auto"/>
        <w:rPr>
          <w:sz w:val="20"/>
          <w:szCs w:val="20"/>
          <w:color w:val="auto"/>
        </w:rPr>
      </w:pPr>
      <w:r>
        <w:rPr>
          <w:rFonts w:ascii="Arial" w:cs="Arial" w:eastAsia="Arial" w:hAnsi="Arial"/>
          <w:sz w:val="19"/>
          <w:szCs w:val="19"/>
          <w:b w:val="1"/>
          <w:bCs w:val="1"/>
          <w:color w:val="auto"/>
        </w:rPr>
        <w:t>The larger competitors in our print business include Brother, Canon, FUJIFILM Business Innovations Corp., HP Inc., Konica Minolta, Kyocera and Ricoh. Our brand recognition, reputation for document management expertise, innovative technology and service delivery are our competitive advantages. These advantages, combined with our breadth of product offerings, global distribution channels and client relationships, position us as a strong competitor going forward. As we continue our strategy to diversify and grow other businesses, we may face additional competition from non-print market participants.</w:t>
      </w:r>
    </w:p>
    <w:p>
      <w:pPr>
        <w:spacing w:after="0" w:line="52" w:lineRule="exact"/>
        <w:rPr>
          <w:sz w:val="20"/>
          <w:szCs w:val="20"/>
          <w:color w:val="auto"/>
        </w:rPr>
      </w:pPr>
    </w:p>
    <w:p>
      <w:pPr>
        <w:jc w:val="both"/>
        <w:ind w:left="3"/>
        <w:spacing w:after="0" w:line="328" w:lineRule="auto"/>
        <w:rPr>
          <w:sz w:val="20"/>
          <w:szCs w:val="20"/>
          <w:color w:val="auto"/>
        </w:rPr>
      </w:pPr>
      <w:r>
        <w:rPr>
          <w:rFonts w:ascii="Arial" w:cs="Arial" w:eastAsia="Arial" w:hAnsi="Arial"/>
          <w:sz w:val="18"/>
          <w:szCs w:val="18"/>
          <w:b w:val="1"/>
          <w:bCs w:val="1"/>
          <w:color w:val="auto"/>
        </w:rPr>
        <w:t>With respect to our financing business, our main competitors vary considerably from equipment manufacturers with captive financing operations to third-party independent leasing entities and financial institutions. We generally</w:t>
      </w:r>
    </w:p>
    <w:p>
      <w:pPr>
        <w:spacing w:after="0" w:line="185"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7</w:t>
      </w:r>
    </w:p>
    <w:p>
      <w:pPr>
        <w:sectPr>
          <w:pgSz w:w="11880" w:h="15480" w:orient="portrait"/>
          <w:cols w:equalWidth="0" w:num="1">
            <w:col w:w="10043"/>
          </w:cols>
          <w:pgMar w:left="877" w:top="692" w:right="960" w:bottom="0" w:gutter="0" w:footer="0" w:header="0"/>
        </w:sectPr>
      </w:pPr>
    </w:p>
    <w:bookmarkStart w:id="17" w:name="page18"/>
    <w:bookmarkEnd w:id="17"/>
    <w:p>
      <w:pPr>
        <w:jc w:val="both"/>
        <w:spacing w:after="0" w:line="298" w:lineRule="auto"/>
        <w:rPr>
          <w:sz w:val="20"/>
          <w:szCs w:val="20"/>
          <w:color w:val="auto"/>
        </w:rPr>
      </w:pPr>
      <w:r>
        <w:rPr>
          <w:rFonts w:ascii="Arial" w:cs="Arial" w:eastAsia="Arial" w:hAnsi="Arial"/>
          <w:sz w:val="19"/>
          <w:szCs w:val="19"/>
          <w:b w:val="1"/>
          <w:bCs w:val="1"/>
          <w:color w:val="auto"/>
        </w:rPr>
        <w:t>compete based on pricing, relationships with customers, dealers and partners and by offering a better integrated service experience.</w:t>
      </w:r>
    </w:p>
    <w:p>
      <w:pPr>
        <w:spacing w:after="0" w:line="2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Our IT Solutions business competes with integrated other IT solutions providers and value-added resellers of IT infrastructure equipment. Competitors range in size, technological specialty and geographic presence. Our competitive advantages are the breadth of IT solutions provided, the skill sets and quality of our service and support technicians, our relationships with OEM partners and our ability to leverage Xerox’s existing client base to provide a comprehensive suite of print and IT solutions to clients.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Customer Financing (XFS)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 finance a large portion of our direct channel customer purchases of Xerox equipment through bundled lease agreements. We also provide lease financing to end-user customers who purchase Xerox equipment and solutions through our indirect channels. We compete with other third-party leasing companies and financial institutions with respect to the lease financing provided to these end-user customers. In both instances, financing facilitates customer acquisition of Xerox technology and enhances our value proposition, while providing Xerox a return on our investment in this business.</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Because our lease contracts allow customers to pay for equipment over time rather than upfront upon installation, we maintain a certain level of debt to support our investment in these lease contracts. We fund our customer financing activity through a combination of cash generated from operations, cash on hand, finance receivables sales and proceeds from capital market offerings. At December 31, 2025, we had approximately $1.4 billion of finance receivables and $299 million of Equipment on operating leases, net, or Total Finance assets of approximately $1.7 billion. We maintain an assumed 7:1 leverage ratio of debt to equity as compared to our Finance assets, which results in approximately $1.5 billion of our $4.2 billion of debt being allocated to our financing business.</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 xml:space="preserve">Refer to "Debt and Customer Financing Activities" and "Finance Assets and Related Debt" in the </w:t>
      </w:r>
      <w:r>
        <w:rPr>
          <w:rFonts w:ascii="Arial" w:cs="Arial" w:eastAsia="Arial" w:hAnsi="Arial"/>
          <w:sz w:val="19"/>
          <w:szCs w:val="19"/>
          <w:b w:val="1"/>
          <w:bCs w:val="1"/>
          <w:color w:val="DA2031"/>
        </w:rPr>
        <w:t>Capital Resources</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DA2031"/>
        </w:rPr>
        <w:t xml:space="preserve">and Liquidity </w:t>
      </w:r>
      <w:r>
        <w:rPr>
          <w:rFonts w:ascii="Arial" w:cs="Arial" w:eastAsia="Arial" w:hAnsi="Arial"/>
          <w:sz w:val="19"/>
          <w:szCs w:val="19"/>
          <w:b w:val="1"/>
          <w:bCs w:val="1"/>
          <w:color w:val="000000"/>
        </w:rPr>
        <w:t>section of Management's Discussion and Analysis, included in Item 7 of this combined Form 10-K, for</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Manufacturing and Supply</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Xerox operates a global manufacturing network designed for scale, resilience, and cost efficiency, with facilities across North America, Latin America, Europe, and Asia. Our largest manufacturing sites are located in Webster, New York, where we produce key components and consumables, including toner, and Juarez, Mexico, which serves as a primary hub for printer and supplies manufacturing and assembly, and further expands the scale and geographic diversity of our combined footprint. In addition, we have materials and components manufacturing operations in Wilsonville, Oregon, Oklahoma City, Oklahoma, and Boulder Colorado.</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supplement internal manufacturing with a diversified network of third-party sourcing and contract manufacturing partners to enhance flexibility and manage supply chain risk. Fujifilm Business Innovation Corp. is our largest strategic sourcing partner, supporting products across our portfolio.</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Our supply chain is supported by a global network of logistics partners providing warehousing and transportation services. Reverse logistics is an integral part of our sustainability strategy and is conducted in the United States at our Cincinnati, Ohio facility, and in Mexico at our Juarez facility, as well as through other internationally qualified partners.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International Operations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financial measures, by geographical area for 2025, 2024 and 2023, are included in Note 4 - Segment and Geographic Area Reporting in the Consolidated Financial Statements for additional information. See also the risk factor entitled “The international nature of our business subjects us to a number of risks, including foreign exchange and interest rate risk and unfavorable political, regulatory, and tax conditions in foreign countries.” in Part I, Item 1A Risk Factors of this combined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Seasonality</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Our revenues and operating results are subject to seasonality and may be affected by factors such as the timing of new product and solution introductions, the length of sales cycles, the seasonality of technology purchases, and, for our Print and Other segment, fluctuations in printing volume. Historically, these factors have resulted in lower revenues, operating profits, and operating cash flows for the Print and Other segment in the first and third quarters, while the IT Solutions segment has experienced higher revenues and operating profits in the second and third quarters.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8</w:t>
      </w:r>
    </w:p>
    <w:p>
      <w:pPr>
        <w:sectPr>
          <w:pgSz w:w="11880" w:h="15480" w:orient="portrait"/>
          <w:cols w:equalWidth="0" w:num="1">
            <w:col w:w="10040"/>
          </w:cols>
          <w:pgMar w:left="880" w:top="693" w:right="960" w:bottom="0" w:gutter="0" w:footer="0" w:header="0"/>
        </w:sectPr>
      </w:pPr>
    </w:p>
    <w:bookmarkStart w:id="18" w:name="page19"/>
    <w:bookmarkEnd w:id="18"/>
    <w:p>
      <w:pPr>
        <w:ind w:left="3"/>
        <w:spacing w:after="0"/>
        <w:rPr>
          <w:sz w:val="20"/>
          <w:szCs w:val="20"/>
          <w:color w:val="auto"/>
        </w:rPr>
      </w:pPr>
      <w:r>
        <w:rPr>
          <w:rFonts w:ascii="Arial" w:cs="Arial" w:eastAsia="Arial" w:hAnsi="Arial"/>
          <w:sz w:val="21"/>
          <w:szCs w:val="21"/>
          <w:b w:val="1"/>
          <w:bCs w:val="1"/>
          <w:color w:val="DA2031"/>
        </w:rPr>
        <w:t>Other Information</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DA2031"/>
        </w:rPr>
        <w:t>Xerox Holdings Corporation</w:t>
      </w:r>
    </w:p>
    <w:p>
      <w:pPr>
        <w:spacing w:after="0" w:line="131"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Xerox Holdings is a New York corporation, organized in 2019 and our principal executive offices are located at 401 Merritt 7, P.O. Box 4505, Norwalk, Connecticut 06851-1059. Our telephone number is 203-849-5216.</w:t>
      </w:r>
    </w:p>
    <w:p>
      <w:pPr>
        <w:spacing w:after="0" w:line="3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DA2031"/>
        </w:rPr>
        <w:t>Xerox Corporation</w:t>
      </w:r>
    </w:p>
    <w:p>
      <w:pPr>
        <w:spacing w:after="0" w:line="131"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Xerox is a New York corporation, organized in 1906 and our principal executive offices are located at 401 Merritt 7, P.O. Box 4505, Norwalk, Connecticut 06851-1059. Our telephone number is 203-849-5216.</w:t>
      </w:r>
    </w:p>
    <w:p>
      <w:pPr>
        <w:spacing w:after="0" w:line="39" w:lineRule="exact"/>
        <w:rPr>
          <w:sz w:val="20"/>
          <w:szCs w:val="20"/>
          <w:color w:val="auto"/>
        </w:rPr>
      </w:pPr>
    </w:p>
    <w:p>
      <w:pPr>
        <w:jc w:val="both"/>
        <w:ind w:left="3"/>
        <w:spacing w:after="0" w:line="269" w:lineRule="auto"/>
        <w:rPr>
          <w:sz w:val="20"/>
          <w:szCs w:val="20"/>
          <w:color w:val="auto"/>
        </w:rPr>
      </w:pPr>
      <w:r>
        <w:rPr>
          <w:rFonts w:ascii="Arial" w:cs="Arial" w:eastAsia="Arial" w:hAnsi="Arial"/>
          <w:sz w:val="19"/>
          <w:szCs w:val="19"/>
          <w:b w:val="1"/>
          <w:bCs w:val="1"/>
          <w:color w:val="auto"/>
        </w:rPr>
        <w:t>Within the Investor Relations section of Xerox Holdings' website, you will find our combined Annual Reports on Form 10-K, Quarterly Reports on Form 10-Q, Current Reports on Form 8-K and any amendments to these reports. We make these documents available timely after we have filed them with, or furnished them to, the U.S. Securities and Exchange Commission (the SEC). The SEC's Internet address is www.sec.gov.</w:t>
      </w:r>
    </w:p>
    <w:p>
      <w:pPr>
        <w:spacing w:after="0" w:line="67" w:lineRule="exact"/>
        <w:rPr>
          <w:sz w:val="20"/>
          <w:szCs w:val="20"/>
          <w:color w:val="auto"/>
        </w:rPr>
      </w:pPr>
    </w:p>
    <w:p>
      <w:pPr>
        <w:jc w:val="both"/>
        <w:ind w:left="3"/>
        <w:spacing w:after="0" w:line="298" w:lineRule="auto"/>
        <w:rPr>
          <w:sz w:val="20"/>
          <w:szCs w:val="20"/>
          <w:color w:val="auto"/>
        </w:rPr>
      </w:pPr>
      <w:r>
        <w:rPr>
          <w:rFonts w:ascii="Arial" w:cs="Arial" w:eastAsia="Arial" w:hAnsi="Arial"/>
          <w:sz w:val="19"/>
          <w:szCs w:val="19"/>
          <w:b w:val="1"/>
          <w:bCs w:val="1"/>
          <w:color w:val="auto"/>
        </w:rPr>
        <w:t>Our Internet address is www.xerox.com</w:t>
      </w:r>
      <w:r>
        <w:rPr>
          <w:rFonts w:ascii="Times New Roman" w:cs="Times New Roman" w:eastAsia="Times New Roman" w:hAnsi="Times New Roman"/>
          <w:sz w:val="19"/>
          <w:szCs w:val="19"/>
          <w:color w:val="auto"/>
        </w:rPr>
        <w:t>.</w:t>
      </w:r>
      <w:r>
        <w:rPr>
          <w:rFonts w:ascii="Arial" w:cs="Arial" w:eastAsia="Arial" w:hAnsi="Arial"/>
          <w:sz w:val="19"/>
          <w:szCs w:val="19"/>
          <w:b w:val="1"/>
          <w:bCs w:val="1"/>
          <w:color w:val="auto"/>
        </w:rPr>
        <w:t xml:space="preserve"> The content of our website is not incorporated by reference in this combined Form 10-K unless expressly noted.</w:t>
      </w:r>
    </w:p>
    <w:p>
      <w:pPr>
        <w:spacing w:after="0" w:line="39" w:lineRule="exact"/>
        <w:rPr>
          <w:sz w:val="20"/>
          <w:szCs w:val="20"/>
          <w:color w:val="auto"/>
        </w:rPr>
      </w:pPr>
    </w:p>
    <w:p>
      <w:pPr>
        <w:ind w:left="3" w:right="60" w:hanging="3"/>
        <w:spacing w:after="0" w:line="281" w:lineRule="auto"/>
        <w:tabs>
          <w:tab w:leader="none" w:pos="2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2026 Xerox Corporation. All rights reserved. Xerox®, ConnectKey®, FreeFlow®, Xerox Nuvera® and Baltoro® are trademarks of Xerox Corporation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2"/>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9</w:t>
      </w:r>
    </w:p>
    <w:p>
      <w:pPr>
        <w:sectPr>
          <w:pgSz w:w="11880" w:h="15480" w:orient="portrait"/>
          <w:cols w:equalWidth="0" w:num="1">
            <w:col w:w="10043"/>
          </w:cols>
          <w:pgMar w:left="877" w:top="686" w:right="960" w:bottom="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DA2031"/>
        </w:rPr>
        <w:t>Item 1A. Risk Factors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i w:val="1"/>
          <w:iCs w:val="1"/>
          <w:color w:val="auto"/>
        </w:rPr>
        <w:t>You should carefully consider the following risk factors as well as the other information included, and risks described, in other sections of this combined Form 10-K, including under the headings “Cautionary Statement Regarding Forward-Looking Statements,” “Legal Proceedings,” and “Management’s Discussion and Analysis of Financial Condition and Results of Operations” and in our Consolidated Financial Statements and the related notes thereto.</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Any of the following risks could materially and adversely affect our business, financial condition, or results of operations. The selected risks described below, however, are not the only risks facing us. Additional risks and uncertainties not currently known to us or those we currently view to be immaterial may also materially and adversely affect our business,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u w:val="single" w:color="auto"/>
          <w:color w:val="DA2031"/>
        </w:rPr>
        <w:t>Summary of Principal Risk Factors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change, risks, and uncertainties, as described herein. The primary risk factors that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 considers material include, but are not limited to, the following:</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Company-Specific Risk Factors</w:t>
      </w:r>
    </w:p>
    <w:p>
      <w:pPr>
        <w:spacing w:after="0" w:line="71" w:lineRule="exact"/>
        <w:rPr>
          <w:sz w:val="20"/>
          <w:szCs w:val="20"/>
          <w:color w:val="auto"/>
        </w:rPr>
      </w:pPr>
    </w:p>
    <w:p>
      <w:pPr>
        <w:ind w:left="360" w:hanging="356"/>
        <w:spacing w:after="0" w:line="255" w:lineRule="auto"/>
        <w:tabs>
          <w:tab w:leader="none" w:pos="360" w:val="left"/>
        </w:tabs>
        <w:numPr>
          <w:ilvl w:val="0"/>
          <w:numId w:val="13"/>
        </w:numPr>
        <w:rPr>
          <w:rFonts w:ascii="Arial" w:cs="Arial" w:eastAsia="Arial" w:hAnsi="Arial"/>
          <w:sz w:val="19"/>
          <w:szCs w:val="19"/>
          <w:b w:val="1"/>
          <w:bCs w:val="1"/>
          <w:color w:val="DA2031"/>
        </w:rPr>
      </w:pPr>
      <w:r>
        <w:rPr>
          <w:rFonts w:ascii="Arial" w:cs="Arial" w:eastAsia="Arial" w:hAnsi="Arial"/>
          <w:sz w:val="19"/>
          <w:szCs w:val="19"/>
          <w:b w:val="1"/>
          <w:bCs w:val="1"/>
          <w:color w:val="auto"/>
        </w:rPr>
        <w:t>Our business, results of operations, cash flow, and financial condition are affected by global macroeconomic conditions;</w:t>
      </w:r>
    </w:p>
    <w:p>
      <w:pPr>
        <w:spacing w:after="0" w:line="1"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13"/>
        </w:numPr>
        <w:rPr>
          <w:rFonts w:ascii="Arial" w:cs="Arial" w:eastAsia="Arial" w:hAnsi="Arial"/>
          <w:sz w:val="19"/>
          <w:szCs w:val="19"/>
          <w:b w:val="1"/>
          <w:bCs w:val="1"/>
          <w:color w:val="DA2031"/>
        </w:rPr>
      </w:pPr>
      <w:r>
        <w:rPr>
          <w:rFonts w:ascii="Arial" w:cs="Arial" w:eastAsia="Arial" w:hAnsi="Arial"/>
          <w:sz w:val="19"/>
          <w:szCs w:val="19"/>
          <w:b w:val="1"/>
          <w:bCs w:val="1"/>
          <w:color w:val="auto"/>
        </w:rPr>
        <w:t>Our profitability is dependent on our ability to obtain adequate pricing for our products and services and to improve our cost structure;</w:t>
      </w:r>
    </w:p>
    <w:p>
      <w:pPr>
        <w:spacing w:after="0" w:line="1"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13"/>
        </w:numPr>
        <w:rPr>
          <w:rFonts w:ascii="Arial" w:cs="Arial" w:eastAsia="Arial" w:hAnsi="Arial"/>
          <w:sz w:val="19"/>
          <w:szCs w:val="19"/>
          <w:b w:val="1"/>
          <w:bCs w:val="1"/>
          <w:color w:val="DA2031"/>
        </w:rPr>
      </w:pPr>
      <w:r>
        <w:rPr>
          <w:rFonts w:ascii="Arial" w:cs="Arial" w:eastAsia="Arial" w:hAnsi="Arial"/>
          <w:sz w:val="19"/>
          <w:szCs w:val="19"/>
          <w:b w:val="1"/>
          <w:bCs w:val="1"/>
          <w:color w:val="auto"/>
        </w:rPr>
        <w:t>We have outsourced a material portion of our manufacturing operations and significantly rely on third-party manufacturers, subcontractors, and suppliers;</w:t>
      </w:r>
    </w:p>
    <w:p>
      <w:pPr>
        <w:spacing w:after="0" w:line="1"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13"/>
        </w:numPr>
        <w:rPr>
          <w:rFonts w:ascii="Arial" w:cs="Arial" w:eastAsia="Arial" w:hAnsi="Arial"/>
          <w:sz w:val="19"/>
          <w:szCs w:val="19"/>
          <w:b w:val="1"/>
          <w:bCs w:val="1"/>
          <w:color w:val="DA2031"/>
        </w:rPr>
      </w:pPr>
      <w:r>
        <w:rPr>
          <w:rFonts w:ascii="Arial" w:cs="Arial" w:eastAsia="Arial" w:hAnsi="Arial"/>
          <w:sz w:val="19"/>
          <w:szCs w:val="19"/>
          <w:b w:val="1"/>
          <w:bCs w:val="1"/>
          <w:color w:val="auto"/>
        </w:rPr>
        <w:t>We may not achieve the expected benefits of our restructuring and transformation plans, including Reinvention; and</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3"/>
        </w:numPr>
        <w:rPr>
          <w:rFonts w:ascii="Arial" w:cs="Arial" w:eastAsia="Arial" w:hAnsi="Arial"/>
          <w:sz w:val="19"/>
          <w:szCs w:val="19"/>
          <w:b w:val="1"/>
          <w:bCs w:val="1"/>
          <w:color w:val="DA2031"/>
        </w:rPr>
      </w:pPr>
      <w:r>
        <w:rPr>
          <w:rFonts w:ascii="Arial" w:cs="Arial" w:eastAsia="Arial" w:hAnsi="Arial"/>
          <w:sz w:val="19"/>
          <w:szCs w:val="19"/>
          <w:b w:val="1"/>
          <w:bCs w:val="1"/>
          <w:color w:val="auto"/>
        </w:rPr>
        <w:t>Our level of debt could adversely affect our financial condition and reduce our financial flexibility.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Regulatory Risk Factors</w:t>
      </w:r>
    </w:p>
    <w:p>
      <w:pPr>
        <w:spacing w:after="0" w:line="71" w:lineRule="exact"/>
        <w:rPr>
          <w:sz w:val="20"/>
          <w:szCs w:val="20"/>
          <w:color w:val="auto"/>
        </w:rPr>
      </w:pPr>
    </w:p>
    <w:p>
      <w:pPr>
        <w:ind w:left="360" w:hanging="356"/>
        <w:spacing w:after="0" w:line="255" w:lineRule="auto"/>
        <w:tabs>
          <w:tab w:leader="none" w:pos="360" w:val="left"/>
        </w:tabs>
        <w:numPr>
          <w:ilvl w:val="0"/>
          <w:numId w:val="14"/>
        </w:numPr>
        <w:rPr>
          <w:rFonts w:ascii="Arial" w:cs="Arial" w:eastAsia="Arial" w:hAnsi="Arial"/>
          <w:sz w:val="19"/>
          <w:szCs w:val="19"/>
          <w:b w:val="1"/>
          <w:bCs w:val="1"/>
          <w:color w:val="DA2031"/>
        </w:rPr>
      </w:pPr>
      <w:r>
        <w:rPr>
          <w:rFonts w:ascii="Arial" w:cs="Arial" w:eastAsia="Arial" w:hAnsi="Arial"/>
          <w:sz w:val="19"/>
          <w:szCs w:val="19"/>
          <w:b w:val="1"/>
          <w:bCs w:val="1"/>
          <w:color w:val="auto"/>
        </w:rPr>
        <w:t>The international nature of our business subjects us to a number of risks, including unfavorable political, regulatory, currency, and tax conditions in foreign countries; and</w:t>
      </w:r>
    </w:p>
    <w:p>
      <w:pPr>
        <w:spacing w:after="0" w:line="1" w:lineRule="exact"/>
        <w:rPr>
          <w:rFonts w:ascii="Arial" w:cs="Arial" w:eastAsia="Arial" w:hAnsi="Arial"/>
          <w:sz w:val="19"/>
          <w:szCs w:val="19"/>
          <w:b w:val="1"/>
          <w:bCs w:val="1"/>
          <w:color w:val="DA2031"/>
        </w:rPr>
      </w:pPr>
    </w:p>
    <w:p>
      <w:pPr>
        <w:ind w:left="360" w:hanging="356"/>
        <w:spacing w:after="0" w:line="298" w:lineRule="auto"/>
        <w:tabs>
          <w:tab w:leader="none" w:pos="360" w:val="left"/>
        </w:tabs>
        <w:numPr>
          <w:ilvl w:val="0"/>
          <w:numId w:val="14"/>
        </w:numPr>
        <w:rPr>
          <w:rFonts w:ascii="Arial" w:cs="Arial" w:eastAsia="Arial" w:hAnsi="Arial"/>
          <w:sz w:val="19"/>
          <w:szCs w:val="19"/>
          <w:b w:val="1"/>
          <w:bCs w:val="1"/>
          <w:color w:val="DA2031"/>
        </w:rPr>
      </w:pPr>
      <w:r>
        <w:rPr>
          <w:rFonts w:ascii="Arial" w:cs="Arial" w:eastAsia="Arial" w:hAnsi="Arial"/>
          <w:sz w:val="19"/>
          <w:szCs w:val="19"/>
          <w:b w:val="1"/>
          <w:bCs w:val="1"/>
          <w:color w:val="auto"/>
        </w:rPr>
        <w:t>Tariffs or other restrictions on foreign imports have and could continue to negatively impact our financial performance.</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Risks Related to our Acquisition of Lexmark</w:t>
      </w:r>
    </w:p>
    <w:p>
      <w:pPr>
        <w:spacing w:after="0" w:line="71" w:lineRule="exact"/>
        <w:rPr>
          <w:sz w:val="20"/>
          <w:szCs w:val="20"/>
          <w:color w:val="auto"/>
        </w:rPr>
      </w:pPr>
    </w:p>
    <w:p>
      <w:pPr>
        <w:jc w:val="both"/>
        <w:ind w:left="360" w:hanging="356"/>
        <w:spacing w:after="0" w:line="255" w:lineRule="auto"/>
        <w:tabs>
          <w:tab w:leader="none" w:pos="360" w:val="left"/>
        </w:tabs>
        <w:numPr>
          <w:ilvl w:val="0"/>
          <w:numId w:val="15"/>
        </w:numPr>
        <w:rPr>
          <w:rFonts w:ascii="Arial" w:cs="Arial" w:eastAsia="Arial" w:hAnsi="Arial"/>
          <w:sz w:val="19"/>
          <w:szCs w:val="19"/>
          <w:b w:val="1"/>
          <w:bCs w:val="1"/>
          <w:color w:val="DA2031"/>
        </w:rPr>
      </w:pPr>
      <w:r>
        <w:rPr>
          <w:rFonts w:ascii="Arial" w:cs="Arial" w:eastAsia="Arial" w:hAnsi="Arial"/>
          <w:sz w:val="19"/>
          <w:szCs w:val="19"/>
          <w:b w:val="1"/>
          <w:bCs w:val="1"/>
          <w:color w:val="auto"/>
        </w:rPr>
        <w:t>Our acquisition of Lexmark International II, LLC (Lexmark) (the Lexmark Acquisition) may present certain risks to our business and operations if the integration process or anticipated synergies fail to meet our expectations; and</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5"/>
        </w:numPr>
        <w:rPr>
          <w:rFonts w:ascii="Arial" w:cs="Arial" w:eastAsia="Arial" w:hAnsi="Arial"/>
          <w:sz w:val="18"/>
          <w:szCs w:val="18"/>
          <w:b w:val="1"/>
          <w:bCs w:val="1"/>
          <w:color w:val="DA2031"/>
        </w:rPr>
      </w:pPr>
      <w:r>
        <w:rPr>
          <w:rFonts w:ascii="Arial" w:cs="Arial" w:eastAsia="Arial" w:hAnsi="Arial"/>
          <w:sz w:val="18"/>
          <w:szCs w:val="18"/>
          <w:b w:val="1"/>
          <w:bCs w:val="1"/>
          <w:color w:val="auto"/>
        </w:rPr>
        <w:t>We have incurred a substantial amount of debt in connection with the financing of the Lexmark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Risks Related to Ownership of our Common Stock and our Warrants</w:t>
      </w:r>
    </w:p>
    <w:p>
      <w:pPr>
        <w:spacing w:after="0" w:line="71" w:lineRule="exact"/>
        <w:rPr>
          <w:sz w:val="20"/>
          <w:szCs w:val="20"/>
          <w:color w:val="auto"/>
        </w:rPr>
      </w:pPr>
    </w:p>
    <w:p>
      <w:pPr>
        <w:jc w:val="both"/>
        <w:ind w:left="360" w:hanging="356"/>
        <w:spacing w:after="0" w:line="255" w:lineRule="auto"/>
        <w:tabs>
          <w:tab w:leader="none" w:pos="360" w:val="left"/>
        </w:tabs>
        <w:numPr>
          <w:ilvl w:val="0"/>
          <w:numId w:val="16"/>
        </w:numPr>
        <w:rPr>
          <w:rFonts w:ascii="Arial" w:cs="Arial" w:eastAsia="Arial" w:hAnsi="Arial"/>
          <w:sz w:val="19"/>
          <w:szCs w:val="19"/>
          <w:b w:val="1"/>
          <w:bCs w:val="1"/>
          <w:color w:val="DA2031"/>
        </w:rPr>
      </w:pPr>
      <w:r>
        <w:rPr>
          <w:rFonts w:ascii="Arial" w:cs="Arial" w:eastAsia="Arial" w:hAnsi="Arial"/>
          <w:sz w:val="19"/>
          <w:szCs w:val="19"/>
          <w:b w:val="1"/>
          <w:bCs w:val="1"/>
          <w:color w:val="auto"/>
        </w:rPr>
        <w:t>The trading price for the Warrants may bear little or no relationship to traditional valuation methods, or to the market price of our Common Stock, and therefore the trading price of the Warrants may fluctuate significantly following their issuance;</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6"/>
        </w:numPr>
        <w:rPr>
          <w:rFonts w:ascii="Arial" w:cs="Arial" w:eastAsia="Arial" w:hAnsi="Arial"/>
          <w:sz w:val="19"/>
          <w:szCs w:val="19"/>
          <w:b w:val="1"/>
          <w:bCs w:val="1"/>
          <w:color w:val="DA2031"/>
        </w:rPr>
      </w:pPr>
      <w:r>
        <w:rPr>
          <w:rFonts w:ascii="Arial" w:cs="Arial" w:eastAsia="Arial" w:hAnsi="Arial"/>
          <w:sz w:val="19"/>
          <w:szCs w:val="19"/>
          <w:b w:val="1"/>
          <w:bCs w:val="1"/>
          <w:color w:val="auto"/>
        </w:rPr>
        <w:t>Hedging arrangements relating to the Warrants may affect the value and volatility of our Common Stock;</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6"/>
        </w:numPr>
        <w:rPr>
          <w:rFonts w:ascii="Arial" w:cs="Arial" w:eastAsia="Arial" w:hAnsi="Arial"/>
          <w:sz w:val="19"/>
          <w:szCs w:val="19"/>
          <w:b w:val="1"/>
          <w:bCs w:val="1"/>
          <w:color w:val="DA2031"/>
        </w:rPr>
      </w:pPr>
      <w:r>
        <w:rPr>
          <w:rFonts w:ascii="Arial" w:cs="Arial" w:eastAsia="Arial" w:hAnsi="Arial"/>
          <w:sz w:val="19"/>
          <w:szCs w:val="19"/>
          <w:b w:val="1"/>
          <w:bCs w:val="1"/>
          <w:color w:val="auto"/>
        </w:rPr>
        <w:t>The issuance of Common Stock upon the exercise of the Warrants may depress our stock price;</w:t>
      </w:r>
    </w:p>
    <w:p>
      <w:pPr>
        <w:spacing w:after="0" w:line="14" w:lineRule="exact"/>
        <w:rPr>
          <w:rFonts w:ascii="Arial" w:cs="Arial" w:eastAsia="Arial" w:hAnsi="Arial"/>
          <w:sz w:val="19"/>
          <w:szCs w:val="19"/>
          <w:b w:val="1"/>
          <w:bCs w:val="1"/>
          <w:color w:val="DA2031"/>
        </w:rPr>
      </w:pPr>
    </w:p>
    <w:p>
      <w:pPr>
        <w:jc w:val="both"/>
        <w:ind w:left="360" w:hanging="356"/>
        <w:spacing w:after="0" w:line="255" w:lineRule="auto"/>
        <w:tabs>
          <w:tab w:leader="none" w:pos="360" w:val="left"/>
        </w:tabs>
        <w:numPr>
          <w:ilvl w:val="0"/>
          <w:numId w:val="16"/>
        </w:numPr>
        <w:rPr>
          <w:rFonts w:ascii="Arial" w:cs="Arial" w:eastAsia="Arial" w:hAnsi="Arial"/>
          <w:sz w:val="19"/>
          <w:szCs w:val="19"/>
          <w:b w:val="1"/>
          <w:bCs w:val="1"/>
          <w:color w:val="DA2031"/>
        </w:rPr>
      </w:pPr>
      <w:r>
        <w:rPr>
          <w:rFonts w:ascii="Arial" w:cs="Arial" w:eastAsia="Arial" w:hAnsi="Arial"/>
          <w:sz w:val="19"/>
          <w:szCs w:val="19"/>
          <w:b w:val="1"/>
          <w:bCs w:val="1"/>
          <w:color w:val="auto"/>
        </w:rPr>
        <w:t>Future issuances of additional warrants may adversely affect the market price of the Warrants and the market price of our Common Stock, but there may be no adjustment to the Warrant Exercise Rate for such issuances; and</w:t>
      </w:r>
    </w:p>
    <w:p>
      <w:pPr>
        <w:spacing w:after="0" w:line="1" w:lineRule="exact"/>
        <w:rPr>
          <w:rFonts w:ascii="Arial" w:cs="Arial" w:eastAsia="Arial" w:hAnsi="Arial"/>
          <w:sz w:val="19"/>
          <w:szCs w:val="19"/>
          <w:b w:val="1"/>
          <w:bCs w:val="1"/>
          <w:color w:val="DA2031"/>
        </w:rPr>
      </w:pPr>
    </w:p>
    <w:p>
      <w:pPr>
        <w:ind w:left="360" w:hanging="356"/>
        <w:spacing w:after="0" w:line="298" w:lineRule="auto"/>
        <w:tabs>
          <w:tab w:leader="none" w:pos="360" w:val="left"/>
        </w:tabs>
        <w:numPr>
          <w:ilvl w:val="0"/>
          <w:numId w:val="16"/>
        </w:numPr>
        <w:rPr>
          <w:rFonts w:ascii="Arial" w:cs="Arial" w:eastAsia="Arial" w:hAnsi="Arial"/>
          <w:sz w:val="19"/>
          <w:szCs w:val="19"/>
          <w:b w:val="1"/>
          <w:bCs w:val="1"/>
          <w:color w:val="DA2031"/>
        </w:rPr>
      </w:pPr>
      <w:r>
        <w:rPr>
          <w:rFonts w:ascii="Arial" w:cs="Arial" w:eastAsia="Arial" w:hAnsi="Arial"/>
          <w:sz w:val="19"/>
          <w:szCs w:val="19"/>
          <w:b w:val="1"/>
          <w:bCs w:val="1"/>
          <w:color w:val="auto"/>
        </w:rPr>
        <w:t>The market price for our Common Stock may be volatile and subject to future declines, and the value of an investment in our Common Stock and corresponding derivative securities may decline.</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General Risk Factors</w:t>
      </w:r>
    </w:p>
    <w:p>
      <w:pPr>
        <w:spacing w:after="0" w:line="71" w:lineRule="exact"/>
        <w:rPr>
          <w:sz w:val="20"/>
          <w:szCs w:val="20"/>
          <w:color w:val="auto"/>
        </w:rPr>
      </w:pPr>
    </w:p>
    <w:p>
      <w:pPr>
        <w:ind w:left="360" w:hanging="356"/>
        <w:spacing w:after="0" w:line="255" w:lineRule="auto"/>
        <w:tabs>
          <w:tab w:leader="none" w:pos="360" w:val="left"/>
        </w:tabs>
        <w:numPr>
          <w:ilvl w:val="0"/>
          <w:numId w:val="17"/>
        </w:numPr>
        <w:rPr>
          <w:rFonts w:ascii="Arial" w:cs="Arial" w:eastAsia="Arial" w:hAnsi="Arial"/>
          <w:sz w:val="19"/>
          <w:szCs w:val="19"/>
          <w:b w:val="1"/>
          <w:bCs w:val="1"/>
          <w:color w:val="DA2031"/>
        </w:rPr>
      </w:pPr>
      <w:r>
        <w:rPr>
          <w:rFonts w:ascii="Arial" w:cs="Arial" w:eastAsia="Arial" w:hAnsi="Arial"/>
          <w:sz w:val="19"/>
          <w:szCs w:val="19"/>
          <w:b w:val="1"/>
          <w:bCs w:val="1"/>
          <w:color w:val="auto"/>
        </w:rPr>
        <w:t>Our business, results of operations and financial condition may be negatively impacted by legal and regulatory matters; and</w:t>
      </w:r>
    </w:p>
    <w:p>
      <w:pPr>
        <w:spacing w:after="0" w:line="1"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17"/>
        </w:numPr>
        <w:rPr>
          <w:rFonts w:ascii="Arial" w:cs="Arial" w:eastAsia="Arial" w:hAnsi="Arial"/>
          <w:sz w:val="19"/>
          <w:szCs w:val="19"/>
          <w:b w:val="1"/>
          <w:bCs w:val="1"/>
          <w:color w:val="DA2031"/>
        </w:rPr>
      </w:pPr>
      <w:r>
        <w:rPr>
          <w:rFonts w:ascii="Arial" w:cs="Arial" w:eastAsia="Arial" w:hAnsi="Arial"/>
          <w:sz w:val="19"/>
          <w:szCs w:val="19"/>
          <w:b w:val="1"/>
          <w:bCs w:val="1"/>
          <w:color w:val="auto"/>
        </w:rPr>
        <w:t>Our failure to maintain an adequate system of internal control over financial reporting, could adversely affect our ability to accurately report our results.</w:t>
      </w:r>
    </w:p>
    <w:p>
      <w:pPr>
        <w:spacing w:after="0" w:line="1" w:lineRule="exact"/>
        <w:rPr>
          <w:rFonts w:ascii="Arial" w:cs="Arial" w:eastAsia="Arial" w:hAnsi="Arial"/>
          <w:sz w:val="19"/>
          <w:szCs w:val="19"/>
          <w:b w:val="1"/>
          <w:bCs w:val="1"/>
          <w:color w:val="DA2031"/>
        </w:rPr>
      </w:pPr>
    </w:p>
    <w:p>
      <w:pPr>
        <w:ind w:left="360" w:hanging="356"/>
        <w:spacing w:after="0" w:line="298" w:lineRule="auto"/>
        <w:tabs>
          <w:tab w:leader="none" w:pos="360" w:val="left"/>
        </w:tabs>
        <w:numPr>
          <w:ilvl w:val="0"/>
          <w:numId w:val="17"/>
        </w:numPr>
        <w:rPr>
          <w:rFonts w:ascii="Arial" w:cs="Arial" w:eastAsia="Arial" w:hAnsi="Arial"/>
          <w:sz w:val="19"/>
          <w:szCs w:val="19"/>
          <w:b w:val="1"/>
          <w:bCs w:val="1"/>
          <w:color w:val="DA2031"/>
        </w:rPr>
      </w:pPr>
      <w:r>
        <w:rPr>
          <w:rFonts w:ascii="Arial" w:cs="Arial" w:eastAsia="Arial" w:hAnsi="Arial"/>
          <w:sz w:val="19"/>
          <w:szCs w:val="19"/>
          <w:b w:val="1"/>
          <w:bCs w:val="1"/>
          <w:color w:val="auto"/>
        </w:rPr>
        <w:t>The identification of an error could result in a material weakness and subject the Company to increased regulatory scrutiny as well as adversely affect investor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10</w:t>
      </w:r>
    </w:p>
    <w:p>
      <w:pPr>
        <w:sectPr>
          <w:pgSz w:w="11880" w:h="15480" w:orient="portrait"/>
          <w:cols w:equalWidth="0" w:num="1">
            <w:col w:w="9960"/>
          </w:cols>
          <w:pgMar w:left="960" w:top="724" w:right="960" w:bottom="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i w:val="1"/>
          <w:iCs w:val="1"/>
          <w:u w:val="single" w:color="auto"/>
          <w:color w:val="DA2031"/>
        </w:rPr>
        <w:t>Company-Specific Risk Factors</w:t>
      </w:r>
    </w:p>
    <w:p>
      <w:pPr>
        <w:spacing w:after="0" w:line="136"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business, results of operations, cash flow, and financial condition are affected by global macroeconomic conditions.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Global macroeconomic developments, including conflicts throughout the world, may adversely affect our business and financial results. Our business and financial performance depend on worldwide economic conditions, which affect the demand for our products and services in the markets we serve as well as the cost and availability of inputs to our business. Prolonged or more severe economic weakness and uncertainty, including economic slowdowns or recessions, global market volatility, tariffs, government shutdowns, rising inflation, interest rates, unemployment, and other adverse economic conditions, may result in decreased demand for our products and services, logistical and supply-related challenges, and increased difficulty with financial forecasting. Moreover, the global macroeconomy has a significant impact on interest rates, borrowing costs, and availability and cost of capital, all of which could have an adverse impact on our business. In addition, inflation may adversely affect customers’ financing costs, cash flows, and profitability, which could adversely impact their operations and our ability to collect receivables. Interest rates may rise, which could have a dampening effect on overall economic activity and/or the financial condition of our customers, either or both of which could negatively affect customer demand for our products and our customers’ ability to repay obligations to us. Adverse economic conditions may result in reduced consumer and business confidence and spending, a tightening in the credit markets, a reduced level of liquidity in financial markets, high volatility in credit, fixed-income and equity markets, currency exchange rate fluctuations, and global economic uncertainty. In addition, long-term disruptions in the capital and credit markets could adversely affect our access to liquidity needed for our business. If financial institutions that have extended credit commitments to us are adversely affected by the conditions of the U.S. and international capital markets, they may become unable to fund borrowings under their credit commitments to us, which could have an adverse impact on our financial condition and our ability to borrow additional funds, for working capital, capital expenditures, acquisitions, research and development and other corporate purposes.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global supply chain may experience pronounced disruptions impacting service providers, logistics, and the flow, cost, and availability of supplies and products. Our business depends on its timely supply of equipment, services, and related products, including semiconductors, to meet the technical and volume requirements of our customers. Shortages of parts, materials, and services needed to manufacture and service our products, as well as delays, have adversely impacted, and may continue to adversely impact, our suppliers’ ability to meet our requirements, and in turn our ability to meet our customers’ needs. Moreover, supply chain constraints may increase costs for our products, which we may not be able to pass on to our customers. We may experience further disruptions to our manufacturing operations, supply chain, and/or distribution channels in the future, and these disruptions may be prolonged.</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We are subject to foreign currency exchange and interest rate volatility in our business. Our future revenues, costs and results of operations could be significantly affected by changes in foreign currency exchange rates - particularly the euro, the British pound, and the Japanese yen. We use currency derivative contracts to hedge foreign currency-denominated assets, liabilities, and anticipated transactions. This practice is intended to mitigate or reduce volatility in the results of our foreign operations but does not eliminate such volatility. We do not hedge the translation effect of international revenues and expenses that are denominated in currencies other than the U.S. dollar. Although the use of hedging transactions limits our downside risk, their use may also limit future revenues.</w:t>
      </w:r>
    </w:p>
    <w:p>
      <w:pPr>
        <w:spacing w:after="0" w:line="63"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If we fail to successfully develop new products, technologies, and service offerings, we may be unable to retain current customers and gain new customers.</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operate in an environment of significant competition, driven by rapid technological developments, changes in industry standards, and demands of customers to become more efficient. Our primary competitors are exerting increased competitive pressure in targeted areas and are entering new markets, and emerging competitors may introduce new technologies, business models, or other innovations. Our competitors include large international companies, some of which have significant financial resources and compete with us globally to provide document processing products and services in the markets we serve. We compete primarily on the basis of technology, performance, price, quality, reliability, brand, distribution, and customer service and support. Our future success is largely dependent upon our ability to compete in the markets we currently serve, to promptly and effectively react to changing technologies and customer expectations, and to expand into additional geographies and/or market segments. To remain competitive, we must develop or acquire new services, applications, and products and periodically enhance our existing offerings. If we are unable to compete successfully through existing and new sales channels, we could lose market share and important customers to our competitors, and such loss could materially adversely affect our results of operations and financial condition.</w:t>
      </w:r>
    </w:p>
    <w:p>
      <w:pPr>
        <w:spacing w:after="0" w:line="200" w:lineRule="exact"/>
        <w:rPr>
          <w:sz w:val="20"/>
          <w:szCs w:val="20"/>
          <w:color w:val="auto"/>
        </w:rPr>
      </w:pPr>
    </w:p>
    <w:p>
      <w:pPr>
        <w:spacing w:after="0" w:line="294"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w:t>
      </w:r>
    </w:p>
    <w:p>
      <w:pPr>
        <w:sectPr>
          <w:pgSz w:w="11880" w:h="15480" w:orient="portrait"/>
          <w:cols w:equalWidth="0" w:num="1">
            <w:col w:w="9960"/>
          </w:cols>
          <w:pgMar w:left="960" w:top="732" w:right="960" w:bottom="0" w:gutter="0" w:footer="0" w:header="0"/>
        </w:sectPr>
      </w:pPr>
    </w:p>
    <w:bookmarkStart w:id="21" w:name="page22"/>
    <w:bookmarkEnd w:id="21"/>
    <w:p>
      <w:pPr>
        <w:jc w:val="both"/>
        <w:spacing w:after="0" w:line="261" w:lineRule="auto"/>
        <w:rPr>
          <w:sz w:val="20"/>
          <w:szCs w:val="20"/>
          <w:color w:val="auto"/>
        </w:rPr>
      </w:pPr>
      <w:r>
        <w:rPr>
          <w:rFonts w:ascii="Arial" w:cs="Arial" w:eastAsia="Arial" w:hAnsi="Arial"/>
          <w:sz w:val="19"/>
          <w:szCs w:val="19"/>
          <w:b w:val="1"/>
          <w:bCs w:val="1"/>
          <w:color w:val="auto"/>
        </w:rPr>
        <w:t>The process of developing new high-technology products, software, services, and solutions, and enhancing existing hardware and software products, services, and solutions is complex, costly, and uncertain, and any failure by us to accurately anticipate customers' changing needs and emerging technological trends could significantly harm our market share, results of operations, and financial condition. Changing technological trends may lead to new, adjacent, and ancillary markets for our products, services, and software, requiring us to accurately anticipate our customers' evolving needs. Our business model requires us to commit resources before knowing whether our initiatives will result in products that are commercially successful and generate the revenues required to provide the desired returns.</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addition, our sales strategy requires us to simplify our coverage model and expand into adjacent markets with new products, services, and technology such as integrated IT infrastructure solutions, Intelligent Document Processing, multi-channel client communication services and other workplace productivity solutions. Our ability to develop or acquire new products, services, and technologies for these adjacent markets through new or existing partners may require the investment of significant resources which may not lead to the development of successful new technologies, products, or services.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Our digital services strategy involves developing and deploying essential products and services that address the productivity challenges of a hybrid workplace and distributed workforce. We also expect to extend our IT and digital services presence in the mid-market through organic and inorganic investments over time. Our future success depends on our ability to make such investments and commit the necessary resources to execute our business strategy in this highly competitive market. Despite this investment, the process of developing new products, services, and technologies is inherently complex and uncertain, and there are a number of risks to which we are subject, including the risk that our products, services, or technologies will not successfully satisfy our customers’ needs, conform to evolving preferences or technologies, or gain market acceptance, which could adversely affect our results of operations and financial condition.</w:t>
      </w:r>
    </w:p>
    <w:p>
      <w:pPr>
        <w:spacing w:after="0" w:line="7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business and financial performance could suffer if we do not manage the risks associated with our services businesses properly.</w:t>
      </w:r>
    </w:p>
    <w:p>
      <w:pPr>
        <w:spacing w:after="0" w:line="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The success of our Managed Print and Digital services business depends to a significant degree on attracting, retaining, and maintaining or increasing the level of revenues from our customers. Our standard services agreements are generally renewable at a customer’s option and/or subject to cancellation rights, with or without penalties for early termination. We may not be able to retain or renew services contracts with our customers, or our customers may reduce the scope of the services they contract for. Factors that may influence contract termination, non-renewal, or reduction include reduced print usage, business downturns, dissatisfaction with our services or products, our retirement or lack of support for our products and services, our customers selecting alternative technologies, and the cost of our services as compared to our competitors.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may not be able to replace the revenue and earnings from lost customers or reductions in services. Although our services agreements may include penalties for early termination, these penalties may not fully cover our investments in these businesses.</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addition, the pricing and other terms of certain services agreements require us to make estimates and assumptions at the time we enter into these contracts that could differ from actual results. Any increased or unexpected costs or unanticipated delays in connection with the performance of these contracts, which may increase as services become more customized, could make these agreements less profitable or unprofitable. As a result, we may not generate the revenues, profits or cash flows we may have anticipated from our services business within the expected timelines, if at all.</w:t>
      </w:r>
    </w:p>
    <w:p>
      <w:pPr>
        <w:spacing w:after="0" w:line="7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profitability is dependent upon our ability to obtain adequate pricing for our products and services and to improve our cost structure.</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Our success depends on our ability to obtain adequate pricing for our products and services that will provide a reasonable return to our shareholders. Changes in market conditions, including tariffs, inflation, interest rates, foreign currency exchange movements, and global supply chain disruptions have and may continue to exert pressure on the margins we obtain for our products and services. Cost-reduction and pricing actions we undertake may not prove sufficient to offset the adverse impacts of such market conditions.</w:t>
      </w:r>
    </w:p>
    <w:p>
      <w:pPr>
        <w:spacing w:after="0" w:line="7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Our ability to sustain and improve profit margins is dependent on a number of factors, including geographic mix, our ability to continue to improve the cost efficiency of our operations, our ability to sustain pricing increases across our portfolio of products and services in a competitive and inflationary environment, our success in diversifying our suite of products and services, the additional costs imposed by supply chain disruptions, the proportion of high-end, mid-and entry-level equipment sales, and IT Solutions-related equipment sales (i.e., product and services mix), post sale</w:t>
      </w:r>
    </w:p>
    <w:p>
      <w:pPr>
        <w:spacing w:after="0" w:line="37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12</w:t>
      </w:r>
    </w:p>
    <w:p>
      <w:pPr>
        <w:sectPr>
          <w:pgSz w:w="11880" w:h="15480" w:orient="portrait"/>
          <w:cols w:equalWidth="0" w:num="1">
            <w:col w:w="9960"/>
          </w:cols>
          <w:pgMar w:left="960" w:top="736" w:right="960" w:bottom="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8"/>
          <w:szCs w:val="18"/>
          <w:b w:val="1"/>
          <w:bCs w:val="1"/>
          <w:color w:val="auto"/>
        </w:rPr>
        <w:t>revenue trends, and our ability to successfully complete information technology initiatives. If any of these adverse developments materialize or if we are unable to achieve and maintain productivity or efficiency improvements, our ability to offset labor cost inflation, potential materials cost increases and competitive price pressures would be impaired, all of which could adversely affect our results of operations and financial condition.</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Supply chain disruptions and interest rate increases have increased the cost of the materials and components required to manufacture our products, transportation of components and products, and labor associated with all steps of the supply chain. We continually review our operations with a view towards reducing our cost structure, including reducing our employee base, exiting certain businesses and/or geographies, seeking more favorable terms in our current and future supply contracts, improving process and system efficiencies, and outsourcing some internal functions.</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If we are unable to control the cost of and obtain adequate pricing for our products and services or if our cost-cutting efforts negatively impact our business, it could materially adversely affect our results of operations and financial condition.</w:t>
      </w:r>
    </w:p>
    <w:p>
      <w:pPr>
        <w:spacing w:after="0" w:line="6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We have outsourced a material portion of our manufacturing operations and significantly rely on third-party manufacturers, subcontractors, and suppliers.</w:t>
      </w:r>
    </w:p>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Xerox engages in global manufacturing operations, which are capital-intensive, involving long lead times, and are subject to interdependencies with customers, labor, and suppliers. We have outsourced a material portion of our manufacturing operations to third parties, such as FUJIFILM Business Innovation Corp. (formerly Fuji Xerox Co., Ltd.). In the normal course of business, we regularly reevaluate our relationships with these third parties and have discussions with other third parties in order to maintain competitive tension and seek improved contracting terms. There is no guarantee that such discussions will lead to better arrangements, and our existing suppliers could react negatively to any alternative arrangements we seek to negotiate with them or with other third parties. We have experienced, and may continue to experience, cost increases from our third-party manufacturing partners and we may not be able to pass on all such cost increases to our customers. In addition, we could incur significant costs in order to transition from one third-party manufacturing partner to another and in sourcing manufacturing would be capital-intensive and require significant lead time.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face the risk that our third-party manufacturing partners may not be able to develop or manufacture products satisfying all of our requirements, quickly respond to changes in customer demand, and obtain supplies and materials necessary for the manufacturing process. In addition, our partners may experience labor shortages and/or disruptions, transportation cost increases, materials cost increases, and/or manufacturing cost increases that could lead to higher prices for our products and/or lower reliability of our products. Further, since certain third parties to whom we have outsourced manufacturing are also our competitors in the print market, or may become competitors in the future, we could experience product disruption as a result of competitive pressures that increase the cost of the products supplied. If we face product shortages and/or cost increases and are unable to transition to third parties, we could experience supply interruptions, experience lower profit margins, damage our relationships with our customers, and reduce our market share, all of which could materially adversely affect our results of operations and financial condition.</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addition, in our services business, we may partner with other parties, including software and hardware vendors, to provide the complex solutions required by our customers. Therefore, our ability to deliver the solutions and provide the services required by our customers is dependent on both our and our partners' ability to meet our customers' requirements and schedules. If we or our partners fail to deliver services or products as required and on time, our ability to complete the contract may be adversely affected, which may have an adverse impact on our revenue and profits.</w:t>
      </w:r>
    </w:p>
    <w:p>
      <w:pPr>
        <w:spacing w:after="0" w:line="7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We may be unable to attract and retain key personnel while our business model undergoes significant changes.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Xerox is undergoing significant changes in our business model, including as a result of the Lexmark Acquisition, and, accordingly, current and prospective employees may experience uncertainty about their future and may pursue other opportunities. Our success is dependent, among other things, on our ability to attract, develop and retain highly qualified senior management and other key employees. Competition for key personnel is intense, and our ability to attract and retain key personnel is dependent on a number of factors, including prevailing market conditions and compensation packages offered by companies competing for the same talent. Our ability to do so also depends on how well we maintain a strong corporate culture and corporate brand that is attractive to employees. Hiring and retraining new employees will continue to be a challenge due to competitive labor markets for critical skills, ongoing operating model changes, and heightened competition for leadership and digital talent. The departure of existing key employees or the failure of potential key employees to accept employment with Xerox,</w:t>
      </w:r>
    </w:p>
    <w:p>
      <w:pPr>
        <w:spacing w:after="0" w:line="278"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13</w:t>
      </w:r>
    </w:p>
    <w:p>
      <w:pPr>
        <w:sectPr>
          <w:pgSz w:w="11880" w:h="15480" w:orient="portrait"/>
          <w:cols w:equalWidth="0" w:num="1">
            <w:col w:w="9960"/>
          </w:cols>
          <w:pgMar w:left="960" w:top="736" w:right="960" w:bottom="0" w:gutter="0" w:footer="0" w:header="0"/>
        </w:sectPr>
      </w:pPr>
    </w:p>
    <w:bookmarkStart w:id="23" w:name="page24"/>
    <w:bookmarkEnd w:id="23"/>
    <w:p>
      <w:pPr>
        <w:jc w:val="both"/>
        <w:spacing w:after="0" w:line="298" w:lineRule="auto"/>
        <w:rPr>
          <w:sz w:val="20"/>
          <w:szCs w:val="20"/>
          <w:color w:val="auto"/>
        </w:rPr>
      </w:pPr>
      <w:r>
        <w:rPr>
          <w:rFonts w:ascii="Arial" w:cs="Arial" w:eastAsia="Arial" w:hAnsi="Arial"/>
          <w:sz w:val="19"/>
          <w:szCs w:val="19"/>
          <w:b w:val="1"/>
          <w:bCs w:val="1"/>
          <w:color w:val="auto"/>
        </w:rPr>
        <w:t>despite our recruiting efforts, could have a material adverse impact on our business, financial condition, and operating results.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We may not achieve the expected benefits of Reinvention, which may adversely affect our business.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engage in transformation and restructuring efforts such as Reinvention to reduce cost, simplify our structure, and offerings, achieve operating efficiencies, diversify our business, and facilitate the "mix shift" to increase profitability and sustainable cash flow. Reinvention is intended to simplify our organizational structure, upgrade our IT infrastructure and redesign our business processes. As a result of our Reinvention initiatives, we may experience disruptions, inefficiencies, or other setbacks during transitional periods. Reinvention requires a significant amount of time and focus from both management and other employees, which may divert attention from operating and growing our business. Furthermore, the timing and amount of project savings associated with transformation or restructuring initiatives such as Reinvention may be offset by business disruptions during the implementation phase, required initial or ongoing investments in new processes and systems or otherwise.</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Moreover, we are adopting new pricing strategies, distribution models, go-to-market models, and changes in our partner models. The market may not respond as expected to such actions. Changes in our pricing structure or approach may not align with customer expectations or industry standards, leading to reduced demand or customer dissatisfaction.</w:t>
      </w:r>
    </w:p>
    <w:p>
      <w:pPr>
        <w:spacing w:after="0" w:line="6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If we fail to achieve some or all of the expected benefits of Reinvention, it could have a material adverse effect on our competitive position, business, financial condition, results of operations and cash flows.</w:t>
      </w:r>
    </w:p>
    <w:p>
      <w:pPr>
        <w:spacing w:after="0" w:line="3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Among our Reinvention initiatives is the implementation of a new Enterprise Resource Planning (ERP) system. ERP implementations are complex, labor-intensive and time-consuming projects. The ERP system is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and otherwise operate our business. ERP implementations also require transformation of business and financial processes to reap the benefits of the ERP system. Any such implementation involves risks inherent in the conversion to a new ERP, including loss of information and potential disruption to our normal operations. The implementation and maintenance of the new ERP system has required, and will continue to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ERP system. Any material deficiencies in the design and implementation of the new ERP system could also result in potentially materially higher costs than we had incurred previously and could adversely affect our ability to operate our business and otherwise negatively impact our financial reporting and internal controls. Any of these consequences could have a material adverse effect on our results of operations and financial condition.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As part of our efforts to streamline operations and reduce costs, in 2024 we launched a Global Business Services (GBS) organization with the goal to centralize, standardize and streamline the Company’s support and operational functions across regions, business units and service lines, thereby lowering operating costs, improving quality and enabling continuous improvement. Historically, we have offshored and outsourced certain of our operations, services, and other functions through arrangements with third parties (e.g., TCS and HCL) and we will continue to evaluate the arrangements in the future. Through the acquisition of Lexmark we plan to leverage their model of global capability centers in the Philippines, Hungary, and India for engineering, IT, cybersecurity, sales operations and service delivery, among other functions. If the transition to these centers leads to disruption and the service does not meet the needs of our customers, or if we are unable to attract or retain sufficient personnel with the necessary skill sets, our reputation could suffer. In addition, much of our offshoring takes place in developing countries and as a result may also be subject to geopolitical uncertainty.</w:t>
      </w:r>
    </w:p>
    <w:p>
      <w:pPr>
        <w:spacing w:after="0" w:line="70"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government contracts are subject to termination rights, audits, and investigations, which, if exercised, could negatively impact our reputation and reduce our ability to compete for new contracts.</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A significant portion of our revenue is derived from contracts with U.S. federal, state and local governments and their agencies, as well as international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government spending reductions (e.g., Congressional sequestration of funds under the Budget Control Act of 2011), government shutdowns, or other debt or funding constraints, could result in lower</w:t>
      </w:r>
    </w:p>
    <w:p>
      <w:pPr>
        <w:spacing w:after="0" w:line="200" w:lineRule="exact"/>
        <w:rPr>
          <w:sz w:val="20"/>
          <w:szCs w:val="20"/>
          <w:color w:val="auto"/>
        </w:rPr>
      </w:pPr>
    </w:p>
    <w:p>
      <w:pPr>
        <w:spacing w:after="0" w:line="29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14</w:t>
      </w:r>
    </w:p>
    <w:p>
      <w:pPr>
        <w:sectPr>
          <w:pgSz w:w="11880" w:h="15480" w:orient="portrait"/>
          <w:cols w:equalWidth="0" w:num="1">
            <w:col w:w="9960"/>
          </w:cols>
          <w:pgMar w:left="960" w:top="736" w:right="960" w:bottom="0" w:gutter="0" w:footer="0" w:header="0"/>
        </w:sectPr>
      </w:pPr>
    </w:p>
    <w:bookmarkStart w:id="24" w:name="page25"/>
    <w:bookmarkEnd w:id="24"/>
    <w:p>
      <w:pPr>
        <w:jc w:val="both"/>
        <w:spacing w:after="0" w:line="328" w:lineRule="auto"/>
        <w:rPr>
          <w:sz w:val="20"/>
          <w:szCs w:val="20"/>
          <w:color w:val="auto"/>
        </w:rPr>
      </w:pPr>
      <w:r>
        <w:rPr>
          <w:rFonts w:ascii="Arial" w:cs="Arial" w:eastAsia="Arial" w:hAnsi="Arial"/>
          <w:sz w:val="18"/>
          <w:szCs w:val="18"/>
          <w:b w:val="1"/>
          <w:bCs w:val="1"/>
          <w:color w:val="auto"/>
        </w:rPr>
        <w:t>governmental sales and in our projects being reduced in price or scope or terminated altogether, which also could limit our recovery of incurred costs, reimbursable expenses and profits on work completed prior to the termination.</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Additionally, government agencies routinely audit government contracts. If the government finds that we charged them inappropriate pricing, we could be required to refund or reimburse the government, and there is the possibility of paying fines and penalties. If the government discovers improper or illegal activities or contractual non-compliance in the course of audits or investigations, we may be subject to various civil and criminal penalties and administrative sanctions, including termination of contracts, forfeiture of profits, suspension of payments, fines and suspensions or debarment from doing business with the government. Any resulting penalties or sanctions could have a material adverse effect on our business, financial condition, results of operations and cash flows. Further, the negative publicity that arises from findings in such audits or investigations could have an adverse effect on our reputation and reduce our ability to compete for new contracts and could also have a material adverse effect on our business, financial condition, results of operations and cash flow.</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Additionally, our business with the U.S. government, direct or indirect, is subject to specific laws and regulations with numerous and unique compliance requirements relating to formation, administration and performance of U.S. federal or federally funded contracts. These requirements, which may increase or change over time, may increase our performance and compliance costs thereby reducing our margins, which could have an adverse effect on our financial condition. Violations or other failures to comply with these laws, regulations or other compliance requirements could lead to terminations for default, suspension or debarment from U.S. government contracting or subcontracting for a period of time or other adverse actions. Such laws, regulations or other compliance requirements include those related to procurement integrity, export control, U.S. government security and information security regulations, supply chain and sourcing requirements and restrictions, employment practices, protection of criminal justice data, protection of the environment, accuracy of records, proper recording of costs, foreign corruption, Trade Agreements Act, Buy America Act, other domestic content requirements, and the False Claims Act.</w:t>
      </w:r>
    </w:p>
    <w:p>
      <w:pPr>
        <w:spacing w:after="0" w:line="8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ability to fund our customer financing activities at economically competitive levels depends on our ability to source capital and the cost of capital in the credit markets.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The long-term viability and profitability of our financing business is dependent, in part, on our ability to borrow against or sell leases and the cost of borrowing in the credit markets. This ability and cost, in turn, is dependent on</w:t>
      </w:r>
    </w:p>
    <w:p>
      <w:pPr>
        <w:spacing w:after="0" w:line="2" w:lineRule="exact"/>
        <w:rPr>
          <w:sz w:val="20"/>
          <w:szCs w:val="20"/>
          <w:color w:val="auto"/>
        </w:rPr>
      </w:pPr>
    </w:p>
    <w:p>
      <w:pPr>
        <w:jc w:val="both"/>
        <w:ind w:firstLine="4"/>
        <w:spacing w:after="0" w:line="274" w:lineRule="auto"/>
        <w:tabs>
          <w:tab w:leader="none" w:pos="2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our credit rating, which is currently non-investment grade according to credit rating agency assessments that are subject to periodic reviews and can change following a review and (ii) credit market volatility, which is impacted by global macroeconomic developments such as the war in Ukraine, conflicts in the Middle East. and other global macroeconomic developments. Increased credit market volatility has, among other things, increased the cost of borrowing and reduced access to debt and equity markets. We have historically funded our financing business through a combination of sales and securitizations of finance receivables, capital markets offerings, cash generated from operations and cash on hand. Our current sourcing strategy is centered on selling existing and newly originated finance receivables under long term arrangements with financing partners, which may impact the future revenues of the financing business. Our ability to continue to offer customer financing and be successful in the placement of equipment, software, and IT services with customers seeking to finance those transactions through Xerox is largely dependent on our ability to source funding at a reasonable cost, or at all. If our credit rating declines, the credit market becomes more volatile, or other events occur that reduce the demand for, or our funding partners' ability to provide at attractive rates on, customer financing, it may adversely impact our finance business and results of operations, however, there are alternative sources of funding available to the majority of our customers, which could reduce the overall impact to the broader Xerox business.</w:t>
      </w:r>
    </w:p>
    <w:p>
      <w:pPr>
        <w:spacing w:after="0" w:line="65"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level of debt could adversely affect our financial condition and reduce our financial and operational flexibility.</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As of December 31, 2025, our total debt was $4.2 billion, which primarily consisted of $2.5 billion of unsecured debt and approximately $1.7 billion of secured borrowings. In February 2026, Xerox Corporation entered into a joint venture arrangement with certain investors including certain funds and accounts managed by Angelo, Gordon &amp; Co., L.P. (collectively, TPG), under which Xerox Corporation contributed certain intellectual property and related assets, including the trademarks in respect of the Xerox brand in exchange for $405 million aggregate principal amount of senior secured term loans. Refer to Note 26 – Subsequent Events in the Consolidated Financial Statements for additional information regarding the joint venture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15</w:t>
      </w:r>
    </w:p>
    <w:p>
      <w:pPr>
        <w:sectPr>
          <w:pgSz w:w="11880" w:h="15480" w:orient="portrait"/>
          <w:cols w:equalWidth="0" w:num="1">
            <w:col w:w="9960"/>
          </w:cols>
          <w:pgMar w:left="960" w:top="736" w:right="960" w:bottom="0" w:gutter="0" w:footer="0" w:header="0"/>
        </w:sectPr>
      </w:pPr>
    </w:p>
    <w:bookmarkStart w:id="25" w:name="page26"/>
    <w:bookmarkEnd w:id="25"/>
    <w:p>
      <w:pPr>
        <w:spacing w:after="0" w:line="287" w:lineRule="auto"/>
        <w:rPr>
          <w:sz w:val="20"/>
          <w:szCs w:val="20"/>
          <w:color w:val="auto"/>
        </w:rPr>
      </w:pPr>
      <w:r>
        <w:rPr>
          <w:rFonts w:ascii="Arial" w:cs="Arial" w:eastAsia="Arial" w:hAnsi="Arial"/>
          <w:sz w:val="19"/>
          <w:szCs w:val="19"/>
          <w:b w:val="1"/>
          <w:bCs w:val="1"/>
          <w:color w:val="auto"/>
        </w:rPr>
        <w:t>In the future, we may incur additional debt. Our debt could affect our financial and operational flexibility in several ways, including the following:</w:t>
      </w:r>
    </w:p>
    <w:p>
      <w:pPr>
        <w:spacing w:after="0" w:line="1" w:lineRule="exact"/>
        <w:rPr>
          <w:sz w:val="20"/>
          <w:szCs w:val="20"/>
          <w:color w:val="auto"/>
        </w:rPr>
      </w:pPr>
    </w:p>
    <w:p>
      <w:pPr>
        <w:ind w:left="360" w:hanging="356"/>
        <w:spacing w:after="0"/>
        <w:tabs>
          <w:tab w:leader="none" w:pos="360" w:val="left"/>
        </w:tabs>
        <w:numPr>
          <w:ilvl w:val="0"/>
          <w:numId w:val="19"/>
        </w:numPr>
        <w:rPr>
          <w:rFonts w:ascii="Arial" w:cs="Arial" w:eastAsia="Arial" w:hAnsi="Arial"/>
          <w:sz w:val="19"/>
          <w:szCs w:val="19"/>
          <w:b w:val="1"/>
          <w:bCs w:val="1"/>
          <w:color w:val="DA2031"/>
        </w:rPr>
      </w:pPr>
      <w:r>
        <w:rPr>
          <w:rFonts w:ascii="Arial" w:cs="Arial" w:eastAsia="Arial" w:hAnsi="Arial"/>
          <w:sz w:val="19"/>
          <w:szCs w:val="19"/>
          <w:b w:val="1"/>
          <w:bCs w:val="1"/>
          <w:color w:val="auto"/>
        </w:rPr>
        <w:t>a significant portion of our cash flows could be used to service our debt;</w:t>
      </w:r>
    </w:p>
    <w:p>
      <w:pPr>
        <w:spacing w:after="0" w:line="14"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19"/>
        </w:numPr>
        <w:rPr>
          <w:rFonts w:ascii="Arial" w:cs="Arial" w:eastAsia="Arial" w:hAnsi="Arial"/>
          <w:sz w:val="19"/>
          <w:szCs w:val="19"/>
          <w:b w:val="1"/>
          <w:bCs w:val="1"/>
          <w:color w:val="DA2031"/>
        </w:rPr>
      </w:pPr>
      <w:r>
        <w:rPr>
          <w:rFonts w:ascii="Arial" w:cs="Arial" w:eastAsia="Arial" w:hAnsi="Arial"/>
          <w:sz w:val="19"/>
          <w:szCs w:val="19"/>
          <w:b w:val="1"/>
          <w:bCs w:val="1"/>
          <w:color w:val="auto"/>
        </w:rPr>
        <w:t>the covenants contained in the agreements governing our outstanding debt may limit our ability to borrow additional funds, dispose of assets, pay dividends, and make certain investments;</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9"/>
        </w:numPr>
        <w:rPr>
          <w:rFonts w:ascii="Arial" w:cs="Arial" w:eastAsia="Arial" w:hAnsi="Arial"/>
          <w:sz w:val="18"/>
          <w:szCs w:val="18"/>
          <w:b w:val="1"/>
          <w:bCs w:val="1"/>
          <w:color w:val="DA2031"/>
        </w:rPr>
      </w:pPr>
      <w:r>
        <w:rPr>
          <w:rFonts w:ascii="Arial" w:cs="Arial" w:eastAsia="Arial" w:hAnsi="Arial"/>
          <w:sz w:val="18"/>
          <w:szCs w:val="18"/>
          <w:b w:val="1"/>
          <w:bCs w:val="1"/>
          <w:color w:val="auto"/>
        </w:rPr>
        <w:t>our debt covenants may inhibit our ability to plan for and react to changes in the economy and in our industry;</w:t>
      </w:r>
    </w:p>
    <w:p>
      <w:pPr>
        <w:spacing w:after="0" w:line="25" w:lineRule="exact"/>
        <w:rPr>
          <w:rFonts w:ascii="Arial" w:cs="Arial" w:eastAsia="Arial" w:hAnsi="Arial"/>
          <w:sz w:val="18"/>
          <w:szCs w:val="18"/>
          <w:b w:val="1"/>
          <w:bCs w:val="1"/>
          <w:color w:val="DA2031"/>
        </w:rPr>
      </w:pPr>
    </w:p>
    <w:p>
      <w:pPr>
        <w:ind w:left="360" w:hanging="356"/>
        <w:spacing w:after="0" w:line="255" w:lineRule="auto"/>
        <w:tabs>
          <w:tab w:leader="none" w:pos="360" w:val="left"/>
        </w:tabs>
        <w:numPr>
          <w:ilvl w:val="0"/>
          <w:numId w:val="19"/>
        </w:numPr>
        <w:rPr>
          <w:rFonts w:ascii="Arial" w:cs="Arial" w:eastAsia="Arial" w:hAnsi="Arial"/>
          <w:sz w:val="19"/>
          <w:szCs w:val="19"/>
          <w:b w:val="1"/>
          <w:bCs w:val="1"/>
          <w:color w:val="DA2031"/>
        </w:rPr>
      </w:pPr>
      <w:r>
        <w:rPr>
          <w:rFonts w:ascii="Arial" w:cs="Arial" w:eastAsia="Arial" w:hAnsi="Arial"/>
          <w:sz w:val="19"/>
          <w:szCs w:val="19"/>
          <w:b w:val="1"/>
          <w:bCs w:val="1"/>
          <w:color w:val="auto"/>
        </w:rPr>
        <w:t>our debt covenants may limit our ability to structure investments, dispositions, financings, and other transactions as well as our treasury operations;</w:t>
      </w:r>
    </w:p>
    <w:p>
      <w:pPr>
        <w:spacing w:after="0" w:line="1" w:lineRule="exact"/>
        <w:rPr>
          <w:rFonts w:ascii="Arial" w:cs="Arial" w:eastAsia="Arial" w:hAnsi="Arial"/>
          <w:sz w:val="19"/>
          <w:szCs w:val="19"/>
          <w:b w:val="1"/>
          <w:bCs w:val="1"/>
          <w:color w:val="DA2031"/>
        </w:rPr>
      </w:pPr>
    </w:p>
    <w:p>
      <w:pPr>
        <w:jc w:val="both"/>
        <w:ind w:left="360" w:hanging="356"/>
        <w:spacing w:after="0" w:line="255" w:lineRule="auto"/>
        <w:tabs>
          <w:tab w:leader="none" w:pos="360" w:val="left"/>
        </w:tabs>
        <w:numPr>
          <w:ilvl w:val="0"/>
          <w:numId w:val="19"/>
        </w:numPr>
        <w:rPr>
          <w:rFonts w:ascii="Arial" w:cs="Arial" w:eastAsia="Arial" w:hAnsi="Arial"/>
          <w:sz w:val="19"/>
          <w:szCs w:val="19"/>
          <w:b w:val="1"/>
          <w:bCs w:val="1"/>
          <w:color w:val="DA2031"/>
        </w:rPr>
      </w:pPr>
      <w:r>
        <w:rPr>
          <w:rFonts w:ascii="Arial" w:cs="Arial" w:eastAsia="Arial" w:hAnsi="Arial"/>
          <w:sz w:val="19"/>
          <w:szCs w:val="19"/>
          <w:b w:val="1"/>
          <w:bCs w:val="1"/>
          <w:color w:val="auto"/>
        </w:rPr>
        <w:t>a high level of debt could lead to a decrease in our credit rating, which could result in increased borrowing costs and/or impair our ability to obtain new financing and impact contracting terms with vendors, suppliers, customers service providers, and other third parties;</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9"/>
        </w:numPr>
        <w:rPr>
          <w:rFonts w:ascii="Arial" w:cs="Arial" w:eastAsia="Arial" w:hAnsi="Arial"/>
          <w:sz w:val="18"/>
          <w:szCs w:val="18"/>
          <w:b w:val="1"/>
          <w:bCs w:val="1"/>
          <w:color w:val="DA2031"/>
        </w:rPr>
      </w:pPr>
      <w:r>
        <w:rPr>
          <w:rFonts w:ascii="Arial" w:cs="Arial" w:eastAsia="Arial" w:hAnsi="Arial"/>
          <w:sz w:val="18"/>
          <w:szCs w:val="18"/>
          <w:b w:val="1"/>
          <w:bCs w:val="1"/>
          <w:color w:val="auto"/>
        </w:rPr>
        <w:t>a high level of debt would increase our vulnerability to general adverse economic and industry conditions;</w:t>
      </w:r>
    </w:p>
    <w:p>
      <w:pPr>
        <w:spacing w:after="0" w:line="25" w:lineRule="exact"/>
        <w:rPr>
          <w:rFonts w:ascii="Arial" w:cs="Arial" w:eastAsia="Arial" w:hAnsi="Arial"/>
          <w:sz w:val="18"/>
          <w:szCs w:val="18"/>
          <w:b w:val="1"/>
          <w:bCs w:val="1"/>
          <w:color w:val="DA2031"/>
        </w:rPr>
      </w:pPr>
    </w:p>
    <w:p>
      <w:pPr>
        <w:jc w:val="both"/>
        <w:ind w:left="360" w:hanging="356"/>
        <w:spacing w:after="0" w:line="255" w:lineRule="auto"/>
        <w:tabs>
          <w:tab w:leader="none" w:pos="360" w:val="left"/>
        </w:tabs>
        <w:numPr>
          <w:ilvl w:val="0"/>
          <w:numId w:val="19"/>
        </w:numPr>
        <w:rPr>
          <w:rFonts w:ascii="Arial" w:cs="Arial" w:eastAsia="Arial" w:hAnsi="Arial"/>
          <w:sz w:val="19"/>
          <w:szCs w:val="19"/>
          <w:b w:val="1"/>
          <w:bCs w:val="1"/>
          <w:color w:val="DA2031"/>
        </w:rPr>
      </w:pPr>
      <w:r>
        <w:rPr>
          <w:rFonts w:ascii="Arial" w:cs="Arial" w:eastAsia="Arial" w:hAnsi="Arial"/>
          <w:sz w:val="19"/>
          <w:szCs w:val="19"/>
          <w:b w:val="1"/>
          <w:bCs w:val="1"/>
          <w:color w:val="auto"/>
        </w:rPr>
        <w:t>a high level of debt may place us at a competitive disadvantage compared to our competitors that may be less leveraged and therefore may be able to take advantage of opportunities that our debt would prevent us from pursuing; and</w:t>
      </w:r>
    </w:p>
    <w:p>
      <w:pPr>
        <w:spacing w:after="0" w:line="1" w:lineRule="exact"/>
        <w:rPr>
          <w:rFonts w:ascii="Arial" w:cs="Arial" w:eastAsia="Arial" w:hAnsi="Arial"/>
          <w:sz w:val="19"/>
          <w:szCs w:val="19"/>
          <w:b w:val="1"/>
          <w:bCs w:val="1"/>
          <w:color w:val="DA2031"/>
        </w:rPr>
      </w:pPr>
    </w:p>
    <w:p>
      <w:pPr>
        <w:ind w:left="360" w:hanging="356"/>
        <w:spacing w:after="0" w:line="298" w:lineRule="auto"/>
        <w:tabs>
          <w:tab w:leader="none" w:pos="360" w:val="left"/>
        </w:tabs>
        <w:numPr>
          <w:ilvl w:val="0"/>
          <w:numId w:val="19"/>
        </w:numPr>
        <w:rPr>
          <w:rFonts w:ascii="Arial" w:cs="Arial" w:eastAsia="Arial" w:hAnsi="Arial"/>
          <w:sz w:val="19"/>
          <w:szCs w:val="19"/>
          <w:b w:val="1"/>
          <w:bCs w:val="1"/>
          <w:color w:val="DA2031"/>
        </w:rPr>
      </w:pPr>
      <w:r>
        <w:rPr>
          <w:rFonts w:ascii="Arial" w:cs="Arial" w:eastAsia="Arial" w:hAnsi="Arial"/>
          <w:sz w:val="19"/>
          <w:szCs w:val="19"/>
          <w:b w:val="1"/>
          <w:bCs w:val="1"/>
          <w:color w:val="auto"/>
        </w:rPr>
        <w:t>a high level of debt may impair our ability to obtain additional financing in the future for working capital, capital expenditures, debt service requirements, acquisitions, or general corporate or other purposes.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addition, revolving borrowings under our ABL (as defined below) and the term loans under our TLB (as defined below), and potentially other credit facilities we or our subsidiaries may enter into in the future, may bear interest at variable rates. Increases in market interest rates could lead to higher debt service requirements associated with our variable-rate borrowings, if any. The effect of inflation on interest rates could increase our financing costs over time, either through near-term borrowings on our ABL and TLB, refinancing of our existing borrowings, or the issuance of new debt.</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Moreover, our operations require substantial expenditures on a continuing basis. Our ability to service debt make scheduled debt payments, refinance our obligations with respect to our debt, and fund capital and non-capital expenditures necessary to maintain the condition of our operating assets and properties, as well as to provide capacity for the continuity and growth of our business, depend on our financial and operating performance. If we are unable to generate sufficient cash flows to repay our debt when due, we may not be able to pay or refinance such debt at attractive rates or at all.</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i w:val="1"/>
          <w:iCs w:val="1"/>
          <w:color w:val="DA2031"/>
        </w:rPr>
        <w:t>We need to maintain adequate liquidity in order to meet our operating cash flow requirements, repay maturing debt and meet other financial obligations, such as payment of dividends to the extent declared by our Board of Directors. If we fail to comply with the covenants contained in our various debt agreements, it may adversely affect our liquidity, results of operations, and financial condition.</w:t>
      </w:r>
    </w:p>
    <w:p>
      <w:pPr>
        <w:spacing w:after="0" w:line="5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Our liquidity is a function of our cash on-hand, our ability to successfully generate cash flows from a combination of efficient operations and continuing operating improvements, availability under our $425 million asset-based revolving credit facility (the ABL), access to capital markets and funding from third parties, which includes securitizations and sales of our finance receivables. We believe our liquidity (including operating and other cash flows that we expect to generate) will be sufficient to meet operating requirements as they arise; however, in addition to generating cash flows from our operations, our ability to maintain sufficient liquidity going forward will be subject to the general liquidity of and on-going changes in the credit markets as well as general economic, financial, competitive, legislative, regulatory, and other market factors that are beyond our control.</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ABL, is governed by that certain Credit Agreement dated as of May 22, 2023, by and among Xerox Corporation, as borrower, Xerox Holdings Corporation, certain of Xerox Corporation's subsidiaries, as guarantors, Citibank, N.A., as administrative agent and collateral agent, and the lenders and issuing banks party thereto, as amended, contains a fixed charge coverage ratio of 1x, as defined in the ABL, measured as of the last day of each fiscal quarter during which excess availability is less than an amount equal to the greater of (A) $31.875 million and (B) 10% of the Line Cap (the lesser of the aggregate amount of Revolving Commitments and the then-applicable Borrowing Base). Both the ABL and our First Lien Term Loan Credit Agreement, dated as of November 17, 2023, by and among Xerox Corporation as borrower, Xerox Holdings Corporation, certain of Xerox Corporation's subsidiaries, as guarantors, with Jefferies Finance LLC as administrative agent and collateral agent, and the lenders party thereto, as amended (the TLB), are supported by guarantees from us and certain US, Canadian, English, German and Belgian subsidiaries, and by security interests in substantially all of our and such US, Canadian and English, German and Belgian subsidiaries’ assets, subject to certain exceptions.</w:t>
      </w:r>
    </w:p>
    <w:p>
      <w:pPr>
        <w:spacing w:after="0" w:line="64"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The ABL, the TLB and the indentures governing our 13.00% Senior Notes due 2026, 5.50% Senior Notes due 2028, 8.88% Senior Notes due 2029, 13.00% Senior Notes due 2030, 10.25% Senior Notes due 2030, 3.75% Convertible</w:t>
      </w: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16</w:t>
      </w:r>
    </w:p>
    <w:p>
      <w:pPr>
        <w:sectPr>
          <w:pgSz w:w="11880" w:h="15480" w:orient="portrait"/>
          <w:cols w:equalWidth="0" w:num="1">
            <w:col w:w="9960"/>
          </w:cols>
          <w:pgMar w:left="960" w:top="736" w:right="960" w:bottom="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9"/>
          <w:szCs w:val="19"/>
          <w:b w:val="1"/>
          <w:bCs w:val="1"/>
          <w:color w:val="auto"/>
        </w:rPr>
        <w:t>Senior Notes due 2030, 13.50% Senior Notes due 2031, 4.80% Senior Notes due 2035, and 6.75% Senior Notes due 2039 and the Secured Promissory Note issued in favor of ITsavvy Holdings, LLC and maturing on January 30, 2026 (the 2026 ITsavvy Note) (collectively, the Notes) also impose operating and financial restrictions on us and may limit our ability to engage in acts that may be in our best interest, including restrictions on our ability to: pay dividends, make other distributions in respect of, or repurchase or redeem capital stock; incur additional debt and guarantee debt; prepay, redeem, or repurchase certain debt; make loans, investments, and other restricted payments; sell or otherwise dispose of assets; incur liens; enter into agreements restricting our subsidiaries’ ability to pay dividends; consolidate, merge, or sell all or substantially all of our assets; make strategic acquisitions or investments; or enter into joint ventures.</w:t>
      </w:r>
    </w:p>
    <w:p>
      <w:pPr>
        <w:spacing w:after="0" w:line="7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Failure to comply with material provisions or covenants in the ABL, the TLB, the Notes or our other debt agreements could have a material adverse effect on our liquidity, results of operations, and financial condition. A default under certain of our debt agreements may allow our creditors to accelerate the applicable obligations and result in the acceleration of other obligations to which a cross-acceleration or cross-default provision applies. In addition, an event of default under the ABL would permit the lenders thereunder to terminate all commitments to extend credit. Furthermore, if we were unable to repay the amounts due and payable under the ABL, the TLB, the 10.25% Senior Notes due 2030, the 13.50% Senior Notes due 2031, or the 2026 ITsavvy Note, the lenders could proceed against the collateral granted to them to secure the obligations thereunder. If any of our creditors accelerate the repayment of applicable debt, we and our subsidiaries may not have sufficient assets to repay that debt.</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i w:val="1"/>
          <w:iCs w:val="1"/>
          <w:color w:val="DA2031"/>
        </w:rPr>
        <w:t>Our products and services may be affected by design and manufacturing defects that could materially adversely affect our business, financial condition, and results of operations.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b w:val="1"/>
          <w:bCs w:val="1"/>
          <w:color w:val="auto"/>
        </w:rPr>
        <w:t>Our products and services, or those of our OEM customers in which our products are installed, could be affected by design and manufacturing defects. There can be no assurance we will be able to detect and fix all issues and defects in our products and services, and may have limited ability to respond to those impacting our OEM customers. Failure to do so can result, and in the past has resulted in recalls, product replacements or modifications, and may cause reputational harm, and significant warranty and other expenses, which could have a material adverse impact on our business, financial condition and results of operations.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If our products malfunction or contain errors or defects, we could also be subject to significant liability for personal injury and property damage and, under certain circumstances, could be subject to a judgment for punitive damages. We maintain insurance against accident-related risks involving our products. However, there can be no assurance that such insurance would be sufficient to cover the cost of litigation or damages to others or that such insurance will continue to be available at commercially reasonable rates. In addition, insurance coverage may not cover awards of punitive damages and may not cover the cost of associated legal fees and defense costs, which could result in lower margins. If we are unable to maintain sufficient insurance to cover product liability costs or if our insurance coverage does not cover the award, this could have a material adverse impact on our business, financial condition and results of operations.</w:t>
      </w:r>
    </w:p>
    <w:p>
      <w:pPr>
        <w:spacing w:after="0" w:line="7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financial condition and results of operations could be adversely affected by employee benefit-related funding requirements.</w:t>
      </w:r>
    </w:p>
    <w:p>
      <w:pPr>
        <w:spacing w:after="0" w:line="2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We sponsor several defined benefit pension and retiree-health benefit plans throughout the world. We are required to make contributions to these plans to comply with minimum funding requirements imposed by laws governing these employee benefit plans. Although most of our major defined benefit plans have been amended to freeze current benefits and eliminate benefit accruals for future service, several plans remain unfunded (by design) or are under-funded. The projected benefit obligations for these benefit plans at December 31, 2025 exceeded the value of the assets of those plans by approximately $1.0 billion. The current unfunded or underfunded status of these plans is a significant factor in determining the ongoing future contributions we will be required to make to these plans. Accordingly, we expect to have additional funding requirements in future years, and we may make additional, voluntary contributions to the plans. Depending on our cash position at the time, any such funding or contributions to our defined benefit plans could impact our operating flexibility and financial position, including adversely affecting our cash flow for the quarter in which such funding or contributions are made. Weak macroeconomic conditions and related under-performance of asset markets could also lead to increases in our funding requirements.</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intellectual property rights are valuable, and any inability to protect them could reduce the value of our products, services, and brand.</w:t>
      </w:r>
    </w:p>
    <w:p>
      <w:pPr>
        <w:spacing w:after="0" w:line="2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b w:val="1"/>
          <w:bCs w:val="1"/>
          <w:color w:val="auto"/>
        </w:rPr>
        <w:t>In developing new technologies and products and maintaining our product portfolio, we rely upon patent, copyright, trademark, and trade secret laws in the United States and similar laws in other countries, and a combination of confidentiality, license, assignment and other agreements with our employees, customers, suppliers and other parties, to establish and maintain our intellectual property rights in technology and products used in our operations.</w:t>
      </w:r>
    </w:p>
    <w:p>
      <w:pPr>
        <w:spacing w:after="0" w:line="337"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17</w:t>
      </w:r>
    </w:p>
    <w:p>
      <w:pPr>
        <w:sectPr>
          <w:pgSz w:w="11880" w:h="15480" w:orient="portrait"/>
          <w:cols w:equalWidth="0" w:num="1">
            <w:col w:w="9960"/>
          </w:cols>
          <w:pgMar w:left="960" w:top="736" w:right="960" w:bottom="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8"/>
          <w:szCs w:val="18"/>
          <w:b w:val="1"/>
          <w:bCs w:val="1"/>
          <w:color w:val="auto"/>
        </w:rPr>
        <w:t>However, various events outside of our control may pose a threat to our intellectual property rights, as well as to our products and services. Monitoring and detecting any unauthorized access, use or disclosure of our intellectual property is difficult and costly and we cannot be certain that the protective measures we have implemented will completely prevent misuse. Our ability to enforce our intellectual property rights is subject to litigation risks and uncertainty as to the protection and enforceability of those rights in some countries. If we seek to enforce our intellectual property rights, we may be subject to claims that those rights are invalid or unenforceable, and others may seek counterclaims against us, which could have a negative impact on our business. Effective protection of intellectual property rights is expensive and difficult to maintain, both in terms of application and maintenance costs, as well as the costs of defending and enforcing those rights. Any action against our Company relating to our intellectual property rights, regardless of the outcome, could generate substantial costs and require significant involvement from our management team, which could adversely impact our results of operations and financial condition. If we are unable to enforce and protect intellectual property rights, or if they are circumvented, rendered obsolete, invalidated by the rapid pace of technological change, or stolen or misappropriated by employees or third parties, it could have an adverse impact on our competitive position and business. Changes in intellectual property laws or their interpretation may impact our ability to protect and assert our intellectual property rights, increase costs and uncertainties in the prosecution of patent applications or related enforcement actions, and diminish the value and competitive advantage conferred by our intellectual property assets. Negative publicity generated from intellectual property disputes could also harm our reputation and brand image.</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efforts we have taken to protect our intellectual property rights may not be sufficient or effective, or existing agreements may be breached. It is possible that our intellectual property rights could be infringed, misappropriated, challenged, invalidated, or circumvented, which could allow others to use our intellectual property to our competitive detriment. Further, we routinely apply for patents to protect innovative ideas in our technology, but we may not always be successful in obtaining patent grants from these applications. Certain trademarks, including the "Xerox" brand, are critical to our competitive position, customer recognition, and the marketing of our products and services worldwide. We pursue registration of copyrights, trademarks, and domain names in numerous jurisdictions, but doing so may not always be successful or cost-effective. The scope and cost of maintaining and enforcing a global trademark portfolio this size and significance are substantial, and there can be no assurance that our efforts to register, maintain, and protect our trademarks will be effective in all jurisdictions. The laws of certain countries may not protect our proprietary rights to the same extent as the laws of the United States and we may be unable to protect our proprietary technology adequately against unauthorized third-party copying or use, which could adversely affect our competitive position. In addition, some of our products rely on technologies developed by third parties. We may not be able to obtain or to continue to obtain licenses and technologies from these third parties at all or on reasonable terms, or such third parties may demand cross-licenses to our intellectual property.</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If we fail to accurately anticipate and meet our customers' needs through the development of new products, technologies, and service offerings or if we fail to adequately protect our intellectual property rights, we could lose market share and customers to our competitors, which could materially adversely affect our results of operations and financial condition.</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The Shared Services and License Agreement (the SSLA) entered pursuant to the joint venture arrangement with certain investors including certain funds and accounts managed by Angelo, Gordon &amp; Co., L.P. may be terminated by XRX Brandco LLC upon certain events of default, in which case the Company’s right to use the certain intellectual property, including the “Xerox” brand, would terminate, which could have a material adverse effect on our business. Additionally, with trademark ownership residing in XRX Brandco LLC, our ability to independently enforce our trademark rights or sublicensing may be constrained by the terms of the SSLA, which could limit our flexibility in responding to competitive threats or pursuing business opportunities. Refer to Note 26 – Subsequent Events in the Consolidated Financial Statements for more information about the joint venture arrangement.</w:t>
      </w:r>
    </w:p>
    <w:p>
      <w:pPr>
        <w:spacing w:after="0" w:line="6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Failure to meet evolving corporate social responsibility expectations, standards, or goals could adversely affect our business, results of operations, financial condition, or stock price.</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There has been increased focus from regulators and stakeholders on corporate social responsibility (CSR) matters, including climate-related risks and greenhouse gas emissions, responsible sourcing and supply chain practices, human rights, and corporate governance. CSR-related regulatory requirements continue to expand and evolve globally, including in the European Union under the Corporate Sustainability Reporting Directive (CSRD) and European Sustainability Reporting Standards (ESRS), in the United States at the federal and state level, and in other jurisdictions where we operate.</w:t>
      </w:r>
    </w:p>
    <w:p>
      <w:pPr>
        <w:spacing w:after="0" w:line="7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The scope, interpretation, timing, and implementation of these laws and regulations remain subject to uncertainty, evolving guidance, and potential legal challenges. Differences among regulatory regimes may increase compliance complexity, require additional systems and controls, and limit comparability across jurisdictions. Compliance,</w:t>
      </w:r>
    </w:p>
    <w:p>
      <w:pPr>
        <w:spacing w:after="0" w:line="255"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18</w:t>
      </w:r>
    </w:p>
    <w:p>
      <w:pPr>
        <w:sectPr>
          <w:pgSz w:w="11880" w:h="15480" w:orient="portrait"/>
          <w:cols w:equalWidth="0" w:num="1">
            <w:col w:w="9960"/>
          </w:cols>
          <w:pgMar w:left="960" w:top="736" w:right="960" w:bottom="0" w:gutter="0" w:footer="0" w:header="0"/>
        </w:sectPr>
      </w:pPr>
    </w:p>
    <w:bookmarkStart w:id="28" w:name="page29"/>
    <w:bookmarkEnd w:id="28"/>
    <w:p>
      <w:pPr>
        <w:jc w:val="both"/>
        <w:spacing w:after="0" w:line="284" w:lineRule="auto"/>
        <w:rPr>
          <w:sz w:val="20"/>
          <w:szCs w:val="20"/>
          <w:color w:val="auto"/>
        </w:rPr>
      </w:pPr>
      <w:r>
        <w:rPr>
          <w:rFonts w:ascii="Arial" w:cs="Arial" w:eastAsia="Arial" w:hAnsi="Arial"/>
          <w:sz w:val="18"/>
          <w:szCs w:val="18"/>
          <w:b w:val="1"/>
          <w:bCs w:val="1"/>
          <w:color w:val="auto"/>
        </w:rPr>
        <w:t>particularly with respect to Scope 3 greenhouse gas emissions and supply-chain-related requirements, may require the use of estimates, assumptions, and third-party data that may be incomplete, inaccurate, or inconsistent, and may result in increased costs, operational burdens, or enforcement risk. In addition, evolving climate-related regulations and market expectations may expose us to transition risks, including risks related to changes in laws and regulations, customer preferences, technology, and the availability and cost of energy and other inputs.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In 2021, Xerox voluntarily announced its 2040 net zero goal. Achievement of this and other CSR-related goals depends on factors outside our control, including economic conditions, technological developments, regulatory changes, customer preferences, and actions by suppliers and partners. Our strategies, targets, and timelines may evolve over time, and progress may vary from period to period. If we are unable, or are perceived to be unable, to achieve progress toward our environmental goals, or if our products are not viewed as sufficiently energy efficient relative to those of competitors, demand for our products and services may decline, our market share may be reduced, and our reputation may be harmed.</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CSR-related disclosures may expose us to increased litigation, regulatory, and enforcement risk, including claims alleging misstatements, omissions, or “greenwashing,” particularly where such disclosures rely on evolving standards, estimates, or third-party information. Even voluntary disclosures may be subject to scrutiny or challenge by investors, regulators, and other stakeholders.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CSR-related initiatives and disclosures may also expose us to political and reputational risks. In the United States, differing views regarding CSR, ESG, and climate-related matters may result in criticism, loss of business, boycotts, restrictions on public-sector contracting, or other adverse impacts, regardless of whether we increase, decrease, or maintain our current level of CSR-related activities or disclosures.</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Failure, or perceived failure, to meet evolving CSR expectations or regulatory requirements may harm our reputation, adversely affect our ability to attract and retain customers and talent, increase scrutiny from investors and regulators, and limit access to capital. Damage to our reputation or brand may reduce demand for our products and services, adversely affect our financial results and stock price, and require additional resources to address.</w:t>
      </w:r>
    </w:p>
    <w:p>
      <w:pPr>
        <w:spacing w:after="0" w:line="5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We provide certain CSR and sustainability-related information in this Annual Report on Form 10-K and in other voluntary disclosures that may not be considered material under U.S. federal securities laws and may be based on frameworks, methodologies, and definitions of materiality that differ from those applicable to SEC filings. These methodologies, metrics, assumptions, and boundaries may change over time and may differ from those used by other companies, which may limit the usefulness of such disclosures and period-to-period comparability.</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Regulatory Risk Factors</w:t>
      </w:r>
    </w:p>
    <w:p>
      <w:pPr>
        <w:spacing w:after="0" w:line="12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The international nature of our business subjects us to a number of risks, including foreign exchange and interest rate risk and unfavorable political, regulatory, and tax conditions in foreign countries.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A significant portion of our revenue is generated from operations outside of the United States, and we manufacture or acquire many of our products and/or their components outside the United States. As a result of the global nature of our operations, our business performance and results of operations may be adversely affected by a number of factors, including:</w:t>
      </w:r>
    </w:p>
    <w:p>
      <w:pPr>
        <w:spacing w:after="0" w:line="10" w:lineRule="exact"/>
        <w:rPr>
          <w:sz w:val="20"/>
          <w:szCs w:val="20"/>
          <w:color w:val="auto"/>
        </w:rPr>
      </w:pPr>
    </w:p>
    <w:p>
      <w:pPr>
        <w:ind w:left="700" w:hanging="347"/>
        <w:spacing w:after="0"/>
        <w:tabs>
          <w:tab w:leader="none" w:pos="700" w:val="left"/>
        </w:tabs>
        <w:numPr>
          <w:ilvl w:val="0"/>
          <w:numId w:val="20"/>
        </w:numPr>
        <w:rPr>
          <w:rFonts w:ascii="Arial" w:cs="Arial" w:eastAsia="Arial" w:hAnsi="Arial"/>
          <w:sz w:val="18"/>
          <w:szCs w:val="18"/>
          <w:b w:val="1"/>
          <w:bCs w:val="1"/>
          <w:color w:val="DA2031"/>
        </w:rPr>
      </w:pPr>
      <w:r>
        <w:rPr>
          <w:rFonts w:ascii="Arial" w:cs="Arial" w:eastAsia="Arial" w:hAnsi="Arial"/>
          <w:sz w:val="18"/>
          <w:szCs w:val="18"/>
          <w:b w:val="1"/>
          <w:bCs w:val="1"/>
          <w:color w:val="auto"/>
        </w:rPr>
        <w:t>uncertain global economic and political developments that may impact business conditions and demands;</w:t>
      </w:r>
    </w:p>
    <w:p>
      <w:pPr>
        <w:spacing w:after="0" w:line="25" w:lineRule="exact"/>
        <w:rPr>
          <w:rFonts w:ascii="Arial" w:cs="Arial" w:eastAsia="Arial" w:hAnsi="Arial"/>
          <w:sz w:val="18"/>
          <w:szCs w:val="18"/>
          <w:b w:val="1"/>
          <w:bCs w:val="1"/>
          <w:color w:val="DA2031"/>
        </w:rPr>
      </w:pPr>
    </w:p>
    <w:p>
      <w:pPr>
        <w:ind w:left="700" w:hanging="347"/>
        <w:spacing w:after="0" w:line="269" w:lineRule="auto"/>
        <w:tabs>
          <w:tab w:leader="none" w:pos="700" w:val="left"/>
        </w:tabs>
        <w:numPr>
          <w:ilvl w:val="0"/>
          <w:numId w:val="20"/>
        </w:numPr>
        <w:rPr>
          <w:rFonts w:ascii="Arial" w:cs="Arial" w:eastAsia="Arial" w:hAnsi="Arial"/>
          <w:sz w:val="18"/>
          <w:szCs w:val="18"/>
          <w:b w:val="1"/>
          <w:bCs w:val="1"/>
          <w:color w:val="DA2031"/>
        </w:rPr>
      </w:pPr>
      <w:r>
        <w:rPr>
          <w:rFonts w:ascii="Arial" w:cs="Arial" w:eastAsia="Arial" w:hAnsi="Arial"/>
          <w:sz w:val="18"/>
          <w:szCs w:val="18"/>
          <w:b w:val="1"/>
          <w:bCs w:val="1"/>
          <w:color w:val="auto"/>
        </w:rPr>
        <w:t>global trade issues including changes in, and uncertainties with respect to, trade and export regulatory requirements, trade policies and sanctions restrictions, tariffs, and international trade disputes;</w:t>
      </w:r>
    </w:p>
    <w:p>
      <w:pPr>
        <w:spacing w:after="0" w:line="1" w:lineRule="exact"/>
        <w:rPr>
          <w:rFonts w:ascii="Arial" w:cs="Arial" w:eastAsia="Arial" w:hAnsi="Arial"/>
          <w:sz w:val="18"/>
          <w:szCs w:val="18"/>
          <w:b w:val="1"/>
          <w:bCs w:val="1"/>
          <w:color w:val="DA2031"/>
        </w:rPr>
      </w:pPr>
    </w:p>
    <w:p>
      <w:pPr>
        <w:ind w:left="700" w:hanging="347"/>
        <w:spacing w:after="0" w:line="255" w:lineRule="auto"/>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evolving positions taken by governmental agencies regarding possible national economic and/or security issues posed by the development, sale, or export of certain products and technologies;</w:t>
      </w:r>
    </w:p>
    <w:p>
      <w:pPr>
        <w:spacing w:after="0" w:line="1" w:lineRule="exact"/>
        <w:rPr>
          <w:rFonts w:ascii="Arial" w:cs="Arial" w:eastAsia="Arial" w:hAnsi="Arial"/>
          <w:sz w:val="19"/>
          <w:szCs w:val="19"/>
          <w:b w:val="1"/>
          <w:bCs w:val="1"/>
          <w:color w:val="DA2031"/>
        </w:rPr>
      </w:pPr>
    </w:p>
    <w:p>
      <w:pPr>
        <w:ind w:left="700" w:hanging="347"/>
        <w:spacing w:after="0" w:line="255" w:lineRule="auto"/>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political instability, natural disasters, regional or global health epidemics, social unrest, terrorism, acts of war or other geopolitical turmoil;</w:t>
      </w:r>
    </w:p>
    <w:p>
      <w:pPr>
        <w:spacing w:after="0" w:line="1" w:lineRule="exact"/>
        <w:rPr>
          <w:rFonts w:ascii="Arial" w:cs="Arial" w:eastAsia="Arial" w:hAnsi="Arial"/>
          <w:sz w:val="19"/>
          <w:szCs w:val="19"/>
          <w:b w:val="1"/>
          <w:bCs w:val="1"/>
          <w:color w:val="DA2031"/>
        </w:rPr>
      </w:pPr>
    </w:p>
    <w:p>
      <w:pPr>
        <w:jc w:val="both"/>
        <w:ind w:left="700" w:hanging="347"/>
        <w:spacing w:after="0" w:line="255" w:lineRule="auto"/>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variations among, and weakness and/or changes in, local, regional, national or international laws and regulations, including contract, intellectual property, data privacy, data protection and cybersecurity, labor, tax, and import/export laws, and the interpretation and application of such laws and regulations;</w:t>
      </w:r>
    </w:p>
    <w:p>
      <w:pPr>
        <w:spacing w:after="0" w:line="1" w:lineRule="exact"/>
        <w:rPr>
          <w:rFonts w:ascii="Arial" w:cs="Arial" w:eastAsia="Arial" w:hAnsi="Arial"/>
          <w:sz w:val="19"/>
          <w:szCs w:val="19"/>
          <w:b w:val="1"/>
          <w:bCs w:val="1"/>
          <w:color w:val="DA2031"/>
        </w:rPr>
      </w:pPr>
    </w:p>
    <w:p>
      <w:pPr>
        <w:jc w:val="both"/>
        <w:ind w:left="700" w:hanging="347"/>
        <w:spacing w:after="0" w:line="255" w:lineRule="auto"/>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challenges to effective management of a diverse workforce with different experience levels, languages, cultures, customs, business practices and worker expectations, and differing employment practices and labor issues across multiple countries around the world;</w:t>
      </w:r>
    </w:p>
    <w:p>
      <w:pPr>
        <w:spacing w:after="0" w:line="1" w:lineRule="exact"/>
        <w:rPr>
          <w:rFonts w:ascii="Arial" w:cs="Arial" w:eastAsia="Arial" w:hAnsi="Arial"/>
          <w:sz w:val="19"/>
          <w:szCs w:val="19"/>
          <w:b w:val="1"/>
          <w:bCs w:val="1"/>
          <w:color w:val="DA2031"/>
        </w:rPr>
      </w:pPr>
    </w:p>
    <w:p>
      <w:pPr>
        <w:ind w:left="700" w:hanging="347"/>
        <w:spacing w:after="0"/>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impacts of climate change on our operations and those of our customers and suppliers;</w:t>
      </w:r>
    </w:p>
    <w:p>
      <w:pPr>
        <w:spacing w:after="0" w:line="14" w:lineRule="exact"/>
        <w:rPr>
          <w:rFonts w:ascii="Arial" w:cs="Arial" w:eastAsia="Arial" w:hAnsi="Arial"/>
          <w:sz w:val="19"/>
          <w:szCs w:val="19"/>
          <w:b w:val="1"/>
          <w:bCs w:val="1"/>
          <w:color w:val="DA2031"/>
        </w:rPr>
      </w:pPr>
    </w:p>
    <w:p>
      <w:pPr>
        <w:ind w:left="700" w:hanging="347"/>
        <w:spacing w:after="0"/>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challenges in hiring, retention, and integration of workers in multiple countries around the world; and</w:t>
      </w:r>
    </w:p>
    <w:p>
      <w:pPr>
        <w:spacing w:after="0" w:line="14" w:lineRule="exact"/>
        <w:rPr>
          <w:rFonts w:ascii="Arial" w:cs="Arial" w:eastAsia="Arial" w:hAnsi="Arial"/>
          <w:sz w:val="19"/>
          <w:szCs w:val="19"/>
          <w:b w:val="1"/>
          <w:bCs w:val="1"/>
          <w:color w:val="DA2031"/>
        </w:rPr>
      </w:pPr>
    </w:p>
    <w:p>
      <w:pPr>
        <w:ind w:left="700" w:hanging="347"/>
        <w:spacing w:after="0"/>
        <w:tabs>
          <w:tab w:leader="none" w:pos="700" w:val="left"/>
        </w:tabs>
        <w:numPr>
          <w:ilvl w:val="0"/>
          <w:numId w:val="20"/>
        </w:numPr>
        <w:rPr>
          <w:rFonts w:ascii="Arial" w:cs="Arial" w:eastAsia="Arial" w:hAnsi="Arial"/>
          <w:sz w:val="19"/>
          <w:szCs w:val="19"/>
          <w:b w:val="1"/>
          <w:bCs w:val="1"/>
          <w:color w:val="DA2031"/>
        </w:rPr>
      </w:pPr>
      <w:r>
        <w:rPr>
          <w:rFonts w:ascii="Arial" w:cs="Arial" w:eastAsia="Arial" w:hAnsi="Arial"/>
          <w:sz w:val="19"/>
          <w:szCs w:val="19"/>
          <w:b w:val="1"/>
          <w:bCs w:val="1"/>
          <w:color w:val="auto"/>
        </w:rPr>
        <w:t>the increasing need for a mobile workforce to work in or travel to different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19</w:t>
      </w:r>
    </w:p>
    <w:p>
      <w:pPr>
        <w:sectPr>
          <w:pgSz w:w="11880" w:h="15480" w:orient="portrait"/>
          <w:cols w:equalWidth="0" w:num="1">
            <w:col w:w="9960"/>
          </w:cols>
          <w:pgMar w:left="960" w:top="736" w:right="960" w:bottom="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9"/>
          <w:szCs w:val="19"/>
          <w:b w:val="1"/>
          <w:bCs w:val="1"/>
          <w:color w:val="auto"/>
        </w:rPr>
        <w:t>If our future revenues, costs, and results of operations are significantly affected by economic or political conditions abroad and we are unable to effectively hedge these risks, they could materially adversely affect our results of operations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Tariffs or other restrictions on foreign imports could negatively impact our financial performance.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Our business, results of operations and financial condition have and may continue to be negatively impacted by such tariffs and any potential increase in the cost of our supplies or end-products as a result of new or incremental trade protection measures, such as increased import tariffs or import or export restrictions or the revocation or material modification of trade agreements. The new U.S. administration has considered and announced potential tariffs on imports from Canada, Mexico and China as well as other jurisdictions. Although the ultimate scope and timing of any such tariffs or other measures is indeterminate they could have a significant impact on our financial condition and results of operations. Changes in U.S. and international trade policy and resultant retaliatory countermeasures, including imposition of increased tariffs, quotas, or duties by affected countries and trading partners are difficult to predict and may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We operate globally and changes in tax laws could adversely affect our results.</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are subject to income taxes in the United States and foreign jurisdictions. Significant judgment is required to determine and estimate worldwide tax liabilities. Our provision for income taxes and effective tax rates could be affected by numerous factors, including changes in applicable tax laws, interpretations of applicable tax laws, the amount and composition of pre-tax income in jurisdictions with differing tax rates, and valuation of deferred tax assets.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monitor U.S. and non-U.S. tax law changes that may adversely impact our overall tax costs. From time to time, proposals have been made and/or legislation has been introduced to change tax rates, as well as related tax laws, regulations or interpretations thereof, by various jurisdictions, or to limit tax treaty benefits which, if enacted or implemented could materially increase our tax costs and/or our effective tax rate and could have a material adverse impact on our financial condition and results of operations. The international tax environment continues to change as a result of both coordinated actions by governments and unilateral measures designed by individual countries, both intended to tackle concerns over base erosion and profit shifting (BEPS) and perceived international tax avoidance techniques. The Organization for Economic Cooperation and Development (OECD) is issuing guidelines that are different, in some respects, than long-standing international tax principles. This includes the development of an inclusive framework that is based on a two-pillar approach. In December 2022, the EU Member States formally adopted the EU’s Pillar Two Directive, which generally provides for a global minimum tax rate of at least 15%. Various countries in which we operate in have implemented legislation, effective January 1, 2024.</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Based on the currently enacted legislation, we do not expect Pillar Two to have a material impact on our financial statements. However, we will continue to monitor any impact to Xerox as countries continue to amend their tax law to adopt certain parts of the OECD guidelines. Taxation at the country, state, provincial or municipal level also may be subject to review and potential override by regional, federal, national, or other government authorities. In addition, we continue to be subject to examination of our income tax returns by the United States Internal Revenue Service and other tax authorities around the world. We currently are, and expect to continue to be, subject to numerous federal, state, local and foreign taxes relating to income, sales &amp; use, value-added (VAT), and other tax liabilities. While we have established reserves based on assumptions and estimates that we believe are reasonably sufficient to cover such liabilities, any adverse outcome of a review or audit, or changes in tax laws, could have an adverse impact on our financial position and results of operations if the reserves prove to be insufficient.</w:t>
      </w:r>
    </w:p>
    <w:p>
      <w:pPr>
        <w:spacing w:after="0" w:line="65"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We are subject to breaches of our security systems, cyber-attacks, and service interruptions, which could expose us to liability, litigation, regulatory action and damage our reputation.</w:t>
      </w:r>
    </w:p>
    <w:p>
      <w:pPr>
        <w:spacing w:after="0" w:line="2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We have implemented and maintain security measures and safeguards, which we believe to be reasonable, to protect our information systems and our confidential and sensitive information that we hold, including the personal information of our employees, customers, clients, suppliers and other third parties, against unauthorized access or disclosure and to prevent, detect, contain, respond to, and mitigate security-related threats and potential incidents. We regularly assess and seek to improve the security of our systems, connected devices, and information-sharing products in order to minimize potential vulnerabilities, in accordance with industry and regulatory standards. Despite such efforts, we may be subject to breaches of our security resulting in unauthorized access to our facilities or information systems and the information contained therein or stored thereon. Moreover, our business or operations may be affected in the event our customers, clients and suppliers experience data security incidents, cyber-attacks or extended interruptions of their services or systems. Our operations depend on the use of various information systems, including legacy systems for which patches may not be readily available. Unpatched vulnerabilities in our systems and the utilization of end-of-life systems may expose us to increased cybersecurity risks, including</w:t>
      </w:r>
    </w:p>
    <w:p>
      <w:pPr>
        <w:spacing w:after="0" w:line="27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20</w:t>
      </w:r>
    </w:p>
    <w:p>
      <w:pPr>
        <w:sectPr>
          <w:pgSz w:w="11880" w:h="15480" w:orient="portrait"/>
          <w:cols w:equalWidth="0" w:num="1">
            <w:col w:w="9960"/>
          </w:cols>
          <w:pgMar w:left="960" w:top="736" w:right="960" w:bottom="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8"/>
          <w:szCs w:val="18"/>
          <w:b w:val="1"/>
          <w:bCs w:val="1"/>
          <w:color w:val="auto"/>
        </w:rPr>
        <w:t>unauthorized access, data breaches, and operational disruptions. The absence of vendor support for end-of-life systems may impede our ability to promptly address and remediate security issues, potentially leading to extended downtime, data breaches, and financial losses. Moreover, we may be required to dedicate new or additional resources to maintain the secure operation of legacy systems and/or to respond to vulnerabilities in such systems, which may impact our operations and financial condition. Additionally, the third-party software, or applications we utilize may possess inherent vulnerabilities or design, manufacturing, or operational defects when implemented intentionally or unintentionally in a manner that could compromise the security of our information systems. Increased adoption of remote work has also increased possible attack surfaces on our information systems. The techniques used to obtain unauthorized access are constantly changing, are becoming increasingly sophisticated, including as a result of AI tools, and often are not recognized until after a threat actor has successfully used them to gain unauthorized access to a system. We may be unable to anticipate these techniques or implement sufficient preventative measures, or to timely detect and remediate harms caused by such techniques.</w:t>
      </w:r>
    </w:p>
    <w:p>
      <w:pPr>
        <w:spacing w:after="0" w:line="6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Threat actors regularly attempt and, from time to time, have been successful in breaching our security controls, to gain access to our information and infrastructure through various techniques, including phishing, ransomware, account compromise, and other targeted attacks. The Company has retained and, in the future, may retain third-party experts to assist with the containment of and response to security incidents and, in coordination with law enforcement, with the investigation of such incidents. The Company has incurred, and expects to continue to incur, costs, including to retain such third-party experts, in connection with such incidents. We may also find it necessary to make significant further investments to protect this information and our infrastructure. These investments, and any costs we incur in connection with security incidents, could be material.</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While we do not believe any cybersecurity incidents to date have resulted in any material impact on our business, operations or financial results or our ability to service our customers or run our business, incidents resulting in unauthorized access to our facilities or information systems, or those of our suppliers, or accidental loss or disclosure of proprietary or confidential information about us, our clients or our customers could result in, among other things, a total shutdown of our systems that would disrupt our ability to conduct business or pay vendors and employees, violations of applicable privacy and other data protection laws, significant legal and financial exposure, damage to our reputation or brand, and a loss of investor confidence in our security measures. Additional impacts from cybersecurity incidents could include remediation costs to our customers or business partners, such as liability for stolen assets or information, repairs of system damage, and incentives for continued business; increased cybersecurity protection costs, which may include the costs of making organizational changes, deploying additional personnel, resources and security technologies, training employees, and engaging third-party experts and consultants; lost revenue resulting from the unauthorized use of proprietary information or the failure to retain or attract business partners following an incident; increased insurance premiums; and damage to the Company’s competitiveness, stock price, and long-term shareholder value. In addition, cybersecurity risks and data security incidents could lead to unfavorable publicity, governmental inquiry and oversight, regulatory actions by federal, state and non-U.S. governmental authorities, litigation by affected parties and possible financial obligations for damages related to the theft or misuse of such information, any of which could have a material adverse effect on our profitability and cash flow.</w:t>
      </w:r>
    </w:p>
    <w:p>
      <w:pPr>
        <w:spacing w:after="0" w:line="70"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DA2031"/>
        </w:rPr>
        <w:t>We are subject to laws of the United States and foreign jurisdictions relating to the privacy and protection of personal information, and failure to comply with those laws could subject us to legal actions and negatively impact our operations.</w:t>
      </w:r>
    </w:p>
    <w:p>
      <w:pPr>
        <w:spacing w:after="0" w:line="4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We receive, process, transmit and store information relating to identifiable individuals in connection with our products, services and employment operations. As a result, we are subject to numerous and evolving privacy and data protection laws and regulations in the United States (both federal and state) and foreign jurisdictions.</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The global regulatory landscape regarding the protection of personal information continues to expand and become increasingly more complex. Federal and state governments in the U.S., as well as foreign governments, have enacted, and continue to consider, enacting new legislation and regulations related to the collection, use, disclosure and security of personal information. We expect to see an increase in, or changes to, these data protection and privacy laws, regulations and standards. For example, the California Consumer Privacy Act of 2018, as amended by the California Privacy Rights Act of 2020 (collectively, CCPA), grants California residents extensive rights over their personal information and imposes detailed requirements on businesses, including related to notice, access, deletion, limits on certain data uses and disclosures, and limitations on the use of sensitive data.</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Several other U.S. states have also enacted, and more are considering enacting, similar laws. These laws also create new enforcement mechanisms and the potential for statutory damages in the event of certain violations or data breaches. The lack of harmonization among the existing and proposed laws and regulations results in a growing and often inconsistent regulatory patchwork that may increase compliance costs and operational</w:t>
      </w:r>
    </w:p>
    <w:p>
      <w:pPr>
        <w:spacing w:after="0" w:line="28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21</w:t>
      </w:r>
    </w:p>
    <w:p>
      <w:pPr>
        <w:sectPr>
          <w:pgSz w:w="11880" w:h="15480" w:orient="portrait"/>
          <w:cols w:equalWidth="0" w:num="1">
            <w:col w:w="9960"/>
          </w:cols>
          <w:pgMar w:left="960" w:top="736" w:right="960" w:bottom="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9"/>
          <w:szCs w:val="19"/>
          <w:b w:val="1"/>
          <w:bCs w:val="1"/>
          <w:color w:val="auto"/>
        </w:rPr>
        <w:t>complexity for us and our industry partners, though efforts taken toward compliance with other privacy laws will likely be applicable to many elements of the newly enacted laws and regulations. Although we have attempted to mitigate certain risks posed by these laws, we cannot predict with certainty which jurisdictions may enact new laws, or the effect of these laws and their implementing regulations on our business.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Outside the U.S., data privacy and protection laws governing personal data may have a similar effect on our Company. For example, the European Union’s General Data Protection Regulation (GDPR) and similar foreign laws, such as the GDPR as assimilated into United Kingdom law (UK GDPR), Personal Information Protection and Electronic Documents Act (PIPEDA) in Canada, and the General Data Protection Law (LGDP) in Brazil, impose strict requirements on the processing and transfer of personal data and authorize significant penalties for non-compliance. Maintaining compliance with the GDPR and other foreign privacy laws requires that we monitor regulatory and judicial developments and may necessitate changes to our compliance approach, business practices or system configurations. These efforts may demand significant time, resources and expense and may increase our operating costs or limit our ability to operate or expand our business.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Because these laws may be interpreted or applied inconsistently across jurisdictions, or may not align with our existing data management practices or features of our systems and services, we could be required to modify our products or fundamentally change aspects of our operations, which could have an adverse effect on our business. We may be unable to implement such changes in a commercially reasonable manner, or at all, which could limit our ability to develop new products and features. Changes in applicable laws, the introduction of new laws, failure to comply, or increased regulatory or privacy enforcement could result in additional costs, operational changes, monetary damages, fines, reputational harm, restrictions on our ability to process data, or allegations of nonperformance under customer contracts, any of which could materially adversely effect on our profitability and cash flow.</w:t>
      </w:r>
    </w:p>
    <w:p>
      <w:pPr>
        <w:spacing w:after="0" w:line="7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The use or anticipated use of technologies, including generative AI, by us or third parties, may increase or create new regulatory or operational risks.</w:t>
      </w:r>
    </w:p>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AI technologies offer numerous potential benefits, such as creating or increasing operational efficiencies, and we expect the use of AI and generative AI by us, third parties on our behalf, and other market actors, including our competitors, to increase. However, the deployment of such technologies also poses certain risks, including that they may be misused, or the models or datasets on which the models are trained may be flawed or otherwise may function in an unexpected manner or lead to unexpected or unintended outcomes. The speed at which it is being adopted and the uncertainty regarding the scope and details of laws, regulations or standards governing its use, combined with the growing interest by various legislatures and regulators to address the development and deployment of AI technologies in a manner which may not be consistent across jurisdictions, increases these risks. Any such misuse or any deficiencies in, or failure of, the models or AI systems could expose us to legal or regulatory risk, damage customer relationships or cause reputational harm. Our competitors may also adopt AI or generative AI more quickly or more effectively than we do, which could cause competitive harm.</w:t>
      </w:r>
    </w:p>
    <w:p>
      <w:pPr>
        <w:spacing w:after="0" w:line="70"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We are subject to extensive environmental laws, regulations, and procurement requirements, and failure to comply could result in increased costs, liabilities, or loss of market access.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Our operations and products are subject to a broad and evolving range of international, federal, state, local, and foreign environmental laws, regulations, and procurement initiatives. These requirements address, among other things, climate change and greenhouse gas emissions, chemical usage, product design and energy efficiency, waste management, and product end-of-life responsibilities. Failure to comply with applicable requirements could result in substantial costs, including remediation expenses, fines, civil or criminal penalties, third-party claims, or limitations on our ability to sell products in certain markets.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Increased political and regulatory focus on climate change has led to existing and proposed international agreements and national, state, and foreign initiatives requiring companies to disclose and, in some cases, limit greenhouse gas emissions. Compliance with climate-related laws and regulations, including evolving disclosure, reporting, and procurement requirements, may increase our costs, impose operational constraints, limit product availability, or increase our compliance burden. The ultimate impact of these requirements remains uncertain and may depend on future regulatory developments and interpretations.</w:t>
      </w:r>
    </w:p>
    <w:p>
      <w:pPr>
        <w:spacing w:after="0" w:line="71"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Our products and operations are also subject to chemical and materials regulations across the jurisdictions in which we operate, including restrictions on the types and amounts of substances that may be used in electronic equipment and supplies. For example, we are subject to the EU Registration, Evaluation, Authorization and Restriction of Chemicals (REACH) regulation and the U.S. Toxic Substances Control Act (TSCA), among other similar regimes. These and comparable programs require significant data collection, supply-chain coordination, testing, and</w:t>
      </w:r>
    </w:p>
    <w:p>
      <w:pPr>
        <w:spacing w:after="0" w:line="200" w:lineRule="exact"/>
        <w:rPr>
          <w:sz w:val="20"/>
          <w:szCs w:val="20"/>
          <w:color w:val="auto"/>
        </w:rPr>
      </w:pPr>
    </w:p>
    <w:p>
      <w:pPr>
        <w:spacing w:after="0" w:line="28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22</w:t>
      </w:r>
    </w:p>
    <w:p>
      <w:pPr>
        <w:sectPr>
          <w:pgSz w:w="11880" w:h="15480" w:orient="portrait"/>
          <w:cols w:equalWidth="0" w:num="1">
            <w:col w:w="9960"/>
          </w:cols>
          <w:pgMar w:left="960" w:top="736" w:right="960" w:bottom="0" w:gutter="0" w:footer="0" w:header="0"/>
        </w:sectPr>
      </w:pPr>
    </w:p>
    <w:bookmarkStart w:id="32" w:name="page33"/>
    <w:bookmarkEnd w:id="32"/>
    <w:p>
      <w:pPr>
        <w:jc w:val="both"/>
        <w:spacing w:after="0" w:line="298" w:lineRule="auto"/>
        <w:rPr>
          <w:sz w:val="20"/>
          <w:szCs w:val="20"/>
          <w:color w:val="auto"/>
        </w:rPr>
      </w:pPr>
      <w:r>
        <w:rPr>
          <w:rFonts w:ascii="Arial" w:cs="Arial" w:eastAsia="Arial" w:hAnsi="Arial"/>
          <w:sz w:val="19"/>
          <w:szCs w:val="19"/>
          <w:b w:val="1"/>
          <w:bCs w:val="1"/>
          <w:color w:val="auto"/>
        </w:rPr>
        <w:t>reporting, and may result in restrictions or bans on certain substances, increased costs, or product redesign requirements.</w:t>
      </w:r>
    </w:p>
    <w:p>
      <w:pPr>
        <w:spacing w:after="0" w:line="3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We are further subject to regulations and customer procurement requirements relating to product energy efficiency, environmental performance, and circular economy objectives, including EU product design and sustainability initiatives and voluntary or mandatory procurement standards such as Energy Star, EPEAT, and EU Green Public Procurement. These requirements are subject to change and may become more stringent over time, which could limit market access or require additional investment if our products do not meet applicable criteria.</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Various jurisdictions have adopted, or are expected to adopt, extended producer responsibility (EPR) and similar regimes that impose obligations relating to product and packaging take-back, recycling, reporting, fees, and waste management. If we are unable to meet these requirements in a cost-effective manner, our results of operations and financial condition could be adversely affected.</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addition, we are involved in a limited number of environmental proceedings under federal, state, and foreign laws, including matters under the Comprehensive Environmental Response, Compensation and Liability Act (CERCLA) and similar statutes, relating to remediation of contamination at certain sites. Our potential liability in such matters depends on numerous factors, including changes in law, the nature and extent of contamination, and the involvement of third parties.</w:t>
      </w:r>
    </w:p>
    <w:p>
      <w:pPr>
        <w:spacing w:after="0" w:line="7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Regulatory requirements relating to environmental compliance and reporting have also been adopted or expanded in certain jurisdictions, including in the European Union. Compliance with these requirements may increase costs, require additional systems and controls, and expose us to operational, financial, or reputational risk.</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Risks Related to our Acquisition of Lexmark</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We may be unable to realize the benefits from the Lexmark Acquisition</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July 2025, we completed the acquisition of Lexmark. The combination of independent businesses is a complex, costly, and time-consuming process that requires significant management attention and resources. The integration process may disrupt the affected businesses and, if implemented ineffectively, could limit the expected benefits thereof. The failure to meet the challenges involved in integrating such businesses and to realize the anticipated benefits could cause an interruption of, or loss of momentum in, the activities of the combined company and could adversely affect the results of operations of the combined Company.</w:t>
      </w:r>
    </w:p>
    <w:p>
      <w:pPr>
        <w:spacing w:after="0" w:line="5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Although we expect to realize significant cost-savings and synergies in connection with the Lexmark Acquisition and we also expect to realize significant incremental revenues and other benefits resulting from, among other things, consolidation of our and Lexmark’s businesses, including various functions and systems, no assurance can be given that these anticipated benefits will be realized in whole or in part or on a timeframe that is consistent with our expectations. Although we believe these benefits are achievable, our ability to achieve them in the amounts and on the timeframe expected is subject to various assumptions by our management based on expectations that are subject to costs that could offset all or a portion of such synergies. Failure to timely realize the expected cost-savings from the Lexmark Acquisition could have an adverse effect on our financial results and prospects.</w:t>
      </w:r>
    </w:p>
    <w:p>
      <w:pPr>
        <w:spacing w:after="0" w:line="41"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color w:val="auto"/>
        </w:rPr>
        <w:t>Moreover, our ability to realize the anticipated benefits of the Lexmark Acquisition, including anticipated synergies, will depend, to a large extent, on our ability to integrate Lexmark’s business into our existing operations.</w:t>
      </w:r>
    </w:p>
    <w:p>
      <w:pPr>
        <w:jc w:val="both"/>
        <w:spacing w:after="0" w:line="269" w:lineRule="auto"/>
        <w:rPr>
          <w:sz w:val="20"/>
          <w:szCs w:val="20"/>
          <w:color w:val="auto"/>
        </w:rPr>
      </w:pPr>
      <w:r>
        <w:rPr>
          <w:rFonts w:ascii="Arial" w:cs="Arial" w:eastAsia="Arial" w:hAnsi="Arial"/>
          <w:sz w:val="19"/>
          <w:szCs w:val="19"/>
          <w:b w:val="1"/>
          <w:bCs w:val="1"/>
          <w:color w:val="auto"/>
        </w:rPr>
        <w:t>Although certain of Lexmark’s operations overlap with our historical operations, Lexmark’s business involves certain activities in which we were not engaged immediately prior to the Lexmark Acquisition, such as print hardware manufacturing. We are exposed to operational, competitive, contractual, regulatory, and other risks associated with Lexmark’s manufacturing activities.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Moreover, Lexmark has significant operations in Asia and other geographies where we currently do not have a significant presence. Any failure in our ability to transition to new geographies or to realize the anticipated benefits of Lexmark’s customer relationships could harm our brand, prospects, operating results, and financial condition, and could have an adverse effect on our business. By virtue of our expansion into new geographies, we will be subject to new political, economic, legal, operational, regulatory and other risks that are inherent in operating in a foreign country, including risks of possible price controls, capital controls, exchange controls, inflation controls, licensing requirements, and other restrictive governmental actions.</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Additionally, as of December 31, 2025, approximately 8% of Lexmark’s permanent employees, who were employed in France, Argentina, Spain, Italy, Portugal, Sweden, Finland, Austria and Brazil were covered by collective bargaining agreements, which are generally national or industry-wide agreements. As of December 31, 2025, Lexmark was in the process of registering a labor union for approximately 30 employees located in Shenzhen, China. If we encounter difficulties with renegotiations or renewals of collective bargaining agreements or are</w:t>
      </w:r>
    </w:p>
    <w:p>
      <w:pPr>
        <w:spacing w:after="0" w:line="36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23</w:t>
      </w:r>
    </w:p>
    <w:p>
      <w:pPr>
        <w:sectPr>
          <w:pgSz w:w="11880" w:h="15480" w:orient="portrait"/>
          <w:cols w:equalWidth="0" w:num="1">
            <w:col w:w="9960"/>
          </w:cols>
          <w:pgMar w:left="960" w:top="736" w:right="960" w:bottom="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9"/>
          <w:szCs w:val="19"/>
          <w:b w:val="1"/>
          <w:bCs w:val="1"/>
          <w:color w:val="auto"/>
        </w:rPr>
        <w:t>unsuccessful in those efforts, we could incur additional costs and experience work stoppages. Union actions at suppliers also can affect us. Any delays or work stoppages could adversely affect the ability to perform under contracts, which could negatively impact our results of operations, cash flows and financial condition.</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In addition, the integration may result in material unanticipated problems, expenses, liabilities, competitive responses, loss of customer and other business relationships, and diversion of management’s attention. The difficulties of combining the operations of the companies include, among others:</w:t>
      </w:r>
    </w:p>
    <w:p>
      <w:pPr>
        <w:spacing w:after="0" w:line="3" w:lineRule="exact"/>
        <w:rPr>
          <w:sz w:val="20"/>
          <w:szCs w:val="20"/>
          <w:color w:val="auto"/>
        </w:rPr>
      </w:pPr>
    </w:p>
    <w:p>
      <w:pPr>
        <w:ind w:left="360" w:hanging="356"/>
        <w:spacing w:after="0"/>
        <w:tabs>
          <w:tab w:leader="none" w:pos="360" w:val="left"/>
        </w:tabs>
        <w:numPr>
          <w:ilvl w:val="0"/>
          <w:numId w:val="21"/>
        </w:numPr>
        <w:rPr>
          <w:rFonts w:ascii="Arial" w:cs="Arial" w:eastAsia="Arial" w:hAnsi="Arial"/>
          <w:sz w:val="19"/>
          <w:szCs w:val="19"/>
          <w:b w:val="1"/>
          <w:bCs w:val="1"/>
          <w:color w:val="DA2031"/>
        </w:rPr>
      </w:pPr>
      <w:r>
        <w:rPr>
          <w:rFonts w:ascii="Arial" w:cs="Arial" w:eastAsia="Arial" w:hAnsi="Arial"/>
          <w:sz w:val="19"/>
          <w:szCs w:val="19"/>
          <w:b w:val="1"/>
          <w:bCs w:val="1"/>
          <w:color w:val="auto"/>
        </w:rPr>
        <w:t>the diversion of management’s attention to integration matters;</w:t>
      </w:r>
    </w:p>
    <w:p>
      <w:pPr>
        <w:spacing w:after="0" w:line="14"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21"/>
        </w:numPr>
        <w:rPr>
          <w:rFonts w:ascii="Arial" w:cs="Arial" w:eastAsia="Arial" w:hAnsi="Arial"/>
          <w:sz w:val="19"/>
          <w:szCs w:val="19"/>
          <w:b w:val="1"/>
          <w:bCs w:val="1"/>
          <w:color w:val="DA2031"/>
        </w:rPr>
      </w:pPr>
      <w:r>
        <w:rPr>
          <w:rFonts w:ascii="Arial" w:cs="Arial" w:eastAsia="Arial" w:hAnsi="Arial"/>
          <w:sz w:val="19"/>
          <w:szCs w:val="19"/>
          <w:b w:val="1"/>
          <w:bCs w:val="1"/>
          <w:color w:val="auto"/>
        </w:rPr>
        <w:t>difficulties in achieving anticipated cost savings, synergies, business opportunities and growth prospects from the combination;</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21"/>
        </w:numPr>
        <w:rPr>
          <w:rFonts w:ascii="Arial" w:cs="Arial" w:eastAsia="Arial" w:hAnsi="Arial"/>
          <w:sz w:val="19"/>
          <w:szCs w:val="19"/>
          <w:b w:val="1"/>
          <w:bCs w:val="1"/>
          <w:color w:val="DA2031"/>
        </w:rPr>
      </w:pPr>
      <w:r>
        <w:rPr>
          <w:rFonts w:ascii="Arial" w:cs="Arial" w:eastAsia="Arial" w:hAnsi="Arial"/>
          <w:sz w:val="19"/>
          <w:szCs w:val="19"/>
          <w:b w:val="1"/>
          <w:bCs w:val="1"/>
          <w:color w:val="auto"/>
        </w:rPr>
        <w:t>difficulties in integration of operations and systems;</w:t>
      </w:r>
    </w:p>
    <w:p>
      <w:pPr>
        <w:spacing w:after="0" w:line="14" w:lineRule="exact"/>
        <w:rPr>
          <w:rFonts w:ascii="Arial" w:cs="Arial" w:eastAsia="Arial" w:hAnsi="Arial"/>
          <w:sz w:val="19"/>
          <w:szCs w:val="19"/>
          <w:b w:val="1"/>
          <w:bCs w:val="1"/>
          <w:color w:val="DA2031"/>
        </w:rPr>
      </w:pPr>
    </w:p>
    <w:p>
      <w:pPr>
        <w:ind w:left="360" w:hanging="356"/>
        <w:spacing w:after="0" w:line="255" w:lineRule="auto"/>
        <w:tabs>
          <w:tab w:leader="none" w:pos="360" w:val="left"/>
        </w:tabs>
        <w:numPr>
          <w:ilvl w:val="0"/>
          <w:numId w:val="21"/>
        </w:numPr>
        <w:rPr>
          <w:rFonts w:ascii="Arial" w:cs="Arial" w:eastAsia="Arial" w:hAnsi="Arial"/>
          <w:sz w:val="19"/>
          <w:szCs w:val="19"/>
          <w:b w:val="1"/>
          <w:bCs w:val="1"/>
          <w:color w:val="DA2031"/>
        </w:rPr>
      </w:pPr>
      <w:r>
        <w:rPr>
          <w:rFonts w:ascii="Arial" w:cs="Arial" w:eastAsia="Arial" w:hAnsi="Arial"/>
          <w:sz w:val="19"/>
          <w:szCs w:val="19"/>
          <w:b w:val="1"/>
          <w:bCs w:val="1"/>
          <w:color w:val="auto"/>
        </w:rPr>
        <w:t>conforming standards, controls, procedures, and accounting and other policies as well as corporate cultures and compensation structures;</w:t>
      </w:r>
    </w:p>
    <w:p>
      <w:pPr>
        <w:spacing w:after="0" w:line="1" w:lineRule="exact"/>
        <w:rPr>
          <w:rFonts w:ascii="Arial" w:cs="Arial" w:eastAsia="Arial" w:hAnsi="Arial"/>
          <w:sz w:val="19"/>
          <w:szCs w:val="19"/>
          <w:b w:val="1"/>
          <w:bCs w:val="1"/>
          <w:color w:val="DA2031"/>
        </w:rPr>
      </w:pPr>
    </w:p>
    <w:p>
      <w:pPr>
        <w:ind w:left="360" w:hanging="356"/>
        <w:spacing w:after="0"/>
        <w:tabs>
          <w:tab w:leader="none" w:pos="360" w:val="left"/>
        </w:tabs>
        <w:numPr>
          <w:ilvl w:val="0"/>
          <w:numId w:val="21"/>
        </w:numPr>
        <w:rPr>
          <w:rFonts w:ascii="Arial" w:cs="Arial" w:eastAsia="Arial" w:hAnsi="Arial"/>
          <w:sz w:val="19"/>
          <w:szCs w:val="19"/>
          <w:b w:val="1"/>
          <w:bCs w:val="1"/>
          <w:color w:val="DA2031"/>
        </w:rPr>
      </w:pPr>
      <w:r>
        <w:rPr>
          <w:rFonts w:ascii="Arial" w:cs="Arial" w:eastAsia="Arial" w:hAnsi="Arial"/>
          <w:sz w:val="19"/>
          <w:szCs w:val="19"/>
          <w:b w:val="1"/>
          <w:bCs w:val="1"/>
          <w:color w:val="auto"/>
        </w:rPr>
        <w:t>potential unknown liabilities, adverse consequences, and unforeseen expenses; and</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21"/>
        </w:numPr>
        <w:rPr>
          <w:rFonts w:ascii="Arial" w:cs="Arial" w:eastAsia="Arial" w:hAnsi="Arial"/>
          <w:sz w:val="19"/>
          <w:szCs w:val="19"/>
          <w:b w:val="1"/>
          <w:bCs w:val="1"/>
          <w:color w:val="DA2031"/>
        </w:rPr>
      </w:pPr>
      <w:r>
        <w:rPr>
          <w:rFonts w:ascii="Arial" w:cs="Arial" w:eastAsia="Arial" w:hAnsi="Arial"/>
          <w:sz w:val="19"/>
          <w:szCs w:val="19"/>
          <w:b w:val="1"/>
          <w:bCs w:val="1"/>
          <w:color w:val="auto"/>
        </w:rPr>
        <w:t>challenges in attracting and retaining key personnel.</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Many of these factors will be outside of our control and any one of these factors could result in increased costs, decreases in the amount of expected revenues, and additional diversion of management’s time and energy, which could materially adversely impact the business, financial condition and results of operations of the combined company. In addition, even if the businesses are integrated successfully, the full benefits thereof, including expected synergies, cost savings, and revenue growth may not be realized. The benefits may not be realized or achieved within the anticipated time frame, or at all. Further, additional unanticipated costs may be incurred in connection with the integration of the businesses. All of these factors could decrease or delay the expected accretive effect of any acquisition, including the Lexmark Acquisition, and negatively impact the combined company’s business, operating results and financial condition. As a result, we cannot provide any assurance that our acquisitions, including the Lexmark Acquisition will result in the realization of the expected benefits thereof.</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The amounts of anticipated cost savings and anticipated expenses related thereto are forward-looking statements within the meaning of applicable securities laws, and are based on our current estimates, but they involve risks, uncertainties, assumptions and other factors that may cause actual results, performance or achievements to be materially different from those described herein. Assumptions relating to the plans and amounts related thereto involve subjective decisions and judgments with respect to, among other things, the estimated impact of certain operational adjustments, including marketing efficiency, labor management, material input cost fluctuations, transition costs and other cost and savings adjustments, as well as future economic, competitive, industry and market conditions and future business decisions, all of which are inherently uncertain and may be beyond the control of our management. Although our management believes these estimates and assumptions to be reasonable, any of the assumptions could be inaccurate, and there can be no assurance that the estimates described herein will prove to be accurate or that the objectives and plans expressed will be achieved. Neither our independent auditor nor any other independent accountant, has examined, compiled or performed any procedures with respect to these amounts, nor have they expressed any opinion, or any other form of assurance, on such information or their achievability.</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Accordingly, there can be no assurance that the anticipated cost savings, incremental revenues and other benefits will be realized or that the impact of the efforts to achieve such cost savings, incremental revenues will not be significantly different than currently anticipated. We undertake no obligation to update or otherwise revise or reconcile our expectations regarding its cost savings efforts whether as a result of new information, future events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We incurred a substantial amount of debt in connection with the financing of the Lexmark Acquisition.</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Lexmark Acquisition was financed with a combination of cash on hand and debt, which resulted in an increase in our overall debt. We are required to maintain sufficient liquidity (cash on hand, cash generated by operations and access to the ABL) and/or have access to capital to service and repay such debt when due. If liquidity is not sufficient to service our debt we may be forced to, among other things, reduce or delay capital expenditures, seek additional capital, sell assets, or refinance our debt. Any such action may not be successful, and we may be unable to service such debt. Any of the above risks could have a material adverse effect on our business, financial condition, results of operation, cash flows and/or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24</w:t>
      </w:r>
    </w:p>
    <w:p>
      <w:pPr>
        <w:sectPr>
          <w:pgSz w:w="11880" w:h="15480" w:orient="portrait"/>
          <w:cols w:equalWidth="0" w:num="1">
            <w:col w:w="9960"/>
          </w:cols>
          <w:pgMar w:left="960" w:top="736" w:right="960" w:bottom="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u w:val="single" w:color="auto"/>
          <w:color w:val="DA2031"/>
        </w:rPr>
        <w:t>Risks Related to Ownership of our Common Stock and our Warrants</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DA2031"/>
        </w:rPr>
        <w:t>The trading price for the Warrants may bear little or no relationship to traditional valuation methods, or to the market price of our Common Stock, and therefore the trading price of the Warrants may fluctuate significantly following their issuance.</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trading price of the Warrants may have little or no relationship to, and may be significantly lower, or at times higher, than the price that would otherwise be established using traditional indicators of value, such as our future prospects and those of our industry in general; future potential revenues, earnings, cash flows, and other financial and operating information, or multiples thereof; market prices of securities and other financial and operating information of companies similar to ours; and the views of research analysts. Potential investors should not buy Warrants in the open market unless they are willing to take the risk that the trading price of the Warrants could fluctuate and decline significantly.</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Hedging arrangements relating to the Warrants may affect the value and volatility of our Common Stock.</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order to hedge their financial positions, a warrant holders may enter into hedging transactions with respect to our Common Stock, may unwind or adjust hedging transactions and may purchase or sell large blocks of our Common Stock in one or more market transactions. The effect, if any, of these activities on the trading price of our Common Stock will depend in part on market conditions and cannot be known in advance, but any of these activities could adversely affect the value and price volatility of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The issuance of Common Stock upon the exercise of the Warrants may depress our stock price.</w:t>
      </w:r>
    </w:p>
    <w:p>
      <w:pPr>
        <w:spacing w:after="0" w:line="13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could issue up to 82,463,860 shares of Common Stock in connection with the exercise of the Warrants, which would collectively be an approximately 64% increase from our current number of shares of Common Stock outstanding. The issuance of such additional shares of Common Stock and the resale of such shares on the open market after their issuance, or the perception that such sales could occur, could result in significant downward pressure on the price of our shares of Common Stock. Further, any increase in the number of shares underlying each Warrant may result in further downward pressure on the price of our shares of Common Stock.</w:t>
      </w:r>
    </w:p>
    <w:p>
      <w:pPr>
        <w:spacing w:after="0" w:line="6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i w:val="1"/>
          <w:iCs w:val="1"/>
          <w:color w:val="DA2031"/>
        </w:rPr>
        <w:t>Future issuances of additional warrants may adversely affect the market price of the Warrants and the market price of our Common Stock, but there may be no adjustment to the Warrant Exercise Rate for such issuances.</w:t>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Without the consent of any Warrant holder, we may issue additional warrants with the same or different terms as the Warrants. We may issue such additional warrants through a sale or other distribution to holders of our Common Stock and other holders of our securities. Any issuance, sale or distribution by us of any rights, options or warrants to purchase our Common Stock will not result in an adjustment to the Warrant Exercise Rate for any Warrant. The issuance, sale or distribution of substantial amounts of such additional warrants, or the perception that such issuances, sales or distributions may occur, could adversely affect the trading price of the Warrants and the market price of our Common Stock.</w:t>
      </w:r>
    </w:p>
    <w:p>
      <w:pPr>
        <w:spacing w:after="0" w:line="7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The market price for our Common Stock may be volatile and subject to future declines, and the value of an investment in our Common Stock and corresponding derivative securities may decline.</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market price of our shares of Common Stock may be volatile. Fluctuations in our stock price may be unrelated to or not otherwise reflect our historical financial performance and condition and prospects. The stock market in general can experience considerable price and volume fluctuations due to changes in general economic conditions or other factors beyond our control, which could impact the future market price of our shares of Common Stock. These broad market fluctuations may adversely affect the market price of our Common Stock and, in turn, the value of the Warrants. We cannot assure you that the market price of our shares of Common Stock will not be volatile or decline significantly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General Risk Factors</w:t>
      </w:r>
    </w:p>
    <w:p>
      <w:pPr>
        <w:spacing w:after="0" w:line="12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business, results of operations and financial condition may be negatively impacted by legal and regulatory matters.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have various contingent liabilities that are not reflected on our balance sheet, including those arising as a result of being involved in a variety of claims, lawsuits, investigations, and proceedings including as discussed in Note 20 - Contingencies and Litigation in the Consolidated Financial Statements. Should developments in any of these matters cause a change in our determination as to an unfavorable outcome and result in the need to recognize a material accrual or materially increase an existing accrual, or should any of these matters result in a final adverse judgment or be settled for significant amounts above any existing accruals, it could have a material adverse effect</w:t>
      </w:r>
    </w:p>
    <w:p>
      <w:pPr>
        <w:spacing w:after="0" w:line="36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25</w:t>
      </w:r>
    </w:p>
    <w:p>
      <w:pPr>
        <w:sectPr>
          <w:pgSz w:w="11880" w:h="15480" w:orient="portrait"/>
          <w:cols w:equalWidth="0" w:num="1">
            <w:col w:w="9960"/>
          </w:cols>
          <w:pgMar w:left="960" w:top="730" w:right="960" w:bottom="0" w:gutter="0" w:footer="0" w:header="0"/>
        </w:sectPr>
      </w:pPr>
    </w:p>
    <w:bookmarkStart w:id="35" w:name="page36"/>
    <w:bookmarkEnd w:id="35"/>
    <w:p>
      <w:pPr>
        <w:jc w:val="both"/>
        <w:spacing w:after="0" w:line="298" w:lineRule="auto"/>
        <w:rPr>
          <w:sz w:val="20"/>
          <w:szCs w:val="20"/>
          <w:color w:val="auto"/>
        </w:rPr>
      </w:pPr>
      <w:r>
        <w:rPr>
          <w:rFonts w:ascii="Arial" w:cs="Arial" w:eastAsia="Arial" w:hAnsi="Arial"/>
          <w:sz w:val="19"/>
          <w:szCs w:val="19"/>
          <w:b w:val="1"/>
          <w:bCs w:val="1"/>
          <w:color w:val="auto"/>
        </w:rPr>
        <w:t>on our results of operations, cash flows and financial position in the period or periods in which such change in determination, judgment or settlement occurs.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Due to the international scope of our operations, we are subject to a complex system of commercial and trade regulations around the world. With respect to the war in Ukraine, in 2022, we halted shipments to Russia and Belarus when sanctions were imposed, and we completed the sale of all Russian operations in 2023. Recent years have seen an increase in the development and enforcement of laws regarding trade compliance and anti-corruption, such as the U.S. Foreign Corrupt Practices Act and similar laws from other countries. Our numerous foreign subsidiaries, affiliates and joint venture partners are governed by laws, rules and business practices that differ from those of the U.S. The activities of these entities may not comply with U.S. or foreign laws or business practices or our Code of Business Conduct. Violations of these laws may result in severe criminal or civil sanctions, could disrupt our business, and result in an adverse effect on our reputation, business and results of operations or financial condition. We cannot predict the nature, scope or effect of future regulatory requirements to which our operations might be subject, our compliance with such requirements, or the manner in which existing laws might be administered or interpreted.</w:t>
      </w:r>
    </w:p>
    <w:p>
      <w:pPr>
        <w:spacing w:after="0" w:line="8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DA2031"/>
        </w:rPr>
        <w:t>Our failure to maintain an adequate system of internal control over financial reporting, could adversely affect our ability to accurately report our results.</w:t>
      </w:r>
    </w:p>
    <w:p>
      <w:pPr>
        <w:spacing w:after="0" w:line="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in accordance with generally accepted accounting principles. A material weakness is a deficiency, or a combination of deficiencies, in our internal control over financial reporting that results in a reasonable possibility that a material misstatement of the annual or interim financial statements will not be prevented or detected on a timely basis. Effective internal controls are necessary for us to provide reliable financial reports and deter and detect any material fraud. If we cannot provide reliable financial reports or prevent material fraud, our reputation and operating results would be harmed. We maintained effective internal control over financial reporting (ICFR) as of December 31, 2025, as further described in Part II “Item 9A - Controls and Procedures.” Our efforts to develop and maintain our internal controls and, if applicable, to remediate any material weaknesses in our controls may not be successful, and we may be unable to maintain adequate controls over our financial processes and reporting in the future, including future compliance with the obligations under Section 404 of the Sarbanes-Oxley Act of 2002. Any failure to develop or maintain effective controls, or difficulties encountered in their implementation, including those related to acquired businesses, or other effective improvement of our internal controls could harm our operating results, including those related to acquired businesses or reliance on third-party service providers for the execution of key financial, operational, and compliance controls could harm our operating results. Ineffective internal controls could also cause investors to lose confidence in our reported financial information.</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connection with the preparation of this Annual Report on Form 10-K, an error in the preliminary purchase price allocation related to the Lexmark Acquisition was identified, including the classification of certain acquired assets and liabilities assumed. The error reflected information and analysis associated with facts and circumstances that existed as of the acquisition date and resulted in an adjustment to previously reported amounts. We corrected the error in our Consolidated Financial Statements, as discussed further in Note 6 – Acquisitions and Divestitures in the Consolidated Financial Statements.</w:t>
      </w:r>
    </w:p>
    <w:p>
      <w:pPr>
        <w:spacing w:after="0" w:line="7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color w:val="auto"/>
        </w:rPr>
        <w:t>As disclosed in Part II, Item 9A – Controls and Procedures – Management’s Report on Internal Control over Financial Reporting (ICFR), the management of Xerox Holdings Corporation elected to exclude Lexmark from its ICFR assessment as of December 31, 2025, as Lexmark was acquired by the Company during the third quarter of 2025. As it relates to this error, management evaluated the error, the design, and the operating effectiveness of the related controls, and concluded that the error was limited to the accounting for contract assets and contract liabilities, specifically related to the implementation of and transition to a new general ledger prior to the acquisition.</w:t>
      </w:r>
    </w:p>
    <w:p>
      <w:pPr>
        <w:spacing w:after="0" w:line="4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Accordingly, management concluded that its ICFR remained effective as of December 31, 2025, and that the error did not result from a material weakness. In reaching this conclusion, management considered the nature of the error, the controls in place over business combination accounting, and the fact that the error was identified through the operation of those controls.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If additional information becomes available during the measurement period, which concludes on June 30, 2026, or if similar errors are identified in future acquisitions or complex transactions, the Company may be required to record further adjustments or revise previously issued financial information. Any such adjustments, revisions, regulatory inquiries, or investor concerns could adversely affect our reputation, increase our compliance costs, and have a negative impact on the market price of our common stock.</w:t>
      </w:r>
    </w:p>
    <w:p>
      <w:pPr>
        <w:spacing w:after="0" w:line="40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26</w:t>
      </w:r>
    </w:p>
    <w:p>
      <w:pPr>
        <w:sectPr>
          <w:pgSz w:w="11880" w:h="15480" w:orient="portrait"/>
          <w:cols w:equalWidth="0" w:num="1">
            <w:col w:w="9960"/>
          </w:cols>
          <w:pgMar w:left="960" w:top="736" w:right="960" w:bottom="0" w:gutter="0" w:footer="0" w:header="0"/>
        </w:sectPr>
      </w:pPr>
    </w:p>
    <w:bookmarkStart w:id="36" w:name="page37"/>
    <w:bookmarkEnd w:id="36"/>
    <w:p>
      <w:pPr>
        <w:spacing w:after="0"/>
        <w:rPr>
          <w:sz w:val="20"/>
          <w:szCs w:val="20"/>
          <w:color w:val="auto"/>
        </w:rPr>
      </w:pPr>
      <w:r>
        <w:rPr>
          <w:rFonts w:ascii="Arial" w:cs="Arial" w:eastAsia="Arial" w:hAnsi="Arial"/>
          <w:sz w:val="23"/>
          <w:szCs w:val="23"/>
          <w:b w:val="1"/>
          <w:bCs w:val="1"/>
          <w:color w:val="DA2031"/>
        </w:rPr>
        <w:t>Item 1B. Unresolved Staff Comments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1C. Cybersecurity</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Risk Management Strategy</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Xerox Holdings maintains a cyber risk management program designed to identify, assess, manage, mitigate, and respond to cybersecurity threats. This program is integrated within the Company’s enterprise risk management program and addresses both the corporate information technology environment and customer-facing products and services. The underlying controls of the cyber risk management program are based on recognized leading practices and standards for cybersecurity and information technology, including the National Institute of Standards and Technology (NIST) Cybersecurity Framework (CSF) and the International Organization for Standardization (ISO) 27001 Information Security Management System Requirements.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The Company's risk management program is primarily focused on safeguarding the organization's digital assets, ensuring continuous business operations, and minimizing the potential impact of cyber threats on the confidentiality, availability, and integrity of our systems and data. The structured risk management process is designed to comprehensively identify and assess risks, implement effective mitigation and remediation strategies, enhance overall cybersecurity resilience, and provide transparent reporting. Continuous risk assessments are conducted through internal evaluations and routine engagements with independent third-party security services organizations to systematically identify, prioritize and manage information security risks. Subsequently, risk mitigation strategies are developed and executed to address and remediate identified risks effectively through new cybersecurity initiatives and ongoing enhancements to the cybersecurity program. Regular audits and assessments, including penetration tests and attack simulations, are performed both internally and through independent third-party consultants, and internal auditors evaluate the operational effectiveness of cybersecurity controls and risk management measures. These inputs form the basis of a risk register that is integrated into the overall enterprise risk management program to further inform the Company's strategy assessing the likelihood, impact, and velocity of these risks on a forward-looking, multi-year mitigated basis. A formal process exists grounded in the enterprise risk management program where material risks, interdependencies, and the associated remediation plans that are tracked to completion at a minimum on a monthly basis are presented and discussed cross-functionally. In addition to the normal discourse on emerging risks, a focused drill down into cybersecurity risk is presented at least annually at the enterprise risk steering committee meeting.</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All employees and contractors play an important role in protecting the organization from cyber threats. We have implemented a formal cybersecurity training and awareness program that includes mandatory annual information security training and continuous education through various enterprise collaboration platforms. Our Cyber Defense team plays an important role in implementing our protection, detection, and response capabilities. Security incidents are evaluated, ranked by severity and prioritized for response and remediation. Our incident response process outlines actions required to triage, analyze, contain, remediate, and safely recover from cybersecurity incidents. Our incident response program ensures management is informed and involved in monitoring and addressing security and privacy incidents. The program uses a coordinated escalation model to engage relevant management and Board members as needed. It includes regular training and simulations for preparedness, with periodic updates to the Board on the program’s status and significant incidents, ensuring robust oversight and governance. Security incidents are evaluated to determine materiality as well as operational and business impacts and are reviewed for privacy impacts.</w:t>
      </w:r>
    </w:p>
    <w:p>
      <w:pPr>
        <w:spacing w:after="0" w:line="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Xerox Holdings has established a structured third-party risk management program, with a primary focus on assessing and mitigating potential cyber risks linked to external vendors and partners who have access to the organization's digital assets or play a role in storing and processing data. This also extends to the software supply chain supporting our products and services. A thorough due diligence process is conducted on all prospective third parties to evaluate their overall security posture and alignment with Xerox Holdings' organizational standards. Additionally, ongoing assessments are regularly conducted on selected existing vendors and partners to confirm their continuous compliance with Xerox Holdings' cybersecurity and data privacy standards and policies. Where applicable, we also include security and data privacy addendums in our third-party contracts. Xerox Holdings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27</w:t>
      </w:r>
    </w:p>
    <w:p>
      <w:pPr>
        <w:sectPr>
          <w:pgSz w:w="11880" w:h="15480" w:orient="portrait"/>
          <w:cols w:equalWidth="0" w:num="1">
            <w:col w:w="9960"/>
          </w:cols>
          <w:pgMar w:left="960" w:top="724" w:right="960" w:bottom="0" w:gutter="0" w:footer="0" w:header="0"/>
        </w:sectPr>
      </w:pPr>
    </w:p>
    <w:bookmarkStart w:id="37" w:name="page38"/>
    <w:bookmarkEnd w:id="37"/>
    <w:p>
      <w:pPr>
        <w:jc w:val="both"/>
        <w:spacing w:after="0" w:line="298" w:lineRule="auto"/>
        <w:rPr>
          <w:sz w:val="20"/>
          <w:szCs w:val="20"/>
          <w:color w:val="auto"/>
        </w:rPr>
      </w:pPr>
      <w:r>
        <w:rPr>
          <w:rFonts w:ascii="Arial" w:cs="Arial" w:eastAsia="Arial" w:hAnsi="Arial"/>
          <w:sz w:val="19"/>
          <w:szCs w:val="19"/>
          <w:b w:val="1"/>
          <w:bCs w:val="1"/>
          <w:color w:val="auto"/>
        </w:rPr>
        <w:t>engages with external managed security service providers to support certain day-to-day operational activities in addition to in-house cybersecurity staff as part of the cybersecurity program.</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To date, no cybersecurity incident has resulted in any material impact on our business, operations or financial results or our ability to service our customers or run our business. We maintain insurance coverage designed to mitigate our exposure to network security and privacy matters.</w:t>
      </w:r>
    </w:p>
    <w:p>
      <w:pPr>
        <w:spacing w:after="0" w:line="6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Item 1A Risk Factors for additional discussion of risks associated with cybersecurity threats to the Company.</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Governance</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Xerox Holdings' Cybersecurity organization is a global organization and is dedicated to protecting its infrastructure, information, and digital assets. It is responsible for establishing appropriate security policies, safeguards and controls to prevent, detect and respond to cyber threats, meet regulatory and compliance requirements, secure Xerox Holdings' intellectual property, products and services, and supply chain in collaboration with business, product, and IT partners. The information security organization is led by the Chief Information Security Officer (CISO) who reports to the President and Chief Operating Officer (COO). With more than twenty years of experience in security, the CISO began his security career serving in the United States Marine Corps (USMC), leading physical security and executive protection for Marine One. He subsequently led cybersecurity programs for U.S. Cyber Command and the Pentagon, advised Fortune 500 clients on cybersecurity and crisis response matters as an Advisory Director at PwC, and has held positions as CISO or Deputy CISO for public and private companies. The CISO has a Master of Business Administration (MBA), and is a Certified Information Systems Security Professional (CISSP) and Certified Information Security Manager (CISM). He has extensive experience in multiple security domains, including security operations, incident detection and response, security architecture, identity and access management, cloud security, vulnerability and threat management, application/product security, policy, and compliance.</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Audit Committee of the Board of Directors provides governance and oversight of the cybersecurity program and approves the information security program annually. Regular updates are presented to the Audit Committee by the CISO on the current state of the cybersecurity program, providing transparency concerning progress on initiatives, operational and compliance metrics, risks, cybersecurity and data privacy incidents (if any), and appropriate remediation actions. The outcomes of these cross-functional risk discussions noted above are submitted quarterly to the Audit Committee of the Board of Directors.</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Board of Directors also considers cybersecurity topics on an ad hoc basis where appropriate, including for purposes of receiving briefings on developments in cybersecurity or cybersecurity incidents and assessing and managing potentially material risks arising from cybersecurity threats. There are two committees comprised of Company leadership, including the enterprise risk management steering committee, which meets monthly, and the Xerox Holdings management audit committee, which meets at least quarterly, to discuss the current operational and security compliance metrics, cybersecurity incidents, and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28</w:t>
      </w:r>
    </w:p>
    <w:p>
      <w:pPr>
        <w:sectPr>
          <w:pgSz w:w="11880" w:h="15480" w:orient="portrait"/>
          <w:cols w:equalWidth="0" w:num="1">
            <w:col w:w="9960"/>
          </w:cols>
          <w:pgMar w:left="960" w:top="736" w:right="960" w:bottom="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DA2031"/>
        </w:rPr>
        <w:t>Item 2. Properties</w:t>
      </w:r>
    </w:p>
    <w:p>
      <w:pPr>
        <w:spacing w:after="0" w:line="14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own or lease several manufacturing, engineering and research facilities, with principal locations in Colorado, India, Kentucky, New York, Mexico, Oklahoma, Oregon, and the Philippines. These facilities are primarily used by the Print and Other segment. Our Corporate Headquarters is a leased facility located in Norwalk, Connecticut.</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In 2025, we owned or leased facilities globally which include general offices, sales offices, service locations, data centers, call centers, manufacturing facilities, warehouses and distribution centers. Additionally, we acquired Lexmark International II, LLC (Lexmark), which increased our property portfolio by approximately 3.4 million square feet, and is comprised of 3 owned properties, and 53 leased facilities.</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size of our property portfolio at December 31, 2025 was approximately 12.1 million square feet, which was comprised of 284 leased facilities and 8 owned properties with 52 buildings (of which 45 are located on our Webster, New York campus). We occupied approximately 10.3 million square feet, 1.6 million square feet were surplus, and approximately 190 thousand square feet was sublet to third parties. It is our opinion that our properties have been well maintained, are in sound operating condition and contain all the necessary equipment and facilities to perform their functions.</w:t>
      </w:r>
    </w:p>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Our properties are primarily managed by, and are in support of, the Print and Other segment. The IT Solutions segment includes a dedicated property portfolio of approximately 73 thousand square feet, which is comprised of 6 leased facilities, in addition to shared space with the Print and Other segment, for which the IT Solutions segment is allocated occupancy costs.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believe that our current facilities are suitable and adequate for our current businesses.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Refer to Note 6 - Acquisitions and Divestitures in the Consolidated Financial Statements, for additional information regarding our acquisitions, and Note 11 - Lessee in the Consolidated Financial Statements, for additional information regarding our leased assets.</w:t>
      </w:r>
    </w:p>
    <w:p>
      <w:pPr>
        <w:spacing w:after="0" w:line="107"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3. Legal Proceedings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We are engaged in numerous legal actions arising in the ordinary course of our business (for example, proceedings relating to employment matters or the initiation or defense of proceedings relating to intellectual property rights), and while there can be no assurance, we believe that the ultimate outcome of these other legal actions will not have a material adverse effect on our business, results of operations, financial condition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4. Mine Safety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ectPr>
          <w:pgSz w:w="11880" w:h="15480" w:orient="portrait"/>
          <w:cols w:equalWidth="0" w:num="1">
            <w:col w:w="9960"/>
          </w:cols>
          <w:pgMar w:left="960" w:top="81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29</w:t>
      </w:r>
    </w:p>
    <w:p>
      <w:pPr>
        <w:sectPr>
          <w:pgSz w:w="11880" w:h="15480" w:orient="portrait"/>
          <w:cols w:equalWidth="0" w:num="1">
            <w:col w:w="9960"/>
          </w:cols>
          <w:pgMar w:left="960" w:top="812" w:right="96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3"/>
          <w:szCs w:val="23"/>
          <w:b w:val="1"/>
          <w:bCs w:val="1"/>
          <w:color w:val="DA2031"/>
        </w:rPr>
        <w:t>Part II</w:t>
      </w:r>
    </w:p>
    <w:p>
      <w:pPr>
        <w:spacing w:after="0" w:line="73" w:lineRule="exact"/>
        <w:rPr>
          <w:sz w:val="20"/>
          <w:szCs w:val="20"/>
          <w:color w:val="auto"/>
        </w:rPr>
      </w:pPr>
    </w:p>
    <w:p>
      <w:pPr>
        <w:ind w:left="1060" w:right="20" w:hanging="1047"/>
        <w:spacing w:after="0" w:line="299" w:lineRule="auto"/>
        <w:tabs>
          <w:tab w:leader="none" w:pos="1040" w:val="left"/>
        </w:tabs>
        <w:rPr>
          <w:sz w:val="20"/>
          <w:szCs w:val="20"/>
          <w:color w:val="auto"/>
        </w:rPr>
      </w:pPr>
      <w:r>
        <w:rPr>
          <w:rFonts w:ascii="Arial" w:cs="Arial" w:eastAsia="Arial" w:hAnsi="Arial"/>
          <w:sz w:val="23"/>
          <w:szCs w:val="23"/>
          <w:b w:val="1"/>
          <w:bCs w:val="1"/>
          <w:color w:val="DA2031"/>
        </w:rPr>
        <w:t>Item 5.</w:t>
        <w:tab/>
        <w:t>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Corporate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Stock Exchange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Xerox Holdings Corporation's common stock (XRX) is listed on the Nasdaq Global Select Market.</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There is no established public trading market for Xerox Corporation's common stock, as all of the outstanding Xerox common stock is held solely by Xerox Holdings.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Common Shareholders of Record</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2025, Xerox Holdings Corporation had approximately 16,197 shareholders of record.</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Dividends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For additional information regarding dividends, refer to Item 7 - Management's Discussion and Analysis and Item 8 - Financial Statements and Supplementary Data, Xerox Holdings Corporation Statement of Shareholders' Equity, which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Performance Graph</w:t>
      </w:r>
      <w:r>
        <w:rPr>
          <w:rFonts w:ascii="Arial" w:cs="Arial" w:eastAsia="Arial" w:hAnsi="Arial"/>
          <w:sz w:val="13"/>
          <w:szCs w:val="13"/>
          <w:b w:val="1"/>
          <w:bCs w:val="1"/>
          <w:color w:val="DA2031"/>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6319520" cy="3326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9520" cy="332613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DA2031"/>
        </w:rPr>
        <w:t>Comparison of Cumulative Five-Year Total Return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$225</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$200</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$175</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$150</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$125</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$100</w:t>
      </w:r>
    </w:p>
    <w:p>
      <w:pPr>
        <w:spacing w:after="0" w:line="139" w:lineRule="exact"/>
        <w:rPr>
          <w:sz w:val="20"/>
          <w:szCs w:val="20"/>
          <w:color w:val="auto"/>
        </w:rPr>
      </w:pPr>
    </w:p>
    <w:p>
      <w:pPr>
        <w:jc w:val="center"/>
        <w:ind w:right="9180"/>
        <w:spacing w:after="0"/>
        <w:rPr>
          <w:sz w:val="20"/>
          <w:szCs w:val="20"/>
          <w:color w:val="auto"/>
        </w:rPr>
      </w:pPr>
      <w:r>
        <w:rPr>
          <w:rFonts w:ascii="Arial" w:cs="Arial" w:eastAsia="Arial" w:hAnsi="Arial"/>
          <w:sz w:val="17"/>
          <w:szCs w:val="17"/>
          <w:b w:val="1"/>
          <w:bCs w:val="1"/>
          <w:color w:val="auto"/>
        </w:rPr>
        <w:t>$75</w:t>
      </w:r>
    </w:p>
    <w:p>
      <w:pPr>
        <w:spacing w:after="0" w:line="139" w:lineRule="exact"/>
        <w:rPr>
          <w:sz w:val="20"/>
          <w:szCs w:val="20"/>
          <w:color w:val="auto"/>
        </w:rPr>
      </w:pPr>
    </w:p>
    <w:p>
      <w:pPr>
        <w:jc w:val="center"/>
        <w:ind w:right="9180"/>
        <w:spacing w:after="0"/>
        <w:rPr>
          <w:sz w:val="20"/>
          <w:szCs w:val="20"/>
          <w:color w:val="auto"/>
        </w:rPr>
      </w:pPr>
      <w:r>
        <w:rPr>
          <w:rFonts w:ascii="Arial" w:cs="Arial" w:eastAsia="Arial" w:hAnsi="Arial"/>
          <w:sz w:val="17"/>
          <w:szCs w:val="17"/>
          <w:b w:val="1"/>
          <w:bCs w:val="1"/>
          <w:color w:val="auto"/>
        </w:rPr>
        <w:t>$50</w:t>
      </w:r>
    </w:p>
    <w:p>
      <w:pPr>
        <w:spacing w:after="0" w:line="139" w:lineRule="exact"/>
        <w:rPr>
          <w:sz w:val="20"/>
          <w:szCs w:val="20"/>
          <w:color w:val="auto"/>
        </w:rPr>
      </w:pPr>
    </w:p>
    <w:p>
      <w:pPr>
        <w:jc w:val="center"/>
        <w:ind w:right="9180"/>
        <w:spacing w:after="0"/>
        <w:rPr>
          <w:sz w:val="20"/>
          <w:szCs w:val="20"/>
          <w:color w:val="auto"/>
        </w:rPr>
      </w:pPr>
      <w:r>
        <w:rPr>
          <w:rFonts w:ascii="Arial" w:cs="Arial" w:eastAsia="Arial" w:hAnsi="Arial"/>
          <w:sz w:val="17"/>
          <w:szCs w:val="17"/>
          <w:b w:val="1"/>
          <w:bCs w:val="1"/>
          <w:color w:val="auto"/>
        </w:rPr>
        <w:t>$25</w:t>
      </w:r>
    </w:p>
    <w:p>
      <w:pPr>
        <w:spacing w:after="0" w:line="139" w:lineRule="exact"/>
        <w:rPr>
          <w:sz w:val="20"/>
          <w:szCs w:val="20"/>
          <w:color w:val="auto"/>
        </w:rPr>
      </w:pPr>
    </w:p>
    <w:p>
      <w:pPr>
        <w:jc w:val="center"/>
        <w:ind w:right="9180"/>
        <w:spacing w:after="0"/>
        <w:rPr>
          <w:sz w:val="20"/>
          <w:szCs w:val="20"/>
          <w:color w:val="auto"/>
        </w:rPr>
      </w:pPr>
      <w:r>
        <w:rPr>
          <w:rFonts w:ascii="Arial" w:cs="Arial" w:eastAsia="Arial" w:hAnsi="Arial"/>
          <w:sz w:val="17"/>
          <w:szCs w:val="17"/>
          <w:b w:val="1"/>
          <w:bCs w:val="1"/>
          <w:color w:val="auto"/>
        </w:rPr>
        <w:t>$0</w:t>
      </w:r>
    </w:p>
    <w:p>
      <w:pPr>
        <w:spacing w:after="0" w:line="140" w:lineRule="exact"/>
        <w:rPr>
          <w:sz w:val="20"/>
          <w:szCs w:val="20"/>
          <w:color w:val="auto"/>
        </w:rPr>
      </w:pPr>
    </w:p>
    <w:tbl>
      <w:tblPr>
        <w:tblLayout w:type="fixed"/>
        <w:tblInd w:w="1060" w:type="dxa"/>
        <w:tblCellMar>
          <w:top w:w="0" w:type="dxa"/>
          <w:left w:w="0" w:type="dxa"/>
          <w:bottom w:w="0" w:type="dxa"/>
          <w:right w:w="0" w:type="dxa"/>
        </w:tblCellMar>
      </w:tblPr>
      <w:tr>
        <w:trPr>
          <w:trHeight w:val="312"/>
        </w:trPr>
        <w:tc>
          <w:tcPr>
            <w:tcW w:w="980" w:type="dxa"/>
            <w:vAlign w:val="bottom"/>
          </w:tcPr>
          <w:p>
            <w:pPr>
              <w:jc w:val="right"/>
              <w:ind w:right="476"/>
              <w:spacing w:after="0"/>
              <w:rPr>
                <w:sz w:val="20"/>
                <w:szCs w:val="20"/>
                <w:color w:val="auto"/>
              </w:rPr>
            </w:pPr>
            <w:r>
              <w:rPr>
                <w:rFonts w:ascii="Arial" w:cs="Arial" w:eastAsia="Arial" w:hAnsi="Arial"/>
                <w:sz w:val="15"/>
                <w:szCs w:val="15"/>
                <w:b w:val="1"/>
                <w:bCs w:val="1"/>
                <w:color w:val="auto"/>
              </w:rPr>
              <w:t>2020</w:t>
            </w:r>
          </w:p>
        </w:tc>
        <w:tc>
          <w:tcPr>
            <w:tcW w:w="2060" w:type="dxa"/>
            <w:vAlign w:val="bottom"/>
          </w:tcPr>
          <w:p>
            <w:pPr>
              <w:jc w:val="right"/>
              <w:ind w:right="1024"/>
              <w:spacing w:after="0"/>
              <w:rPr>
                <w:sz w:val="20"/>
                <w:szCs w:val="20"/>
                <w:color w:val="auto"/>
              </w:rPr>
            </w:pPr>
            <w:r>
              <w:rPr>
                <w:rFonts w:ascii="Arial" w:cs="Arial" w:eastAsia="Arial" w:hAnsi="Arial"/>
                <w:sz w:val="15"/>
                <w:szCs w:val="15"/>
                <w:b w:val="1"/>
                <w:bCs w:val="1"/>
                <w:color w:val="auto"/>
              </w:rPr>
              <w:t>2021</w:t>
            </w:r>
          </w:p>
        </w:tc>
        <w:tc>
          <w:tcPr>
            <w:tcW w:w="1020" w:type="dxa"/>
            <w:vAlign w:val="bottom"/>
          </w:tcPr>
          <w:p>
            <w:pPr>
              <w:jc w:val="right"/>
              <w:ind w:right="544"/>
              <w:spacing w:after="0"/>
              <w:rPr>
                <w:sz w:val="20"/>
                <w:szCs w:val="20"/>
                <w:color w:val="auto"/>
              </w:rPr>
            </w:pPr>
            <w:r>
              <w:rPr>
                <w:rFonts w:ascii="Arial" w:cs="Arial" w:eastAsia="Arial" w:hAnsi="Arial"/>
                <w:sz w:val="15"/>
                <w:szCs w:val="15"/>
                <w:b w:val="1"/>
                <w:bCs w:val="1"/>
                <w:color w:val="auto"/>
              </w:rPr>
              <w:t>2022</w:t>
            </w:r>
          </w:p>
        </w:tc>
        <w:tc>
          <w:tcPr>
            <w:tcW w:w="1920" w:type="dxa"/>
            <w:vAlign w:val="bottom"/>
            <w:gridSpan w:val="4"/>
          </w:tcPr>
          <w:p>
            <w:pPr>
              <w:jc w:val="right"/>
              <w:ind w:right="933"/>
              <w:spacing w:after="0"/>
              <w:rPr>
                <w:sz w:val="20"/>
                <w:szCs w:val="20"/>
                <w:color w:val="auto"/>
              </w:rPr>
            </w:pPr>
            <w:r>
              <w:rPr>
                <w:rFonts w:ascii="Arial" w:cs="Arial" w:eastAsia="Arial" w:hAnsi="Arial"/>
                <w:sz w:val="15"/>
                <w:szCs w:val="15"/>
                <w:b w:val="1"/>
                <w:bCs w:val="1"/>
                <w:color w:val="auto"/>
              </w:rPr>
              <w:t>2023</w:t>
            </w:r>
          </w:p>
        </w:tc>
        <w:tc>
          <w:tcPr>
            <w:tcW w:w="1060" w:type="dxa"/>
            <w:vAlign w:val="bottom"/>
          </w:tcPr>
          <w:p>
            <w:pPr>
              <w:jc w:val="right"/>
              <w:ind w:right="484"/>
              <w:spacing w:after="0"/>
              <w:rPr>
                <w:sz w:val="20"/>
                <w:szCs w:val="20"/>
                <w:color w:val="auto"/>
              </w:rPr>
            </w:pPr>
            <w:r>
              <w:rPr>
                <w:rFonts w:ascii="Arial" w:cs="Arial" w:eastAsia="Arial" w:hAnsi="Arial"/>
                <w:sz w:val="15"/>
                <w:szCs w:val="15"/>
                <w:b w:val="1"/>
                <w:bCs w:val="1"/>
                <w:color w:val="auto"/>
              </w:rPr>
              <w:t>2024</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31"/>
        </w:trPr>
        <w:tc>
          <w:tcPr>
            <w:tcW w:w="3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Xerox Holdings Corporation</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S&amp;P 600 Index</w:t>
            </w: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30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vMerge w:val="restart"/>
            <w:shd w:val="clear" w:color="auto" w:fill="000000"/>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0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vMerge w:val="continue"/>
            <w:shd w:val="clear" w:color="auto" w:fill="000000"/>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4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5"/>
              </w:rPr>
              <w:t>S&amp;P 600 Information Technology Index</w:t>
            </w:r>
          </w:p>
        </w:tc>
        <w:tc>
          <w:tcPr>
            <w:tcW w:w="1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Russell 2000 Index</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4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060" w:type="dxa"/>
            <w:vAlign w:val="bottom"/>
            <w:gridSpan w:val="3"/>
          </w:tcPr>
          <w:p>
            <w:pPr>
              <w:spacing w:after="0"/>
              <w:rPr>
                <w:sz w:val="20"/>
                <w:szCs w:val="20"/>
                <w:color w:val="auto"/>
              </w:rPr>
            </w:pPr>
            <w:r>
              <w:rPr>
                <w:rFonts w:ascii="Arial" w:cs="Arial" w:eastAsia="Arial" w:hAnsi="Arial"/>
                <w:sz w:val="17"/>
                <w:szCs w:val="17"/>
                <w:b w:val="1"/>
                <w:bCs w:val="1"/>
                <w:color w:val="auto"/>
              </w:rPr>
              <w:t>S&amp;P Technology Hardware Select Industry Index</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Total Return to Shareholders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42"/>
              <w:spacing w:after="0"/>
              <w:rPr>
                <w:sz w:val="20"/>
                <w:szCs w:val="20"/>
                <w:color w:val="auto"/>
              </w:rPr>
            </w:pPr>
            <w:r>
              <w:rPr>
                <w:rFonts w:ascii="Arial" w:cs="Arial" w:eastAsia="Arial" w:hAnsi="Arial"/>
                <w:sz w:val="16"/>
                <w:szCs w:val="16"/>
                <w:b w:val="1"/>
                <w:bCs w:val="1"/>
                <w:color w:val="auto"/>
                <w:w w:val="98"/>
              </w:rPr>
              <w:t>Year Ended December 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3"/>
        </w:trPr>
        <w:tc>
          <w:tcPr>
            <w:tcW w:w="680" w:type="dxa"/>
            <w:vAlign w:val="bottom"/>
            <w:tcBorders>
              <w:bottom w:val="single" w:sz="8" w:color="E5E5E5"/>
            </w:tcBorders>
          </w:tcPr>
          <w:p>
            <w:pPr>
              <w:spacing w:after="0"/>
              <w:rPr>
                <w:sz w:val="18"/>
                <w:szCs w:val="18"/>
                <w:color w:val="auto"/>
              </w:rPr>
            </w:pPr>
          </w:p>
        </w:tc>
        <w:tc>
          <w:tcPr>
            <w:tcW w:w="288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r>
      <w:tr>
        <w:trPr>
          <w:trHeight w:val="223"/>
        </w:trPr>
        <w:tc>
          <w:tcPr>
            <w:tcW w:w="356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Xerox Holdings Corporation</w:t>
            </w:r>
          </w:p>
        </w:tc>
        <w:tc>
          <w:tcPr>
            <w:tcW w:w="240" w:type="dxa"/>
            <w:vAlign w:val="bottom"/>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100.00</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101.98</w:t>
            </w:r>
          </w:p>
        </w:tc>
        <w:tc>
          <w:tcPr>
            <w:tcW w:w="32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70.04</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93.72</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47.03</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13.85</w:t>
            </w:r>
          </w:p>
        </w:tc>
      </w:tr>
      <w:tr>
        <w:trPr>
          <w:trHeight w:val="227"/>
        </w:trPr>
        <w:tc>
          <w:tcPr>
            <w:tcW w:w="680" w:type="dxa"/>
            <w:vAlign w:val="bottom"/>
          </w:tcPr>
          <w:p>
            <w:pPr>
              <w:ind w:left="60"/>
              <w:spacing w:after="0"/>
              <w:rPr>
                <w:sz w:val="20"/>
                <w:szCs w:val="20"/>
                <w:color w:val="auto"/>
              </w:rPr>
            </w:pPr>
            <w:r>
              <w:rPr>
                <w:rFonts w:ascii="Arial" w:cs="Arial" w:eastAsia="Arial" w:hAnsi="Arial"/>
                <w:sz w:val="16"/>
                <w:szCs w:val="16"/>
                <w:b w:val="1"/>
                <w:bCs w:val="1"/>
                <w:color w:val="auto"/>
                <w:w w:val="93"/>
              </w:rPr>
              <w:t>S&amp;P 600</w:t>
            </w:r>
          </w:p>
        </w:tc>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Index</w:t>
            </w:r>
          </w:p>
        </w:tc>
        <w:tc>
          <w:tcPr>
            <w:tcW w:w="24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100.00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126.82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106.40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123.48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134.22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142.30</w:t>
            </w:r>
          </w:p>
        </w:tc>
      </w:tr>
      <w:tr>
        <w:trPr>
          <w:trHeight w:val="239"/>
        </w:trPr>
        <w:tc>
          <w:tcPr>
            <w:tcW w:w="6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w w:val="93"/>
              </w:rPr>
              <w:t>S&amp;P 600</w:t>
            </w:r>
          </w:p>
        </w:tc>
        <w:tc>
          <w:tcPr>
            <w:tcW w:w="288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Information Technology Index</w:t>
            </w:r>
          </w:p>
        </w:tc>
        <w:tc>
          <w:tcPr>
            <w:tcW w:w="24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100.00</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126.85</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98.48</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119.11</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118.14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140.68</w:t>
            </w:r>
          </w:p>
        </w:tc>
      </w:tr>
      <w:tr>
        <w:trPr>
          <w:trHeight w:val="227"/>
        </w:trPr>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Russell 2000 Index</w:t>
            </w:r>
          </w:p>
        </w:tc>
        <w:tc>
          <w:tcPr>
            <w:tcW w:w="24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100.00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114.82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91.35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106.82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119.14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134.40</w:t>
            </w:r>
          </w:p>
        </w:tc>
      </w:tr>
      <w:tr>
        <w:trPr>
          <w:trHeight w:val="239"/>
        </w:trPr>
        <w:tc>
          <w:tcPr>
            <w:tcW w:w="356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w w:val="94"/>
              </w:rPr>
              <w:t>S&amp;P Technology Hardware Select Industry Index</w:t>
            </w:r>
          </w:p>
        </w:tc>
        <w:tc>
          <w:tcPr>
            <w:tcW w:w="24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100.00</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116.70</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79.22</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113.31</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154.64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196.79</w:t>
            </w:r>
          </w:p>
        </w:tc>
      </w:tr>
    </w:tbl>
    <w:p>
      <w:pPr>
        <w:spacing w:after="0" w:line="20" w:lineRule="exact"/>
        <w:rPr>
          <w:sz w:val="20"/>
          <w:szCs w:val="20"/>
          <w:color w:val="auto"/>
        </w:r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 Standard &amp; Poor's Investment Services</w:t>
      </w:r>
    </w:p>
    <w:p>
      <w:pPr>
        <w:spacing w:after="0" w:line="2" w:lineRule="exact"/>
        <w:rPr>
          <w:sz w:val="20"/>
          <w:szCs w:val="20"/>
          <w:color w:val="auto"/>
        </w:rPr>
      </w:pPr>
    </w:p>
    <w:p>
      <w:pPr>
        <w:ind w:left="360" w:hanging="356"/>
        <w:spacing w:after="0" w:line="277" w:lineRule="auto"/>
        <w:tabs>
          <w:tab w:leader="none" w:pos="360" w:val="left"/>
        </w:tabs>
        <w:numPr>
          <w:ilvl w:val="0"/>
          <w:numId w:val="2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Graph assumes $100 invested on December 31, 2020 in Xerox Holdings, the S&amp;P 600 Index, the S&amp;P 600 Information Technology Index, the Russell 2000 Index and the S&amp;P Technology Hardware Select Industry Index, respectively, and assumes dividends are reinvested.</w:t>
      </w:r>
    </w:p>
    <w:p>
      <w:pPr>
        <w:jc w:val="both"/>
        <w:ind w:left="360" w:hanging="356"/>
        <w:spacing w:after="0" w:line="233" w:lineRule="auto"/>
        <w:tabs>
          <w:tab w:leader="none" w:pos="3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Beginning with the 2025 Annual Report on Form 10-K, the Company changed its benchmark indexes to the Russell 2000 Index and the S&amp;P Technology Hardware Select Industry Index, from the S&amp;P 600 Index and the S&amp;P 600 Information Technology Index, as the Company became part of the S&amp;P Technology Hardware Select Industry Index during the year ended December 31, 2025. The Company believes that the S&amp;P Technology Hardware Select Industry Index is more representative of the Company's market capitalization and peer group. Data for the S&amp;P 600 Indexes are provided for comparison purposes only as we transition to the use of the S&amp;P Technology Hardware Select Industry Index.</w:t>
      </w:r>
    </w:p>
    <w:p>
      <w:pPr>
        <w:spacing w:after="0" w:line="34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30</w:t>
      </w:r>
    </w:p>
    <w:p>
      <w:pPr>
        <w:sectPr>
          <w:pgSz w:w="11880" w:h="15480" w:orient="portrait"/>
          <w:cols w:equalWidth="0" w:num="1">
            <w:col w:w="9960"/>
          </w:cols>
          <w:pgMar w:left="960" w:top="637" w:right="960" w:bottom="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DA2031"/>
        </w:rPr>
        <w:t>Sales Of Unregistered Securities During the Quarter Ended December 31, 2025</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There were no unregistered sales of securities for the quarter ended 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Issuer Purchases of Equity Securities During the Quarter Ended December 31, 2025</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There were no repurchases of Xerox Holdings Corporation's Common Stock for the quarter ended December 31, 2025 pursuant to share repurchase programs authorized by Xerox Holdings' Board of Directors.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Repurchases Related to Stock Compensation Programs</w:t>
      </w:r>
      <w:r>
        <w:rPr>
          <w:rFonts w:ascii="Arial" w:cs="Arial" w:eastAsia="Arial" w:hAnsi="Arial"/>
          <w:sz w:val="12"/>
          <w:szCs w:val="12"/>
          <w:b w:val="1"/>
          <w:bCs w:val="1"/>
          <w:color w:val="DA2031"/>
        </w:rPr>
        <w:t>(1)</w:t>
      </w:r>
      <w:r>
        <w:rPr>
          <w:rFonts w:ascii="Arial" w:cs="Arial" w:eastAsia="Arial" w:hAnsi="Arial"/>
          <w:sz w:val="19"/>
          <w:szCs w:val="19"/>
          <w:b w:val="1"/>
          <w:bCs w:val="1"/>
          <w:color w:val="DA2031"/>
        </w:rPr>
        <w: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8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Maximum Approximate</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Dollar Value of Shares</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46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Total Number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1"/>
              </w:rPr>
              <w:t>Average Price</w:t>
            </w:r>
          </w:p>
        </w:tc>
        <w:tc>
          <w:tcPr>
            <w:tcW w:w="80" w:type="dxa"/>
            <w:vAlign w:val="bottom"/>
          </w:tcPr>
          <w:p>
            <w:pPr>
              <w:spacing w:after="0"/>
              <w:rPr>
                <w:sz w:val="13"/>
                <w:szCs w:val="13"/>
                <w:color w:val="auto"/>
              </w:rPr>
            </w:pP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Purchased as Part of</w:t>
            </w:r>
          </w:p>
        </w:tc>
        <w:tc>
          <w:tcPr>
            <w:tcW w:w="80" w:type="dxa"/>
            <w:vAlign w:val="bottom"/>
          </w:tcPr>
          <w:p>
            <w:pPr>
              <w:spacing w:after="0"/>
              <w:rPr>
                <w:sz w:val="13"/>
                <w:szCs w:val="13"/>
                <w:color w:val="auto"/>
              </w:rPr>
            </w:pPr>
          </w:p>
        </w:tc>
        <w:tc>
          <w:tcPr>
            <w:tcW w:w="1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That May Yet Be</w:t>
            </w: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Publicly Announced</w:t>
            </w:r>
          </w:p>
        </w:tc>
        <w:tc>
          <w:tcPr>
            <w:tcW w:w="80" w:type="dxa"/>
            <w:vAlign w:val="bottom"/>
          </w:tcPr>
          <w:p>
            <w:pPr>
              <w:spacing w:after="0"/>
              <w:rPr>
                <w:sz w:val="13"/>
                <w:szCs w:val="13"/>
                <w:color w:val="auto"/>
              </w:rPr>
            </w:pPr>
          </w:p>
        </w:tc>
        <w:tc>
          <w:tcPr>
            <w:tcW w:w="19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E5E5E5"/>
            </w:tcBorders>
          </w:tcPr>
          <w:p>
            <w:pPr>
              <w:spacing w:after="0"/>
              <w:rPr>
                <w:sz w:val="17"/>
                <w:szCs w:val="17"/>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5"/>
              </w:rPr>
              <w:t>Shares Purchased</w:t>
            </w:r>
          </w:p>
        </w:tc>
        <w:tc>
          <w:tcPr>
            <w:tcW w:w="60" w:type="dxa"/>
            <w:vAlign w:val="bottom"/>
            <w:tcBorders>
              <w:bottom w:val="single" w:sz="8" w:color="E5E5E5"/>
            </w:tcBorders>
          </w:tcPr>
          <w:p>
            <w:pPr>
              <w:spacing w:after="0"/>
              <w:rPr>
                <w:sz w:val="17"/>
                <w:szCs w:val="17"/>
                <w:color w:val="auto"/>
              </w:rPr>
            </w:pPr>
          </w:p>
        </w:tc>
        <w:tc>
          <w:tcPr>
            <w:tcW w:w="1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Paid per Share</w:t>
            </w:r>
            <w:r>
              <w:rPr>
                <w:rFonts w:ascii="Arial" w:cs="Arial" w:eastAsia="Arial" w:hAnsi="Arial"/>
                <w:sz w:val="10"/>
                <w:szCs w:val="10"/>
                <w:b w:val="1"/>
                <w:bCs w:val="1"/>
                <w:color w:val="auto"/>
              </w:rPr>
              <w:t>(2)</w:t>
            </w:r>
          </w:p>
        </w:tc>
        <w:tc>
          <w:tcPr>
            <w:tcW w:w="80" w:type="dxa"/>
            <w:vAlign w:val="bottom"/>
            <w:tcBorders>
              <w:bottom w:val="single" w:sz="8" w:color="E5E5E5"/>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80" w:type="dxa"/>
            <w:vAlign w:val="bottom"/>
            <w:tcBorders>
              <w:bottom w:val="single" w:sz="8" w:color="E5E5E5"/>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0" w:type="dxa"/>
            <w:vAlign w:val="bottom"/>
          </w:tcPr>
          <w:p>
            <w:pPr>
              <w:spacing w:after="0"/>
              <w:rPr>
                <w:sz w:val="1"/>
                <w:szCs w:val="1"/>
                <w:color w:val="auto"/>
              </w:rPr>
            </w:pPr>
          </w:p>
        </w:tc>
      </w:tr>
      <w:tr>
        <w:trPr>
          <w:trHeight w:val="238"/>
        </w:trPr>
        <w:tc>
          <w:tcPr>
            <w:tcW w:w="31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October 1 through 31</w:t>
            </w:r>
          </w:p>
        </w:tc>
        <w:tc>
          <w:tcPr>
            <w:tcW w:w="14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8,528</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3.85</w:t>
            </w:r>
          </w:p>
        </w:tc>
        <w:tc>
          <w:tcPr>
            <w:tcW w:w="80" w:type="dxa"/>
            <w:vAlign w:val="bottom"/>
            <w:shd w:val="clear" w:color="auto" w:fill="E5E5E5"/>
          </w:tcPr>
          <w:p>
            <w:pPr>
              <w:spacing w:after="0"/>
              <w:rPr>
                <w:sz w:val="20"/>
                <w:szCs w:val="20"/>
                <w:color w:val="auto"/>
              </w:rPr>
            </w:pPr>
          </w:p>
        </w:tc>
        <w:tc>
          <w:tcPr>
            <w:tcW w:w="18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86"/>
              </w:rPr>
              <w:t>n/a</w:t>
            </w:r>
          </w:p>
        </w:tc>
        <w:tc>
          <w:tcPr>
            <w:tcW w:w="80" w:type="dxa"/>
            <w:vAlign w:val="bottom"/>
            <w:shd w:val="clear" w:color="auto" w:fill="E5E5E5"/>
          </w:tcPr>
          <w:p>
            <w:pPr>
              <w:spacing w:after="0"/>
              <w:rPr>
                <w:sz w:val="20"/>
                <w:szCs w:val="20"/>
                <w:color w:val="auto"/>
              </w:rPr>
            </w:pPr>
          </w:p>
        </w:tc>
        <w:tc>
          <w:tcPr>
            <w:tcW w:w="19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242"/>
        </w:trPr>
        <w:tc>
          <w:tcPr>
            <w:tcW w:w="3180" w:type="dxa"/>
            <w:vAlign w:val="bottom"/>
          </w:tcPr>
          <w:p>
            <w:pPr>
              <w:ind w:left="60"/>
              <w:spacing w:after="0"/>
              <w:rPr>
                <w:sz w:val="20"/>
                <w:szCs w:val="20"/>
                <w:color w:val="auto"/>
              </w:rPr>
            </w:pPr>
            <w:r>
              <w:rPr>
                <w:rFonts w:ascii="Arial" w:cs="Arial" w:eastAsia="Arial" w:hAnsi="Arial"/>
                <w:sz w:val="16"/>
                <w:szCs w:val="16"/>
                <w:b w:val="1"/>
                <w:bCs w:val="1"/>
                <w:color w:val="auto"/>
              </w:rPr>
              <w:t>November 1 through 30</w:t>
            </w:r>
          </w:p>
        </w:tc>
        <w:tc>
          <w:tcPr>
            <w:tcW w:w="14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6"/>
              </w:rPr>
              <w:t>n/a</w:t>
            </w:r>
          </w:p>
        </w:tc>
        <w:tc>
          <w:tcPr>
            <w:tcW w:w="8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December 1 through 31</w:t>
            </w:r>
          </w:p>
        </w:tc>
        <w:tc>
          <w:tcPr>
            <w:tcW w:w="14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3,004</w:t>
            </w:r>
          </w:p>
        </w:tc>
        <w:tc>
          <w:tcPr>
            <w:tcW w:w="60" w:type="dxa"/>
            <w:vAlign w:val="bottom"/>
            <w:tcBorders>
              <w:bottom w:val="single" w:sz="8" w:color="E5E5E5"/>
            </w:tcBorders>
            <w:shd w:val="clear" w:color="auto" w:fill="E5E5E5"/>
          </w:tcPr>
          <w:p>
            <w:pPr>
              <w:spacing w:after="0"/>
              <w:rPr>
                <w:sz w:val="22"/>
                <w:szCs w:val="22"/>
                <w:color w:val="auto"/>
              </w:rPr>
            </w:pPr>
          </w:p>
        </w:tc>
        <w:tc>
          <w:tcPr>
            <w:tcW w:w="180" w:type="dxa"/>
            <w:vAlign w:val="bottom"/>
            <w:tcBorders>
              <w:bottom w:val="single" w:sz="8" w:color="E5E5E5"/>
            </w:tcBorders>
            <w:shd w:val="clear" w:color="auto" w:fill="E5E5E5"/>
          </w:tcPr>
          <w:p>
            <w:pPr>
              <w:spacing w:after="0"/>
              <w:rPr>
                <w:sz w:val="22"/>
                <w:szCs w:val="22"/>
                <w:color w:val="auto"/>
              </w:rPr>
            </w:pPr>
          </w:p>
        </w:tc>
        <w:tc>
          <w:tcPr>
            <w:tcW w:w="12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3.24</w:t>
            </w:r>
          </w:p>
        </w:tc>
        <w:tc>
          <w:tcPr>
            <w:tcW w:w="80" w:type="dxa"/>
            <w:vAlign w:val="bottom"/>
            <w:tcBorders>
              <w:bottom w:val="single" w:sz="8" w:color="E5E5E5"/>
            </w:tcBorders>
            <w:shd w:val="clear" w:color="auto" w:fill="E5E5E5"/>
          </w:tcPr>
          <w:p>
            <w:pPr>
              <w:spacing w:after="0"/>
              <w:rPr>
                <w:sz w:val="22"/>
                <w:szCs w:val="22"/>
                <w:color w:val="auto"/>
              </w:rPr>
            </w:pPr>
          </w:p>
        </w:tc>
        <w:tc>
          <w:tcPr>
            <w:tcW w:w="18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86"/>
              </w:rPr>
              <w:t>n/a</w:t>
            </w:r>
          </w:p>
        </w:tc>
        <w:tc>
          <w:tcPr>
            <w:tcW w:w="80" w:type="dxa"/>
            <w:vAlign w:val="bottom"/>
            <w:tcBorders>
              <w:bottom w:val="single" w:sz="8" w:color="E5E5E5"/>
            </w:tcBorders>
            <w:shd w:val="clear" w:color="auto" w:fill="E5E5E5"/>
          </w:tcPr>
          <w:p>
            <w:pPr>
              <w:spacing w:after="0"/>
              <w:rPr>
                <w:sz w:val="22"/>
                <w:szCs w:val="22"/>
                <w:color w:val="auto"/>
              </w:rPr>
            </w:pPr>
          </w:p>
        </w:tc>
        <w:tc>
          <w:tcPr>
            <w:tcW w:w="19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189"/>
        </w:trPr>
        <w:tc>
          <w:tcPr>
            <w:tcW w:w="31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11,532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-42545</wp:posOffset>
            </wp:positionV>
            <wp:extent cx="949325"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9325" cy="5016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70" w:lineRule="exact"/>
        <w:rPr>
          <w:sz w:val="20"/>
          <w:szCs w:val="20"/>
          <w:color w:val="auto"/>
        </w:rPr>
      </w:pPr>
    </w:p>
    <w:p>
      <w:pPr>
        <w:ind w:left="260" w:hanging="256"/>
        <w:spacing w:after="0" w:line="277" w:lineRule="auto"/>
        <w:tabs>
          <w:tab w:leader="none" w:pos="260" w:val="left"/>
        </w:tabs>
        <w:numPr>
          <w:ilvl w:val="0"/>
          <w:numId w:val="2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These repurchases are made under a provision in our restricted stock compensation programs for the indirect repurchase of shares through a net-settlement feature upon the vesting of shares in order to satisfy minimum statutory tax-withholding requirements.</w:t>
      </w:r>
    </w:p>
    <w:p>
      <w:pPr>
        <w:ind w:left="260" w:hanging="256"/>
        <w:spacing w:after="0"/>
        <w:tabs>
          <w:tab w:leader="none" w:pos="26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Exclusive of fees and expenses.</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Refer to Note 23 - Stock-Based Compensation in the Consolidated Financial Statements for additional information regarding our stock compensation programs.</w:t>
      </w:r>
    </w:p>
    <w:p>
      <w:pPr>
        <w:spacing w:after="0" w:line="86"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6. [Reserved]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pertaining to Item 6 is not presented in accordance with amendments to Item 301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31</w:t>
      </w:r>
    </w:p>
    <w:p>
      <w:pPr>
        <w:sectPr>
          <w:pgSz w:w="11880" w:h="15480" w:orient="portrait"/>
          <w:cols w:equalWidth="0" w:num="1">
            <w:col w:w="9960"/>
          </w:cols>
          <w:pgMar w:left="960" w:top="735" w:right="960" w:bottom="0" w:gutter="0" w:footer="0" w:header="0"/>
        </w:sectPr>
      </w:pPr>
    </w:p>
    <w:bookmarkStart w:id="41" w:name="page42"/>
    <w:bookmarkEnd w:id="41"/>
    <w:p>
      <w:pPr>
        <w:ind w:left="700" w:right="560" w:hanging="697"/>
        <w:spacing w:after="0" w:line="302" w:lineRule="auto"/>
        <w:rPr>
          <w:sz w:val="20"/>
          <w:szCs w:val="20"/>
          <w:color w:val="auto"/>
        </w:rPr>
      </w:pPr>
      <w:r>
        <w:rPr>
          <w:rFonts w:ascii="Arial" w:cs="Arial" w:eastAsia="Arial" w:hAnsi="Arial"/>
          <w:sz w:val="23"/>
          <w:szCs w:val="23"/>
          <w:b w:val="1"/>
          <w:bCs w:val="1"/>
          <w:color w:val="DA2031"/>
        </w:rPr>
        <w:t>Item 7. Management's Discussion and Analysis of Financial Condition and Results of Operations</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Throughout the Management’s Discussion and Analysis (MD&amp;A) that follows, references to "Xerox Holdings" refer to Xerox Holdings Corporation and its consolidated subsidiaries, while references to "Xerox" refer to Xerox Corporation and its consolidated subsidiaries or Xerox Holdings Corporation and its consolidated subsidiaries, as determined by the context. References herein to “we,” "us," “our,” or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its subsidiaries.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Xerox Holdings' primary direct operating subsidiary is Xerox and Xerox reflects nearly all of Xerox Holdings' operations. Accordingly, the following MD&amp;A primarily focuses on the operations of Xerox and is intended to help the reader understand Xerox's business and its results of operations and financial condition. Throughout this combined Form 10-K, references are made to various notes in the Consolidated Financial Statements which appear in Part II, Item 8 of this combined Form 10-K, and the information contained in such notes is incorporated by reference into the MD&amp;A in the places where such references are made.</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Xerox Holdings' other direct subsidiary is Xerox Ventures LLC, which was established solely to invest in startups and early/mid-stage growth companies aligned with the Company’s innovation focus areas and targeted adjacencies. In January 2024, Myriad Ventures Fund I LP (Myriad) was established, and the investments held by Xerox Ventures LLC were transferred to Myriad, which will continue to be fully consolidated by Xerox Holdings. The investments are primarily equity or equity-linked and for less than 20% ownership. At December 31, 2025 and 2024 Xerox's investment in Myriad was $41 million and $40 million, respectively. The following discussion includes the results of Xerox Ventures LLC as they are immaterial to earnings and the balance sheet, and for ease of discussion.</w:t>
      </w:r>
    </w:p>
    <w:p>
      <w:pPr>
        <w:spacing w:after="0" w:line="4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results include Lexmark International II, LLC (Lexmark) from July 1, 2025, the effective date of the acquisition (the Lexmark Acquisition), as well as the results of ITsavvy LLC (ITsavvy), acquired on November 20, 2024. In order to provide a clearer comparison of our results to the prior year, we are also providing a discussion and analysis on a pro forma basis. See the “</w:t>
      </w:r>
      <w:r>
        <w:rPr>
          <w:rFonts w:ascii="Arial" w:cs="Arial" w:eastAsia="Arial" w:hAnsi="Arial"/>
          <w:sz w:val="18"/>
          <w:szCs w:val="18"/>
          <w:b w:val="1"/>
          <w:bCs w:val="1"/>
          <w:color w:val="BF2115"/>
        </w:rPr>
        <w:t>Pro Forma Basis</w:t>
      </w:r>
      <w:r>
        <w:rPr>
          <w:rFonts w:ascii="Arial" w:cs="Arial" w:eastAsia="Arial" w:hAnsi="Arial"/>
          <w:sz w:val="18"/>
          <w:szCs w:val="18"/>
          <w:b w:val="1"/>
          <w:bCs w:val="1"/>
          <w:color w:val="auto"/>
        </w:rPr>
        <w:t>” section below for further explanation and discussion of pro forma results. In addition, the following discussion includes references to "legacy Xerox", which reflects the financial results of Xerox, excluding the impact of the Lexmark Acquisition and ITsavvy, as applicable.</w:t>
      </w:r>
    </w:p>
    <w:p>
      <w:pPr>
        <w:spacing w:after="0" w:line="47"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Executive Overview</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2025 was a pivotal year for Reinvention, which is a multi-year strategy designed to transform the way Xerox operates. Its objectives are to strengthen our core business and improve financial flexibility enabling investments in solutions, initiatives, and capabilities that will position Xerox to gain share in existing markets and mix shift into higher growth verticals beyond print, delivering long-term, sustainable growth in revenue and profits. Total revenue for full year 2025 of $7.0 billion increased 12.9% reflecting a 15.5-percentage point benefit and 6.5-percentage point benefit from the Lexmark Acquisition and ITsavvy, respectively, as well as a 0.7-percentage point benefit from currency.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total revenue declined 7.6%.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70" w:lineRule="auto"/>
        <w:tabs>
          <w:tab w:leader="none" w:pos="360"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Recent Changes and Developments</w:t>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Acquisitions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On July 1, 2025, Xerox Corporation completed the acquisition of Lexmark International II, LLC (Lexmark) (the Lexmark Acquisition). The addition of Lexmark is intended to enhance Xerox's operational resilience and cost structure. Expected benefits include increased presence in the A4 color segment, entry into the APAC print market, potential reductions in product and tariff-related costs through the use of Lexmark’s manufacturing footprint, improved supply chain flexibility, and the ability to leverage Lexmark’s global capability centers and IT infrastructure to support customer satisfaction and operational efficiency. The combined company also offers a wider portfolio of offerings and services to Lexmark’s large customer base. During the year we also completed the integration of ITsavvy, forming our new Xerox IT Solutions organization (IT Solutions). IT Solutions meaningfully expands Xerox’s reach of the typical IT budget by providing additional offerings as well as opportunities that strengthen our relationship with existing clients. In 2025, growth of the IT Solutions business was driven primarily by ITsavvy as well as client demand for integrated infrastructure, cloud, security, and automation solutions.</w:t>
      </w:r>
    </w:p>
    <w:p>
      <w:pPr>
        <w:spacing w:after="0" w:line="48" w:lineRule="exact"/>
        <w:rPr>
          <w:sz w:val="20"/>
          <w:szCs w:val="20"/>
          <w:color w:val="auto"/>
        </w:rPr>
      </w:pPr>
    </w:p>
    <w:p>
      <w:pPr>
        <w:jc w:val="both"/>
        <w:spacing w:after="0" w:line="299" w:lineRule="auto"/>
        <w:rPr>
          <w:sz w:val="20"/>
          <w:szCs w:val="20"/>
          <w:color w:val="auto"/>
        </w:rPr>
      </w:pPr>
      <w:r>
        <w:rPr>
          <w:rFonts w:ascii="Arial" w:cs="Arial" w:eastAsia="Arial" w:hAnsi="Arial"/>
          <w:sz w:val="19"/>
          <w:szCs w:val="19"/>
          <w:b w:val="1"/>
          <w:bCs w:val="1"/>
          <w:color w:val="auto"/>
        </w:rPr>
        <w:t xml:space="preserve">Refer to </w:t>
      </w:r>
      <w:r>
        <w:rPr>
          <w:rFonts w:ascii="Arial" w:cs="Arial" w:eastAsia="Arial" w:hAnsi="Arial"/>
          <w:sz w:val="19"/>
          <w:szCs w:val="19"/>
          <w:b w:val="1"/>
          <w:bCs w:val="1"/>
          <w:color w:val="DA2031"/>
        </w:rPr>
        <w:t>Note 6 - Acquisitions and Divestitures</w:t>
      </w:r>
      <w:r>
        <w:rPr>
          <w:rFonts w:ascii="Arial" w:cs="Arial" w:eastAsia="Arial" w:hAnsi="Arial"/>
          <w:sz w:val="19"/>
          <w:szCs w:val="19"/>
          <w:b w:val="1"/>
          <w:bCs w:val="1"/>
          <w:color w:val="auto"/>
        </w:rPr>
        <w:t xml:space="preserve"> in the Consolidated Financial Statements for additional information regarding our acquisitions and divestitures.</w:t>
      </w:r>
    </w:p>
    <w:p>
      <w:pPr>
        <w:spacing w:after="0" w:line="200" w:lineRule="exact"/>
        <w:rPr>
          <w:sz w:val="20"/>
          <w:szCs w:val="20"/>
          <w:color w:val="auto"/>
        </w:rPr>
      </w:pPr>
    </w:p>
    <w:p>
      <w:pPr>
        <w:spacing w:after="0" w:line="35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32</w:t>
      </w:r>
    </w:p>
    <w:p>
      <w:pPr>
        <w:sectPr>
          <w:pgSz w:w="11880" w:h="15480" w:orient="portrait"/>
          <w:cols w:equalWidth="0" w:num="1">
            <w:col w:w="9960"/>
          </w:cols>
          <w:pgMar w:left="960" w:top="637" w:right="960" w:bottom="0" w:gutter="0" w:footer="0" w:header="0"/>
        </w:sectPr>
      </w:pPr>
    </w:p>
    <w:bookmarkStart w:id="42" w:name="page43"/>
    <w:bookmarkEnd w:id="42"/>
    <w:p>
      <w:pPr>
        <w:spacing w:after="0"/>
        <w:rPr>
          <w:sz w:val="20"/>
          <w:szCs w:val="20"/>
          <w:color w:val="auto"/>
        </w:rPr>
      </w:pPr>
      <w:r>
        <w:rPr>
          <w:rFonts w:ascii="Arial" w:cs="Arial" w:eastAsia="Arial" w:hAnsi="Arial"/>
          <w:sz w:val="21"/>
          <w:szCs w:val="21"/>
          <w:b w:val="1"/>
          <w:bCs w:val="1"/>
          <w:color w:val="DA2031"/>
        </w:rPr>
        <w:t>Segments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 xml:space="preserve">During the first quarter of 2025, the Company updated its determination of reportable segments to align with a change in how the Chief Operating Decision Maker (CODM), our Chief Executive Officer (CEO), allocates resources and assesses performance against the Company’s key growth and Reinvention strategies. As such, it was determined that there are two reportable segments - Print and Other, and IT Solutions. Prior to this change, the Company had two reportable segments - Print and Other, and Xerox Financial Services (XFS). As a result of this change, prior period reportable segment results and related disclosures have been conformed to reflect the Company’s current reportable segments. As noted above, Lexmark was acquired during the third quarter of 2025. The results of Lexmark are included in the Print and Other segment. </w:t>
      </w:r>
      <w:r>
        <w:rPr>
          <w:rFonts w:ascii="Arial" w:cs="Arial" w:eastAsia="Arial" w:hAnsi="Arial"/>
          <w:sz w:val="18"/>
          <w:szCs w:val="18"/>
          <w:b w:val="1"/>
          <w:bCs w:val="1"/>
          <w:color w:val="DA2031"/>
        </w:rPr>
        <w:t>Refer to Note 4 - Segment and Geographic</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DA2031"/>
        </w:rPr>
        <w:t xml:space="preserve">Area Reporting </w:t>
      </w:r>
      <w:r>
        <w:rPr>
          <w:rFonts w:ascii="Arial" w:cs="Arial" w:eastAsia="Arial" w:hAnsi="Arial"/>
          <w:sz w:val="18"/>
          <w:szCs w:val="18"/>
          <w:b w:val="1"/>
          <w:bCs w:val="1"/>
          <w:color w:val="000000"/>
        </w:rPr>
        <w:t>in the Consolidated Financial Statements for additional information regarding this change.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Reinvention efforts are focused on Operational Simplification, and Commercial Optimization and Growth.</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During 2025, we made significant progress across each priority.</w:t>
      </w:r>
    </w:p>
    <w:p>
      <w:pPr>
        <w:spacing w:after="0" w:line="131" w:lineRule="exact"/>
        <w:rPr>
          <w:sz w:val="20"/>
          <w:szCs w:val="20"/>
          <w:color w:val="auto"/>
        </w:rPr>
      </w:pPr>
    </w:p>
    <w:p>
      <w:pPr>
        <w:ind w:left="360" w:hanging="356"/>
        <w:spacing w:after="0"/>
        <w:tabs>
          <w:tab w:leader="none" w:pos="360" w:val="left"/>
        </w:tabs>
        <w:numPr>
          <w:ilvl w:val="0"/>
          <w:numId w:val="25"/>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Operational Simplification</w:t>
      </w:r>
    </w:p>
    <w:p>
      <w:pPr>
        <w:spacing w:after="0" w:line="14" w:lineRule="exact"/>
        <w:rPr>
          <w:rFonts w:ascii="Arial" w:cs="Arial" w:eastAsia="Arial" w:hAnsi="Arial"/>
          <w:sz w:val="19"/>
          <w:szCs w:val="19"/>
          <w:b w:val="1"/>
          <w:bCs w:val="1"/>
          <w:color w:val="DA2031"/>
        </w:rPr>
      </w:pPr>
    </w:p>
    <w:p>
      <w:pPr>
        <w:ind w:left="700" w:hanging="349"/>
        <w:spacing w:after="0" w:line="255"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Achieved cumulative run-rate gross cost savings of more than $500 million through year-end 2025, including Integration savings</w:t>
      </w:r>
    </w:p>
    <w:p>
      <w:pPr>
        <w:spacing w:after="0" w:line="1" w:lineRule="exact"/>
        <w:rPr>
          <w:rFonts w:ascii="Arial" w:cs="Arial" w:eastAsia="Arial" w:hAnsi="Arial"/>
          <w:sz w:val="19"/>
          <w:szCs w:val="19"/>
          <w:b w:val="1"/>
          <w:bCs w:val="1"/>
          <w:color w:val="DA2031"/>
        </w:rPr>
      </w:pPr>
    </w:p>
    <w:p>
      <w:pPr>
        <w:ind w:left="700" w:right="760" w:hanging="349"/>
        <w:spacing w:after="0" w:line="251" w:lineRule="auto"/>
        <w:rPr>
          <w:rFonts w:ascii="Arial" w:cs="Arial" w:eastAsia="Arial" w:hAnsi="Arial"/>
          <w:sz w:val="19"/>
          <w:szCs w:val="19"/>
          <w:b w:val="1"/>
          <w:bCs w:val="1"/>
          <w:color w:val="DA2031"/>
        </w:rPr>
      </w:pPr>
      <w:r>
        <w:rPr>
          <w:rFonts w:ascii="Arial" w:cs="Arial" w:eastAsia="Arial" w:hAnsi="Arial"/>
          <w:sz w:val="18"/>
          <w:szCs w:val="18"/>
          <w:b w:val="1"/>
          <w:bCs w:val="1"/>
          <w:color w:val="auto"/>
        </w:rPr>
        <w:t>– Eliminated duplicative systems, implemented more efficient systems and processes, and enhanced efficiency in procurement, warehousing, inventory management and demand planning</w:t>
      </w:r>
    </w:p>
    <w:p>
      <w:pPr>
        <w:spacing w:after="0" w:line="1" w:lineRule="exact"/>
        <w:rPr>
          <w:rFonts w:ascii="Arial" w:cs="Arial" w:eastAsia="Arial" w:hAnsi="Arial"/>
          <w:sz w:val="19"/>
          <w:szCs w:val="19"/>
          <w:b w:val="1"/>
          <w:bCs w:val="1"/>
          <w:color w:val="DA2031"/>
        </w:rPr>
      </w:pPr>
    </w:p>
    <w:p>
      <w:pPr>
        <w:ind w:left="360"/>
        <w:spacing w:after="0"/>
        <w:rPr>
          <w:rFonts w:ascii="Arial" w:cs="Arial" w:eastAsia="Arial" w:hAnsi="Arial"/>
          <w:sz w:val="19"/>
          <w:szCs w:val="19"/>
          <w:b w:val="1"/>
          <w:bCs w:val="1"/>
          <w:color w:val="DA2031"/>
        </w:rPr>
      </w:pPr>
      <w:r>
        <w:rPr>
          <w:rFonts w:ascii="Arial" w:cs="Arial" w:eastAsia="Arial" w:hAnsi="Arial"/>
          <w:sz w:val="19"/>
          <w:szCs w:val="19"/>
          <w:b w:val="1"/>
          <w:bCs w:val="1"/>
          <w:color w:val="auto"/>
        </w:rPr>
        <w:t>–   Launched tools focused on digital transformation</w:t>
      </w:r>
    </w:p>
    <w:p>
      <w:pPr>
        <w:spacing w:after="0" w:line="72" w:lineRule="exact"/>
        <w:rPr>
          <w:rFonts w:ascii="Arial" w:cs="Arial" w:eastAsia="Arial" w:hAnsi="Arial"/>
          <w:sz w:val="19"/>
          <w:szCs w:val="19"/>
          <w:b w:val="1"/>
          <w:bCs w:val="1"/>
          <w:color w:val="DA2031"/>
        </w:rPr>
      </w:pPr>
    </w:p>
    <w:p>
      <w:pPr>
        <w:ind w:left="360" w:hanging="356"/>
        <w:spacing w:after="0"/>
        <w:tabs>
          <w:tab w:leader="none" w:pos="360" w:val="left"/>
        </w:tabs>
        <w:numPr>
          <w:ilvl w:val="0"/>
          <w:numId w:val="25"/>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Commercial Optimization and Growth:</w:t>
      </w:r>
    </w:p>
    <w:p>
      <w:pPr>
        <w:spacing w:after="0" w:line="14" w:lineRule="exact"/>
        <w:rPr>
          <w:rFonts w:ascii="Arial" w:cs="Arial" w:eastAsia="Arial" w:hAnsi="Arial"/>
          <w:sz w:val="19"/>
          <w:szCs w:val="19"/>
          <w:b w:val="1"/>
          <w:bCs w:val="1"/>
          <w:color w:val="DA2031"/>
        </w:rPr>
      </w:pPr>
    </w:p>
    <w:p>
      <w:pPr>
        <w:ind w:left="700" w:right="600" w:hanging="349"/>
        <w:spacing w:after="0" w:line="238"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Re-entered the growing mid-volume Production inkjet market through partnerships, with the launch of IJP900 and Proficio products</w:t>
      </w:r>
    </w:p>
    <w:p>
      <w:pPr>
        <w:spacing w:after="0" w:line="1" w:lineRule="exact"/>
        <w:rPr>
          <w:rFonts w:ascii="Arial" w:cs="Arial" w:eastAsia="Arial" w:hAnsi="Arial"/>
          <w:sz w:val="19"/>
          <w:szCs w:val="19"/>
          <w:b w:val="1"/>
          <w:bCs w:val="1"/>
          <w:color w:val="DA2031"/>
        </w:rPr>
      </w:pPr>
    </w:p>
    <w:p>
      <w:pPr>
        <w:ind w:left="360"/>
        <w:spacing w:after="0"/>
        <w:rPr>
          <w:rFonts w:ascii="Arial" w:cs="Arial" w:eastAsia="Arial" w:hAnsi="Arial"/>
          <w:sz w:val="19"/>
          <w:szCs w:val="19"/>
          <w:b w:val="1"/>
          <w:bCs w:val="1"/>
          <w:color w:val="DA2031"/>
        </w:rPr>
      </w:pPr>
      <w:r>
        <w:rPr>
          <w:rFonts w:ascii="Arial" w:cs="Arial" w:eastAsia="Arial" w:hAnsi="Arial"/>
          <w:sz w:val="19"/>
          <w:szCs w:val="19"/>
          <w:b w:val="1"/>
          <w:bCs w:val="1"/>
          <w:color w:val="auto"/>
        </w:rPr>
        <w:t>–   Launched Inside Sales operations in U.S. and Canada</w:t>
      </w:r>
    </w:p>
    <w:p>
      <w:pPr>
        <w:spacing w:after="0" w:line="14" w:lineRule="exact"/>
        <w:rPr>
          <w:rFonts w:ascii="Arial" w:cs="Arial" w:eastAsia="Arial" w:hAnsi="Arial"/>
          <w:sz w:val="19"/>
          <w:szCs w:val="19"/>
          <w:b w:val="1"/>
          <w:bCs w:val="1"/>
          <w:color w:val="DA2031"/>
        </w:rPr>
      </w:pPr>
    </w:p>
    <w:p>
      <w:pPr>
        <w:ind w:left="360"/>
        <w:spacing w:after="0" w:line="238"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Invested in partner programs and customer initiatives</w:t>
      </w:r>
    </w:p>
    <w:p>
      <w:pPr>
        <w:ind w:left="700" w:right="100" w:hanging="349"/>
        <w:spacing w:after="0" w:line="238" w:lineRule="auto"/>
        <w:rPr>
          <w:rFonts w:ascii="Arial" w:cs="Arial" w:eastAsia="Arial" w:hAnsi="Arial"/>
          <w:sz w:val="19"/>
          <w:szCs w:val="19"/>
          <w:b w:val="1"/>
          <w:bCs w:val="1"/>
          <w:color w:val="DA2031"/>
        </w:rPr>
      </w:pPr>
      <w:r>
        <w:rPr>
          <w:rFonts w:ascii="Arial" w:cs="Arial" w:eastAsia="Arial" w:hAnsi="Arial"/>
          <w:sz w:val="19"/>
          <w:szCs w:val="19"/>
          <w:b w:val="1"/>
          <w:bCs w:val="1"/>
          <w:color w:val="auto"/>
        </w:rPr>
        <w:t>– Integrated ITsavvy, enhancing Xerox’s IT Solutions offering and expanding Total Addressable Market (TAM) of Xerox's offerings</w:t>
      </w:r>
    </w:p>
    <w:p>
      <w:pPr>
        <w:spacing w:after="0" w:line="1" w:lineRule="exact"/>
        <w:rPr>
          <w:rFonts w:ascii="Arial" w:cs="Arial" w:eastAsia="Arial" w:hAnsi="Arial"/>
          <w:sz w:val="19"/>
          <w:szCs w:val="19"/>
          <w:b w:val="1"/>
          <w:bCs w:val="1"/>
          <w:color w:val="DA2031"/>
        </w:rPr>
      </w:pPr>
    </w:p>
    <w:p>
      <w:pPr>
        <w:ind w:left="360"/>
        <w:spacing w:after="0"/>
        <w:rPr>
          <w:rFonts w:ascii="Arial" w:cs="Arial" w:eastAsia="Arial" w:hAnsi="Arial"/>
          <w:sz w:val="19"/>
          <w:szCs w:val="19"/>
          <w:b w:val="1"/>
          <w:bCs w:val="1"/>
          <w:color w:val="DA2031"/>
        </w:rPr>
      </w:pPr>
      <w:r>
        <w:rPr>
          <w:rFonts w:ascii="Arial" w:cs="Arial" w:eastAsia="Arial" w:hAnsi="Arial"/>
          <w:sz w:val="19"/>
          <w:szCs w:val="19"/>
          <w:b w:val="1"/>
          <w:bCs w:val="1"/>
          <w:color w:val="auto"/>
        </w:rPr>
        <w:t>–   Closed the Lexmark Acquisition, providing greater exposure to growing Print markets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Business Overview</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With annual revenues of approximately $7.0 billion, we are a leading global provider of digital print technology and related services, software and solutions. Our business spans five primary offerings areas: Workplace Solutions, Production Solutions, Xerox Services, Xerox Financial Services (XFS), all of which are included in the Print and Other segment, and IT Solutions.</w:t>
      </w:r>
    </w:p>
    <w:p>
      <w:pPr>
        <w:spacing w:after="0" w:line="10" w:lineRule="exact"/>
        <w:rPr>
          <w:sz w:val="20"/>
          <w:szCs w:val="20"/>
          <w:color w:val="auto"/>
        </w:rPr>
      </w:pPr>
    </w:p>
    <w:p>
      <w:pPr>
        <w:jc w:val="both"/>
        <w:ind w:left="360" w:hanging="356"/>
        <w:spacing w:after="0" w:line="269" w:lineRule="auto"/>
        <w:tabs>
          <w:tab w:leader="none" w:pos="360" w:val="left"/>
        </w:tabs>
        <w:numPr>
          <w:ilvl w:val="0"/>
          <w:numId w:val="26"/>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Workplace Solutions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is comprised of two strategic product groups,</w:t>
      </w:r>
      <w:r>
        <w:rPr>
          <w:rFonts w:ascii="Arial" w:cs="Arial" w:eastAsia="Arial" w:hAnsi="Arial"/>
          <w:sz w:val="19"/>
          <w:szCs w:val="19"/>
          <w:b w:val="1"/>
          <w:bCs w:val="1"/>
          <w:color w:val="DA2031"/>
        </w:rPr>
        <w:t xml:space="preserve"> Entry </w:t>
      </w:r>
      <w:r>
        <w:rPr>
          <w:rFonts w:ascii="Arial" w:cs="Arial" w:eastAsia="Arial" w:hAnsi="Arial"/>
          <w:sz w:val="19"/>
          <w:szCs w:val="19"/>
          <w:b w:val="1"/>
          <w:bCs w:val="1"/>
          <w:color w:val="000000"/>
        </w:rPr>
        <w:t>and</w:t>
      </w:r>
      <w:r>
        <w:rPr>
          <w:rFonts w:ascii="Arial" w:cs="Arial" w:eastAsia="Arial" w:hAnsi="Arial"/>
          <w:sz w:val="19"/>
          <w:szCs w:val="19"/>
          <w:b w:val="1"/>
          <w:bCs w:val="1"/>
          <w:color w:val="DA2031"/>
        </w:rPr>
        <w:t xml:space="preserve"> Mid-Range</w:t>
      </w:r>
      <w:r>
        <w:rPr>
          <w:rFonts w:ascii="Arial" w:cs="Arial" w:eastAsia="Arial" w:hAnsi="Arial"/>
          <w:sz w:val="19"/>
          <w:szCs w:val="19"/>
          <w:b w:val="1"/>
          <w:bCs w:val="1"/>
          <w:color w:val="000000"/>
        </w:rPr>
        <w:t>, much of which share</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common solutions, apps and ConnectKey® software. Workplace Solutions revenues include the sale of products (captured primarily as equipment sales) as well as software, supplies and the associated technical service and financing of those products through XFS (captured as post sale revenue).</w:t>
      </w:r>
    </w:p>
    <w:p>
      <w:pPr>
        <w:spacing w:after="0" w:line="9" w:lineRule="exact"/>
        <w:rPr>
          <w:rFonts w:ascii="Arial" w:cs="Arial" w:eastAsia="Arial" w:hAnsi="Arial"/>
          <w:sz w:val="19"/>
          <w:szCs w:val="19"/>
          <w:b w:val="1"/>
          <w:bCs w:val="1"/>
          <w:color w:val="DA2031"/>
        </w:rPr>
      </w:pPr>
    </w:p>
    <w:p>
      <w:pPr>
        <w:jc w:val="both"/>
        <w:ind w:left="360" w:hanging="356"/>
        <w:spacing w:after="0" w:line="264" w:lineRule="auto"/>
        <w:tabs>
          <w:tab w:leader="none" w:pos="360" w:val="left"/>
        </w:tabs>
        <w:numPr>
          <w:ilvl w:val="0"/>
          <w:numId w:val="26"/>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Production Solutions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includes high-end solutions designed for customers in the graphic communications, in-plant and production print environments with high-volume printing requirements. Our broad portfolio of presses and solutions provides black-and-white and full-color, as well as on-demand printing across a wide range of applications. Production Solutions revenues include the sale of products (captured primarily in equipment sales) as well as, software, supplies and the associated technical service and financing of those products (captured as post sale revenue).</w:t>
      </w:r>
    </w:p>
    <w:p>
      <w:pPr>
        <w:spacing w:after="0" w:line="12" w:lineRule="exact"/>
        <w:rPr>
          <w:rFonts w:ascii="Arial" w:cs="Arial" w:eastAsia="Arial" w:hAnsi="Arial"/>
          <w:sz w:val="19"/>
          <w:szCs w:val="19"/>
          <w:b w:val="1"/>
          <w:bCs w:val="1"/>
          <w:color w:val="DA2031"/>
        </w:rPr>
      </w:pPr>
    </w:p>
    <w:p>
      <w:pPr>
        <w:jc w:val="both"/>
        <w:ind w:left="360" w:hanging="356"/>
        <w:spacing w:after="0" w:line="281" w:lineRule="auto"/>
        <w:tabs>
          <w:tab w:leader="none" w:pos="360" w:val="left"/>
        </w:tabs>
        <w:numPr>
          <w:ilvl w:val="0"/>
          <w:numId w:val="26"/>
        </w:numPr>
        <w:rPr>
          <w:rFonts w:ascii="Arial" w:cs="Arial" w:eastAsia="Arial" w:hAnsi="Arial"/>
          <w:sz w:val="18"/>
          <w:szCs w:val="18"/>
          <w:b w:val="1"/>
          <w:bCs w:val="1"/>
          <w:color w:val="DA2031"/>
        </w:rPr>
      </w:pPr>
      <w:r>
        <w:rPr>
          <w:rFonts w:ascii="Arial" w:cs="Arial" w:eastAsia="Arial" w:hAnsi="Arial"/>
          <w:sz w:val="18"/>
          <w:szCs w:val="18"/>
          <w:b w:val="1"/>
          <w:bCs w:val="1"/>
          <w:u w:val="single" w:color="auto"/>
          <w:color w:val="DA2031"/>
        </w:rPr>
        <w:t>Xerox® Services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includes a continuum of solutions and services that helps our customers optimize their</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physical print and digital information infrastructures, apply automation and simplification to maximize productivity, and ensure the highest levels of security. Our primary offerings in this area are Managed Print Services</w:t>
      </w:r>
      <w:r>
        <w:rPr>
          <w:rFonts w:ascii="Arial" w:cs="Arial" w:eastAsia="Arial" w:hAnsi="Arial"/>
          <w:sz w:val="11"/>
          <w:szCs w:val="11"/>
          <w:b w:val="1"/>
          <w:bCs w:val="1"/>
          <w:color w:val="000000"/>
        </w:rPr>
        <w:t>1</w:t>
      </w:r>
      <w:r>
        <w:rPr>
          <w:rFonts w:ascii="Arial" w:cs="Arial" w:eastAsia="Arial" w:hAnsi="Arial"/>
          <w:sz w:val="18"/>
          <w:szCs w:val="18"/>
          <w:b w:val="1"/>
          <w:bCs w:val="1"/>
          <w:color w:val="000000"/>
        </w:rPr>
        <w:t xml:space="preserve"> (MPS), Capture &amp; Content Services (CCS) and Customer Engagement Services (CES). CCS and CES encompass a range of Digital Services that leverage our software capabilities in Workflow Automation, Personalization and Communication Software, Content Management Solutions, and Digitization Services.</w:t>
      </w:r>
    </w:p>
    <w:p>
      <w:pPr>
        <w:jc w:val="both"/>
        <w:ind w:left="360" w:hanging="356"/>
        <w:spacing w:after="0" w:line="276" w:lineRule="auto"/>
        <w:tabs>
          <w:tab w:leader="none" w:pos="360" w:val="left"/>
        </w:tabs>
        <w:numPr>
          <w:ilvl w:val="0"/>
          <w:numId w:val="26"/>
        </w:numPr>
        <w:rPr>
          <w:rFonts w:ascii="Arial" w:cs="Arial" w:eastAsia="Arial" w:hAnsi="Arial"/>
          <w:sz w:val="19"/>
          <w:szCs w:val="19"/>
          <w:b w:val="1"/>
          <w:bCs w:val="1"/>
          <w:color w:val="DA2031"/>
        </w:rPr>
      </w:pPr>
      <w:r>
        <w:rPr>
          <w:rFonts w:ascii="Arial" w:cs="Arial" w:eastAsia="Arial" w:hAnsi="Arial"/>
          <w:sz w:val="19"/>
          <w:szCs w:val="19"/>
          <w:b w:val="1"/>
          <w:bCs w:val="1"/>
          <w:u w:val="single" w:color="auto"/>
          <w:color w:val="DA2031"/>
        </w:rPr>
        <w:t>XFS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is a global financing solutions business and currently offers financing for direct channel customer</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purchases of Xerox equipment and solutions through bundled lease agreements and lease financing to end-user customers who purchase Xerox equipment and solutions through our indirect channels.</w:t>
      </w:r>
    </w:p>
    <w:p>
      <w:pPr>
        <w:spacing w:after="0" w:line="2" w:lineRule="exact"/>
        <w:rPr>
          <w:rFonts w:ascii="Arial" w:cs="Arial" w:eastAsia="Arial" w:hAnsi="Arial"/>
          <w:sz w:val="19"/>
          <w:szCs w:val="19"/>
          <w:b w:val="1"/>
          <w:bCs w:val="1"/>
          <w:color w:val="DA2031"/>
        </w:rPr>
      </w:pPr>
    </w:p>
    <w:p>
      <w:pPr>
        <w:jc w:val="both"/>
        <w:ind w:left="360" w:hanging="356"/>
        <w:spacing w:after="0" w:line="269" w:lineRule="auto"/>
        <w:tabs>
          <w:tab w:leader="none" w:pos="360" w:val="left"/>
        </w:tabs>
        <w:numPr>
          <w:ilvl w:val="0"/>
          <w:numId w:val="26"/>
        </w:numPr>
        <w:rPr>
          <w:rFonts w:ascii="Arial" w:cs="Arial" w:eastAsia="Arial" w:hAnsi="Arial"/>
          <w:sz w:val="18"/>
          <w:szCs w:val="18"/>
          <w:b w:val="1"/>
          <w:bCs w:val="1"/>
          <w:color w:val="DA2031"/>
        </w:rPr>
      </w:pPr>
      <w:r>
        <w:rPr>
          <w:rFonts w:ascii="Arial" w:cs="Arial" w:eastAsia="Arial" w:hAnsi="Arial"/>
          <w:sz w:val="18"/>
          <w:szCs w:val="18"/>
          <w:b w:val="1"/>
          <w:bCs w:val="1"/>
          <w:u w:val="single" w:color="auto"/>
          <w:color w:val="DA2031"/>
        </w:rPr>
        <w:t>IT Solutions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provides clients of all sizes integrated IT infrastructure solutions, delivering business outcomes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through its suite of Device Lifecycle Solutions, and Managed IT Services. The IT Solutions business leverages its professional services and engineering capabilities, along with an extensive partner ecosystem to design,</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develop and deliver comprehensive Network and Security Solutions, and Infrastructure and Cloud Solutions.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w:t>
      </w:r>
    </w:p>
    <w:p>
      <w:pPr>
        <w:spacing w:after="0" w:line="3" w:lineRule="exact"/>
        <w:rPr>
          <w:sz w:val="20"/>
          <w:szCs w:val="20"/>
          <w:color w:val="auto"/>
        </w:rPr>
      </w:pPr>
    </w:p>
    <w:p>
      <w:pPr>
        <w:ind w:left="360" w:hanging="356"/>
        <w:spacing w:after="0"/>
        <w:tabs>
          <w:tab w:leader="none" w:pos="360" w:val="left"/>
        </w:tabs>
        <w:numPr>
          <w:ilvl w:val="0"/>
          <w:numId w:val="2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revenues from service, maintenance and rentals. IT Solutions and digital services are not included in managed print services.</w:t>
      </w:r>
    </w:p>
    <w:p>
      <w:pPr>
        <w:spacing w:after="0" w:line="200" w:lineRule="exact"/>
        <w:rPr>
          <w:sz w:val="20"/>
          <w:szCs w:val="20"/>
          <w:color w:val="auto"/>
        </w:rPr>
      </w:pPr>
    </w:p>
    <w:p>
      <w:pPr>
        <w:spacing w:after="0" w:line="21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33</w:t>
      </w:r>
    </w:p>
    <w:p>
      <w:pPr>
        <w:sectPr>
          <w:pgSz w:w="11880" w:h="15480" w:orient="portrait"/>
          <w:cols w:equalWidth="0" w:num="1">
            <w:col w:w="9960"/>
          </w:cols>
          <w:pgMar w:left="960" w:top="642" w:right="960" w:bottom="0" w:gutter="0" w:footer="0" w:header="0"/>
        </w:sectPr>
      </w:pPr>
    </w:p>
    <w:bookmarkStart w:id="43" w:name="page44"/>
    <w:bookmarkEnd w:id="43"/>
    <w:p>
      <w:pPr>
        <w:jc w:val="both"/>
        <w:spacing w:after="0" w:line="262" w:lineRule="auto"/>
        <w:rPr>
          <w:sz w:val="20"/>
          <w:szCs w:val="20"/>
          <w:color w:val="auto"/>
        </w:rPr>
      </w:pPr>
      <w:r>
        <w:rPr>
          <w:rFonts w:ascii="Arial" w:cs="Arial" w:eastAsia="Arial" w:hAnsi="Arial"/>
          <w:sz w:val="19"/>
          <w:szCs w:val="19"/>
          <w:b w:val="1"/>
          <w:bCs w:val="1"/>
          <w:color w:val="auto"/>
        </w:rPr>
        <w:t>Headquartered in Norwalk, Connecticut, with approximately 22,900 employees, Xerox serves customers globally in North America, Europe, Latin America, Brazil, APAC, the Middle East, Africa and India. We have a broad and diverse base of customers by both geography and industry, ranging from small and mid-sized clients to printing production companies, governmental entities, educational institutions and Fortune 1000 corporations. Our business does not depend upon a single customer, or a few customers. The loss of a single customer would not have a material adverse effect on our business. In 2025, approximately 43% of our revenue was generated outside the United States.</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Post Sale Based Business Model</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In 2025, 79% of our total revenue was post-sale-based and is comprised, in part, of managed print services</w:t>
      </w:r>
      <w:r>
        <w:rPr>
          <w:rFonts w:ascii="Arial" w:cs="Arial" w:eastAsia="Arial" w:hAnsi="Arial"/>
          <w:sz w:val="11"/>
          <w:szCs w:val="11"/>
          <w:b w:val="1"/>
          <w:bCs w:val="1"/>
          <w:color w:val="auto"/>
        </w:rPr>
        <w:t>1</w:t>
      </w:r>
      <w:r>
        <w:rPr>
          <w:rFonts w:ascii="Arial" w:cs="Arial" w:eastAsia="Arial" w:hAnsi="Arial"/>
          <w:sz w:val="18"/>
          <w:szCs w:val="18"/>
          <w:b w:val="1"/>
          <w:bCs w:val="1"/>
          <w:color w:val="auto"/>
        </w:rPr>
        <w:t>, supplies and financing. These revenue streams generally follow equipment placements and provide stability to our revenue and cash flows. Key indicators of future post sale revenue include installs of printers and multifunction devices, the number and type of machines in the field (MIF), page volumes, revenue per page, and the type and nature of related software and ancillary services provided to customers. Post sale revenue also includes revenues from IT Solutions, comprised of IT hardware and associated services revenues, Digital services, as well as gains, commissions, and servicing revenue associated with the sale of finance receivables.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revenues from service, maintenance and rentals. IT Solutions and digital services are not included in managed print services.</w:t>
      </w:r>
    </w:p>
    <w:p>
      <w:pPr>
        <w:spacing w:after="0" w:line="362"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Financial Overview</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auto"/>
        </w:rPr>
        <w:t>Total revenue of $7.0 billion in 2025 increased 12.9% reflecting a 15.5-percentage point benefit and 6.5-percentage point benefit from the Lexmark Acquisition and ITsavvy, respectively, as well as a 0.7-percentage point benefit from currency. On a pro forma</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basis total revenue declined 7.6%. Total revenue reflected the following:</w:t>
      </w:r>
    </w:p>
    <w:p>
      <w:pPr>
        <w:spacing w:after="0" w:line="1" w:lineRule="exact"/>
        <w:rPr>
          <w:sz w:val="20"/>
          <w:szCs w:val="20"/>
          <w:color w:val="auto"/>
        </w:rPr>
      </w:pPr>
    </w:p>
    <w:p>
      <w:pPr>
        <w:jc w:val="both"/>
        <w:ind w:left="360" w:hanging="356"/>
        <w:spacing w:after="0" w:line="255" w:lineRule="auto"/>
        <w:tabs>
          <w:tab w:leader="none" w:pos="360" w:val="left"/>
        </w:tabs>
        <w:numPr>
          <w:ilvl w:val="0"/>
          <w:numId w:val="29"/>
        </w:numPr>
        <w:rPr>
          <w:rFonts w:ascii="Arial" w:cs="Arial" w:eastAsia="Arial" w:hAnsi="Arial"/>
          <w:sz w:val="19"/>
          <w:szCs w:val="19"/>
          <w:b w:val="1"/>
          <w:bCs w:val="1"/>
          <w:color w:val="DA2031"/>
        </w:rPr>
      </w:pPr>
      <w:r>
        <w:rPr>
          <w:rFonts w:ascii="Arial" w:cs="Arial" w:eastAsia="Arial" w:hAnsi="Arial"/>
          <w:sz w:val="19"/>
          <w:szCs w:val="19"/>
          <w:b w:val="1"/>
          <w:bCs w:val="1"/>
          <w:color w:val="auto"/>
        </w:rPr>
        <w:t>an increase in post sale revenue of 14.3%, reflecting a 15.2-percentage point benefit and 8.4-percentage point benefit from the Lexmark Acquisition and ITsavvy, respectively, as well as a 0.7-percentage point benefit from currency.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post sale revenue declined 7.4%.</w:t>
      </w:r>
    </w:p>
    <w:p>
      <w:pPr>
        <w:spacing w:after="0" w:line="1" w:lineRule="exact"/>
        <w:rPr>
          <w:rFonts w:ascii="Arial" w:cs="Arial" w:eastAsia="Arial" w:hAnsi="Arial"/>
          <w:sz w:val="19"/>
          <w:szCs w:val="19"/>
          <w:b w:val="1"/>
          <w:bCs w:val="1"/>
          <w:color w:val="DA2031"/>
        </w:rPr>
      </w:pPr>
    </w:p>
    <w:p>
      <w:pPr>
        <w:jc w:val="both"/>
        <w:ind w:left="360" w:hanging="356"/>
        <w:spacing w:after="0" w:line="276" w:lineRule="auto"/>
        <w:tabs>
          <w:tab w:leader="none" w:pos="360" w:val="left"/>
        </w:tabs>
        <w:numPr>
          <w:ilvl w:val="0"/>
          <w:numId w:val="29"/>
        </w:numPr>
        <w:rPr>
          <w:rFonts w:ascii="Arial" w:cs="Arial" w:eastAsia="Arial" w:hAnsi="Arial"/>
          <w:sz w:val="19"/>
          <w:szCs w:val="19"/>
          <w:b w:val="1"/>
          <w:bCs w:val="1"/>
          <w:color w:val="DA2031"/>
        </w:rPr>
      </w:pPr>
      <w:r>
        <w:rPr>
          <w:rFonts w:ascii="Arial" w:cs="Arial" w:eastAsia="Arial" w:hAnsi="Arial"/>
          <w:sz w:val="19"/>
          <w:szCs w:val="19"/>
          <w:b w:val="1"/>
          <w:bCs w:val="1"/>
          <w:color w:val="auto"/>
        </w:rPr>
        <w:t>an increase in equipment sales revenue of 8.0%, reflecting a 16.5-percentage point benefit from the Lexmark Acquisition, as well as a 0.9-percentage point benefit from currency.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equipment sales revenue declined 8.7%.</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Net (loss) income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522"/>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B/(W)</w:t>
            </w:r>
          </w:p>
        </w:tc>
        <w:tc>
          <w:tcPr>
            <w:tcW w:w="720" w:type="dxa"/>
            <w:vAlign w:val="bottom"/>
            <w:tcBorders>
              <w:bottom w:val="single" w:sz="8" w:color="auto"/>
            </w:tcBorders>
          </w:tcPr>
          <w:p>
            <w:pPr>
              <w:spacing w:after="0"/>
              <w:rPr>
                <w:sz w:val="18"/>
                <w:szCs w:val="18"/>
                <w:color w:val="auto"/>
              </w:rPr>
            </w:pPr>
          </w:p>
        </w:tc>
      </w:tr>
      <w:tr>
        <w:trPr>
          <w:trHeight w:val="179"/>
        </w:trPr>
        <w:tc>
          <w:tcPr>
            <w:tcW w:w="60" w:type="dxa"/>
            <w:vAlign w:val="bottom"/>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5"/>
                <w:szCs w:val="15"/>
                <w:color w:val="auto"/>
              </w:rPr>
            </w:pPr>
          </w:p>
        </w:tc>
        <w:tc>
          <w:tcPr>
            <w:tcW w:w="74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42"/>
              <w:spacing w:after="0" w:line="179"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rPr>
              <w:t>2024</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20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48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292</w:t>
            </w:r>
          </w:p>
        </w:tc>
        <w:tc>
          <w:tcPr>
            <w:tcW w:w="3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(1,322)</w:t>
            </w:r>
          </w:p>
        </w:tc>
      </w:tr>
      <w:tr>
        <w:trPr>
          <w:trHeight w:val="221"/>
        </w:trPr>
        <w:tc>
          <w:tcPr>
            <w:tcW w:w="4840" w:type="dxa"/>
            <w:vAlign w:val="bottom"/>
            <w:gridSpan w:val="3"/>
          </w:tcPr>
          <w:p>
            <w:pPr>
              <w:ind w:left="6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0"/>
                <w:szCs w:val="10"/>
                <w:b w:val="1"/>
                <w:bCs w:val="1"/>
                <w:color w:val="auto"/>
              </w:rPr>
              <w:t>(2)</w:t>
            </w:r>
            <w:r>
              <w:rPr>
                <w:rFonts w:ascii="Arial" w:cs="Arial" w:eastAsia="Arial" w:hAnsi="Arial"/>
                <w:sz w:val="16"/>
                <w:szCs w:val="16"/>
                <w:b w:val="1"/>
                <w:bCs w:val="1"/>
                <w:color w:val="auto"/>
              </w:rPr>
              <w:t xml:space="preserve"> Net (loss)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(152)</w:t>
            </w:r>
          </w:p>
        </w:tc>
      </w:tr>
    </w:tbl>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Net (loss) for 2025 was $(1,029) million and improved by $292 million as compared to the 2024 Net (loss) of $(1,321) million. Net (loss) for 2024 reflects an after-tax Goodwill impairment charge of $1,015 million ($1,058 million pre-tax). Net (Loss) for 2025 includes the results of ITsavvy and the Lexmark Acquisition from July 1, 2025, and primarily reflects higher Income tax expense, as a result of the establishment of valuation allowances of $537 million against certain deferred tax assets to reflect their realizability. The change also reflected lower gross profit, and higher Other expenses, net, Selling, administrative and general expenses, RD&amp;E and Amortization of intangible assets. These negative impacts were partially offset by higher revenues, as well as lower Divestitures, as the prior year included the divestiture of certain direct business operations in Latin America, and lower Restructuring and related costs, net.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Adjusted</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net (loss) for 2025 includes the results of ITsavvy and the Lexmark Acquisition from July 1, 2025 and was $(62) million as compared to adjusted</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net income for 2024 of $135 million. Adjusted</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net (loss) increased $197 million primarily reflecting higher Other expenses, net, as well as higher Selling, administrative and general expenses, lower gross profit, higher RD&amp;E, higher Income tax expense. These negative impacts were partially offset by higher revenues.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w:t>
      </w:r>
    </w:p>
    <w:p>
      <w:pPr>
        <w:spacing w:after="0" w:line="26" w:lineRule="exact"/>
        <w:rPr>
          <w:sz w:val="20"/>
          <w:szCs w:val="20"/>
          <w:color w:val="auto"/>
        </w:rPr>
      </w:pPr>
    </w:p>
    <w:p>
      <w:pPr>
        <w:ind w:left="360" w:hanging="356"/>
        <w:spacing w:after="0" w:line="242" w:lineRule="auto"/>
        <w:tabs>
          <w:tab w:leader="none" w:pos="36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"Non-GAAP Financial Measures" section for an explanation of this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34</w:t>
      </w:r>
    </w:p>
    <w:p>
      <w:pPr>
        <w:sectPr>
          <w:pgSz w:w="11880" w:h="15480" w:orient="portrait"/>
          <w:cols w:equalWidth="0" w:num="1">
            <w:col w:w="9960"/>
          </w:cols>
          <w:pgMar w:left="960" w:top="649" w:right="960" w:bottom="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color w:val="auto"/>
        </w:rPr>
        <w:t>A summary of our segment information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482"/>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6"/>
                <w:szCs w:val="16"/>
                <w:b w:val="1"/>
                <w:bCs w:val="1"/>
                <w:color w:val="auto"/>
              </w:rPr>
              <w:t>% Change</w:t>
            </w:r>
          </w:p>
        </w:tc>
      </w:tr>
      <w:tr>
        <w:trPr>
          <w:trHeight w:val="176"/>
        </w:trPr>
        <w:tc>
          <w:tcPr>
            <w:tcW w:w="6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20" w:type="dxa"/>
            <w:vAlign w:val="bottom"/>
          </w:tcPr>
          <w:p>
            <w:pPr>
              <w:jc w:val="right"/>
              <w:ind w:right="222"/>
              <w:spacing w:after="0" w:line="177" w:lineRule="exact"/>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22"/>
              <w:spacing w:after="0" w:line="177" w:lineRule="exact"/>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22"/>
              <w:spacing w:after="0" w:line="177" w:lineRule="exact"/>
              <w:rPr>
                <w:sz w:val="20"/>
                <w:szCs w:val="20"/>
                <w:color w:val="auto"/>
              </w:rPr>
            </w:pPr>
            <w:r>
              <w:rPr>
                <w:rFonts w:ascii="Arial" w:cs="Arial" w:eastAsia="Arial" w:hAnsi="Arial"/>
                <w:sz w:val="16"/>
                <w:szCs w:val="16"/>
                <w:b w:val="1"/>
                <w:bCs w:val="1"/>
                <w:color w:val="auto"/>
              </w:rPr>
              <w:t>2023</w:t>
            </w:r>
          </w:p>
        </w:tc>
        <w:tc>
          <w:tcPr>
            <w:tcW w:w="102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rPr>
              <w:t>2025</w:t>
            </w:r>
          </w:p>
        </w:tc>
        <w:tc>
          <w:tcPr>
            <w:tcW w:w="1000" w:type="dxa"/>
            <w:vAlign w:val="bottom"/>
            <w:gridSpan w:val="2"/>
          </w:tcPr>
          <w:p>
            <w:pPr>
              <w:jc w:val="center"/>
              <w:spacing w:after="0" w:line="177" w:lineRule="exact"/>
              <w:rPr>
                <w:sz w:val="20"/>
                <w:szCs w:val="20"/>
                <w:color w:val="auto"/>
              </w:rPr>
            </w:pPr>
            <w:r>
              <w:rPr>
                <w:rFonts w:ascii="Arial" w:cs="Arial" w:eastAsia="Arial" w:hAnsi="Arial"/>
                <w:sz w:val="16"/>
                <w:szCs w:val="16"/>
                <w:b w:val="1"/>
                <w:bCs w:val="1"/>
                <w:color w:val="auto"/>
                <w:w w:val="95"/>
              </w:rPr>
              <w:t>2024</w:t>
            </w:r>
          </w:p>
        </w:tc>
      </w:tr>
      <w:tr>
        <w:trPr>
          <w:trHeight w:val="20"/>
        </w:trPr>
        <w:tc>
          <w:tcPr>
            <w:tcW w:w="60" w:type="dxa"/>
            <w:vAlign w:val="bottom"/>
            <w:tcBorders>
              <w:bottom w:val="single" w:sz="8" w:color="DBDBDB"/>
            </w:tcBorders>
          </w:tcPr>
          <w:p>
            <w:pPr>
              <w:spacing w:after="0" w:line="20" w:lineRule="exact"/>
              <w:rPr>
                <w:sz w:val="1"/>
                <w:szCs w:val="1"/>
                <w:color w:val="auto"/>
              </w:rPr>
            </w:pPr>
          </w:p>
        </w:tc>
        <w:tc>
          <w:tcPr>
            <w:tcW w:w="680" w:type="dxa"/>
            <w:vAlign w:val="bottom"/>
            <w:tcBorders>
              <w:top w:val="single" w:sz="8" w:color="auto"/>
              <w:bottom w:val="single" w:sz="8" w:color="DBDBDB"/>
            </w:tcBorders>
          </w:tcPr>
          <w:p>
            <w:pPr>
              <w:spacing w:after="0" w:line="20" w:lineRule="exact"/>
              <w:rPr>
                <w:sz w:val="1"/>
                <w:szCs w:val="1"/>
                <w:color w:val="auto"/>
              </w:rPr>
            </w:pPr>
          </w:p>
        </w:tc>
        <w:tc>
          <w:tcPr>
            <w:tcW w:w="42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5"/>
        </w:trPr>
        <w:tc>
          <w:tcPr>
            <w:tcW w:w="60" w:type="dxa"/>
            <w:vAlign w:val="bottom"/>
            <w:shd w:val="clear" w:color="auto" w:fill="DBDBDB"/>
          </w:tcPr>
          <w:p>
            <w:pPr>
              <w:spacing w:after="0"/>
              <w:rPr>
                <w:sz w:val="17"/>
                <w:szCs w:val="17"/>
                <w:color w:val="auto"/>
              </w:rPr>
            </w:pPr>
          </w:p>
        </w:tc>
        <w:tc>
          <w:tcPr>
            <w:tcW w:w="4940" w:type="dxa"/>
            <w:vAlign w:val="bottom"/>
            <w:gridSpan w:val="2"/>
            <w:shd w:val="clear" w:color="auto" w:fill="DBDBDB"/>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r>
      <w:tr>
        <w:trPr>
          <w:trHeight w:val="212"/>
        </w:trPr>
        <w:tc>
          <w:tcPr>
            <w:tcW w:w="6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Print and Other</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6,272</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5,864</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6,523</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7.0 %</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w:t>
            </w:r>
          </w:p>
        </w:tc>
      </w:tr>
      <w:tr>
        <w:trPr>
          <w:trHeight w:val="233"/>
        </w:trPr>
        <w:tc>
          <w:tcPr>
            <w:tcW w:w="60" w:type="dxa"/>
            <w:vAlign w:val="bottom"/>
            <w:tcBorders>
              <w:bottom w:val="single" w:sz="8" w:color="DBDBDB"/>
            </w:tcBorders>
            <w:shd w:val="clear" w:color="auto" w:fill="DBDBDB"/>
          </w:tcPr>
          <w:p>
            <w:pPr>
              <w:spacing w:after="0"/>
              <w:rPr>
                <w:sz w:val="20"/>
                <w:szCs w:val="20"/>
                <w:color w:val="auto"/>
              </w:rPr>
            </w:pPr>
          </w:p>
        </w:tc>
        <w:tc>
          <w:tcPr>
            <w:tcW w:w="494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IT Solutions</w:t>
            </w: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761</w:t>
            </w:r>
          </w:p>
        </w:tc>
        <w:tc>
          <w:tcPr>
            <w:tcW w:w="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358</w:t>
            </w:r>
          </w:p>
        </w:tc>
        <w:tc>
          <w:tcPr>
            <w:tcW w:w="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363</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112.6 %</w:t>
            </w:r>
          </w:p>
        </w:tc>
        <w:tc>
          <w:tcPr>
            <w:tcW w:w="10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(1.4)%</w:t>
            </w:r>
          </w:p>
        </w:tc>
      </w:tr>
      <w:tr>
        <w:trPr>
          <w:trHeight w:val="188"/>
        </w:trPr>
        <w:tc>
          <w:tcPr>
            <w:tcW w:w="6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Total Segment revenue</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7,033</w:t>
            </w:r>
          </w:p>
        </w:tc>
        <w:tc>
          <w:tcPr>
            <w:tcW w:w="60" w:type="dxa"/>
            <w:vAlign w:val="bottom"/>
          </w:tcPr>
          <w:p>
            <w:pPr>
              <w:spacing w:after="0"/>
              <w:rPr>
                <w:sz w:val="16"/>
                <w:szCs w:val="16"/>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6,222</w:t>
            </w:r>
          </w:p>
        </w:tc>
        <w:tc>
          <w:tcPr>
            <w:tcW w:w="60" w:type="dxa"/>
            <w:vAlign w:val="bottom"/>
          </w:tcPr>
          <w:p>
            <w:pPr>
              <w:spacing w:after="0"/>
              <w:rPr>
                <w:sz w:val="16"/>
                <w:szCs w:val="16"/>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6,886</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13.0 %</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(9.6)%</w:t>
            </w:r>
          </w:p>
        </w:tc>
      </w:tr>
      <w:tr>
        <w:trPr>
          <w:trHeight w:val="219"/>
        </w:trPr>
        <w:tc>
          <w:tcPr>
            <w:tcW w:w="60" w:type="dxa"/>
            <w:vAlign w:val="bottom"/>
            <w:shd w:val="clear" w:color="auto" w:fill="DBDBDB"/>
          </w:tcPr>
          <w:p>
            <w:pPr>
              <w:spacing w:after="0"/>
              <w:rPr>
                <w:sz w:val="19"/>
                <w:szCs w:val="19"/>
                <w:color w:val="auto"/>
              </w:rPr>
            </w:pPr>
          </w:p>
        </w:tc>
        <w:tc>
          <w:tcPr>
            <w:tcW w:w="494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Intersegment Elimination</w:t>
            </w:r>
            <w:r>
              <w:rPr>
                <w:rFonts w:ascii="Arial" w:cs="Arial" w:eastAsia="Arial" w:hAnsi="Arial"/>
                <w:sz w:val="10"/>
                <w:szCs w:val="10"/>
                <w:b w:val="1"/>
                <w:bCs w:val="1"/>
                <w:color w:val="auto"/>
              </w:rPr>
              <w:t>(1)</w:t>
            </w:r>
          </w:p>
        </w:tc>
        <w:tc>
          <w:tcPr>
            <w:tcW w:w="2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c>
          <w:tcPr>
            <w:tcW w:w="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NM</w:t>
            </w:r>
          </w:p>
        </w:tc>
        <w:tc>
          <w:tcPr>
            <w:tcW w:w="60" w:type="dxa"/>
            <w:vAlign w:val="bottom"/>
            <w:shd w:val="clear" w:color="auto" w:fill="DBDBDB"/>
          </w:tcPr>
          <w:p>
            <w:pPr>
              <w:spacing w:after="0"/>
              <w:rPr>
                <w:sz w:val="19"/>
                <w:szCs w:val="19"/>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NM</w:t>
            </w:r>
          </w:p>
        </w:tc>
      </w:tr>
      <w:tr>
        <w:trPr>
          <w:trHeight w:val="208"/>
        </w:trPr>
        <w:tc>
          <w:tcPr>
            <w:tcW w:w="60" w:type="dxa"/>
            <w:vAlign w:val="bottom"/>
            <w:tcBorders>
              <w:bottom w:val="single" w:sz="8" w:color="DBDBDB"/>
            </w:tcBorders>
          </w:tcPr>
          <w:p>
            <w:pPr>
              <w:spacing w:after="0"/>
              <w:rPr>
                <w:sz w:val="18"/>
                <w:szCs w:val="18"/>
                <w:color w:val="auto"/>
              </w:rPr>
            </w:pPr>
          </w:p>
        </w:tc>
        <w:tc>
          <w:tcPr>
            <w:tcW w:w="494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b w:val="1"/>
                <w:bCs w:val="1"/>
                <w:color w:val="auto"/>
              </w:rPr>
              <w:t>Corporate 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8"/>
                <w:szCs w:val="18"/>
                <w:color w:val="auto"/>
              </w:rPr>
            </w:pP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6"/>
                <w:szCs w:val="16"/>
                <w:b w:val="1"/>
                <w:bCs w:val="1"/>
                <w:color w:val="auto"/>
                <w:w w:val="96"/>
              </w:rPr>
              <w:t>NM</w:t>
            </w:r>
          </w:p>
        </w:tc>
        <w:tc>
          <w:tcPr>
            <w:tcW w:w="60" w:type="dxa"/>
            <w:vAlign w:val="bottom"/>
            <w:tcBorders>
              <w:bottom w:val="single" w:sz="8" w:color="DBDBDB"/>
            </w:tcBorders>
          </w:tcPr>
          <w:p>
            <w:pPr>
              <w:spacing w:after="0"/>
              <w:rPr>
                <w:sz w:val="18"/>
                <w:szCs w:val="18"/>
                <w:color w:val="auto"/>
              </w:rPr>
            </w:pPr>
          </w:p>
        </w:tc>
        <w:tc>
          <w:tcPr>
            <w:tcW w:w="940" w:type="dxa"/>
            <w:vAlign w:val="bottom"/>
            <w:tcBorders>
              <w:bottom w:val="single" w:sz="8" w:color="DBDBDB"/>
            </w:tcBorders>
          </w:tcPr>
          <w:p>
            <w:pPr>
              <w:jc w:val="center"/>
              <w:spacing w:after="0"/>
              <w:rPr>
                <w:sz w:val="20"/>
                <w:szCs w:val="20"/>
                <w:color w:val="auto"/>
              </w:rPr>
            </w:pPr>
            <w:r>
              <w:rPr>
                <w:rFonts w:ascii="Arial" w:cs="Arial" w:eastAsia="Arial" w:hAnsi="Arial"/>
                <w:sz w:val="16"/>
                <w:szCs w:val="16"/>
                <w:b w:val="1"/>
                <w:bCs w:val="1"/>
                <w:color w:val="auto"/>
                <w:w w:val="96"/>
              </w:rPr>
              <w:t>NM</w:t>
            </w:r>
          </w:p>
        </w:tc>
      </w:tr>
      <w:tr>
        <w:trPr>
          <w:trHeight w:val="218"/>
        </w:trPr>
        <w:tc>
          <w:tcPr>
            <w:tcW w:w="60" w:type="dxa"/>
            <w:vAlign w:val="bottom"/>
            <w:tcBorders>
              <w:bottom w:val="single" w:sz="8" w:color="DBDBDB"/>
            </w:tcBorders>
            <w:shd w:val="clear" w:color="auto" w:fill="DBDBDB"/>
          </w:tcPr>
          <w:p>
            <w:pPr>
              <w:spacing w:after="0"/>
              <w:rPr>
                <w:sz w:val="18"/>
                <w:szCs w:val="18"/>
                <w:color w:val="auto"/>
              </w:rPr>
            </w:pPr>
          </w:p>
        </w:tc>
        <w:tc>
          <w:tcPr>
            <w:tcW w:w="4940" w:type="dxa"/>
            <w:vAlign w:val="bottom"/>
            <w:tcBorders>
              <w:bottom w:val="single" w:sz="8" w:color="DBDBDB"/>
            </w:tcBorders>
            <w:gridSpan w:val="2"/>
            <w:shd w:val="clear" w:color="auto" w:fill="DBDBDB"/>
          </w:tcPr>
          <w:p>
            <w:pPr>
              <w:spacing w:after="0" w:line="180" w:lineRule="exact"/>
              <w:rPr>
                <w:sz w:val="20"/>
                <w:szCs w:val="20"/>
                <w:color w:val="auto"/>
              </w:rPr>
            </w:pPr>
            <w:r>
              <w:rPr>
                <w:rFonts w:ascii="Arial" w:cs="Arial" w:eastAsia="Arial" w:hAnsi="Arial"/>
                <w:sz w:val="16"/>
                <w:szCs w:val="16"/>
                <w:b w:val="1"/>
                <w:bCs w:val="1"/>
                <w:color w:val="auto"/>
              </w:rPr>
              <w:t>Total Revenue</w:t>
            </w:r>
          </w:p>
        </w:tc>
        <w:tc>
          <w:tcPr>
            <w:tcW w:w="220" w:type="dxa"/>
            <w:vAlign w:val="bottom"/>
            <w:tcBorders>
              <w:bottom w:val="single" w:sz="8" w:color="auto"/>
            </w:tcBorders>
            <w:shd w:val="clear" w:color="auto" w:fill="DBDBDB"/>
          </w:tcPr>
          <w:p>
            <w:pPr>
              <w:jc w:val="right"/>
              <w:ind w:right="2"/>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7,022</w:t>
            </w:r>
          </w:p>
        </w:tc>
        <w:tc>
          <w:tcPr>
            <w:tcW w:w="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2"/>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6,221</w:t>
            </w:r>
          </w:p>
        </w:tc>
        <w:tc>
          <w:tcPr>
            <w:tcW w:w="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2"/>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6,886</w:t>
            </w:r>
          </w:p>
        </w:tc>
        <w:tc>
          <w:tcPr>
            <w:tcW w:w="6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r>
      <w:tr>
        <w:trPr>
          <w:trHeight w:val="189"/>
        </w:trPr>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60" w:type="dxa"/>
            <w:vAlign w:val="bottom"/>
            <w:shd w:val="clear" w:color="auto" w:fill="DBDBDB"/>
          </w:tcPr>
          <w:p>
            <w:pPr>
              <w:spacing w:after="0"/>
              <w:rPr>
                <w:sz w:val="18"/>
                <w:szCs w:val="18"/>
                <w:color w:val="auto"/>
              </w:rPr>
            </w:pPr>
          </w:p>
        </w:tc>
        <w:tc>
          <w:tcPr>
            <w:tcW w:w="4940" w:type="dxa"/>
            <w:vAlign w:val="bottom"/>
            <w:gridSpan w:val="2"/>
            <w:shd w:val="clear" w:color="auto" w:fill="DBDBDB"/>
          </w:tcPr>
          <w:p>
            <w:pPr>
              <w:spacing w:after="0"/>
              <w:rPr>
                <w:sz w:val="20"/>
                <w:szCs w:val="20"/>
                <w:color w:val="auto"/>
              </w:rPr>
            </w:pPr>
            <w:r>
              <w:rPr>
                <w:rFonts w:ascii="Arial" w:cs="Arial" w:eastAsia="Arial" w:hAnsi="Arial"/>
                <w:sz w:val="16"/>
                <w:szCs w:val="16"/>
                <w:b w:val="1"/>
                <w:bCs w:val="1"/>
                <w:color w:val="auto"/>
              </w:rPr>
              <w:t>Expenses</w:t>
            </w:r>
          </w:p>
        </w:tc>
        <w:tc>
          <w:tcPr>
            <w:tcW w:w="2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Print and Other</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5,993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5,468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6,038</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9.6 %</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(9.4)%</w:t>
            </w:r>
          </w:p>
        </w:tc>
      </w:tr>
      <w:tr>
        <w:trPr>
          <w:trHeight w:val="233"/>
        </w:trPr>
        <w:tc>
          <w:tcPr>
            <w:tcW w:w="60" w:type="dxa"/>
            <w:vAlign w:val="bottom"/>
            <w:tcBorders>
              <w:bottom w:val="single" w:sz="8" w:color="DBDBDB"/>
            </w:tcBorders>
            <w:shd w:val="clear" w:color="auto" w:fill="DBDBDB"/>
          </w:tcPr>
          <w:p>
            <w:pPr>
              <w:spacing w:after="0"/>
              <w:rPr>
                <w:sz w:val="20"/>
                <w:szCs w:val="20"/>
                <w:color w:val="auto"/>
              </w:rPr>
            </w:pPr>
          </w:p>
        </w:tc>
        <w:tc>
          <w:tcPr>
            <w:tcW w:w="494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IT Solutions</w:t>
            </w: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719</w:t>
            </w:r>
          </w:p>
        </w:tc>
        <w:tc>
          <w:tcPr>
            <w:tcW w:w="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358</w:t>
            </w:r>
          </w:p>
        </w:tc>
        <w:tc>
          <w:tcPr>
            <w:tcW w:w="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358</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100.8 %</w:t>
            </w:r>
          </w:p>
        </w:tc>
        <w:tc>
          <w:tcPr>
            <w:tcW w:w="60" w:type="dxa"/>
            <w:vAlign w:val="bottom"/>
            <w:tcBorders>
              <w:bottom w:val="single" w:sz="8" w:color="DBDBDB"/>
            </w:tcBorders>
            <w:shd w:val="clear" w:color="auto" w:fill="DBDBDB"/>
          </w:tcPr>
          <w:p>
            <w:pPr>
              <w:spacing w:after="0"/>
              <w:rPr>
                <w:sz w:val="20"/>
                <w:szCs w:val="20"/>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r>
      <w:tr>
        <w:trPr>
          <w:trHeight w:val="188"/>
        </w:trPr>
        <w:tc>
          <w:tcPr>
            <w:tcW w:w="6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Total Segment expenses</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6,712</w:t>
            </w:r>
          </w:p>
        </w:tc>
        <w:tc>
          <w:tcPr>
            <w:tcW w:w="60" w:type="dxa"/>
            <w:vAlign w:val="bottom"/>
          </w:tcPr>
          <w:p>
            <w:pPr>
              <w:spacing w:after="0"/>
              <w:rPr>
                <w:sz w:val="16"/>
                <w:szCs w:val="16"/>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5,826</w:t>
            </w:r>
          </w:p>
        </w:tc>
        <w:tc>
          <w:tcPr>
            <w:tcW w:w="60" w:type="dxa"/>
            <w:vAlign w:val="bottom"/>
          </w:tcPr>
          <w:p>
            <w:pPr>
              <w:spacing w:after="0"/>
              <w:rPr>
                <w:sz w:val="16"/>
                <w:szCs w:val="16"/>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6,396</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15.2 %</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(8.9)%</w:t>
            </w:r>
          </w:p>
        </w:tc>
      </w:tr>
      <w:tr>
        <w:trPr>
          <w:trHeight w:val="219"/>
        </w:trPr>
        <w:tc>
          <w:tcPr>
            <w:tcW w:w="60" w:type="dxa"/>
            <w:vAlign w:val="bottom"/>
            <w:shd w:val="clear" w:color="auto" w:fill="DBDBDB"/>
          </w:tcPr>
          <w:p>
            <w:pPr>
              <w:spacing w:after="0"/>
              <w:rPr>
                <w:sz w:val="19"/>
                <w:szCs w:val="19"/>
                <w:color w:val="auto"/>
              </w:rPr>
            </w:pPr>
          </w:p>
        </w:tc>
        <w:tc>
          <w:tcPr>
            <w:tcW w:w="494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Intersegment Elimination</w:t>
            </w:r>
            <w:r>
              <w:rPr>
                <w:rFonts w:ascii="Arial" w:cs="Arial" w:eastAsia="Arial" w:hAnsi="Arial"/>
                <w:sz w:val="10"/>
                <w:szCs w:val="10"/>
                <w:b w:val="1"/>
                <w:bCs w:val="1"/>
                <w:color w:val="auto"/>
              </w:rPr>
              <w:t>(2)</w:t>
            </w:r>
          </w:p>
        </w:tc>
        <w:tc>
          <w:tcPr>
            <w:tcW w:w="2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c>
          <w:tcPr>
            <w:tcW w:w="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9"/>
                <w:szCs w:val="19"/>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NM</w:t>
            </w:r>
          </w:p>
        </w:tc>
        <w:tc>
          <w:tcPr>
            <w:tcW w:w="60" w:type="dxa"/>
            <w:vAlign w:val="bottom"/>
            <w:shd w:val="clear" w:color="auto" w:fill="DBDBDB"/>
          </w:tcPr>
          <w:p>
            <w:pPr>
              <w:spacing w:after="0"/>
              <w:rPr>
                <w:sz w:val="19"/>
                <w:szCs w:val="19"/>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NM</w:t>
            </w:r>
          </w:p>
        </w:tc>
      </w:tr>
      <w:tr>
        <w:trPr>
          <w:trHeight w:val="208"/>
        </w:trPr>
        <w:tc>
          <w:tcPr>
            <w:tcW w:w="60" w:type="dxa"/>
            <w:vAlign w:val="bottom"/>
            <w:tcBorders>
              <w:bottom w:val="single" w:sz="8" w:color="DBDBDB"/>
            </w:tcBorders>
          </w:tcPr>
          <w:p>
            <w:pPr>
              <w:spacing w:after="0"/>
              <w:rPr>
                <w:sz w:val="18"/>
                <w:szCs w:val="18"/>
                <w:color w:val="auto"/>
              </w:rPr>
            </w:pPr>
          </w:p>
        </w:tc>
        <w:tc>
          <w:tcPr>
            <w:tcW w:w="494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b w:val="1"/>
                <w:bCs w:val="1"/>
                <w:color w:val="auto"/>
              </w:rPr>
              <w:t>Corporate 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102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b w:val="1"/>
                <w:bCs w:val="1"/>
                <w:color w:val="auto"/>
              </w:rPr>
              <w:t>(22.3)%</w:t>
            </w:r>
          </w:p>
        </w:tc>
        <w:tc>
          <w:tcPr>
            <w:tcW w:w="10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b w:val="1"/>
                <w:bCs w:val="1"/>
                <w:color w:val="auto"/>
              </w:rPr>
              <w:t>(6.9)%</w:t>
            </w:r>
          </w:p>
        </w:tc>
      </w:tr>
      <w:tr>
        <w:trPr>
          <w:trHeight w:val="218"/>
        </w:trPr>
        <w:tc>
          <w:tcPr>
            <w:tcW w:w="60" w:type="dxa"/>
            <w:vAlign w:val="bottom"/>
            <w:tcBorders>
              <w:bottom w:val="single" w:sz="8" w:color="DBDBDB"/>
            </w:tcBorders>
            <w:shd w:val="clear" w:color="auto" w:fill="DBDBDB"/>
          </w:tcPr>
          <w:p>
            <w:pPr>
              <w:spacing w:after="0"/>
              <w:rPr>
                <w:sz w:val="18"/>
                <w:szCs w:val="18"/>
                <w:color w:val="auto"/>
              </w:rPr>
            </w:pPr>
          </w:p>
        </w:tc>
        <w:tc>
          <w:tcPr>
            <w:tcW w:w="4940" w:type="dxa"/>
            <w:vAlign w:val="bottom"/>
            <w:tcBorders>
              <w:bottom w:val="single" w:sz="8" w:color="DBDBDB"/>
            </w:tcBorders>
            <w:gridSpan w:val="2"/>
            <w:shd w:val="clear" w:color="auto" w:fill="DBDBDB"/>
          </w:tcPr>
          <w:p>
            <w:pPr>
              <w:spacing w:after="0" w:line="180" w:lineRule="exact"/>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BDBDB"/>
          </w:tcPr>
          <w:p>
            <w:pPr>
              <w:jc w:val="right"/>
              <w:ind w:right="2"/>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6,774</w:t>
            </w:r>
          </w:p>
        </w:tc>
        <w:tc>
          <w:tcPr>
            <w:tcW w:w="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2"/>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5,919</w:t>
            </w:r>
          </w:p>
        </w:tc>
        <w:tc>
          <w:tcPr>
            <w:tcW w:w="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2"/>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6,497</w:t>
            </w:r>
          </w:p>
        </w:tc>
        <w:tc>
          <w:tcPr>
            <w:tcW w:w="1020" w:type="dxa"/>
            <w:vAlign w:val="bottom"/>
            <w:tcBorders>
              <w:bottom w:val="single" w:sz="8" w:color="DBDBDB"/>
            </w:tcBorders>
            <w:gridSpan w:val="2"/>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14.4 %</w:t>
            </w:r>
          </w:p>
        </w:tc>
        <w:tc>
          <w:tcPr>
            <w:tcW w:w="1000" w:type="dxa"/>
            <w:vAlign w:val="bottom"/>
            <w:tcBorders>
              <w:bottom w:val="single" w:sz="8" w:color="DBDBDB"/>
            </w:tcBorders>
            <w:gridSpan w:val="2"/>
            <w:shd w:val="clear" w:color="auto" w:fill="DBDBDB"/>
          </w:tcPr>
          <w:p>
            <w:pPr>
              <w:jc w:val="right"/>
              <w:spacing w:after="0" w:line="180" w:lineRule="exact"/>
              <w:rPr>
                <w:sz w:val="20"/>
                <w:szCs w:val="20"/>
                <w:color w:val="auto"/>
              </w:rPr>
            </w:pPr>
            <w:r>
              <w:rPr>
                <w:rFonts w:ascii="Arial" w:cs="Arial" w:eastAsia="Arial" w:hAnsi="Arial"/>
                <w:sz w:val="16"/>
                <w:szCs w:val="16"/>
                <w:b w:val="1"/>
                <w:bCs w:val="1"/>
                <w:color w:val="auto"/>
              </w:rPr>
              <w:t>(8.9)%</w:t>
            </w:r>
          </w:p>
        </w:tc>
      </w:tr>
      <w:tr>
        <w:trPr>
          <w:trHeight w:val="189"/>
        </w:trPr>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60" w:type="dxa"/>
            <w:vAlign w:val="bottom"/>
            <w:shd w:val="clear" w:color="auto" w:fill="DBDBDB"/>
          </w:tcPr>
          <w:p>
            <w:pPr>
              <w:spacing w:after="0"/>
              <w:rPr>
                <w:sz w:val="18"/>
                <w:szCs w:val="18"/>
                <w:color w:val="auto"/>
              </w:rPr>
            </w:pPr>
          </w:p>
        </w:tc>
        <w:tc>
          <w:tcPr>
            <w:tcW w:w="4940" w:type="dxa"/>
            <w:vAlign w:val="bottom"/>
            <w:gridSpan w:val="2"/>
            <w:shd w:val="clear" w:color="auto" w:fill="DBDBDB"/>
          </w:tcPr>
          <w:p>
            <w:pPr>
              <w:spacing w:after="0"/>
              <w:rPr>
                <w:sz w:val="20"/>
                <w:szCs w:val="20"/>
                <w:color w:val="auto"/>
              </w:rPr>
            </w:pPr>
            <w:r>
              <w:rPr>
                <w:rFonts w:ascii="Arial" w:cs="Arial" w:eastAsia="Arial" w:hAnsi="Arial"/>
                <w:sz w:val="16"/>
                <w:szCs w:val="16"/>
                <w:b w:val="1"/>
                <w:bCs w:val="1"/>
                <w:color w:val="auto"/>
              </w:rPr>
              <w:t>Profit</w:t>
            </w:r>
          </w:p>
        </w:tc>
        <w:tc>
          <w:tcPr>
            <w:tcW w:w="2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49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Print and Other</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279</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396</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485</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(29.5)%</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(18.4)%</w:t>
            </w:r>
          </w:p>
        </w:tc>
      </w:tr>
      <w:tr>
        <w:trPr>
          <w:trHeight w:val="233"/>
        </w:trPr>
        <w:tc>
          <w:tcPr>
            <w:tcW w:w="60" w:type="dxa"/>
            <w:vAlign w:val="bottom"/>
            <w:tcBorders>
              <w:bottom w:val="single" w:sz="8" w:color="DBDBDB"/>
            </w:tcBorders>
            <w:shd w:val="clear" w:color="auto" w:fill="DBDBDB"/>
          </w:tcPr>
          <w:p>
            <w:pPr>
              <w:spacing w:after="0"/>
              <w:rPr>
                <w:sz w:val="20"/>
                <w:szCs w:val="20"/>
                <w:color w:val="auto"/>
              </w:rPr>
            </w:pPr>
          </w:p>
        </w:tc>
        <w:tc>
          <w:tcPr>
            <w:tcW w:w="494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IT Solutions</w:t>
            </w: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42</w:t>
            </w:r>
          </w:p>
        </w:tc>
        <w:tc>
          <w:tcPr>
            <w:tcW w:w="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DBDBDB"/>
            </w:tcBorders>
            <w:shd w:val="clear" w:color="auto" w:fill="DBDBDB"/>
          </w:tcPr>
          <w:p>
            <w:pPr>
              <w:spacing w:after="0"/>
              <w:rPr>
                <w:sz w:val="20"/>
                <w:szCs w:val="20"/>
                <w:color w:val="auto"/>
              </w:rPr>
            </w:pPr>
          </w:p>
        </w:tc>
        <w:tc>
          <w:tcPr>
            <w:tcW w:w="9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NM</w:t>
            </w:r>
          </w:p>
        </w:tc>
        <w:tc>
          <w:tcPr>
            <w:tcW w:w="60" w:type="dxa"/>
            <w:vAlign w:val="bottom"/>
            <w:tcBorders>
              <w:bottom w:val="single" w:sz="8" w:color="DBDBDB"/>
            </w:tcBorders>
            <w:shd w:val="clear" w:color="auto" w:fill="DBDBDB"/>
          </w:tcPr>
          <w:p>
            <w:pPr>
              <w:spacing w:after="0"/>
              <w:rPr>
                <w:sz w:val="20"/>
                <w:szCs w:val="20"/>
                <w:color w:val="auto"/>
              </w:rPr>
            </w:pPr>
          </w:p>
        </w:tc>
        <w:tc>
          <w:tcPr>
            <w:tcW w:w="9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6"/>
              </w:rPr>
              <w:t>NM</w:t>
            </w:r>
          </w:p>
        </w:tc>
      </w:tr>
      <w:tr>
        <w:trPr>
          <w:trHeight w:val="188"/>
        </w:trPr>
        <w:tc>
          <w:tcPr>
            <w:tcW w:w="6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Total Segment profit</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60" w:type="dxa"/>
            <w:vAlign w:val="bottom"/>
          </w:tcPr>
          <w:p>
            <w:pPr>
              <w:spacing w:after="0"/>
              <w:rPr>
                <w:sz w:val="16"/>
                <w:szCs w:val="16"/>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396</w:t>
            </w:r>
          </w:p>
        </w:tc>
        <w:tc>
          <w:tcPr>
            <w:tcW w:w="60" w:type="dxa"/>
            <w:vAlign w:val="bottom"/>
          </w:tcPr>
          <w:p>
            <w:pPr>
              <w:spacing w:after="0"/>
              <w:rPr>
                <w:sz w:val="16"/>
                <w:szCs w:val="16"/>
                <w:color w:val="auto"/>
              </w:rPr>
            </w:pP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490</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(18.9)%</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(19.2)%</w:t>
            </w:r>
          </w:p>
        </w:tc>
      </w:tr>
      <w:tr>
        <w:trPr>
          <w:trHeight w:val="229"/>
        </w:trPr>
        <w:tc>
          <w:tcPr>
            <w:tcW w:w="60" w:type="dxa"/>
            <w:vAlign w:val="bottom"/>
            <w:tcBorders>
              <w:bottom w:val="single" w:sz="8" w:color="DBDBDB"/>
            </w:tcBorders>
            <w:shd w:val="clear" w:color="auto" w:fill="DBDBDB"/>
          </w:tcPr>
          <w:p>
            <w:pPr>
              <w:spacing w:after="0"/>
              <w:rPr>
                <w:sz w:val="19"/>
                <w:szCs w:val="19"/>
                <w:color w:val="auto"/>
              </w:rPr>
            </w:pPr>
          </w:p>
        </w:tc>
        <w:tc>
          <w:tcPr>
            <w:tcW w:w="494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Corporate Other</w:t>
            </w:r>
          </w:p>
        </w:tc>
        <w:tc>
          <w:tcPr>
            <w:tcW w:w="2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(94)</w:t>
            </w:r>
          </w:p>
        </w:tc>
        <w:tc>
          <w:tcPr>
            <w:tcW w:w="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(101)</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(22.3)%</w:t>
            </w:r>
          </w:p>
        </w:tc>
        <w:tc>
          <w:tcPr>
            <w:tcW w:w="10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(6.9)%</w:t>
            </w:r>
          </w:p>
        </w:tc>
      </w:tr>
      <w:tr>
        <w:trPr>
          <w:trHeight w:val="160"/>
        </w:trPr>
        <w:tc>
          <w:tcPr>
            <w:tcW w:w="60" w:type="dxa"/>
            <w:vAlign w:val="bottom"/>
          </w:tcPr>
          <w:p>
            <w:pPr>
              <w:spacing w:after="0"/>
              <w:rPr>
                <w:sz w:val="13"/>
                <w:szCs w:val="13"/>
                <w:color w:val="auto"/>
              </w:rPr>
            </w:pPr>
          </w:p>
        </w:tc>
        <w:tc>
          <w:tcPr>
            <w:tcW w:w="4940" w:type="dxa"/>
            <w:vAlign w:val="bottom"/>
            <w:gridSpan w:val="2"/>
          </w:tcPr>
          <w:p>
            <w:pPr>
              <w:spacing w:after="0" w:line="160" w:lineRule="exact"/>
              <w:rPr>
                <w:sz w:val="20"/>
                <w:szCs w:val="20"/>
                <w:color w:val="auto"/>
              </w:rPr>
            </w:pPr>
            <w:r>
              <w:rPr>
                <w:rFonts w:ascii="Arial" w:cs="Arial" w:eastAsia="Arial" w:hAnsi="Arial"/>
                <w:sz w:val="16"/>
                <w:szCs w:val="16"/>
                <w:b w:val="1"/>
                <w:bCs w:val="1"/>
                <w:color w:val="auto"/>
              </w:rPr>
              <w:t>Total Profit</w:t>
            </w:r>
          </w:p>
        </w:tc>
        <w:tc>
          <w:tcPr>
            <w:tcW w:w="220" w:type="dxa"/>
            <w:vAlign w:val="bottom"/>
            <w:tcBorders>
              <w:bottom w:val="single" w:sz="8" w:color="auto"/>
            </w:tcBorders>
          </w:tcPr>
          <w:p>
            <w:pPr>
              <w:jc w:val="right"/>
              <w:ind w:right="2"/>
              <w:spacing w:after="0" w:line="16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b w:val="1"/>
                <w:bCs w:val="1"/>
                <w:color w:val="auto"/>
              </w:rPr>
              <w:t>248</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2"/>
              <w:spacing w:after="0" w:line="16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b w:val="1"/>
                <w:bCs w:val="1"/>
                <w:color w:val="auto"/>
              </w:rPr>
              <w:t>302</w:t>
            </w: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2"/>
              <w:spacing w:after="0" w:line="16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b w:val="1"/>
                <w:bCs w:val="1"/>
                <w:color w:val="auto"/>
              </w:rPr>
              <w:t>389</w:t>
            </w:r>
          </w:p>
        </w:tc>
        <w:tc>
          <w:tcPr>
            <w:tcW w:w="102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auto"/>
              </w:rPr>
              <w:t>(17.9)%</w:t>
            </w: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auto"/>
              </w:rPr>
              <w:t>(22.4)%</w:t>
            </w:r>
          </w:p>
        </w:tc>
      </w:tr>
      <w:tr>
        <w:trPr>
          <w:trHeight w:val="20"/>
        </w:trPr>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-2134235</wp:posOffset>
            </wp:positionV>
            <wp:extent cx="1926590" cy="75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6590" cy="7556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-1025525</wp:posOffset>
            </wp:positionV>
            <wp:extent cx="1926590" cy="75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6590" cy="75565"/>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-55245</wp:posOffset>
            </wp:positionV>
            <wp:extent cx="1926590" cy="75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6590" cy="7556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w:t>
      </w:r>
    </w:p>
    <w:p>
      <w:pPr>
        <w:spacing w:after="0" w:line="2" w:lineRule="exact"/>
        <w:rPr>
          <w:sz w:val="20"/>
          <w:szCs w:val="20"/>
          <w:color w:val="auto"/>
        </w:rPr>
      </w:pPr>
    </w:p>
    <w:p>
      <w:pPr>
        <w:ind w:left="360" w:hanging="356"/>
        <w:spacing w:after="0"/>
        <w:tabs>
          <w:tab w:leader="none" w:pos="360" w:val="left"/>
        </w:tabs>
        <w:numPr>
          <w:ilvl w:val="0"/>
          <w:numId w:val="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primarily IT hardware, software solutions and services revenues, sold by the IT Solutions segment to the Print and Other segment.</w:t>
      </w:r>
    </w:p>
    <w:p>
      <w:pPr>
        <w:spacing w:after="0" w:line="25" w:lineRule="exact"/>
        <w:rPr>
          <w:rFonts w:ascii="Arial" w:cs="Arial" w:eastAsia="Arial" w:hAnsi="Arial"/>
          <w:sz w:val="14"/>
          <w:szCs w:val="14"/>
          <w:b w:val="1"/>
          <w:bCs w:val="1"/>
          <w:i w:val="1"/>
          <w:iCs w:val="1"/>
          <w:color w:val="auto"/>
        </w:rPr>
      </w:pPr>
    </w:p>
    <w:p>
      <w:pPr>
        <w:ind w:left="360" w:right="360" w:hanging="356"/>
        <w:spacing w:after="0" w:line="270" w:lineRule="auto"/>
        <w:tabs>
          <w:tab w:leader="none" w:pos="360"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primarily costs related to the sale of IT hardware, software solutions and services by the IT Solutions segment, to the Print and Other segment.</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Cash from operating activities was $224 million in 2025 as compared to $511 million in 2024. The decrease of $287 million was primarily related to lower net proceeds from the on-going sales of finance receivables under the finance receivables funding agreements, the impacts of one-time cash costs related to the Lexmark Acquisition and higher pension contributions, all of which were partially offset by the timing of working capital</w:t>
      </w:r>
      <w:r>
        <w:rPr>
          <w:rFonts w:ascii="Arial" w:cs="Arial" w:eastAsia="Arial" w:hAnsi="Arial"/>
          <w:sz w:val="11"/>
          <w:szCs w:val="11"/>
          <w:b w:val="1"/>
          <w:bCs w:val="1"/>
          <w:color w:val="auto"/>
        </w:rPr>
        <w:t>1</w:t>
      </w:r>
      <w:r>
        <w:rPr>
          <w:rFonts w:ascii="Arial" w:cs="Arial" w:eastAsia="Arial" w:hAnsi="Arial"/>
          <w:sz w:val="18"/>
          <w:szCs w:val="18"/>
          <w:b w:val="1"/>
          <w:bCs w:val="1"/>
          <w:color w:val="auto"/>
        </w:rPr>
        <w:t>, lower finance receivable originations, lower payments for accrued compensation, and lower payments for restructuring.</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Cash used in investing activities was $698 million in 2025 as compared to $198 million in 2024. 2025 primarily reflected the Lexmark Acquisition of $676 million, net of cash acquired, as well as capital expenditures of $91 million, and the investment in a noncontrolling interest of $13 million, all of which were partially offset by $53 million related to the sales of land and three surplus facilities, $6 million related to lower payments for finance leases, $11 million from divestitures, and $7 million from the sale of patents.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Cash provided by financing activities was $404 million in 2025 as compared to cash used by financing activities of $271 million in 2024. 2025 primarily reflected proceeds from the issuance of our First Lien Senior Secured Notes of $400 million (First Lien Notes), the issuance of our Second Lien Senior Secured Notes of $500 million (Second Lien Notes), the issuance of $250 million of our Senior Notes due July 2030 (the 2030 Notes), the issuance of our $125 million Senior Unsecured Notes due June 2026 (the 2026 Notes), and $4 million from the Term Loan B Facility (the TLB), all of which was partially offset by deferred debt issuance costs of $44 million and discounts of $35 million. Payments on debt reflected $388 million on the 5.00% Senior Notes due in August 2025, $144 million on the TLB, $110 million on secured promissory notes and $72 million on secured financing arrangements. Dividend payments were $71 million and other financing, net was $29 million, reflecting $22 million for payments of financing commitment fees related to the Lexmark Acquisition, $6 million related to the settlement of stock-based compensation and $10 million related to finance leases, all of which was offset by $11 million for the issuance of warrants in connection with the issuance of the 2030 Notes.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w:t>
      </w:r>
    </w:p>
    <w:p>
      <w:pPr>
        <w:spacing w:after="0" w:line="2" w:lineRule="exact"/>
        <w:rPr>
          <w:sz w:val="20"/>
          <w:szCs w:val="20"/>
          <w:color w:val="auto"/>
        </w:rPr>
      </w:pPr>
    </w:p>
    <w:p>
      <w:pPr>
        <w:ind w:left="360" w:hanging="356"/>
        <w:spacing w:after="0"/>
        <w:tabs>
          <w:tab w:leader="none" w:pos="360"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Working capital, net reflects Accounts receivable, net, Inventories and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35</w:t>
      </w:r>
    </w:p>
    <w:p>
      <w:pPr>
        <w:sectPr>
          <w:pgSz w:w="11880" w:h="15480" w:orient="portrait"/>
          <w:cols w:equalWidth="0" w:num="1">
            <w:col w:w="9960"/>
          </w:cols>
          <w:pgMar w:left="960" w:top="649" w:right="960" w:bottom="0" w:gutter="0" w:footer="0" w:header="0"/>
        </w:sectPr>
      </w:pPr>
    </w:p>
    <w:bookmarkStart w:id="45" w:name="page46"/>
    <w:bookmarkEnd w:id="45"/>
    <w:p>
      <w:pPr>
        <w:spacing w:after="0"/>
        <w:rPr>
          <w:sz w:val="20"/>
          <w:szCs w:val="20"/>
          <w:color w:val="auto"/>
        </w:rPr>
      </w:pPr>
      <w:r>
        <w:rPr>
          <w:rFonts w:ascii="Arial" w:cs="Arial" w:eastAsia="Arial" w:hAnsi="Arial"/>
          <w:sz w:val="23"/>
          <w:szCs w:val="23"/>
          <w:b w:val="1"/>
          <w:bCs w:val="1"/>
          <w:color w:val="DA2031"/>
        </w:rPr>
        <w:t>Currency Impact</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To understand the trends in the business, we believe that it is helpful to analyze the impact of changes in the translation of foreign currencies into U.S. Dollars on revenue and expenses. We refer to this analysis as "constant currency", “currency impact” or “the impact from currency.” This impact is calculated by translating current period activity in local currency using the comparable prior year period's currency translation rate. This impact is calculated for all countries where the functional currency is the local country currency. We do not hedge the translation effect of revenues or expenses denominated in currencies where the local currency is the functional currency. Management believes the constant currency measure provides investors an additional perspective on revenue trends. Currency impact can be determined as the difference between actual growth rates and constant currency growth rates.</w:t>
      </w:r>
    </w:p>
    <w:p>
      <w:pPr>
        <w:spacing w:after="0" w:line="3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Approximately 43% of our consolidated revenues during 2025 and 2024, respectively, are derived from operations outside of the U.S. where the U.S. Dollar is normally not the functional currency. As a result, foreign currency translation had a 0.7-percentage point benefit on revenue in 2025 and a 0.2-percentage point adverse impact on revenue in 2024.</w:t>
      </w:r>
    </w:p>
    <w:p>
      <w:pPr>
        <w:spacing w:after="0" w:line="56"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Critical Accounting Estimates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In preparing our Consolidated Financial Statements and accounting for the underlying transactions and balances, we apply various accounting policies. Senior management has discussed the development and selection of the critical accounting policies, estimates and related disclosures included herein with the Audit Committee of the Xerox Holdings Board of Directors. We consider the policies discussed below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disclosed the impact of these different estimates on our operations. In certain instances, such as revenue recognition for leases,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Specific risks associated with these critical accounting estimates are discussed throughout the MD&amp;A, where such policies affect our reported and expected financial results. For a detailed discussion of the application of these and other accounting policies, refer to Note 2 - Recent Accounting Pronouncements and Summary of Significant Accounting Policies in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Revenue Recognition</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Application of the various accounting principles in GAAP related to the measurement and recognition of revenue requires us to make judgments and estimates including ASC Topic 606 - </w:t>
      </w: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b w:val="1"/>
          <w:bCs w:val="1"/>
          <w:color w:val="auto"/>
        </w:rPr>
        <w:t xml:space="preserve"> and ASC Topic 842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Refer to Note 2 - Recent Accounting Pronouncements and Summary of Significant Accounting Policies in the Consolidated Financial Statements for additional information regarding our revenue recognition and lease revenue recognition policies</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Complex arrangements with nonstandard terms and conditions may require significant contract interpretation to determine the appropriate accounting. Specifically, the revenue related to the following areas involves significant judgments and estimates: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u w:val="single" w:color="auto"/>
          <w:color w:val="DA2031"/>
        </w:rPr>
        <w:t>Bundled Lease Arrangements</w:t>
      </w:r>
      <w:r>
        <w:rPr>
          <w:rFonts w:ascii="Arial" w:cs="Arial" w:eastAsia="Arial" w:hAnsi="Arial"/>
          <w:sz w:val="18"/>
          <w:szCs w:val="18"/>
          <w:b w:val="1"/>
          <w:bCs w:val="1"/>
          <w:color w:val="000000"/>
        </w:rPr>
        <w:t>: We sell our equipment direct to end customers under bundled lease arrangements,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which typically include the equipment, service, supplies and a financing component for which the customer pays a single negotiated fixed minimum monthly payment for all elements over the contractual lease term. These arrangements also typically include an incremental, variable component for page volumes in excess of the contractual page volume minimums, which are often expressed in terms of price-per-image or page. In certain arrangements, some elements, such as supplies, may be separately contracted and billed, while the remaining components are billed through a negotiated fixed monthly payment. Lease deliverables include equipment and financing, while the non-lease deliverables generally consist of supplies and services. Sales made under bundled lease arrangements directly to end customers comprise 31% or $454 million of our equipment sales revenue. Revenues under these bundled lease arrangements are allocated considering the relative standalone selling prices of the lease and non-lease deliverables included in the bundled arrangement. The allocation of revenue among the elements – equipment versus post sale (service, supplies and financing) – has remained fairly consistent.</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u w:val="single" w:color="auto"/>
          <w:color w:val="DA2031"/>
        </w:rPr>
        <w:t>Sales to Distributors and Resellers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We utilize distributors and resellers to sell many of our products, supplies and</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parts to end-user customers. Sales to distributors and resellers are generally recognized as revenue when products are shipped to such distributors and resellers. Distributors and resellers participate in various discount, rebate, price-support, cooperative marketing and other programs, and we record provisions and allowances for these programs as a reduction to revenue when the sales occur. Similarly, we also record estimates for sales returns and</w:t>
      </w:r>
    </w:p>
    <w:p>
      <w:pPr>
        <w:spacing w:after="0" w:line="376"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36</w:t>
      </w:r>
    </w:p>
    <w:p>
      <w:pPr>
        <w:sectPr>
          <w:pgSz w:w="11880" w:h="15480" w:orient="portrait"/>
          <w:cols w:equalWidth="0" w:num="1">
            <w:col w:w="9960"/>
          </w:cols>
          <w:pgMar w:left="960" w:top="637" w:right="960" w:bottom="0" w:gutter="0" w:footer="0" w:header="0"/>
        </w:sectPr>
      </w:pPr>
    </w:p>
    <w:bookmarkStart w:id="46" w:name="page47"/>
    <w:bookmarkEnd w:id="46"/>
    <w:p>
      <w:pPr>
        <w:jc w:val="both"/>
        <w:spacing w:after="0" w:line="266" w:lineRule="auto"/>
        <w:rPr>
          <w:sz w:val="20"/>
          <w:szCs w:val="20"/>
          <w:color w:val="auto"/>
        </w:rPr>
      </w:pPr>
      <w:r>
        <w:rPr>
          <w:rFonts w:ascii="Arial" w:cs="Arial" w:eastAsia="Arial" w:hAnsi="Arial"/>
          <w:sz w:val="19"/>
          <w:szCs w:val="19"/>
          <w:b w:val="1"/>
          <w:bCs w:val="1"/>
          <w:color w:val="auto"/>
        </w:rPr>
        <w:t>other discounts and allowances when the sales occur. We consider various factors, including a review of specific transactions and programs, historical experience and market and economic conditions when calculating these provisions and allowances. Total sales of equipment, supplies and parts to distributors and resellers were $1,249 million for the year ended December 31, 2025 and provisions, and allowances recorded on these sales were approximately 35% of the associated gross revenues.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Allowance for Doubtful Accounts and Credit Losses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allowance for doubtful accounts and credit losses is based on an assessment of historical collection experience as well as consideration of current and future economic conditions and changes in our customer-specific collection trends. Our methodology includes an expected loss model that incorporates an assessment of current and future economic conditions.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 recorded bad debt provisions of $39 million, $42 million and $28 million in Selling, administrative and general (SAG) expenses in our Consolidated Statements of (Loss) Income for the three years ended December 31, 2025, 2024 and 2023, respectively. The reserves, as a percentage of trade and finance receivables, were 4.5% at December 31, 2025, as compared to 4.7% and 4.4% at December 31, 2024 and 2023, respectively. We continue to assess our receivables portfolio in light of the current macroeconomic environment and its impact on our estimation of the adequacy of the allowance for doubtful accounts.</w:t>
      </w:r>
    </w:p>
    <w:p>
      <w:pPr>
        <w:spacing w:after="0" w:line="7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During the five-year period ended December 31, 2025, our reserve for doubtful accounts ranged from 4.1% to 4.7% of gross receivables. Holding all assumptions constant, a 0.5-percentage point increase or decrease in the reserve from the December 31, 2025 rate of 4.5% would change the 2025 provision by approximately $13 million.</w:t>
      </w:r>
    </w:p>
    <w:p>
      <w:pPr>
        <w:spacing w:after="0" w:line="4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Refer to Note 2 - Recent Accounting Pronouncements and Summary of Significant Accounting Policies, Note 7 - Accounts Receivable, Net and Note 8 - Finance Receivables, Net in the Consolidated Financial Statements for additional information regarding our policy with respect to the Allowance for Doubtful Accounts and Credit Losses.</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Pension Plan Assumptions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We sponsor defined benefit pension plans in various forms in several countries covering employees who meet eligibility requirements. Where legally possible, we have amended our major defined benefit pension plans to freeze current benefits and eliminate benefit accruals for future service, including our legacy Xerox and Lexmark U.S. defined benefit plans, the Canadian Salary Pension Plan and the U.K. Final Salary Pension Plan. In certain non-U.S. plans, we are required to continue to consider salary increases and inflation in determining the benefit obligation related to past service. Our pension plan in the Netherlands for past service is a Collective Defined Contribution (CDC) plan with future service benefits provided in a defined contribution plan for 2023 and later years. From a Company risk perspective, this CDC plan operates just like a defined contribution plan as the Company was only responsible for a contribution for annual benefit accruals under 5-year agreements through 2022. Although the Company risk has been mitigated, under U.S. GAAP this CDC plan does not meet the definition of a defined contribution plan and therefore is accounted for as a defined benefit plan. In December 2023, the Trustees for the U.K. pension plan entered a second insurance buy-in contract, in accordance with U.K. pension regulations. The insurance buy-in contract is a group annuity contract that is expected to provide an income stream to cover a significant majority of the cash flows arising for the plan population with future contracted payments. However, the benefit obligation remains with the plan and the Company. This arrangement further mitigates the Company's risk associated with these obligations.</w:t>
      </w:r>
    </w:p>
    <w:p>
      <w:pPr>
        <w:spacing w:after="0" w:line="5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Several statistical and other factors that attempt to anticipate future events are used in calculating the expense, liability and to project asset values related to our defined benefit pension plans. These factors include assumptions we make about the expected return on plan assets, discount rate, lump-sum settlement rates, the rate of future compensation increases and mortality. Differences between these assumptions and actual experiences are reported as net actuarial gains and losses and are subject to amortization to net periodic benefit cost over future periods.</w:t>
      </w:r>
    </w:p>
    <w:p>
      <w:pPr>
        <w:spacing w:after="0" w:line="3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Cumulative net actuarial losses for our defined benefit pension plans of $2.0 billion as of December 31, 2025 decreased by $121 million from December 31, 2024, primarily due to gains from actual returns, and amortization of actuarial losses as well as the impact of higher discount rates in the U.K. and the resultant change to the projected benefit obligation (PBO), partially offset by the adverse impact of currency. The total actuarial loss at December 31, 2025 is subject to offsetting gains or losses in the future due to both changes in actuarial assumptions and future experience and will be recognized in future periods through amortization or settlement losses.</w:t>
      </w:r>
    </w:p>
    <w:p>
      <w:pPr>
        <w:spacing w:after="0" w:line="5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We used a consolidated weighted average expected rate of return on plan assets of 5.6% for 2025, 5.2% for 2024 and 5.2% for 2023, on a worldwide basis. During 2025, the actual return on plan assets was $398 million as compared to an expected return of $320 million, primarily reflecting higher than expected returns on equity investments. When estimating the 2026 expected rate of return, in addition to assessing recent performance, we</w:t>
      </w:r>
    </w:p>
    <w:p>
      <w:pPr>
        <w:spacing w:after="0" w:line="36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37</w:t>
      </w:r>
    </w:p>
    <w:p>
      <w:pPr>
        <w:sectPr>
          <w:pgSz w:w="11880" w:h="15480" w:orient="portrait"/>
          <w:cols w:equalWidth="0" w:num="1">
            <w:col w:w="9960"/>
          </w:cols>
          <w:pgMar w:left="960" w:top="649" w:right="960" w:bottom="0" w:gutter="0" w:footer="0" w:header="0"/>
        </w:sectPr>
      </w:pPr>
    </w:p>
    <w:bookmarkStart w:id="47" w:name="page48"/>
    <w:bookmarkEnd w:id="47"/>
    <w:p>
      <w:pPr>
        <w:jc w:val="both"/>
        <w:spacing w:after="0" w:line="269" w:lineRule="auto"/>
        <w:rPr>
          <w:sz w:val="20"/>
          <w:szCs w:val="20"/>
          <w:color w:val="auto"/>
        </w:rPr>
      </w:pPr>
      <w:r>
        <w:rPr>
          <w:rFonts w:ascii="Arial" w:cs="Arial" w:eastAsia="Arial" w:hAnsi="Arial"/>
          <w:sz w:val="19"/>
          <w:szCs w:val="19"/>
          <w:b w:val="1"/>
          <w:bCs w:val="1"/>
          <w:color w:val="auto"/>
        </w:rPr>
        <w:t>considered the historical returns earned on plan assets, the rates of return expected in the future, particularly in light of current economic conditions, and our investment strategy and mix with respect to the plans' assets. The weighted average expected rate of return on plan assets we will use in 2026 is 5.7% which is 0.1% higher as compared to 2025, as a result of the increase in yields on fixed income investments.</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Another significant assumption affecting our defined benefit pension obligations and the net periodic benefit cost is the rate that we use to discount our future anticipated benefit obligations. In the U.S. and the U.K., which comprise approximately 70% of our PBO, we consider yield curves derived from Moody's Aa or better rated Corporate Bonds and U.K. Corporate bonds rated AA by at least one of the main ratings agencies, respectively, in the determination of the appropriate discount rate assumptions. The consolidated weighted average discount rate we used to measure our pension obligations as of December 31, 2025 and to calculate our 2026 expense was 5.0%; the consolidated weighted average discount rate we used to calculate our obligations as of December 31, 2024 and our 2025 expense was 4.9%.</w:t>
      </w:r>
    </w:p>
    <w:p>
      <w:pPr>
        <w:spacing w:after="0" w:line="7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Holding all other assumptions constant, the following table summarizes the estimated impacts of a 0.25% change in the discount rate and a 0.25% change in the expected return on plan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6"/>
                <w:szCs w:val="16"/>
                <w:b w:val="1"/>
                <w:bCs w:val="1"/>
                <w:color w:val="auto"/>
              </w:rPr>
              <w:t>Discount Rate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Expected Return</w:t>
            </w:r>
          </w:p>
        </w:tc>
      </w:tr>
      <w:tr>
        <w:trPr>
          <w:trHeight w:val="166"/>
        </w:trPr>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2"/>
              <w:spacing w:after="0" w:line="166" w:lineRule="exact"/>
              <w:rPr>
                <w:sz w:val="20"/>
                <w:szCs w:val="20"/>
                <w:color w:val="auto"/>
              </w:rPr>
            </w:pPr>
            <w:r>
              <w:rPr>
                <w:rFonts w:ascii="Arial" w:cs="Arial" w:eastAsia="Arial" w:hAnsi="Arial"/>
                <w:sz w:val="16"/>
                <w:szCs w:val="16"/>
                <w:b w:val="1"/>
                <w:bCs w:val="1"/>
                <w:color w:val="auto"/>
              </w:rPr>
              <w:t>0.25%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2"/>
              <w:spacing w:after="0" w:line="166" w:lineRule="exact"/>
              <w:rPr>
                <w:sz w:val="20"/>
                <w:szCs w:val="20"/>
                <w:color w:val="auto"/>
              </w:rPr>
            </w:pPr>
            <w:r>
              <w:rPr>
                <w:rFonts w:ascii="Arial" w:cs="Arial" w:eastAsia="Arial" w:hAnsi="Arial"/>
                <w:sz w:val="16"/>
                <w:szCs w:val="16"/>
                <w:b w:val="1"/>
                <w:bCs w:val="1"/>
                <w:color w:val="auto"/>
              </w:rPr>
              <w:t>0.25%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02"/>
              <w:spacing w:after="0" w:line="166" w:lineRule="exact"/>
              <w:rPr>
                <w:sz w:val="20"/>
                <w:szCs w:val="20"/>
                <w:color w:val="auto"/>
              </w:rPr>
            </w:pPr>
            <w:r>
              <w:rPr>
                <w:rFonts w:ascii="Arial" w:cs="Arial" w:eastAsia="Arial" w:hAnsi="Arial"/>
                <w:sz w:val="16"/>
                <w:szCs w:val="16"/>
                <w:b w:val="1"/>
                <w:bCs w:val="1"/>
                <w:color w:val="auto"/>
              </w:rPr>
              <w:t>0.25%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02"/>
              <w:spacing w:after="0" w:line="166" w:lineRule="exact"/>
              <w:rPr>
                <w:sz w:val="20"/>
                <w:szCs w:val="20"/>
                <w:color w:val="auto"/>
              </w:rPr>
            </w:pPr>
            <w:r>
              <w:rPr>
                <w:rFonts w:ascii="Arial" w:cs="Arial" w:eastAsia="Arial" w:hAnsi="Arial"/>
                <w:sz w:val="16"/>
                <w:szCs w:val="16"/>
                <w:b w:val="1"/>
                <w:bCs w:val="1"/>
                <w:color w:val="auto"/>
              </w:rPr>
              <w:t>0.25%</w:t>
            </w:r>
          </w:p>
        </w:tc>
      </w:tr>
      <w:tr>
        <w:trPr>
          <w:trHeight w:val="173"/>
        </w:trPr>
        <w:tc>
          <w:tcPr>
            <w:tcW w:w="60" w:type="dxa"/>
            <w:vAlign w:val="bottom"/>
          </w:tcPr>
          <w:p>
            <w:pPr>
              <w:spacing w:after="0"/>
              <w:rPr>
                <w:sz w:val="15"/>
                <w:szCs w:val="15"/>
                <w:color w:val="auto"/>
              </w:rPr>
            </w:pPr>
          </w:p>
        </w:tc>
        <w:tc>
          <w:tcPr>
            <w:tcW w:w="4840" w:type="dxa"/>
            <w:vAlign w:val="bottom"/>
            <w:gridSpan w:val="3"/>
          </w:tcPr>
          <w:p>
            <w:pPr>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5"/>
                <w:szCs w:val="15"/>
                <w:color w:val="auto"/>
              </w:rPr>
            </w:pPr>
          </w:p>
        </w:tc>
        <w:tc>
          <w:tcPr>
            <w:tcW w:w="1000" w:type="dxa"/>
            <w:vAlign w:val="bottom"/>
          </w:tcPr>
          <w:p>
            <w:pPr>
              <w:jc w:val="right"/>
              <w:ind w:right="242"/>
              <w:spacing w:after="0" w:line="173" w:lineRule="exact"/>
              <w:rPr>
                <w:sz w:val="20"/>
                <w:szCs w:val="20"/>
                <w:color w:val="auto"/>
              </w:rPr>
            </w:pPr>
            <w:r>
              <w:rPr>
                <w:rFonts w:ascii="Arial" w:cs="Arial" w:eastAsia="Arial" w:hAnsi="Arial"/>
                <w:sz w:val="16"/>
                <w:szCs w:val="16"/>
                <w:b w:val="1"/>
                <w:bCs w:val="1"/>
                <w:color w:val="auto"/>
              </w:rPr>
              <w:t>Increase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02"/>
              <w:spacing w:after="0" w:line="173" w:lineRule="exact"/>
              <w:rPr>
                <w:sz w:val="20"/>
                <w:szCs w:val="20"/>
                <w:color w:val="auto"/>
              </w:rPr>
            </w:pPr>
            <w:r>
              <w:rPr>
                <w:rFonts w:ascii="Arial" w:cs="Arial" w:eastAsia="Arial" w:hAnsi="Arial"/>
                <w:sz w:val="16"/>
                <w:szCs w:val="16"/>
                <w:b w:val="1"/>
                <w:bCs w:val="1"/>
                <w:color w:val="auto"/>
                <w:w w:val="98"/>
              </w:rPr>
              <w:t>Decrease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42"/>
              <w:spacing w:after="0" w:line="173" w:lineRule="exact"/>
              <w:rPr>
                <w:sz w:val="20"/>
                <w:szCs w:val="20"/>
                <w:color w:val="auto"/>
              </w:rPr>
            </w:pPr>
            <w:r>
              <w:rPr>
                <w:rFonts w:ascii="Arial" w:cs="Arial" w:eastAsia="Arial" w:hAnsi="Arial"/>
                <w:sz w:val="16"/>
                <w:szCs w:val="16"/>
                <w:b w:val="1"/>
                <w:bCs w:val="1"/>
                <w:color w:val="auto"/>
                <w:w w:val="98"/>
              </w:rPr>
              <w:t>Increase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42"/>
              <w:spacing w:after="0" w:line="173" w:lineRule="exact"/>
              <w:rPr>
                <w:sz w:val="20"/>
                <w:szCs w:val="20"/>
                <w:color w:val="auto"/>
              </w:rPr>
            </w:pPr>
            <w:r>
              <w:rPr>
                <w:rFonts w:ascii="Arial" w:cs="Arial" w:eastAsia="Arial" w:hAnsi="Arial"/>
                <w:sz w:val="16"/>
                <w:szCs w:val="16"/>
                <w:b w:val="1"/>
                <w:bCs w:val="1"/>
                <w:color w:val="auto"/>
                <w:w w:val="92"/>
              </w:rPr>
              <w:t>Decrease</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820" w:type="dxa"/>
            <w:vAlign w:val="bottom"/>
            <w:tcBorders>
              <w:bottom w:val="single" w:sz="8" w:color="E5E5E5"/>
            </w:tcBorders>
          </w:tcPr>
          <w:p>
            <w:pPr>
              <w:spacing w:after="0" w:line="20" w:lineRule="exact"/>
              <w:rPr>
                <w:sz w:val="1"/>
                <w:szCs w:val="1"/>
                <w:color w:val="auto"/>
              </w:rPr>
            </w:pPr>
          </w:p>
        </w:tc>
        <w:tc>
          <w:tcPr>
            <w:tcW w:w="344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1"/>
        </w:trPr>
        <w:tc>
          <w:tcPr>
            <w:tcW w:w="60" w:type="dxa"/>
            <w:vAlign w:val="bottom"/>
            <w:tcBorders>
              <w:bottom w:val="single" w:sz="8" w:color="E5E5E5"/>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spacing w:after="0" w:line="182" w:lineRule="exact"/>
              <w:rPr>
                <w:sz w:val="20"/>
                <w:szCs w:val="20"/>
                <w:color w:val="auto"/>
              </w:rPr>
            </w:pPr>
            <w:r>
              <w:rPr>
                <w:rFonts w:ascii="Arial" w:cs="Arial" w:eastAsia="Arial" w:hAnsi="Arial"/>
                <w:sz w:val="16"/>
                <w:szCs w:val="16"/>
                <w:b w:val="1"/>
                <w:bCs w:val="1"/>
                <w:color w:val="auto"/>
                <w:w w:val="91"/>
              </w:rPr>
              <w:t>(Decrease)/Increase</w:t>
            </w:r>
          </w:p>
        </w:tc>
        <w:tc>
          <w:tcPr>
            <w:tcW w:w="344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100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100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E5E5E5"/>
            </w:tcBorders>
            <w:shd w:val="clear" w:color="auto" w:fill="E5E5E5"/>
          </w:tcPr>
          <w:p>
            <w:pPr>
              <w:spacing w:after="0"/>
              <w:rPr>
                <w:sz w:val="18"/>
                <w:szCs w:val="18"/>
                <w:color w:val="auto"/>
              </w:rPr>
            </w:pPr>
          </w:p>
        </w:tc>
        <w:tc>
          <w:tcPr>
            <w:tcW w:w="98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1000" w:type="dxa"/>
            <w:vAlign w:val="bottom"/>
            <w:tcBorders>
              <w:bottom w:val="single" w:sz="8" w:color="E5E5E5"/>
            </w:tcBorders>
            <w:shd w:val="clear" w:color="auto" w:fill="E5E5E5"/>
          </w:tcPr>
          <w:p>
            <w:pPr>
              <w:spacing w:after="0"/>
              <w:rPr>
                <w:sz w:val="18"/>
                <w:szCs w:val="18"/>
                <w:color w:val="auto"/>
              </w:rPr>
            </w:pPr>
          </w:p>
        </w:tc>
      </w:tr>
      <w:tr>
        <w:trPr>
          <w:trHeight w:val="242"/>
        </w:trPr>
        <w:tc>
          <w:tcPr>
            <w:tcW w:w="6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Arial" w:cs="Arial" w:eastAsia="Arial" w:hAnsi="Arial"/>
                <w:sz w:val="16"/>
                <w:szCs w:val="16"/>
                <w:b w:val="1"/>
                <w:bCs w:val="1"/>
                <w:color w:val="auto"/>
              </w:rPr>
              <w:t>2026 Projected net periodic pension cost</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53"/>
        </w:trPr>
        <w:tc>
          <w:tcPr>
            <w:tcW w:w="60" w:type="dxa"/>
            <w:vAlign w:val="bottom"/>
            <w:shd w:val="clear" w:color="auto" w:fill="E5E5E5"/>
          </w:tcPr>
          <w:p>
            <w:pPr>
              <w:spacing w:after="0"/>
              <w:rPr>
                <w:sz w:val="22"/>
                <w:szCs w:val="22"/>
                <w:color w:val="auto"/>
              </w:rPr>
            </w:pPr>
          </w:p>
        </w:tc>
        <w:tc>
          <w:tcPr>
            <w:tcW w:w="4840" w:type="dxa"/>
            <w:vAlign w:val="bottom"/>
            <w:gridSpan w:val="3"/>
            <w:shd w:val="clear" w:color="auto" w:fill="E5E5E5"/>
          </w:tcPr>
          <w:p>
            <w:pPr>
              <w:spacing w:after="0"/>
              <w:rPr>
                <w:sz w:val="20"/>
                <w:szCs w:val="20"/>
                <w:color w:val="auto"/>
              </w:rPr>
            </w:pPr>
            <w:r>
              <w:rPr>
                <w:rFonts w:ascii="Arial" w:cs="Arial" w:eastAsia="Arial" w:hAnsi="Arial"/>
                <w:sz w:val="16"/>
                <w:szCs w:val="16"/>
                <w:b w:val="1"/>
                <w:bCs w:val="1"/>
                <w:color w:val="auto"/>
              </w:rPr>
              <w:t>Projected benefit obligation as of December 31, 2025</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(170)</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180</w:t>
            </w:r>
          </w:p>
        </w:tc>
        <w:tc>
          <w:tcPr>
            <w:tcW w:w="6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N/A</w:t>
            </w:r>
          </w:p>
        </w:tc>
        <w:tc>
          <w:tcPr>
            <w:tcW w:w="6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000" w:type="dxa"/>
            <w:vAlign w:val="bottom"/>
            <w:shd w:val="clear" w:color="auto" w:fill="E5E5E5"/>
          </w:tcPr>
          <w:p>
            <w:pPr>
              <w:jc w:val="center"/>
              <w:ind w:left="622"/>
              <w:spacing w:after="0"/>
              <w:rPr>
                <w:sz w:val="20"/>
                <w:szCs w:val="20"/>
                <w:color w:val="auto"/>
              </w:rPr>
            </w:pPr>
            <w:r>
              <w:rPr>
                <w:rFonts w:ascii="Arial" w:cs="Arial" w:eastAsia="Arial" w:hAnsi="Arial"/>
                <w:sz w:val="16"/>
                <w:szCs w:val="16"/>
                <w:b w:val="1"/>
                <w:bCs w:val="1"/>
                <w:color w:val="auto"/>
                <w:w w:val="94"/>
              </w:rPr>
              <w:t>N/A</w:t>
            </w:r>
          </w:p>
        </w:tc>
      </w:tr>
    </w:tbl>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One of the most significant elements of our net periodic defined benefit pension plan expense was settlement losses. Our primary domestic plans allow participants the option of settling their vested benefits through the receipt of a lump-sum payment. We recognize the losses associated with these settlements immediately upon the settlement of the vested benefits. Settlement accounting requires us to recognize a pro-rata portion of the aggregate unamortized net actuarial losses upon settlement. The pro-rata factor is computed as the percentage reduction in the projected benefit obligation due to the settlement of a participants' vested benefits. Settlement accounting is only applied when the event of settlement occurs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i.e., the lump-sum payment is made. Since settlement is dependent on an employee's decision and election, the level of settlements and the associated losses can fluctuate significantly from period to period. During 2024, lump-sums under the legacy Xerox U.S. primary domestic plans became limited to less than the full benefit obligation, and as a result, settlement expense for 2025 and 2024 was less than historic levels. During the three years ended December 31, 2025, 2024 and 2023, U.S. plan settlements were approximately $5 million, $20 million and $70 million, respectively. For the year ended December 31, 2025, there was no associated settlement losses on those plan settlements. For the years ended December 31, 2024 and 2023 the associated settlement losses on those plan settlements was $5 million and $19 million, respectively. Settlements for the year ended December 31, 2025 only reflected settlements related to the legacy Lexmark U.S. primary domestic plans.</w:t>
      </w:r>
    </w:p>
    <w:p>
      <w:pPr>
        <w:spacing w:after="0" w:line="7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following is a summary of our benefit plan expenses for the three years ended December 31, 2025, 2024 and 2023, as well as estimated amounts for 2026: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6"/>
              </w:rPr>
              <w:t>Estimated</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Actual</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6"/>
                <w:szCs w:val="16"/>
                <w:color w:val="auto"/>
              </w:rPr>
            </w:pPr>
          </w:p>
        </w:tc>
        <w:tc>
          <w:tcPr>
            <w:tcW w:w="1020" w:type="dxa"/>
            <w:vAlign w:val="bottom"/>
          </w:tcPr>
          <w:p>
            <w:pPr>
              <w:jc w:val="right"/>
              <w:ind w:right="362"/>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42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1"/>
        </w:trPr>
        <w:tc>
          <w:tcPr>
            <w:tcW w:w="60" w:type="dxa"/>
            <w:vAlign w:val="bottom"/>
            <w:shd w:val="clear" w:color="auto" w:fill="E5E5E5"/>
          </w:tcPr>
          <w:p>
            <w:pPr>
              <w:spacing w:after="0"/>
              <w:rPr>
                <w:sz w:val="20"/>
                <w:szCs w:val="20"/>
                <w:color w:val="auto"/>
              </w:rPr>
            </w:pPr>
          </w:p>
        </w:tc>
        <w:tc>
          <w:tcPr>
            <w:tcW w:w="50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Defined benefit pension plans</w:t>
            </w:r>
            <w:r>
              <w:rPr>
                <w:rFonts w:ascii="Arial" w:cs="Arial" w:eastAsia="Arial" w:hAnsi="Arial"/>
                <w:sz w:val="10"/>
                <w:szCs w:val="10"/>
                <w:b w:val="1"/>
                <w:bCs w:val="1"/>
                <w:color w:val="auto"/>
              </w:rPr>
              <w:t>(1)(2)</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105</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100</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w:t>
            </w:r>
          </w:p>
        </w:tc>
      </w:tr>
      <w:tr>
        <w:trPr>
          <w:trHeight w:val="244"/>
        </w:trPr>
        <w:tc>
          <w:tcPr>
            <w:tcW w:w="6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Defined contribution plans</w:t>
            </w:r>
            <w:r>
              <w:rPr>
                <w:rFonts w:ascii="Arial" w:cs="Arial" w:eastAsia="Arial" w:hAnsi="Arial"/>
                <w:sz w:val="10"/>
                <w:szCs w:val="10"/>
                <w:b w:val="1"/>
                <w:bCs w:val="1"/>
                <w:color w:val="auto"/>
              </w:rPr>
              <w:t>(3)</w:t>
            </w:r>
          </w:p>
        </w:tc>
        <w:tc>
          <w:tcPr>
            <w:tcW w:w="20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260"/>
        </w:trPr>
        <w:tc>
          <w:tcPr>
            <w:tcW w:w="60" w:type="dxa"/>
            <w:vAlign w:val="bottom"/>
            <w:tcBorders>
              <w:bottom w:val="single" w:sz="8" w:color="E5E5E5"/>
            </w:tcBorders>
            <w:shd w:val="clear" w:color="auto" w:fill="E5E5E5"/>
          </w:tcPr>
          <w:p>
            <w:pPr>
              <w:spacing w:after="0"/>
              <w:rPr>
                <w:sz w:val="22"/>
                <w:szCs w:val="22"/>
                <w:color w:val="auto"/>
              </w:rPr>
            </w:pPr>
          </w:p>
        </w:tc>
        <w:tc>
          <w:tcPr>
            <w:tcW w:w="50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Retiree health benefit plans</w:t>
            </w:r>
          </w:p>
        </w:tc>
        <w:tc>
          <w:tcPr>
            <w:tcW w:w="200" w:type="dxa"/>
            <w:vAlign w:val="bottom"/>
            <w:tcBorders>
              <w:bottom w:val="single" w:sz="8" w:color="auto"/>
            </w:tcBorders>
            <w:shd w:val="clear" w:color="auto" w:fill="E5E5E5"/>
          </w:tcPr>
          <w:p>
            <w:pPr>
              <w:spacing w:after="0"/>
              <w:rPr>
                <w:sz w:val="22"/>
                <w:szCs w:val="22"/>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Borders>
              <w:bottom w:val="single" w:sz="8" w:color="E5E5E5"/>
            </w:tcBorders>
            <w:shd w:val="clear" w:color="auto" w:fill="E5E5E5"/>
          </w:tcPr>
          <w:p>
            <w:pPr>
              <w:spacing w:after="0"/>
              <w:rPr>
                <w:sz w:val="22"/>
                <w:szCs w:val="22"/>
                <w:color w:val="auto"/>
              </w:rPr>
            </w:pPr>
          </w:p>
        </w:tc>
        <w:tc>
          <w:tcPr>
            <w:tcW w:w="280" w:type="dxa"/>
            <w:vAlign w:val="bottom"/>
            <w:tcBorders>
              <w:bottom w:val="single" w:sz="8" w:color="auto"/>
            </w:tcBorders>
            <w:shd w:val="clear" w:color="auto" w:fill="E5E5E5"/>
          </w:tcPr>
          <w:p>
            <w:pPr>
              <w:spacing w:after="0"/>
              <w:rPr>
                <w:sz w:val="22"/>
                <w:szCs w:val="22"/>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Borders>
              <w:bottom w:val="single" w:sz="8" w:color="E5E5E5"/>
            </w:tcBorders>
            <w:shd w:val="clear" w:color="auto" w:fill="E5E5E5"/>
          </w:tcPr>
          <w:p>
            <w:pPr>
              <w:spacing w:after="0"/>
              <w:rPr>
                <w:sz w:val="22"/>
                <w:szCs w:val="22"/>
                <w:color w:val="auto"/>
              </w:rPr>
            </w:pPr>
          </w:p>
        </w:tc>
        <w:tc>
          <w:tcPr>
            <w:tcW w:w="260" w:type="dxa"/>
            <w:vAlign w:val="bottom"/>
            <w:tcBorders>
              <w:bottom w:val="single" w:sz="8" w:color="auto"/>
            </w:tcBorders>
            <w:shd w:val="clear" w:color="auto" w:fill="E5E5E5"/>
          </w:tcPr>
          <w:p>
            <w:pPr>
              <w:spacing w:after="0"/>
              <w:rPr>
                <w:sz w:val="22"/>
                <w:szCs w:val="22"/>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E5E5E5"/>
            </w:tcBorders>
            <w:shd w:val="clear" w:color="auto" w:fill="E5E5E5"/>
          </w:tcPr>
          <w:p>
            <w:pPr>
              <w:spacing w:after="0"/>
              <w:rPr>
                <w:sz w:val="22"/>
                <w:szCs w:val="22"/>
                <w:color w:val="auto"/>
              </w:rPr>
            </w:pPr>
          </w:p>
        </w:tc>
        <w:tc>
          <w:tcPr>
            <w:tcW w:w="260" w:type="dxa"/>
            <w:vAlign w:val="bottom"/>
            <w:tcBorders>
              <w:bottom w:val="single" w:sz="8" w:color="auto"/>
            </w:tcBorders>
            <w:shd w:val="clear" w:color="auto" w:fill="E5E5E5"/>
          </w:tcPr>
          <w:p>
            <w:pPr>
              <w:spacing w:after="0"/>
              <w:rPr>
                <w:sz w:val="22"/>
                <w:szCs w:val="22"/>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w:t>
            </w:r>
          </w:p>
        </w:tc>
      </w:tr>
      <w:tr>
        <w:trPr>
          <w:trHeight w:val="227"/>
        </w:trPr>
        <w:tc>
          <w:tcPr>
            <w:tcW w:w="6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Total Benefit Plan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130</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-55880</wp:posOffset>
            </wp:positionV>
            <wp:extent cx="3145790" cy="75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260" w:hanging="256"/>
        <w:spacing w:after="0" w:line="242" w:lineRule="auto"/>
        <w:tabs>
          <w:tab w:leader="none" w:pos="260"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increase in 2024 expense is primarily due to an increase in actuarial losses subject to amortization and the resultant increase in the amortization of these prior period losses.</w:t>
      </w:r>
    </w:p>
    <w:p>
      <w:pPr>
        <w:spacing w:after="0" w:line="1" w:lineRule="exact"/>
        <w:rPr>
          <w:rFonts w:ascii="Arial" w:cs="Arial" w:eastAsia="Arial" w:hAnsi="Arial"/>
          <w:sz w:val="16"/>
          <w:szCs w:val="16"/>
          <w:b w:val="1"/>
          <w:bCs w:val="1"/>
          <w:i w:val="1"/>
          <w:iCs w:val="1"/>
          <w:color w:val="auto"/>
        </w:rPr>
      </w:pPr>
    </w:p>
    <w:p>
      <w:pPr>
        <w:ind w:left="260" w:hanging="256"/>
        <w:spacing w:after="0" w:line="242" w:lineRule="auto"/>
        <w:tabs>
          <w:tab w:leader="none" w:pos="260"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settlement expense of $0 million, $5 million and $19 million for the three years ended December 31, 2025, 2024 and 2023, respectively.</w:t>
      </w:r>
    </w:p>
    <w:p>
      <w:pPr>
        <w:spacing w:after="0" w:line="1" w:lineRule="exact"/>
        <w:rPr>
          <w:rFonts w:ascii="Arial" w:cs="Arial" w:eastAsia="Arial" w:hAnsi="Arial"/>
          <w:sz w:val="16"/>
          <w:szCs w:val="16"/>
          <w:b w:val="1"/>
          <w:bCs w:val="1"/>
          <w:i w:val="1"/>
          <w:iCs w:val="1"/>
          <w:color w:val="auto"/>
        </w:rPr>
      </w:pPr>
    </w:p>
    <w:p>
      <w:pPr>
        <w:jc w:val="both"/>
        <w:ind w:left="260" w:hanging="256"/>
        <w:spacing w:after="0" w:line="256" w:lineRule="auto"/>
        <w:tabs>
          <w:tab w:leader="none" w:pos="260"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decrease in 2025 is due to the suspension of the full year employer matching contribution for the legacy Xerox U.S. based 401(k) plan for salaried (non-union) employees. The employer matching contribution was reinstated for 2026 and began to be paid on a per-pay-period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38</w:t>
      </w:r>
    </w:p>
    <w:p>
      <w:pPr>
        <w:sectPr>
          <w:pgSz w:w="11880" w:h="15480" w:orient="portrait"/>
          <w:cols w:equalWidth="0" w:num="1">
            <w:col w:w="9960"/>
          </w:cols>
          <w:pgMar w:left="960" w:top="649" w:right="960" w:bottom="0" w:gutter="0" w:footer="0" w:header="0"/>
        </w:sectPr>
      </w:pPr>
    </w:p>
    <w:bookmarkStart w:id="48" w:name="page49"/>
    <w:bookmarkEnd w:id="48"/>
    <w:p>
      <w:pPr>
        <w:spacing w:after="0" w:line="298" w:lineRule="auto"/>
        <w:rPr>
          <w:sz w:val="20"/>
          <w:szCs w:val="20"/>
          <w:color w:val="auto"/>
        </w:rPr>
      </w:pPr>
      <w:r>
        <w:rPr>
          <w:rFonts w:ascii="Arial" w:cs="Arial" w:eastAsia="Arial" w:hAnsi="Arial"/>
          <w:sz w:val="19"/>
          <w:szCs w:val="19"/>
          <w:b w:val="1"/>
          <w:bCs w:val="1"/>
          <w:color w:val="auto"/>
        </w:rPr>
        <w:t>The following is a summary of our benefit plan funding for the three years ended December 31, 2025, 2024 and 2023, as well as estimated amounts for 2026: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4"/>
              </w:rPr>
              <w:t>Estimated</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Actual</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6"/>
                <w:szCs w:val="16"/>
                <w:color w:val="auto"/>
              </w:rPr>
            </w:pPr>
          </w:p>
        </w:tc>
        <w:tc>
          <w:tcPr>
            <w:tcW w:w="980" w:type="dxa"/>
            <w:vAlign w:val="bottom"/>
          </w:tcPr>
          <w:p>
            <w:pPr>
              <w:jc w:val="right"/>
              <w:ind w:right="342"/>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42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1"/>
        </w:trPr>
        <w:tc>
          <w:tcPr>
            <w:tcW w:w="60" w:type="dxa"/>
            <w:vAlign w:val="bottom"/>
            <w:shd w:val="clear" w:color="auto" w:fill="E5E5E5"/>
          </w:tcPr>
          <w:p>
            <w:pPr>
              <w:spacing w:after="0"/>
              <w:rPr>
                <w:sz w:val="20"/>
                <w:szCs w:val="20"/>
                <w:color w:val="auto"/>
              </w:rPr>
            </w:pPr>
          </w:p>
        </w:tc>
        <w:tc>
          <w:tcPr>
            <w:tcW w:w="50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U.S. Defined benefit pension plans</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115</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w:t>
            </w:r>
          </w:p>
        </w:tc>
        <w:tc>
          <w:tcPr>
            <w:tcW w:w="3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100</w:t>
            </w:r>
          </w:p>
        </w:tc>
        <w:tc>
          <w:tcPr>
            <w:tcW w:w="36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w:t>
            </w:r>
          </w:p>
        </w:tc>
      </w:tr>
      <w:tr>
        <w:trPr>
          <w:trHeight w:val="242"/>
        </w:trPr>
        <w:tc>
          <w:tcPr>
            <w:tcW w:w="6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Non-U.S. Defined benefit pension plans</w:t>
            </w:r>
          </w:p>
        </w:tc>
        <w:tc>
          <w:tcPr>
            <w:tcW w:w="20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30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253"/>
        </w:trPr>
        <w:tc>
          <w:tcPr>
            <w:tcW w:w="60" w:type="dxa"/>
            <w:vAlign w:val="bottom"/>
            <w:shd w:val="clear" w:color="auto" w:fill="E5E5E5"/>
          </w:tcPr>
          <w:p>
            <w:pPr>
              <w:spacing w:after="0"/>
              <w:rPr>
                <w:sz w:val="22"/>
                <w:szCs w:val="22"/>
                <w:color w:val="auto"/>
              </w:rPr>
            </w:pPr>
          </w:p>
        </w:tc>
        <w:tc>
          <w:tcPr>
            <w:tcW w:w="50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Defined contribution plans</w:t>
            </w:r>
            <w:r>
              <w:rPr>
                <w:rFonts w:ascii="Arial" w:cs="Arial" w:eastAsia="Arial" w:hAnsi="Arial"/>
                <w:sz w:val="10"/>
                <w:szCs w:val="10"/>
                <w:b w:val="1"/>
                <w:bCs w:val="1"/>
                <w:color w:val="auto"/>
              </w:rPr>
              <w:t>(1)</w:t>
            </w:r>
          </w:p>
        </w:tc>
        <w:tc>
          <w:tcPr>
            <w:tcW w:w="200" w:type="dxa"/>
            <w:vAlign w:val="bottom"/>
            <w:shd w:val="clear" w:color="auto" w:fill="E5E5E5"/>
          </w:tcPr>
          <w:p>
            <w:pPr>
              <w:spacing w:after="0"/>
              <w:rPr>
                <w:sz w:val="22"/>
                <w:szCs w:val="22"/>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40</w:t>
            </w:r>
          </w:p>
        </w:tc>
        <w:tc>
          <w:tcPr>
            <w:tcW w:w="6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w:t>
            </w:r>
          </w:p>
        </w:tc>
        <w:tc>
          <w:tcPr>
            <w:tcW w:w="8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w:t>
            </w:r>
          </w:p>
        </w:tc>
      </w:tr>
      <w:tr>
        <w:trPr>
          <w:trHeight w:val="237"/>
        </w:trPr>
        <w:tc>
          <w:tcPr>
            <w:tcW w:w="60" w:type="dxa"/>
            <w:vAlign w:val="bottom"/>
            <w:tcBorders>
              <w:bottom w:val="single" w:sz="8" w:color="E5E5E5"/>
            </w:tcBorders>
          </w:tcPr>
          <w:p>
            <w:pPr>
              <w:spacing w:after="0"/>
              <w:rPr>
                <w:sz w:val="20"/>
                <w:szCs w:val="20"/>
                <w:color w:val="auto"/>
              </w:rPr>
            </w:pPr>
          </w:p>
        </w:tc>
        <w:tc>
          <w:tcPr>
            <w:tcW w:w="500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Retiree health benefit plans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w:t>
            </w:r>
          </w:p>
        </w:tc>
        <w:tc>
          <w:tcPr>
            <w:tcW w:w="6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r>
      <w:tr>
        <w:trPr>
          <w:trHeight w:val="247"/>
        </w:trPr>
        <w:tc>
          <w:tcPr>
            <w:tcW w:w="60" w:type="dxa"/>
            <w:vAlign w:val="bottom"/>
            <w:tcBorders>
              <w:bottom w:val="single" w:sz="8" w:color="E5E5E5"/>
            </w:tcBorders>
            <w:shd w:val="clear" w:color="auto" w:fill="E5E5E5"/>
          </w:tcPr>
          <w:p>
            <w:pPr>
              <w:spacing w:after="0"/>
              <w:rPr>
                <w:sz w:val="21"/>
                <w:szCs w:val="21"/>
                <w:color w:val="auto"/>
              </w:rPr>
            </w:pPr>
          </w:p>
        </w:tc>
        <w:tc>
          <w:tcPr>
            <w:tcW w:w="50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Total Benefit Plan Funding</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205</w:t>
            </w:r>
          </w:p>
        </w:tc>
        <w:tc>
          <w:tcPr>
            <w:tcW w:w="60" w:type="dxa"/>
            <w:vAlign w:val="bottom"/>
            <w:tcBorders>
              <w:bottom w:val="single" w:sz="8" w:color="E5E5E5"/>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187</w:t>
            </w:r>
          </w:p>
        </w:tc>
        <w:tc>
          <w:tcPr>
            <w:tcW w:w="8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185</w:t>
            </w:r>
          </w:p>
        </w:tc>
        <w:tc>
          <w:tcPr>
            <w:tcW w:w="80" w:type="dxa"/>
            <w:vAlign w:val="bottom"/>
            <w:tcBorders>
              <w:bottom w:val="single" w:sz="8" w:color="E5E5E5"/>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-55245</wp:posOffset>
            </wp:positionV>
            <wp:extent cx="3145790" cy="75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755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jc w:val="both"/>
        <w:ind w:left="260" w:hanging="256"/>
        <w:spacing w:after="0" w:line="256" w:lineRule="auto"/>
        <w:tabs>
          <w:tab w:leader="none" w:pos="260"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decrease in 2025 is due to the suspension of the full year employer matching contribution for the legacy Xerox U.S. based 401(k) plan for salaried (non-union) employees. The employer matching contribution was reinstated for 2026 and began to be paid on a per-pay-period basis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Approximately $89 million of the U.S. pension contributions in 2025 were for our tax-qualified defined benefit plans. Approximately $95 million of estimated U.S. pension contributions for 2026 are for our tax-qualified defined benefit plans. However, once the next actuarial valuations and projected results are available, actual contributions required to meet minimum funding requirements will be determined and finalized and may change from the current estimate.</w:t>
      </w:r>
    </w:p>
    <w:p>
      <w:pPr>
        <w:spacing w:after="0" w:line="5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18 - Employee Benefit Plans in the Consolidated Financial Statements for additional information regarding defined benefit pension plan assumptions, expense and funding.</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Income Taxes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are subject to income taxes in the U.S. and numerous foreign jurisdictions. Significant judgments are required in determining the consolidated provision for income taxes. Our provision is based on nonrecurring events as well as recurring factors, including the taxation of foreign income. In addition, our provision will change based on discrete or other nonrecurring events such as audit settlements, tax law changes, changes in valuation allowances, etc., that may not be predictable.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record the estimated future tax effects of temporary differences between the tax bases of assets and liabilities and the amounts reported in our Consolidated Balance Sheets, as well as operating loss and tax credit carryforwards. Deferred tax assets are assessed for realizability and, where applicable, a valuation allowance is recorded to reduce the total deferred tax asset to an amount that will, more-likely-than-not, be realized in the future. We apply judgment in assessing the realizability of these deferred tax assets and the need for any valuation allowances. In determining the amount of deferred tax assets that are more-likely-than-not to be realized, we consider historical profitability, projected future taxable income, the expected timing of the reversals of existing temporary differences and tax planning strategies. Refer to Note 19 - Income and Other Taxes in the Consolidated Financial Statements for additional information regarding the valuation allowance against our deferred tax assets.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Due to a change in certain tax planning strategies during the first quarter 2025 and lower than expected actual and estimated full year results as of the third quarter 2025, we concluded that certain deferred tax assets in the U.S. are not more-likely-than-not to be realized. This assessment was based on the available positive and negative evidence, including scheduling of deferred tax liabilities and projected income from operating activities. Accordingly, a valuation allowance of approximately $59 million and $478 million was recorded in the first quarter 2025 and the third quarter 2025, respectively. The amount of the net deferred tax assets considered realizable, however, could change in the near term if additional objective information becomes available in the future including if income or income tax rates are higher or lower than currently estimated, or if there are differences in the timing or amount of future reversals of existing taxable or deductible temporary differences.</w:t>
      </w:r>
    </w:p>
    <w:p>
      <w:pPr>
        <w:spacing w:after="0" w:line="62"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In the event we were to determine that there is a change in the realizability of our deferred tax assets in the future, an adjustment to the valuation allowance would be recorded to income in the period such determination was made.</w:t>
      </w:r>
    </w:p>
    <w:p>
      <w:pPr>
        <w:spacing w:after="0" w:line="1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Our valuation allowance changed through income tax expense by approximately $618 million, $195 million and $(4) million for the three years ended December 31, 2025, 2024 and 2023, respectively. There were other changes to our valuation allowance of $804 million, $(59) million and $13 million for the three years ended December 31, 2025, 2024 and 2023, respectively, including the effects of currency. For the year ended December 31, 2025, the valuation allowance was also impacted by the Lexmark Acquisition. These impacts did not affect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39</w:t>
      </w:r>
    </w:p>
    <w:p>
      <w:pPr>
        <w:sectPr>
          <w:pgSz w:w="11880" w:h="15480" w:orient="portrait"/>
          <w:cols w:equalWidth="0" w:num="1">
            <w:col w:w="9960"/>
          </w:cols>
          <w:pgMar w:left="960" w:top="649" w:right="960" w:bottom="0" w:gutter="0" w:footer="0" w:header="0"/>
        </w:sectPr>
      </w:pPr>
    </w:p>
    <w:bookmarkStart w:id="49" w:name="page50"/>
    <w:bookmarkEnd w:id="49"/>
    <w:p>
      <w:pPr>
        <w:spacing w:after="0"/>
        <w:rPr>
          <w:sz w:val="20"/>
          <w:szCs w:val="20"/>
          <w:color w:val="auto"/>
        </w:rPr>
      </w:pPr>
      <w:r>
        <w:rPr>
          <w:rFonts w:ascii="Arial" w:cs="Arial" w:eastAsia="Arial" w:hAnsi="Arial"/>
          <w:sz w:val="19"/>
          <w:szCs w:val="19"/>
          <w:b w:val="1"/>
          <w:bCs w:val="1"/>
          <w:color w:val="auto"/>
        </w:rPr>
        <w:t>The following is a summary of gross deferred tax assets and the related valuation allowances: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02"/>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6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Gross deferred tax assets</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2,242</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1,213</w:t>
            </w:r>
          </w:p>
        </w:tc>
        <w:tc>
          <w:tcPr>
            <w:tcW w:w="44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1,267</w:t>
            </w:r>
          </w:p>
        </w:tc>
      </w:tr>
      <w:tr>
        <w:trPr>
          <w:trHeight w:val="237"/>
        </w:trPr>
        <w:tc>
          <w:tcPr>
            <w:tcW w:w="532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Valuation allowance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(1,933)</w:t>
            </w:r>
          </w:p>
        </w:tc>
        <w:tc>
          <w:tcPr>
            <w:tcW w:w="6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w:t>
            </w:r>
          </w:p>
        </w:tc>
        <w:tc>
          <w:tcPr>
            <w:tcW w:w="8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r>
      <w:tr>
        <w:trPr>
          <w:trHeight w:val="247"/>
        </w:trPr>
        <w:tc>
          <w:tcPr>
            <w:tcW w:w="532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Net deferred tax assets</w:t>
            </w: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309</w:t>
            </w: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702</w:t>
            </w:r>
          </w:p>
        </w:tc>
        <w:tc>
          <w:tcPr>
            <w:tcW w:w="8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-55245</wp:posOffset>
            </wp:positionV>
            <wp:extent cx="2997835" cy="75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7835" cy="75565"/>
                    </a:xfrm>
                    <a:prstGeom prst="rect">
                      <a:avLst/>
                    </a:prstGeom>
                    <a:noFill/>
                  </pic:spPr>
                </pic:pic>
              </a:graphicData>
            </a:graphic>
          </wp:anchor>
        </w:drawing>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We are subject to ongoing tax examinations and assessments in various jurisdictions. Accordingly, we may incur additional tax expense based upon our assessment of the more-likely-than-not outcomes of such matters. In addition, when applicable, we adjust the previously recorded tax expense to reflect examination results. Our ongoing assessments of the more-likely-than-not outcomes of the examinations and related tax positions require judgment and can materially increase or decrease our effective tax rate, as well as impact our operating results. Unrecognized tax benefits were $35 million, $95 million and $140 million at December 31, 2025, 2024 and 2023, respectively.</w:t>
      </w:r>
    </w:p>
    <w:p>
      <w:pPr>
        <w:spacing w:after="0" w:line="7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19 - Income and Other Taxes in the Consolidated Financial Statements for additional information regarding deferred income taxes and unrecognized tax benefits.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Business Combinations and Goodwill</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We allocate the fair value of purchase consideration to tangible assets, liabilities assumed, and intangible assets acquired based on their estimated fair values. The excess of the fair value of purchase consideration over the fair values of these identifiable assets and liabilities is allocated to Goodwill. The allocation of the purchase consideration requires management to make significant estimates and assumptions, especially with respect to intangible assets. These estimates can include, but are not limited to, future expected cash flows of acquired customers, development of new offerings, acquired technology and trade names from a market participant perspective, as well as estimates of useful lives and discount rates. Management’s estimates of fair value are based upon assumptions believed to be reasonable and when appropriate, include assistance from independent third-party valuation firms.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connection with the acquisition of Lexmark, management used estimates and assumptions to determine the fair values of the assets acquired and liabilities assumed as of the acquisition date. These estimates are inherently uncertain and involve significant judgment about future events and circumstances. Accordingly, actual results may differ from these estimates. The most significant assumptions and estimates used in the valuation process included projected annual revenues which were derived from estimates of customer attrition, projected expenses, projected operating margins, and the discount rate.</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During the measurement period, which is up to one year from the acquisition date, we have recorded and may continue to record adjustments to the assets acquired and liabilities assumed, with the corresponding offset to Goodwill. Upon the conclusion of the measurement period, any subsequent adjustments are recorded to earnings. Refer to Note 6 - Acquisitions and Divestitures in the Consolidated Financial Statements for additional information regarding the allocation of the purchase price consideration for our acquisitions.</w:t>
      </w:r>
    </w:p>
    <w:p>
      <w:pPr>
        <w:spacing w:after="0" w:line="7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As a result of the Lexmark Acquisition in 2025 as well as other acquisitions including ITsavvy Acquisition Company, Inc (ITsavvy) in 2024, we have a significant amount of Goodwill. Our Goodwill, net balance was $2.2 billion at December 31, 2025. We assess Goodwill for impairment at least annually, or more frequently on an interim basis if we believe indicators of an impairment exist. The application of an interim or the annual Goodwill impairment test begins with the identification of reporting units, which requires judgment. A reporting unit is the same as, or one level below, an operating segment. During the first quarter of 2025, the Company updated its determination of reportable segments to align with a change in how the Chief Operating Decision Maker (CODM), our Chief Executive Officer (CEO), allocates resources and assesses performance against the Company’s key growth strategies. As such, it was determined that there are two reportable segments and two reporting units - Print and Other, and IT Solutions. Prior to this change, the Company had two reportable segments - Print and Other, and Xerox Financial Services (XFS). We determined that the Print and Other and IT Solutions operating segments were also our reporting units for Goodwill assessment purposes. At December 31, 2025, $1,844 million and $378 million of Goodwill was allocated to the reporting units within our Print and Other and IT Solutions segments, respectively.</w:t>
      </w:r>
    </w:p>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The process of evaluating the potential impairment of Goodwill is highly subjective and requires significant judgment. Our review of impairment starts with an assessment of qualitative factors to determine whether events or circumstances lead to a determination that it is more-likely-than-not that the fair value of the Company is less than the net book value. Our qualitative assessment of the recoverability of Goodwill, whether performed annually or</w:t>
      </w:r>
    </w:p>
    <w:p>
      <w:pPr>
        <w:spacing w:after="0" w:line="39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40</w:t>
      </w:r>
    </w:p>
    <w:p>
      <w:pPr>
        <w:sectPr>
          <w:pgSz w:w="11880" w:h="15480" w:orient="portrait"/>
          <w:cols w:equalWidth="0" w:num="1">
            <w:col w:w="9960"/>
          </w:cols>
          <w:pgMar w:left="960" w:top="649" w:right="960" w:bottom="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9"/>
          <w:szCs w:val="19"/>
          <w:b w:val="1"/>
          <w:bCs w:val="1"/>
          <w:color w:val="auto"/>
        </w:rPr>
        <w:t>based on specific events or circumstances,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more-likely-than-not that the fair value of the Company is less than its net book value, no further assessment is performed. If we determine that it is more-likely-than-not that the fair value of the Company is less than net book value or if we elect to bypass the qualitative assessment, we proceed to a quantitative assessment or test of Goodwill.</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a quantitative assessment of Goodwill is required, the determination of the fair value of the Company will involve the use of significant estimates and assumptions. Our quantitative Goodwill impairment test uses both the income approach and the market approach to estimate fair value. The income approach is based on the discounted cash flow method that uses the Company's estimates of forecasted future financial performance including revenues, gross margins, operating expenses, and taxes, as well as working capital and capital asset requirements. These estimates are developed as part of our long-term planning process based on assumed market segment growth rates and our assumed market segment share, estimated costs based on historical data and various internal estimates. Projected cash flows are then discounted to a present value employing a discount rate that properly accounts for the estimated market weighted-average cost of capital, as well as any risks unique to the subject cash flows. When performing our market approach, we rely specifically on the guideline public company method. Our guideline public company method incorporates revenues and earnings multiples from publicly traded companies with operations and other characteristics similar to our reporting units. The selected multiples consider our reporting units' growth, profitability, size and risk relative to those of the selected publicly traded companies.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Annual Assessment</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In connection with the Company's 2025 annual Goodwill impairment test, management performed a qualitative assessment of our Goodwill and concluded that Goodwill was not impaired. In performing the qualitative assessment, the Company considered the excess of fair value over carrying value that was determined as of January 1, 2025 - the date on which reporting units were reassessed - as well as relevant events and circumstances. These factors included macroeconomic conditions, industry and market trends, overall financial performance, cost factors, company-specific developments, including the impacts of higher valuation allowances against our deferred tax assets, legal and regulatory factors, and the Company's market capitalization relative to its net book value.</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Subsequent to the Company's annual Goodwill impairment test conducted in the fourth quarter of 2025, the Company did not identify events or changes in circumstances that would have required an additional impairment assessment.</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12 - Goodwill, Net and Intangible Assets, Net in the Consolidated Financial Statements for additional information regarding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41</w:t>
      </w:r>
    </w:p>
    <w:p>
      <w:pPr>
        <w:sectPr>
          <w:pgSz w:w="11880" w:h="15480" w:orient="portrait"/>
          <w:cols w:equalWidth="0" w:num="1">
            <w:col w:w="9960"/>
          </w:cols>
          <w:pgMar w:left="960" w:top="649" w:right="960" w:bottom="0" w:gutter="0" w:footer="0" w:header="0"/>
        </w:sectPr>
      </w:pPr>
    </w:p>
    <w:bookmarkStart w:id="51" w:name="page52"/>
    <w:bookmarkEnd w:id="51"/>
    <w:p>
      <w:pPr>
        <w:ind w:left="9"/>
        <w:spacing w:after="0"/>
        <w:rPr>
          <w:sz w:val="20"/>
          <w:szCs w:val="20"/>
          <w:color w:val="auto"/>
        </w:rPr>
      </w:pPr>
      <w:r>
        <w:rPr>
          <w:rFonts w:ascii="Arial" w:cs="Arial" w:eastAsia="Arial" w:hAnsi="Arial"/>
          <w:sz w:val="23"/>
          <w:szCs w:val="23"/>
          <w:b w:val="1"/>
          <w:bCs w:val="1"/>
          <w:color w:val="DA2031"/>
        </w:rPr>
        <w:t>Revenue Results Summary</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Total Revenue</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Revenue for the three years ended December 31, 2025, 2024 and 2023 was as follows:</w:t>
      </w:r>
    </w:p>
    <w:p>
      <w:pPr>
        <w:spacing w:after="0" w:line="269"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Pro</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Revenue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3"/>
            <w:vMerge w:val="restart"/>
          </w:tcPr>
          <w:p>
            <w:pPr>
              <w:jc w:val="right"/>
              <w:ind w:right="320"/>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13"/>
                <w:szCs w:val="13"/>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CC % Change</w:t>
            </w:r>
          </w:p>
        </w:tc>
        <w:tc>
          <w:tcPr>
            <w:tcW w:w="8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4"/>
              </w:rPr>
              <w:t>Forma %</w:t>
            </w:r>
          </w:p>
        </w:tc>
        <w:tc>
          <w:tcPr>
            <w:tcW w:w="60" w:type="dxa"/>
            <w:vAlign w:val="bottom"/>
          </w:tcPr>
          <w:p>
            <w:pPr>
              <w:spacing w:after="0"/>
              <w:rPr>
                <w:sz w:val="13"/>
                <w:szCs w:val="13"/>
                <w:color w:val="auto"/>
              </w:rPr>
            </w:pPr>
          </w:p>
        </w:tc>
        <w:tc>
          <w:tcPr>
            <w:tcW w:w="2080" w:type="dxa"/>
            <w:vAlign w:val="bottom"/>
            <w:gridSpan w:val="5"/>
            <w:vMerge w:val="restart"/>
          </w:tcPr>
          <w:p>
            <w:pPr>
              <w:jc w:val="right"/>
              <w:ind w:right="302"/>
              <w:spacing w:after="0"/>
              <w:rPr>
                <w:sz w:val="20"/>
                <w:szCs w:val="20"/>
                <w:color w:val="auto"/>
              </w:rPr>
            </w:pPr>
            <w:r>
              <w:rPr>
                <w:rFonts w:ascii="Arial" w:cs="Arial" w:eastAsia="Arial" w:hAnsi="Arial"/>
                <w:sz w:val="16"/>
                <w:szCs w:val="16"/>
                <w:b w:val="1"/>
                <w:bCs w:val="1"/>
                <w:color w:val="auto"/>
              </w:rPr>
              <w:t>% of Total Revenue</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Change</w:t>
            </w:r>
            <w:r>
              <w:rPr>
                <w:rFonts w:ascii="Arial" w:cs="Arial" w:eastAsia="Arial" w:hAnsi="Arial"/>
                <w:sz w:val="10"/>
                <w:szCs w:val="10"/>
                <w:b w:val="1"/>
                <w:bCs w:val="1"/>
                <w:color w:val="auto"/>
                <w:w w:val="95"/>
              </w:rPr>
              <w:t>(1)</w:t>
            </w:r>
          </w:p>
        </w:tc>
        <w:tc>
          <w:tcPr>
            <w:tcW w:w="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640" w:type="dxa"/>
            <w:vAlign w:val="bottom"/>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72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2024</w:t>
            </w:r>
          </w:p>
        </w:tc>
        <w:tc>
          <w:tcPr>
            <w:tcW w:w="72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rPr>
              <w:t>2023</w:t>
            </w:r>
          </w:p>
        </w:tc>
        <w:tc>
          <w:tcPr>
            <w:tcW w:w="70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70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840" w:type="dxa"/>
            <w:vAlign w:val="bottom"/>
            <w:gridSpan w:val="2"/>
          </w:tcPr>
          <w:p>
            <w:pPr>
              <w:jc w:val="center"/>
              <w:ind w:left="2"/>
              <w:spacing w:after="0"/>
              <w:rPr>
                <w:sz w:val="20"/>
                <w:szCs w:val="20"/>
                <w:color w:val="auto"/>
              </w:rPr>
            </w:pPr>
            <w:r>
              <w:rPr>
                <w:rFonts w:ascii="Arial" w:cs="Arial" w:eastAsia="Arial" w:hAnsi="Arial"/>
                <w:sz w:val="16"/>
                <w:szCs w:val="16"/>
                <w:b w:val="1"/>
                <w:bCs w:val="1"/>
                <w:color w:val="auto"/>
              </w:rPr>
              <w:t>2025</w:t>
            </w:r>
          </w:p>
        </w:tc>
        <w:tc>
          <w:tcPr>
            <w:tcW w:w="70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72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2024</w:t>
            </w:r>
          </w:p>
        </w:tc>
        <w:tc>
          <w:tcPr>
            <w:tcW w:w="72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40" w:type="dxa"/>
            <w:vAlign w:val="bottom"/>
            <w:tcBorders>
              <w:bottom w:val="single" w:sz="8" w:color="DBDBDB"/>
            </w:tcBorders>
          </w:tcPr>
          <w:p>
            <w:pPr>
              <w:spacing w:after="0" w:line="20" w:lineRule="exact"/>
              <w:rPr>
                <w:sz w:val="1"/>
                <w:szCs w:val="1"/>
                <w:color w:val="auto"/>
              </w:rPr>
            </w:pPr>
          </w:p>
        </w:tc>
        <w:tc>
          <w:tcPr>
            <w:tcW w:w="580" w:type="dxa"/>
            <w:vAlign w:val="bottom"/>
            <w:tcBorders>
              <w:top w:val="single" w:sz="8" w:color="auto"/>
              <w:bottom w:val="single" w:sz="8" w:color="DBDBDB"/>
            </w:tcBorders>
          </w:tcPr>
          <w:p>
            <w:pPr>
              <w:spacing w:after="0" w:line="20" w:lineRule="exact"/>
              <w:rPr>
                <w:sz w:val="1"/>
                <w:szCs w:val="1"/>
                <w:color w:val="auto"/>
              </w:rPr>
            </w:pPr>
          </w:p>
        </w:tc>
        <w:tc>
          <w:tcPr>
            <w:tcW w:w="136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 w:type="dxa"/>
            <w:vAlign w:val="bottom"/>
            <w:shd w:val="clear" w:color="auto" w:fill="DBDBDB"/>
          </w:tcPr>
          <w:p>
            <w:pPr>
              <w:spacing w:after="0"/>
              <w:rPr>
                <w:sz w:val="20"/>
                <w:szCs w:val="20"/>
                <w:color w:val="auto"/>
              </w:rPr>
            </w:pPr>
          </w:p>
        </w:tc>
        <w:tc>
          <w:tcPr>
            <w:tcW w:w="1940" w:type="dxa"/>
            <w:vAlign w:val="bottom"/>
            <w:gridSpan w:val="2"/>
            <w:shd w:val="clear" w:color="auto" w:fill="DBDBDB"/>
          </w:tcPr>
          <w:p>
            <w:pPr>
              <w:spacing w:after="0"/>
              <w:rPr>
                <w:sz w:val="20"/>
                <w:szCs w:val="20"/>
                <w:color w:val="auto"/>
              </w:rPr>
            </w:pPr>
            <w:r>
              <w:rPr>
                <w:rFonts w:ascii="Arial" w:cs="Arial" w:eastAsia="Arial" w:hAnsi="Arial"/>
                <w:sz w:val="16"/>
                <w:szCs w:val="16"/>
                <w:b w:val="1"/>
                <w:bCs w:val="1"/>
                <w:color w:val="auto"/>
              </w:rPr>
              <w:t>Equipment sales</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$ 1,488</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$ 1,378</w:t>
            </w:r>
          </w:p>
        </w:tc>
        <w:tc>
          <w:tcPr>
            <w:tcW w:w="720" w:type="dxa"/>
            <w:vAlign w:val="bottom"/>
            <w:gridSpan w:val="2"/>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$ 1,655</w:t>
            </w:r>
          </w:p>
        </w:tc>
        <w:tc>
          <w:tcPr>
            <w:tcW w:w="1420" w:type="dxa"/>
            <w:vAlign w:val="bottom"/>
            <w:gridSpan w:val="4"/>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8.0 %  (16.7)%</w:t>
            </w:r>
          </w:p>
        </w:tc>
        <w:tc>
          <w:tcPr>
            <w:tcW w:w="1420" w:type="dxa"/>
            <w:vAlign w:val="bottom"/>
            <w:gridSpan w:val="4"/>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7.1 %  (16.5)%</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(8.7)%</w:t>
            </w: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21 %</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22 %</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r>
        <w:trPr>
          <w:trHeight w:val="237"/>
        </w:trPr>
        <w:tc>
          <w:tcPr>
            <w:tcW w:w="40" w:type="dxa"/>
            <w:vAlign w:val="bottom"/>
            <w:tcBorders>
              <w:bottom w:val="single" w:sz="8" w:color="DBDBDB"/>
            </w:tcBorders>
          </w:tcPr>
          <w:p>
            <w:pPr>
              <w:spacing w:after="0"/>
              <w:rPr>
                <w:sz w:val="20"/>
                <w:szCs w:val="20"/>
                <w:color w:val="auto"/>
              </w:rPr>
            </w:pPr>
          </w:p>
        </w:tc>
        <w:tc>
          <w:tcPr>
            <w:tcW w:w="194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b w:val="1"/>
                <w:bCs w:val="1"/>
                <w:color w:val="auto"/>
              </w:rPr>
              <w:t>Post sale revenue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5,534</w:t>
            </w:r>
          </w:p>
        </w:tc>
        <w:tc>
          <w:tcPr>
            <w:tcW w:w="80" w:type="dxa"/>
            <w:vAlign w:val="bottom"/>
            <w:tcBorders>
              <w:bottom w:val="single" w:sz="8" w:color="DBDBDB"/>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4,843</w:t>
            </w:r>
          </w:p>
        </w:tc>
        <w:tc>
          <w:tcPr>
            <w:tcW w:w="80" w:type="dxa"/>
            <w:vAlign w:val="bottom"/>
            <w:tcBorders>
              <w:bottom w:val="single" w:sz="8" w:color="DBDBDB"/>
            </w:tcBorders>
          </w:tcPr>
          <w:p>
            <w:pPr>
              <w:spacing w:after="0"/>
              <w:rPr>
                <w:sz w:val="20"/>
                <w:szCs w:val="20"/>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5,231</w:t>
            </w:r>
          </w:p>
        </w:tc>
        <w:tc>
          <w:tcPr>
            <w:tcW w:w="7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b w:val="1"/>
                <w:bCs w:val="1"/>
                <w:color w:val="auto"/>
              </w:rPr>
              <w:t>14.3 %</w:t>
            </w:r>
          </w:p>
        </w:tc>
        <w:tc>
          <w:tcPr>
            <w:tcW w:w="7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b w:val="1"/>
                <w:bCs w:val="1"/>
                <w:color w:val="auto"/>
              </w:rPr>
              <w:t>(7.4)%</w:t>
            </w:r>
          </w:p>
        </w:tc>
        <w:tc>
          <w:tcPr>
            <w:tcW w:w="70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b w:val="1"/>
                <w:bCs w:val="1"/>
                <w:color w:val="auto"/>
              </w:rPr>
              <w:t>13.6 %</w:t>
            </w:r>
          </w:p>
        </w:tc>
        <w:tc>
          <w:tcPr>
            <w:tcW w:w="7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6"/>
                <w:szCs w:val="16"/>
                <w:b w:val="1"/>
                <w:bCs w:val="1"/>
                <w:color w:val="auto"/>
              </w:rPr>
              <w:t>(7.3)%</w:t>
            </w:r>
          </w:p>
        </w:tc>
        <w:tc>
          <w:tcPr>
            <w:tcW w:w="84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b w:val="1"/>
                <w:bCs w:val="1"/>
                <w:color w:val="auto"/>
              </w:rPr>
              <w:t>(7.4)%</w:t>
            </w:r>
          </w:p>
        </w:tc>
        <w:tc>
          <w:tcPr>
            <w:tcW w:w="60" w:type="dxa"/>
            <w:vAlign w:val="bottom"/>
            <w:tcBorders>
              <w:bottom w:val="single" w:sz="8" w:color="DBDBDB"/>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79 %</w:t>
            </w:r>
          </w:p>
        </w:tc>
        <w:tc>
          <w:tcPr>
            <w:tcW w:w="80" w:type="dxa"/>
            <w:vAlign w:val="bottom"/>
            <w:tcBorders>
              <w:bottom w:val="single" w:sz="8" w:color="DBDBDB"/>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78 %</w:t>
            </w:r>
          </w:p>
        </w:tc>
        <w:tc>
          <w:tcPr>
            <w:tcW w:w="80" w:type="dxa"/>
            <w:vAlign w:val="bottom"/>
            <w:tcBorders>
              <w:bottom w:val="single" w:sz="8" w:color="DBDBDB"/>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76 %</w:t>
            </w:r>
          </w:p>
        </w:tc>
        <w:tc>
          <w:tcPr>
            <w:tcW w:w="0" w:type="dxa"/>
            <w:vAlign w:val="bottom"/>
          </w:tcPr>
          <w:p>
            <w:pPr>
              <w:spacing w:after="0"/>
              <w:rPr>
                <w:sz w:val="1"/>
                <w:szCs w:val="1"/>
                <w:color w:val="auto"/>
              </w:rPr>
            </w:pPr>
          </w:p>
        </w:tc>
      </w:tr>
      <w:tr>
        <w:trPr>
          <w:trHeight w:val="247"/>
        </w:trPr>
        <w:tc>
          <w:tcPr>
            <w:tcW w:w="4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b w:val="1"/>
                <w:bCs w:val="1"/>
                <w:color w:val="auto"/>
              </w:rPr>
              <w:t>Total Revenue</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$ 7,022</w:t>
            </w:r>
          </w:p>
        </w:tc>
        <w:tc>
          <w:tcPr>
            <w:tcW w:w="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$ 6,221</w:t>
            </w:r>
          </w:p>
        </w:tc>
        <w:tc>
          <w:tcPr>
            <w:tcW w:w="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$ 6,886</w:t>
            </w:r>
          </w:p>
        </w:tc>
        <w:tc>
          <w:tcPr>
            <w:tcW w:w="7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12.9 %</w:t>
            </w:r>
          </w:p>
        </w:tc>
        <w:tc>
          <w:tcPr>
            <w:tcW w:w="7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(9.7)%</w:t>
            </w:r>
          </w:p>
        </w:tc>
        <w:tc>
          <w:tcPr>
            <w:tcW w:w="7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12.2 %</w:t>
            </w:r>
          </w:p>
        </w:tc>
        <w:tc>
          <w:tcPr>
            <w:tcW w:w="72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(9.5)%</w:t>
            </w:r>
          </w:p>
        </w:tc>
        <w:tc>
          <w:tcPr>
            <w:tcW w:w="8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(7.6)%</w:t>
            </w:r>
          </w:p>
        </w:tc>
        <w:tc>
          <w:tcPr>
            <w:tcW w:w="6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138430</wp:posOffset>
                </wp:positionV>
                <wp:extent cx="6273165" cy="15748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3165" cy="157480"/>
                        </a:xfrm>
                        <a:prstGeom prst="rect">
                          <a:avLst/>
                        </a:prstGeom>
                        <a:solidFill>
                          <a:srgbClr val="DBDBDB"/>
                        </a:solidFill>
                      </wps:spPr>
                      <wps:bodyPr/>
                    </wps:wsp>
                  </a:graphicData>
                </a:graphic>
              </wp:anchor>
            </w:drawing>
          </mc:Choice>
          <mc:Fallback>
            <w:pict>
              <v:rect id="Shape 19" o:spid="_x0000_s1044" style="position:absolute;margin-left:0pt;margin-top:10.9pt;width:493.9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BDBDB" stroked="f"/>
            </w:pict>
          </mc:Fallback>
        </mc:AlternateContent>
        <w:drawing>
          <wp:anchor simplePos="0" relativeHeight="251657728" behindDoc="1" locked="0" layoutInCell="0" allowOverlap="1">
            <wp:simplePos x="0" y="0"/>
            <wp:positionH relativeFrom="column">
              <wp:posOffset>1240155</wp:posOffset>
            </wp:positionH>
            <wp:positionV relativeFrom="paragraph">
              <wp:posOffset>-55245</wp:posOffset>
            </wp:positionV>
            <wp:extent cx="1362710" cy="75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1362710" cy="7556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-55245</wp:posOffset>
            </wp:positionV>
            <wp:extent cx="1362710" cy="75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1362710" cy="75565"/>
                    </a:xfrm>
                    <a:prstGeom prst="rect">
                      <a:avLst/>
                    </a:prstGeom>
                    <a:noFill/>
                  </pic:spPr>
                </pic:pic>
              </a:graphicData>
            </a:graphic>
          </wp:anchor>
        </w:drawing>
      </w:r>
    </w:p>
    <w:p>
      <w:pPr>
        <w:spacing w:after="0" w:line="227" w:lineRule="exact"/>
        <w:rPr>
          <w:sz w:val="20"/>
          <w:szCs w:val="20"/>
          <w:color w:val="auto"/>
        </w:rPr>
      </w:pPr>
    </w:p>
    <w:p>
      <w:pPr>
        <w:ind w:left="49"/>
        <w:spacing w:after="0"/>
        <w:rPr>
          <w:sz w:val="20"/>
          <w:szCs w:val="20"/>
          <w:color w:val="auto"/>
        </w:rPr>
      </w:pPr>
      <w:r>
        <w:rPr>
          <w:rFonts w:ascii="Arial" w:cs="Arial" w:eastAsia="Arial" w:hAnsi="Arial"/>
          <w:sz w:val="16"/>
          <w:szCs w:val="16"/>
          <w:b w:val="1"/>
          <w:bCs w:val="1"/>
          <w:color w:val="auto"/>
        </w:rPr>
        <w:t>Reconciliation to Consolidated Statements of (Loss) Income:</w:t>
      </w:r>
    </w:p>
    <w:p>
      <w:pPr>
        <w:spacing w:after="0" w:line="64" w:lineRule="exact"/>
        <w:rPr>
          <w:sz w:val="20"/>
          <w:szCs w:val="20"/>
          <w:color w:val="auto"/>
        </w:rPr>
      </w:pPr>
    </w:p>
    <w:tbl>
      <w:tblPr>
        <w:tblLayout w:type="fixed"/>
        <w:tblInd w:w="9" w:type="dxa"/>
        <w:tblCellMar>
          <w:top w:w="0" w:type="dxa"/>
          <w:left w:w="0" w:type="dxa"/>
          <w:bottom w:w="0" w:type="dxa"/>
          <w:right w:w="0" w:type="dxa"/>
        </w:tblCellMar>
      </w:tblPr>
      <w:tr>
        <w:trPr>
          <w:trHeight w:val="212"/>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Sales</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$ 3,283</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$ 2,378</w:t>
            </w:r>
          </w:p>
        </w:tc>
        <w:tc>
          <w:tcPr>
            <w:tcW w:w="7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$ 2,720</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38.1 %</w:t>
            </w: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(12.6)%</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37.6 %</w:t>
            </w:r>
          </w:p>
        </w:tc>
        <w:tc>
          <w:tcPr>
            <w:tcW w:w="820" w:type="dxa"/>
            <w:vAlign w:val="bottom"/>
          </w:tcPr>
          <w:p>
            <w:pPr>
              <w:jc w:val="right"/>
              <w:ind w:right="122"/>
              <w:spacing w:after="0"/>
              <w:rPr>
                <w:sz w:val="20"/>
                <w:szCs w:val="20"/>
                <w:color w:val="auto"/>
              </w:rPr>
            </w:pPr>
            <w:r>
              <w:rPr>
                <w:rFonts w:ascii="Arial" w:cs="Arial" w:eastAsia="Arial" w:hAnsi="Arial"/>
                <w:sz w:val="16"/>
                <w:szCs w:val="16"/>
                <w:b w:val="1"/>
                <w:bCs w:val="1"/>
                <w:color w:val="auto"/>
              </w:rPr>
              <w:t>(12.3)%</w:t>
            </w: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(7.2)%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Less: IT Products</w:t>
            </w:r>
            <w:r>
              <w:rPr>
                <w:rFonts w:ascii="Arial" w:cs="Arial" w:eastAsia="Arial" w:hAnsi="Arial"/>
                <w:sz w:val="10"/>
                <w:szCs w:val="10"/>
                <w:b w:val="1"/>
                <w:bCs w:val="1"/>
                <w:color w:val="auto"/>
              </w:rPr>
              <w:t>(2)</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(523)</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(232)</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(256)</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125.4 %</w:t>
            </w:r>
          </w:p>
        </w:tc>
        <w:tc>
          <w:tcPr>
            <w:tcW w:w="7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(9.4)%</w:t>
            </w:r>
          </w:p>
        </w:tc>
        <w:tc>
          <w:tcPr>
            <w:tcW w:w="7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123.7 %</w:t>
            </w:r>
          </w:p>
        </w:tc>
        <w:tc>
          <w:tcPr>
            <w:tcW w:w="8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(9.5)%</w:t>
            </w:r>
          </w:p>
        </w:tc>
        <w:tc>
          <w:tcPr>
            <w:tcW w:w="720" w:type="dxa"/>
            <w:vAlign w:val="bottom"/>
            <w:shd w:val="clear" w:color="auto" w:fill="DBDBDB"/>
          </w:tcPr>
          <w:p>
            <w:pPr>
              <w:ind w:left="200"/>
              <w:spacing w:after="0"/>
              <w:rPr>
                <w:sz w:val="20"/>
                <w:szCs w:val="20"/>
                <w:color w:val="auto"/>
              </w:rPr>
            </w:pPr>
            <w:r>
              <w:rPr>
                <w:rFonts w:ascii="Arial" w:cs="Arial" w:eastAsia="Arial" w:hAnsi="Arial"/>
                <w:sz w:val="16"/>
                <w:szCs w:val="16"/>
                <w:b w:val="1"/>
                <w:bCs w:val="1"/>
                <w:color w:val="auto"/>
              </w:rPr>
              <w:t>(7.6)%</w:t>
            </w:r>
          </w:p>
        </w:tc>
        <w:tc>
          <w:tcPr>
            <w:tcW w:w="6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980" w:type="dxa"/>
            <w:vAlign w:val="bottom"/>
          </w:tcPr>
          <w:p>
            <w:pPr>
              <w:ind w:left="40"/>
              <w:spacing w:after="0" w:line="176" w:lineRule="exact"/>
              <w:rPr>
                <w:sz w:val="20"/>
                <w:szCs w:val="20"/>
                <w:color w:val="auto"/>
              </w:rPr>
            </w:pPr>
            <w:r>
              <w:rPr>
                <w:rFonts w:ascii="Arial" w:cs="Arial" w:eastAsia="Arial" w:hAnsi="Arial"/>
                <w:sz w:val="16"/>
                <w:szCs w:val="16"/>
                <w:b w:val="1"/>
                <w:bCs w:val="1"/>
                <w:color w:val="auto"/>
                <w:w w:val="96"/>
              </w:rPr>
              <w:t>Less: Supplies, paper and</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(1,272)</w:t>
            </w:r>
          </w:p>
        </w:tc>
        <w:tc>
          <w:tcPr>
            <w:tcW w:w="80" w:type="dxa"/>
            <w:vAlign w:val="bottom"/>
            <w:vMerge w:val="restart"/>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(768)</w:t>
            </w:r>
          </w:p>
        </w:tc>
        <w:tc>
          <w:tcPr>
            <w:tcW w:w="80" w:type="dxa"/>
            <w:vAlign w:val="bottom"/>
            <w:vMerge w:val="restart"/>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(809)</w:t>
            </w:r>
          </w:p>
        </w:tc>
        <w:tc>
          <w:tcPr>
            <w:tcW w:w="7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65.6 %</w:t>
            </w:r>
          </w:p>
        </w:tc>
        <w:tc>
          <w:tcPr>
            <w:tcW w:w="14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(5.1)%   65.9 %</w:t>
            </w:r>
          </w:p>
        </w:tc>
        <w:tc>
          <w:tcPr>
            <w:tcW w:w="8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(5.0)%</w:t>
            </w:r>
          </w:p>
        </w:tc>
        <w:tc>
          <w:tcPr>
            <w:tcW w:w="7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(5.8)%</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80" w:type="dxa"/>
            <w:vAlign w:val="bottom"/>
            <w:tcBorders>
              <w:bottom w:val="single" w:sz="8" w:color="DBDBDB"/>
            </w:tcBorders>
          </w:tcPr>
          <w:p>
            <w:pPr>
              <w:ind w:left="40"/>
              <w:spacing w:after="0"/>
              <w:rPr>
                <w:sz w:val="20"/>
                <w:szCs w:val="20"/>
                <w:color w:val="auto"/>
              </w:rPr>
            </w:pPr>
            <w:r>
              <w:rPr>
                <w:rFonts w:ascii="Arial" w:cs="Arial" w:eastAsia="Arial" w:hAnsi="Arial"/>
                <w:sz w:val="16"/>
                <w:szCs w:val="16"/>
                <w:b w:val="1"/>
                <w:bCs w:val="1"/>
                <w:color w:val="auto"/>
              </w:rPr>
              <w:t>other sales</w:t>
            </w: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DBDBDB"/>
            </w:tcBorders>
            <w:vMerge w:val="continue"/>
          </w:tcPr>
          <w:p>
            <w:pPr>
              <w:spacing w:after="0"/>
              <w:rPr>
                <w:sz w:val="17"/>
                <w:szCs w:val="17"/>
                <w:color w:val="auto"/>
              </w:rPr>
            </w:pPr>
          </w:p>
        </w:tc>
        <w:tc>
          <w:tcPr>
            <w:tcW w:w="1420" w:type="dxa"/>
            <w:vAlign w:val="bottom"/>
            <w:tcBorders>
              <w:bottom w:val="single" w:sz="8" w:color="DBDBDB"/>
            </w:tcBorders>
            <w:gridSpan w:val="2"/>
            <w:vMerge w:val="continue"/>
          </w:tcPr>
          <w:p>
            <w:pPr>
              <w:spacing w:after="0"/>
              <w:rPr>
                <w:sz w:val="17"/>
                <w:szCs w:val="17"/>
                <w:color w:val="auto"/>
              </w:rPr>
            </w:pPr>
          </w:p>
        </w:tc>
        <w:tc>
          <w:tcPr>
            <w:tcW w:w="820" w:type="dxa"/>
            <w:vAlign w:val="bottom"/>
            <w:tcBorders>
              <w:bottom w:val="single" w:sz="8" w:color="DBDBDB"/>
            </w:tcBorders>
            <w:vMerge w:val="continue"/>
          </w:tcPr>
          <w:p>
            <w:pPr>
              <w:spacing w:after="0"/>
              <w:rPr>
                <w:sz w:val="17"/>
                <w:szCs w:val="17"/>
                <w:color w:val="auto"/>
              </w:rPr>
            </w:pPr>
          </w:p>
        </w:tc>
        <w:tc>
          <w:tcPr>
            <w:tcW w:w="720" w:type="dxa"/>
            <w:vAlign w:val="bottom"/>
            <w:tcBorders>
              <w:bottom w:val="single" w:sz="8" w:color="DBDBDB"/>
            </w:tcBorders>
            <w:vMerge w:val="continue"/>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8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Equipment sales</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$ 1,488</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$ 1,378</w:t>
            </w:r>
          </w:p>
        </w:tc>
        <w:tc>
          <w:tcPr>
            <w:tcW w:w="720" w:type="dxa"/>
            <w:vAlign w:val="bottom"/>
            <w:gridSpan w:val="2"/>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$ 1,655</w:t>
            </w:r>
          </w:p>
        </w:tc>
        <w:tc>
          <w:tcPr>
            <w:tcW w:w="78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8.0 %</w:t>
            </w:r>
          </w:p>
        </w:tc>
        <w:tc>
          <w:tcPr>
            <w:tcW w:w="7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(16.7)%</w:t>
            </w:r>
          </w:p>
        </w:tc>
        <w:tc>
          <w:tcPr>
            <w:tcW w:w="7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7.1 %</w:t>
            </w:r>
          </w:p>
        </w:tc>
        <w:tc>
          <w:tcPr>
            <w:tcW w:w="8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(16.5)%</w:t>
            </w:r>
          </w:p>
        </w:tc>
        <w:tc>
          <w:tcPr>
            <w:tcW w:w="720" w:type="dxa"/>
            <w:vAlign w:val="bottom"/>
            <w:shd w:val="clear" w:color="auto" w:fill="DBDBDB"/>
          </w:tcPr>
          <w:p>
            <w:pPr>
              <w:ind w:left="200"/>
              <w:spacing w:after="0"/>
              <w:rPr>
                <w:sz w:val="20"/>
                <w:szCs w:val="20"/>
                <w:color w:val="auto"/>
              </w:rPr>
            </w:pPr>
            <w:r>
              <w:rPr>
                <w:rFonts w:ascii="Arial" w:cs="Arial" w:eastAsia="Arial" w:hAnsi="Arial"/>
                <w:sz w:val="16"/>
                <w:szCs w:val="16"/>
                <w:b w:val="1"/>
                <w:bCs w:val="1"/>
                <w:color w:val="auto"/>
              </w:rPr>
              <w:t>(8.7)%</w:t>
            </w:r>
          </w:p>
        </w:tc>
        <w:tc>
          <w:tcPr>
            <w:tcW w:w="6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980" w:type="dxa"/>
            <w:vAlign w:val="bottom"/>
            <w:tcBorders>
              <w:top w:val="single" w:sz="8" w:color="DBDBDB"/>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DBDBDB"/>
            </w:tcBorders>
          </w:tcPr>
          <w:p>
            <w:pPr>
              <w:spacing w:after="0"/>
              <w:rPr>
                <w:sz w:val="18"/>
                <w:szCs w:val="18"/>
                <w:color w:val="auto"/>
              </w:rPr>
            </w:pPr>
          </w:p>
        </w:tc>
        <w:tc>
          <w:tcPr>
            <w:tcW w:w="700" w:type="dxa"/>
            <w:vAlign w:val="bottom"/>
            <w:tcBorders>
              <w:top w:val="single" w:sz="8" w:color="DBDBDB"/>
            </w:tcBorders>
          </w:tcPr>
          <w:p>
            <w:pPr>
              <w:spacing w:after="0"/>
              <w:rPr>
                <w:sz w:val="18"/>
                <w:szCs w:val="18"/>
                <w:color w:val="auto"/>
              </w:rPr>
            </w:pPr>
          </w:p>
        </w:tc>
        <w:tc>
          <w:tcPr>
            <w:tcW w:w="720" w:type="dxa"/>
            <w:vAlign w:val="bottom"/>
            <w:tcBorders>
              <w:top w:val="single" w:sz="8" w:color="DBDBDB"/>
            </w:tcBorders>
          </w:tcPr>
          <w:p>
            <w:pPr>
              <w:spacing w:after="0"/>
              <w:rPr>
                <w:sz w:val="18"/>
                <w:szCs w:val="18"/>
                <w:color w:val="auto"/>
              </w:rPr>
            </w:pPr>
          </w:p>
        </w:tc>
        <w:tc>
          <w:tcPr>
            <w:tcW w:w="820" w:type="dxa"/>
            <w:vAlign w:val="bottom"/>
            <w:tcBorders>
              <w:top w:val="single" w:sz="8" w:color="DBDBDB"/>
            </w:tcBorders>
          </w:tcPr>
          <w:p>
            <w:pPr>
              <w:spacing w:after="0"/>
              <w:rPr>
                <w:sz w:val="18"/>
                <w:szCs w:val="18"/>
                <w:color w:val="auto"/>
              </w:rPr>
            </w:pPr>
          </w:p>
        </w:tc>
        <w:tc>
          <w:tcPr>
            <w:tcW w:w="720" w:type="dxa"/>
            <w:vAlign w:val="bottom"/>
            <w:tcBorders>
              <w:top w:val="single" w:sz="8" w:color="DBDBDB"/>
            </w:tcBorders>
          </w:tcPr>
          <w:p>
            <w:pPr>
              <w:spacing w:after="0"/>
              <w:rPr>
                <w:sz w:val="18"/>
                <w:szCs w:val="18"/>
                <w:color w:val="auto"/>
              </w:rPr>
            </w:pPr>
          </w:p>
        </w:tc>
        <w:tc>
          <w:tcPr>
            <w:tcW w:w="640" w:type="dxa"/>
            <w:vAlign w:val="bottom"/>
            <w:tcBorders>
              <w:top w:val="single" w:sz="8" w:color="DBDBDB"/>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640" w:type="dxa"/>
            <w:vAlign w:val="bottom"/>
            <w:tcBorders>
              <w:top w:val="single" w:sz="8" w:color="DBDBDB"/>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64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8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Services, maintenance,</w:t>
            </w: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$ 3,739</w:t>
            </w:r>
          </w:p>
        </w:tc>
        <w:tc>
          <w:tcPr>
            <w:tcW w:w="7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$ 3,843</w:t>
            </w:r>
          </w:p>
        </w:tc>
        <w:tc>
          <w:tcPr>
            <w:tcW w:w="720" w:type="dxa"/>
            <w:vAlign w:val="bottom"/>
            <w:gridSpan w:val="2"/>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$ 4,166</w:t>
            </w:r>
          </w:p>
        </w:tc>
        <w:tc>
          <w:tcPr>
            <w:tcW w:w="780" w:type="dxa"/>
            <w:vAlign w:val="bottom"/>
            <w:vMerge w:val="restart"/>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(2.7)%</w:t>
            </w:r>
          </w:p>
        </w:tc>
        <w:tc>
          <w:tcPr>
            <w:tcW w:w="70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(7.8)%</w:t>
            </w:r>
          </w:p>
        </w:tc>
        <w:tc>
          <w:tcPr>
            <w:tcW w:w="72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(3.5)%</w:t>
            </w:r>
          </w:p>
        </w:tc>
        <w:tc>
          <w:tcPr>
            <w:tcW w:w="82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(7.7)%</w:t>
            </w:r>
          </w:p>
        </w:tc>
        <w:tc>
          <w:tcPr>
            <w:tcW w:w="720" w:type="dxa"/>
            <w:vAlign w:val="bottom"/>
            <w:vMerge w:val="restart"/>
            <w:shd w:val="clear" w:color="auto" w:fill="DBDBDB"/>
          </w:tcPr>
          <w:p>
            <w:pPr>
              <w:ind w:left="200"/>
              <w:spacing w:after="0"/>
              <w:rPr>
                <w:sz w:val="20"/>
                <w:szCs w:val="20"/>
                <w:color w:val="auto"/>
              </w:rPr>
            </w:pPr>
            <w:r>
              <w:rPr>
                <w:rFonts w:ascii="Arial" w:cs="Arial" w:eastAsia="Arial" w:hAnsi="Arial"/>
                <w:sz w:val="16"/>
                <w:szCs w:val="16"/>
                <w:b w:val="1"/>
                <w:bCs w:val="1"/>
                <w:color w:val="auto"/>
              </w:rPr>
              <w:t>(8.1)%</w:t>
            </w:r>
          </w:p>
        </w:tc>
        <w:tc>
          <w:tcPr>
            <w:tcW w:w="6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rentals and other</w:t>
            </w:r>
            <w:r>
              <w:rPr>
                <w:rFonts w:ascii="Arial" w:cs="Arial" w:eastAsia="Arial" w:hAnsi="Arial"/>
                <w:sz w:val="10"/>
                <w:szCs w:val="10"/>
                <w:b w:val="1"/>
                <w:bCs w:val="1"/>
                <w:color w:val="auto"/>
              </w:rPr>
              <w:t>(3)(4)</w:t>
            </w:r>
          </w:p>
        </w:tc>
        <w:tc>
          <w:tcPr>
            <w:tcW w:w="640" w:type="dxa"/>
            <w:vAlign w:val="bottom"/>
            <w:vMerge w:val="continue"/>
            <w:shd w:val="clear" w:color="auto" w:fill="DBDBDB"/>
          </w:tcPr>
          <w:p>
            <w:pPr>
              <w:spacing w:after="0"/>
              <w:rPr>
                <w:sz w:val="18"/>
                <w:szCs w:val="18"/>
                <w:color w:val="auto"/>
              </w:rPr>
            </w:pPr>
          </w:p>
        </w:tc>
        <w:tc>
          <w:tcPr>
            <w:tcW w:w="720" w:type="dxa"/>
            <w:vAlign w:val="bottom"/>
            <w:gridSpan w:val="2"/>
            <w:vMerge w:val="continue"/>
            <w:shd w:val="clear" w:color="auto" w:fill="DBDBDB"/>
          </w:tcPr>
          <w:p>
            <w:pPr>
              <w:spacing w:after="0"/>
              <w:rPr>
                <w:sz w:val="18"/>
                <w:szCs w:val="18"/>
                <w:color w:val="auto"/>
              </w:rPr>
            </w:pPr>
          </w:p>
        </w:tc>
        <w:tc>
          <w:tcPr>
            <w:tcW w:w="720" w:type="dxa"/>
            <w:vAlign w:val="bottom"/>
            <w:gridSpan w:val="2"/>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700" w:type="dxa"/>
            <w:vAlign w:val="bottom"/>
            <w:vMerge w:val="continue"/>
            <w:shd w:val="clear" w:color="auto" w:fill="DBDBDB"/>
          </w:tcPr>
          <w:p>
            <w:pPr>
              <w:spacing w:after="0"/>
              <w:rPr>
                <w:sz w:val="18"/>
                <w:szCs w:val="18"/>
                <w:color w:val="auto"/>
              </w:rPr>
            </w:pPr>
          </w:p>
        </w:tc>
        <w:tc>
          <w:tcPr>
            <w:tcW w:w="720" w:type="dxa"/>
            <w:vAlign w:val="bottom"/>
            <w:vMerge w:val="continue"/>
            <w:shd w:val="clear" w:color="auto" w:fill="DBDBDB"/>
          </w:tcPr>
          <w:p>
            <w:pPr>
              <w:spacing w:after="0"/>
              <w:rPr>
                <w:sz w:val="18"/>
                <w:szCs w:val="18"/>
                <w:color w:val="auto"/>
              </w:rPr>
            </w:pPr>
          </w:p>
        </w:tc>
        <w:tc>
          <w:tcPr>
            <w:tcW w:w="820" w:type="dxa"/>
            <w:vAlign w:val="bottom"/>
            <w:vMerge w:val="continue"/>
            <w:shd w:val="clear" w:color="auto" w:fill="DBDBDB"/>
          </w:tcPr>
          <w:p>
            <w:pPr>
              <w:spacing w:after="0"/>
              <w:rPr>
                <w:sz w:val="18"/>
                <w:szCs w:val="18"/>
                <w:color w:val="auto"/>
              </w:rPr>
            </w:pPr>
          </w:p>
        </w:tc>
        <w:tc>
          <w:tcPr>
            <w:tcW w:w="720" w:type="dxa"/>
            <w:vAlign w:val="bottom"/>
            <w:vMerge w:val="continue"/>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IT Products</w:t>
            </w:r>
            <w:r>
              <w:rPr>
                <w:rFonts w:ascii="Arial" w:cs="Arial" w:eastAsia="Arial" w:hAnsi="Arial"/>
                <w:sz w:val="10"/>
                <w:szCs w:val="10"/>
                <w:b w:val="1"/>
                <w:bCs w:val="1"/>
                <w:color w:val="auto"/>
              </w:rPr>
              <w:t>(2)</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232</w:t>
            </w:r>
          </w:p>
        </w:tc>
        <w:tc>
          <w:tcPr>
            <w:tcW w:w="7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256</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125.4 %</w:t>
            </w: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(9.4)%</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123.7 %</w:t>
            </w:r>
          </w:p>
        </w:tc>
        <w:tc>
          <w:tcPr>
            <w:tcW w:w="820" w:type="dxa"/>
            <w:vAlign w:val="bottom"/>
          </w:tcPr>
          <w:p>
            <w:pPr>
              <w:jc w:val="right"/>
              <w:ind w:right="122"/>
              <w:spacing w:after="0"/>
              <w:rPr>
                <w:sz w:val="20"/>
                <w:szCs w:val="20"/>
                <w:color w:val="auto"/>
              </w:rPr>
            </w:pPr>
            <w:r>
              <w:rPr>
                <w:rFonts w:ascii="Arial" w:cs="Arial" w:eastAsia="Arial" w:hAnsi="Arial"/>
                <w:sz w:val="16"/>
                <w:szCs w:val="16"/>
                <w:b w:val="1"/>
                <w:bCs w:val="1"/>
                <w:color w:val="auto"/>
              </w:rPr>
              <w:t>(9.5)%</w:t>
            </w: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(7.6)%</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DBDBDB"/>
          </w:tcPr>
          <w:p>
            <w:pPr>
              <w:ind w:left="40"/>
              <w:spacing w:after="0" w:line="153" w:lineRule="exact"/>
              <w:rPr>
                <w:sz w:val="20"/>
                <w:szCs w:val="20"/>
                <w:color w:val="auto"/>
              </w:rPr>
            </w:pPr>
            <w:r>
              <w:rPr>
                <w:rFonts w:ascii="Arial" w:cs="Arial" w:eastAsia="Arial" w:hAnsi="Arial"/>
                <w:sz w:val="16"/>
                <w:szCs w:val="16"/>
                <w:b w:val="1"/>
                <w:bCs w:val="1"/>
                <w:color w:val="auto"/>
                <w:w w:val="97"/>
              </w:rPr>
              <w:t>Supplies, paper and other</w:t>
            </w: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1,272</w:t>
            </w:r>
          </w:p>
        </w:tc>
        <w:tc>
          <w:tcPr>
            <w:tcW w:w="80" w:type="dxa"/>
            <w:vAlign w:val="bottom"/>
            <w:vMerge w:val="restart"/>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768</w:t>
            </w:r>
          </w:p>
        </w:tc>
        <w:tc>
          <w:tcPr>
            <w:tcW w:w="80" w:type="dxa"/>
            <w:vAlign w:val="bottom"/>
            <w:vMerge w:val="restart"/>
            <w:shd w:val="clear" w:color="auto" w:fill="DBDBDB"/>
          </w:tcPr>
          <w:p>
            <w:pPr>
              <w:spacing w:after="0"/>
              <w:rPr>
                <w:sz w:val="13"/>
                <w:szCs w:val="13"/>
                <w:color w:val="auto"/>
              </w:rPr>
            </w:pPr>
          </w:p>
        </w:tc>
        <w:tc>
          <w:tcPr>
            <w:tcW w:w="64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809</w:t>
            </w:r>
          </w:p>
        </w:tc>
        <w:tc>
          <w:tcPr>
            <w:tcW w:w="780" w:type="dxa"/>
            <w:vAlign w:val="bottom"/>
            <w:vMerge w:val="restart"/>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65.6 %</w:t>
            </w:r>
          </w:p>
        </w:tc>
        <w:tc>
          <w:tcPr>
            <w:tcW w:w="70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(5.1)%</w:t>
            </w:r>
          </w:p>
        </w:tc>
        <w:tc>
          <w:tcPr>
            <w:tcW w:w="72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65.9 %</w:t>
            </w:r>
          </w:p>
        </w:tc>
        <w:tc>
          <w:tcPr>
            <w:tcW w:w="82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(5.0)%</w:t>
            </w:r>
          </w:p>
        </w:tc>
        <w:tc>
          <w:tcPr>
            <w:tcW w:w="720" w:type="dxa"/>
            <w:vAlign w:val="bottom"/>
            <w:vMerge w:val="restart"/>
            <w:shd w:val="clear" w:color="auto" w:fill="DBDBDB"/>
          </w:tcPr>
          <w:p>
            <w:pPr>
              <w:ind w:left="200"/>
              <w:spacing w:after="0"/>
              <w:rPr>
                <w:sz w:val="20"/>
                <w:szCs w:val="20"/>
                <w:color w:val="auto"/>
              </w:rPr>
            </w:pPr>
            <w:r>
              <w:rPr>
                <w:rFonts w:ascii="Arial" w:cs="Arial" w:eastAsia="Arial" w:hAnsi="Arial"/>
                <w:sz w:val="16"/>
                <w:szCs w:val="16"/>
                <w:b w:val="1"/>
                <w:bCs w:val="1"/>
                <w:color w:val="auto"/>
              </w:rPr>
              <w:t>(5.8)%</w:t>
            </w: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98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sales</w:t>
            </w:r>
          </w:p>
        </w:tc>
        <w:tc>
          <w:tcPr>
            <w:tcW w:w="640" w:type="dxa"/>
            <w:vAlign w:val="bottom"/>
            <w:tcBorders>
              <w:bottom w:val="single" w:sz="8" w:color="auto"/>
            </w:tcBorders>
            <w:vMerge w:val="continue"/>
            <w:shd w:val="clear" w:color="auto" w:fill="DBDBDB"/>
          </w:tcPr>
          <w:p>
            <w:pPr>
              <w:spacing w:after="0"/>
              <w:rPr>
                <w:sz w:val="19"/>
                <w:szCs w:val="19"/>
                <w:color w:val="auto"/>
              </w:rPr>
            </w:pPr>
          </w:p>
        </w:tc>
        <w:tc>
          <w:tcPr>
            <w:tcW w:w="80" w:type="dxa"/>
            <w:vAlign w:val="bottom"/>
            <w:tcBorders>
              <w:bottom w:val="single" w:sz="8" w:color="DBDBDB"/>
            </w:tcBorders>
            <w:vMerge w:val="continue"/>
            <w:shd w:val="clear" w:color="auto" w:fill="DBDBDB"/>
          </w:tcPr>
          <w:p>
            <w:pPr>
              <w:spacing w:after="0"/>
              <w:rPr>
                <w:sz w:val="19"/>
                <w:szCs w:val="19"/>
                <w:color w:val="auto"/>
              </w:rPr>
            </w:pPr>
          </w:p>
        </w:tc>
        <w:tc>
          <w:tcPr>
            <w:tcW w:w="640" w:type="dxa"/>
            <w:vAlign w:val="bottom"/>
            <w:tcBorders>
              <w:bottom w:val="single" w:sz="8" w:color="auto"/>
            </w:tcBorders>
            <w:vMerge w:val="continue"/>
            <w:shd w:val="clear" w:color="auto" w:fill="DBDBDB"/>
          </w:tcPr>
          <w:p>
            <w:pPr>
              <w:spacing w:after="0"/>
              <w:rPr>
                <w:sz w:val="19"/>
                <w:szCs w:val="19"/>
                <w:color w:val="auto"/>
              </w:rPr>
            </w:pPr>
          </w:p>
        </w:tc>
        <w:tc>
          <w:tcPr>
            <w:tcW w:w="80" w:type="dxa"/>
            <w:vAlign w:val="bottom"/>
            <w:tcBorders>
              <w:bottom w:val="single" w:sz="8" w:color="DBDBDB"/>
            </w:tcBorders>
            <w:vMerge w:val="continue"/>
            <w:shd w:val="clear" w:color="auto" w:fill="DBDBDB"/>
          </w:tcPr>
          <w:p>
            <w:pPr>
              <w:spacing w:after="0"/>
              <w:rPr>
                <w:sz w:val="19"/>
                <w:szCs w:val="19"/>
                <w:color w:val="auto"/>
              </w:rPr>
            </w:pPr>
          </w:p>
        </w:tc>
        <w:tc>
          <w:tcPr>
            <w:tcW w:w="640" w:type="dxa"/>
            <w:vAlign w:val="bottom"/>
            <w:tcBorders>
              <w:bottom w:val="single" w:sz="8" w:color="auto"/>
            </w:tcBorders>
            <w:vMerge w:val="continue"/>
            <w:shd w:val="clear" w:color="auto" w:fill="DBDBDB"/>
          </w:tcPr>
          <w:p>
            <w:pPr>
              <w:spacing w:after="0"/>
              <w:rPr>
                <w:sz w:val="19"/>
                <w:szCs w:val="19"/>
                <w:color w:val="auto"/>
              </w:rPr>
            </w:pPr>
          </w:p>
        </w:tc>
        <w:tc>
          <w:tcPr>
            <w:tcW w:w="780" w:type="dxa"/>
            <w:vAlign w:val="bottom"/>
            <w:tcBorders>
              <w:bottom w:val="single" w:sz="8" w:color="DBDBDB"/>
            </w:tcBorders>
            <w:vMerge w:val="continue"/>
            <w:shd w:val="clear" w:color="auto" w:fill="DBDBDB"/>
          </w:tcPr>
          <w:p>
            <w:pPr>
              <w:spacing w:after="0"/>
              <w:rPr>
                <w:sz w:val="19"/>
                <w:szCs w:val="19"/>
                <w:color w:val="auto"/>
              </w:rPr>
            </w:pPr>
          </w:p>
        </w:tc>
        <w:tc>
          <w:tcPr>
            <w:tcW w:w="700" w:type="dxa"/>
            <w:vAlign w:val="bottom"/>
            <w:tcBorders>
              <w:bottom w:val="single" w:sz="8" w:color="DBDBDB"/>
            </w:tcBorders>
            <w:vMerge w:val="continue"/>
            <w:shd w:val="clear" w:color="auto" w:fill="DBDBDB"/>
          </w:tcPr>
          <w:p>
            <w:pPr>
              <w:spacing w:after="0"/>
              <w:rPr>
                <w:sz w:val="19"/>
                <w:szCs w:val="19"/>
                <w:color w:val="auto"/>
              </w:rPr>
            </w:pPr>
          </w:p>
        </w:tc>
        <w:tc>
          <w:tcPr>
            <w:tcW w:w="720" w:type="dxa"/>
            <w:vAlign w:val="bottom"/>
            <w:tcBorders>
              <w:bottom w:val="single" w:sz="8" w:color="DBDBDB"/>
            </w:tcBorders>
            <w:vMerge w:val="continue"/>
            <w:shd w:val="clear" w:color="auto" w:fill="DBDBDB"/>
          </w:tcPr>
          <w:p>
            <w:pPr>
              <w:spacing w:after="0"/>
              <w:rPr>
                <w:sz w:val="19"/>
                <w:szCs w:val="19"/>
                <w:color w:val="auto"/>
              </w:rPr>
            </w:pPr>
          </w:p>
        </w:tc>
        <w:tc>
          <w:tcPr>
            <w:tcW w:w="820" w:type="dxa"/>
            <w:vAlign w:val="bottom"/>
            <w:tcBorders>
              <w:bottom w:val="single" w:sz="8" w:color="DBDBDB"/>
            </w:tcBorders>
            <w:vMerge w:val="continue"/>
            <w:shd w:val="clear" w:color="auto" w:fill="DBDBDB"/>
          </w:tcPr>
          <w:p>
            <w:pPr>
              <w:spacing w:after="0"/>
              <w:rPr>
                <w:sz w:val="19"/>
                <w:szCs w:val="19"/>
                <w:color w:val="auto"/>
              </w:rPr>
            </w:pPr>
          </w:p>
        </w:tc>
        <w:tc>
          <w:tcPr>
            <w:tcW w:w="720" w:type="dxa"/>
            <w:vAlign w:val="bottom"/>
            <w:tcBorders>
              <w:bottom w:val="single" w:sz="8" w:color="DBDBDB"/>
            </w:tcBorders>
            <w:vMerge w:val="continue"/>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Post sale revenue</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$ 5,534</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$ 4,843</w:t>
            </w:r>
          </w:p>
        </w:tc>
        <w:tc>
          <w:tcPr>
            <w:tcW w:w="7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$ 5,231</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14.3 %</w:t>
            </w: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(7.4)%</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13.6 %</w:t>
            </w:r>
          </w:p>
        </w:tc>
        <w:tc>
          <w:tcPr>
            <w:tcW w:w="820" w:type="dxa"/>
            <w:vAlign w:val="bottom"/>
          </w:tcPr>
          <w:p>
            <w:pPr>
              <w:jc w:val="right"/>
              <w:ind w:right="122"/>
              <w:spacing w:after="0"/>
              <w:rPr>
                <w:sz w:val="20"/>
                <w:szCs w:val="20"/>
                <w:color w:val="auto"/>
              </w:rPr>
            </w:pPr>
            <w:r>
              <w:rPr>
                <w:rFonts w:ascii="Arial" w:cs="Arial" w:eastAsia="Arial" w:hAnsi="Arial"/>
                <w:sz w:val="16"/>
                <w:szCs w:val="16"/>
                <w:b w:val="1"/>
                <w:bCs w:val="1"/>
                <w:color w:val="auto"/>
              </w:rPr>
              <w:t>(7.3)%</w:t>
            </w: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(7.4)%</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8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DBDBDB"/>
            </w:tcBorders>
            <w:shd w:val="clear" w:color="auto" w:fill="DBDBDB"/>
          </w:tcPr>
          <w:p>
            <w:pPr>
              <w:spacing w:after="0"/>
              <w:rPr>
                <w:sz w:val="18"/>
                <w:szCs w:val="18"/>
                <w:color w:val="auto"/>
              </w:rPr>
            </w:pPr>
          </w:p>
        </w:tc>
        <w:tc>
          <w:tcPr>
            <w:tcW w:w="700" w:type="dxa"/>
            <w:vAlign w:val="bottom"/>
            <w:tcBorders>
              <w:top w:val="single" w:sz="8" w:color="DBDBDB"/>
            </w:tcBorders>
            <w:shd w:val="clear" w:color="auto" w:fill="DBDBDB"/>
          </w:tcPr>
          <w:p>
            <w:pPr>
              <w:spacing w:after="0"/>
              <w:rPr>
                <w:sz w:val="18"/>
                <w:szCs w:val="18"/>
                <w:color w:val="auto"/>
              </w:rPr>
            </w:pPr>
          </w:p>
        </w:tc>
        <w:tc>
          <w:tcPr>
            <w:tcW w:w="720" w:type="dxa"/>
            <w:vAlign w:val="bottom"/>
            <w:tcBorders>
              <w:top w:val="single" w:sz="8" w:color="DBDBDB"/>
            </w:tcBorders>
            <w:shd w:val="clear" w:color="auto" w:fill="DBDBDB"/>
          </w:tcPr>
          <w:p>
            <w:pPr>
              <w:spacing w:after="0"/>
              <w:rPr>
                <w:sz w:val="18"/>
                <w:szCs w:val="18"/>
                <w:color w:val="auto"/>
              </w:rPr>
            </w:pPr>
          </w:p>
        </w:tc>
        <w:tc>
          <w:tcPr>
            <w:tcW w:w="820" w:type="dxa"/>
            <w:vAlign w:val="bottom"/>
            <w:tcBorders>
              <w:top w:val="single" w:sz="8" w:color="DBDBDB"/>
            </w:tcBorders>
            <w:shd w:val="clear" w:color="auto" w:fill="DBDBDB"/>
          </w:tcPr>
          <w:p>
            <w:pPr>
              <w:spacing w:after="0"/>
              <w:rPr>
                <w:sz w:val="18"/>
                <w:szCs w:val="18"/>
                <w:color w:val="auto"/>
              </w:rPr>
            </w:pPr>
          </w:p>
        </w:tc>
        <w:tc>
          <w:tcPr>
            <w:tcW w:w="72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DBDBDB"/>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DBDBDB"/>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640" w:type="dxa"/>
            <w:vAlign w:val="bottom"/>
            <w:tcBorders>
              <w:top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Segments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98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Print and Other</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$ 6,272</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$ 5,864</w:t>
            </w:r>
          </w:p>
        </w:tc>
        <w:tc>
          <w:tcPr>
            <w:tcW w:w="720" w:type="dxa"/>
            <w:vAlign w:val="bottom"/>
            <w:gridSpan w:val="2"/>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$ 6,523</w:t>
            </w:r>
          </w:p>
        </w:tc>
        <w:tc>
          <w:tcPr>
            <w:tcW w:w="780" w:type="dxa"/>
            <w:vAlign w:val="bottom"/>
            <w:shd w:val="clear" w:color="auto" w:fill="DBDBDB"/>
          </w:tcPr>
          <w:p>
            <w:pPr>
              <w:jc w:val="right"/>
              <w:ind w:right="22"/>
              <w:spacing w:after="0"/>
              <w:rPr>
                <w:sz w:val="20"/>
                <w:szCs w:val="20"/>
                <w:color w:val="auto"/>
              </w:rPr>
            </w:pPr>
            <w:r>
              <w:rPr>
                <w:rFonts w:ascii="Arial" w:cs="Arial" w:eastAsia="Arial" w:hAnsi="Arial"/>
                <w:sz w:val="16"/>
                <w:szCs w:val="16"/>
                <w:b w:val="1"/>
                <w:bCs w:val="1"/>
                <w:color w:val="auto"/>
              </w:rPr>
              <w:t>7.0 %</w:t>
            </w:r>
          </w:p>
        </w:tc>
        <w:tc>
          <w:tcPr>
            <w:tcW w:w="7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(10.1)%</w:t>
            </w:r>
          </w:p>
        </w:tc>
        <w:tc>
          <w:tcPr>
            <w:tcW w:w="7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6.1 %</w:t>
            </w:r>
          </w:p>
        </w:tc>
        <w:tc>
          <w:tcPr>
            <w:tcW w:w="8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(13.3)%</w:t>
            </w:r>
          </w:p>
        </w:tc>
        <w:tc>
          <w:tcPr>
            <w:tcW w:w="720" w:type="dxa"/>
            <w:vAlign w:val="bottom"/>
            <w:shd w:val="clear" w:color="auto" w:fill="DBDBDB"/>
          </w:tcPr>
          <w:p>
            <w:pPr>
              <w:ind w:left="200"/>
              <w:spacing w:after="0"/>
              <w:rPr>
                <w:sz w:val="20"/>
                <w:szCs w:val="20"/>
                <w:color w:val="auto"/>
              </w:rPr>
            </w:pPr>
            <w:r>
              <w:rPr>
                <w:rFonts w:ascii="Arial" w:cs="Arial" w:eastAsia="Arial" w:hAnsi="Arial"/>
                <w:sz w:val="16"/>
                <w:szCs w:val="16"/>
                <w:b w:val="1"/>
                <w:bCs w:val="1"/>
                <w:color w:val="auto"/>
              </w:rPr>
              <w:t>(8.2)%</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89 %</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94 %</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95 %</w:t>
            </w:r>
          </w:p>
        </w:tc>
        <w:tc>
          <w:tcPr>
            <w:tcW w:w="0" w:type="dxa"/>
            <w:vAlign w:val="bottom"/>
          </w:tcPr>
          <w:p>
            <w:pPr>
              <w:spacing w:after="0"/>
              <w:rPr>
                <w:sz w:val="1"/>
                <w:szCs w:val="1"/>
                <w:color w:val="auto"/>
              </w:rPr>
            </w:pPr>
          </w:p>
        </w:tc>
      </w:tr>
      <w:tr>
        <w:trPr>
          <w:trHeight w:val="242"/>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IT Solutions</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761</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358</w:t>
            </w:r>
          </w:p>
        </w:tc>
        <w:tc>
          <w:tcPr>
            <w:tcW w:w="7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363</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112.6 %</w:t>
            </w:r>
          </w:p>
        </w:tc>
        <w:tc>
          <w:tcPr>
            <w:tcW w:w="14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(1.4)%  147.2 %</w:t>
            </w:r>
          </w:p>
        </w:tc>
        <w:tc>
          <w:tcPr>
            <w:tcW w:w="820" w:type="dxa"/>
            <w:vAlign w:val="bottom"/>
          </w:tcPr>
          <w:p>
            <w:pPr>
              <w:jc w:val="right"/>
              <w:ind w:right="122"/>
              <w:spacing w:after="0"/>
              <w:rPr>
                <w:sz w:val="20"/>
                <w:szCs w:val="20"/>
                <w:color w:val="auto"/>
              </w:rPr>
            </w:pPr>
            <w:r>
              <w:rPr>
                <w:rFonts w:ascii="Arial" w:cs="Arial" w:eastAsia="Arial" w:hAnsi="Arial"/>
                <w:sz w:val="16"/>
                <w:szCs w:val="16"/>
                <w:b w:val="1"/>
                <w:bCs w:val="1"/>
                <w:color w:val="auto"/>
              </w:rPr>
              <w:t>(1.8)%</w:t>
            </w: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(0.8)%</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11 %</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6 %</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5 %</w:t>
            </w:r>
          </w:p>
        </w:tc>
        <w:tc>
          <w:tcPr>
            <w:tcW w:w="0" w:type="dxa"/>
            <w:vAlign w:val="bottom"/>
          </w:tcPr>
          <w:p>
            <w:pPr>
              <w:spacing w:after="0"/>
              <w:rPr>
                <w:sz w:val="1"/>
                <w:szCs w:val="1"/>
                <w:color w:val="auto"/>
              </w:rPr>
            </w:pPr>
          </w:p>
        </w:tc>
      </w:tr>
      <w:tr>
        <w:trPr>
          <w:trHeight w:val="263"/>
        </w:trPr>
        <w:tc>
          <w:tcPr>
            <w:tcW w:w="198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6"/>
                <w:szCs w:val="16"/>
                <w:b w:val="1"/>
                <w:bCs w:val="1"/>
                <w:color w:val="auto"/>
                <w:w w:val="95"/>
              </w:rPr>
              <w:t>Intersegment elimination</w:t>
            </w:r>
            <w:r>
              <w:rPr>
                <w:rFonts w:ascii="Arial" w:cs="Arial" w:eastAsia="Arial" w:hAnsi="Arial"/>
                <w:sz w:val="10"/>
                <w:szCs w:val="10"/>
                <w:b w:val="1"/>
                <w:bCs w:val="1"/>
                <w:color w:val="auto"/>
                <w:w w:val="95"/>
              </w:rPr>
              <w:t>(5)</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DBDBDB"/>
          </w:tcPr>
          <w:p>
            <w:pPr>
              <w:jc w:val="right"/>
              <w:ind w:right="182"/>
              <w:spacing w:after="0"/>
              <w:rPr>
                <w:sz w:val="20"/>
                <w:szCs w:val="20"/>
                <w:color w:val="auto"/>
              </w:rPr>
            </w:pPr>
            <w:r>
              <w:rPr>
                <w:rFonts w:ascii="Arial" w:cs="Arial" w:eastAsia="Arial" w:hAnsi="Arial"/>
                <w:sz w:val="16"/>
                <w:szCs w:val="16"/>
                <w:b w:val="1"/>
                <w:bCs w:val="1"/>
                <w:color w:val="auto"/>
              </w:rPr>
              <w:t>NM</w:t>
            </w:r>
          </w:p>
        </w:tc>
        <w:tc>
          <w:tcPr>
            <w:tcW w:w="700" w:type="dxa"/>
            <w:vAlign w:val="bottom"/>
            <w:tcBorders>
              <w:bottom w:val="single" w:sz="8" w:color="DBDBDB"/>
            </w:tcBorders>
            <w:shd w:val="clear" w:color="auto" w:fill="DBDBDB"/>
          </w:tcPr>
          <w:p>
            <w:pPr>
              <w:jc w:val="right"/>
              <w:ind w:right="162"/>
              <w:spacing w:after="0"/>
              <w:rPr>
                <w:sz w:val="20"/>
                <w:szCs w:val="20"/>
                <w:color w:val="auto"/>
              </w:rPr>
            </w:pPr>
            <w:r>
              <w:rPr>
                <w:rFonts w:ascii="Arial" w:cs="Arial" w:eastAsia="Arial" w:hAnsi="Arial"/>
                <w:sz w:val="16"/>
                <w:szCs w:val="16"/>
                <w:b w:val="1"/>
                <w:bCs w:val="1"/>
                <w:color w:val="auto"/>
              </w:rPr>
              <w:t>NM</w:t>
            </w:r>
          </w:p>
        </w:tc>
        <w:tc>
          <w:tcPr>
            <w:tcW w:w="720" w:type="dxa"/>
            <w:vAlign w:val="bottom"/>
            <w:tcBorders>
              <w:bottom w:val="single" w:sz="8" w:color="DBDBDB"/>
            </w:tcBorders>
            <w:shd w:val="clear" w:color="auto" w:fill="DBDBDB"/>
          </w:tcPr>
          <w:p>
            <w:pPr>
              <w:jc w:val="right"/>
              <w:ind w:right="182"/>
              <w:spacing w:after="0"/>
              <w:rPr>
                <w:sz w:val="20"/>
                <w:szCs w:val="20"/>
                <w:color w:val="auto"/>
              </w:rPr>
            </w:pPr>
            <w:r>
              <w:rPr>
                <w:rFonts w:ascii="Arial" w:cs="Arial" w:eastAsia="Arial" w:hAnsi="Arial"/>
                <w:sz w:val="16"/>
                <w:szCs w:val="16"/>
                <w:b w:val="1"/>
                <w:bCs w:val="1"/>
                <w:color w:val="auto"/>
              </w:rPr>
              <w:t>NM</w:t>
            </w:r>
          </w:p>
        </w:tc>
        <w:tc>
          <w:tcPr>
            <w:tcW w:w="820" w:type="dxa"/>
            <w:vAlign w:val="bottom"/>
            <w:tcBorders>
              <w:bottom w:val="single" w:sz="8" w:color="DBDBDB"/>
            </w:tcBorders>
            <w:shd w:val="clear" w:color="auto" w:fill="DBDBDB"/>
          </w:tcPr>
          <w:p>
            <w:pPr>
              <w:jc w:val="right"/>
              <w:ind w:right="282"/>
              <w:spacing w:after="0"/>
              <w:rPr>
                <w:sz w:val="20"/>
                <w:szCs w:val="20"/>
                <w:color w:val="auto"/>
              </w:rPr>
            </w:pPr>
            <w:r>
              <w:rPr>
                <w:rFonts w:ascii="Arial" w:cs="Arial" w:eastAsia="Arial" w:hAnsi="Arial"/>
                <w:sz w:val="16"/>
                <w:szCs w:val="16"/>
                <w:b w:val="1"/>
                <w:bCs w:val="1"/>
                <w:color w:val="auto"/>
              </w:rPr>
              <w:t>NM</w:t>
            </w:r>
          </w:p>
        </w:tc>
        <w:tc>
          <w:tcPr>
            <w:tcW w:w="72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6"/>
                <w:szCs w:val="16"/>
                <w:b w:val="1"/>
                <w:bCs w:val="1"/>
                <w:color w:val="auto"/>
              </w:rPr>
              <w:t>NM</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8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8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189"/>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r>
              <w:rPr>
                <w:rFonts w:ascii="Arial" w:cs="Arial" w:eastAsia="Arial" w:hAnsi="Arial"/>
                <w:sz w:val="10"/>
                <w:szCs w:val="10"/>
                <w:b w:val="1"/>
                <w:bCs w:val="1"/>
                <w:color w:val="auto"/>
              </w:rPr>
              <w:t>(6)</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$ 7,022</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$ 6,221</w:t>
            </w:r>
          </w:p>
        </w:tc>
        <w:tc>
          <w:tcPr>
            <w:tcW w:w="7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$ 6,886</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12.9 %</w:t>
            </w: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(9.7)%</w:t>
            </w: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12.2 %</w:t>
            </w:r>
          </w:p>
        </w:tc>
        <w:tc>
          <w:tcPr>
            <w:tcW w:w="820" w:type="dxa"/>
            <w:vAlign w:val="bottom"/>
          </w:tcPr>
          <w:p>
            <w:pPr>
              <w:jc w:val="right"/>
              <w:ind w:right="122"/>
              <w:spacing w:after="0"/>
              <w:rPr>
                <w:sz w:val="20"/>
                <w:szCs w:val="20"/>
                <w:color w:val="auto"/>
              </w:rPr>
            </w:pPr>
            <w:r>
              <w:rPr>
                <w:rFonts w:ascii="Arial" w:cs="Arial" w:eastAsia="Arial" w:hAnsi="Arial"/>
                <w:sz w:val="16"/>
                <w:szCs w:val="16"/>
                <w:b w:val="1"/>
                <w:bCs w:val="1"/>
                <w:color w:val="auto"/>
              </w:rPr>
              <w:t>(9.5)%</w:t>
            </w: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(7.6)%</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-1958975</wp:posOffset>
            </wp:positionV>
            <wp:extent cx="1362710" cy="75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1362710" cy="7556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-998220</wp:posOffset>
            </wp:positionV>
            <wp:extent cx="1362710" cy="75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1362710" cy="7556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-55245</wp:posOffset>
            </wp:positionV>
            <wp:extent cx="1362710" cy="75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1362710" cy="7556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-55245</wp:posOffset>
            </wp:positionV>
            <wp:extent cx="1374140" cy="75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1374140" cy="7556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auto"/>
        </w:rPr>
        <w:t>CC - See "Currency Impact" section for description of constant currency.</w:t>
      </w:r>
    </w:p>
    <w:p>
      <w:pPr>
        <w:spacing w:after="0" w:line="2" w:lineRule="exact"/>
        <w:rPr>
          <w:sz w:val="20"/>
          <w:szCs w:val="20"/>
          <w:color w:val="auto"/>
        </w:rPr>
      </w:pPr>
    </w:p>
    <w:p>
      <w:pPr>
        <w:ind w:left="349" w:hanging="349"/>
        <w:spacing w:after="0" w:line="242" w:lineRule="auto"/>
        <w:tabs>
          <w:tab w:leader="none" w:pos="349"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49" w:hanging="349"/>
        <w:spacing w:after="0" w:line="242" w:lineRule="auto"/>
        <w:tabs>
          <w:tab w:leader="none" w:pos="349"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IT Products reflect IT hardware, software solutions and services provided by the IT Solutions segment. Refer to Reportable Segments - IT Solutions for further information</w:t>
      </w:r>
    </w:p>
    <w:p>
      <w:pPr>
        <w:spacing w:after="0" w:line="1" w:lineRule="exact"/>
        <w:rPr>
          <w:rFonts w:ascii="Arial" w:cs="Arial" w:eastAsia="Arial" w:hAnsi="Arial"/>
          <w:sz w:val="16"/>
          <w:szCs w:val="16"/>
          <w:b w:val="1"/>
          <w:bCs w:val="1"/>
          <w:i w:val="1"/>
          <w:iCs w:val="1"/>
          <w:color w:val="auto"/>
        </w:rPr>
      </w:pPr>
    </w:p>
    <w:p>
      <w:pPr>
        <w:ind w:left="349" w:hanging="349"/>
        <w:spacing w:after="0" w:line="242" w:lineRule="auto"/>
        <w:tabs>
          <w:tab w:leader="none" w:pos="349"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financing revenue generated from direct and indirectly financed Xerox equipment sale transactions of $86 million, $106 million, $130 million for the three years ended December 31, 2025, 2024 and 2023, respectively.</w:t>
      </w:r>
    </w:p>
    <w:p>
      <w:pPr>
        <w:spacing w:after="0" w:line="1" w:lineRule="exact"/>
        <w:rPr>
          <w:rFonts w:ascii="Arial" w:cs="Arial" w:eastAsia="Arial" w:hAnsi="Arial"/>
          <w:sz w:val="16"/>
          <w:szCs w:val="16"/>
          <w:b w:val="1"/>
          <w:bCs w:val="1"/>
          <w:i w:val="1"/>
          <w:iCs w:val="1"/>
          <w:color w:val="auto"/>
        </w:rPr>
      </w:pPr>
    </w:p>
    <w:p>
      <w:pPr>
        <w:ind w:left="349" w:hanging="349"/>
        <w:spacing w:after="0" w:line="242" w:lineRule="auto"/>
        <w:tabs>
          <w:tab w:leader="none" w:pos="349"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Services, maintenance, rentals and other revenue include IT services support of $227 million, $125 million and $107 million for the three years ended December 31, 2025, 2024 and 2023, respectively, provided by our IT Solutions segment.</w:t>
      </w:r>
    </w:p>
    <w:p>
      <w:pPr>
        <w:spacing w:after="0" w:line="1" w:lineRule="exact"/>
        <w:rPr>
          <w:rFonts w:ascii="Arial" w:cs="Arial" w:eastAsia="Arial" w:hAnsi="Arial"/>
          <w:sz w:val="16"/>
          <w:szCs w:val="16"/>
          <w:b w:val="1"/>
          <w:bCs w:val="1"/>
          <w:i w:val="1"/>
          <w:iCs w:val="1"/>
          <w:color w:val="auto"/>
        </w:rPr>
      </w:pPr>
    </w:p>
    <w:p>
      <w:pPr>
        <w:ind w:left="349" w:hanging="349"/>
        <w:spacing w:after="0"/>
        <w:tabs>
          <w:tab w:leader="none" w:pos="349" w:val="left"/>
        </w:tabs>
        <w:numPr>
          <w:ilvl w:val="0"/>
          <w:numId w:val="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Primarily reflects IT hardware, software solutions and services sold by the IT Solutions segment to the Print and Other segment.</w:t>
      </w:r>
    </w:p>
    <w:p>
      <w:pPr>
        <w:spacing w:after="0" w:line="25" w:lineRule="exact"/>
        <w:rPr>
          <w:rFonts w:ascii="Arial" w:cs="Arial" w:eastAsia="Arial" w:hAnsi="Arial"/>
          <w:sz w:val="14"/>
          <w:szCs w:val="14"/>
          <w:b w:val="1"/>
          <w:bCs w:val="1"/>
          <w:i w:val="1"/>
          <w:iCs w:val="1"/>
          <w:color w:val="auto"/>
        </w:rPr>
      </w:pPr>
    </w:p>
    <w:p>
      <w:pPr>
        <w:ind w:left="349" w:hanging="349"/>
        <w:spacing w:after="0"/>
        <w:tabs>
          <w:tab w:leader="none" w:pos="349"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"Reportable Segments" section.</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Revenue</w:t>
      </w:r>
    </w:p>
    <w:p>
      <w:pPr>
        <w:spacing w:after="0" w:line="137" w:lineRule="exact"/>
        <w:rPr>
          <w:sz w:val="20"/>
          <w:szCs w:val="20"/>
          <w:color w:val="auto"/>
        </w:rPr>
      </w:pPr>
    </w:p>
    <w:p>
      <w:pPr>
        <w:jc w:val="both"/>
        <w:ind w:left="9"/>
        <w:spacing w:after="0" w:line="261" w:lineRule="auto"/>
        <w:rPr>
          <w:sz w:val="20"/>
          <w:szCs w:val="20"/>
          <w:color w:val="auto"/>
        </w:rPr>
      </w:pPr>
      <w:r>
        <w:rPr>
          <w:rFonts w:ascii="Arial" w:cs="Arial" w:eastAsia="Arial" w:hAnsi="Arial"/>
          <w:sz w:val="19"/>
          <w:szCs w:val="19"/>
          <w:b w:val="1"/>
          <w:bCs w:val="1"/>
          <w:color w:val="auto"/>
        </w:rPr>
        <w:t>Total revenue increased 12.9% for the year ended December 31, 2025 including a 15.5-percentage point benefit and an 6.5-percentage point benefit from the Lexmark Acquisition and ITsavvy, respectively, as well as a 0.7-percentage point favorable impact from currency. The increase was partially offset by lower equipment sales and post sale revenue for legacy Xerox. Total revenue for legacy Xerox declined 9.1-percentage points in actual currency primarily due to lower installations, managed print services</w:t>
      </w:r>
      <w:r>
        <w:rPr>
          <w:rFonts w:ascii="Arial" w:cs="Arial" w:eastAsia="Arial" w:hAnsi="Arial"/>
          <w:sz w:val="12"/>
          <w:szCs w:val="12"/>
          <w:b w:val="1"/>
          <w:bCs w:val="1"/>
          <w:color w:val="auto"/>
        </w:rPr>
        <w:t>1</w:t>
      </w:r>
      <w:r>
        <w:rPr>
          <w:rFonts w:ascii="Arial" w:cs="Arial" w:eastAsia="Arial" w:hAnsi="Arial"/>
          <w:sz w:val="19"/>
          <w:szCs w:val="19"/>
          <w:b w:val="1"/>
          <w:bCs w:val="1"/>
          <w:color w:val="auto"/>
        </w:rPr>
        <w:t>, supplies revenue, and legacy IT Solutions revenue, as well as the adverse impact from Reinvention-related actions, and macroeconomic and policy-related uncertainty. On a pro forma</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basis, 2025 total revenue declined 7.6% as compared to 2024 due to the impacts noted above, as well as backlog</w:t>
      </w:r>
      <w:r>
        <w:rPr>
          <w:rFonts w:ascii="Arial" w:cs="Arial" w:eastAsia="Arial" w:hAnsi="Arial"/>
          <w:sz w:val="12"/>
          <w:szCs w:val="12"/>
          <w:b w:val="1"/>
          <w:bCs w:val="1"/>
          <w:color w:val="auto"/>
        </w:rPr>
        <w:t>3</w:t>
      </w:r>
      <w:r>
        <w:rPr>
          <w:rFonts w:ascii="Arial" w:cs="Arial" w:eastAsia="Arial" w:hAnsi="Arial"/>
          <w:sz w:val="19"/>
          <w:szCs w:val="19"/>
          <w:b w:val="1"/>
          <w:bCs w:val="1"/>
          <w:color w:val="auto"/>
        </w:rPr>
        <w:t xml:space="preserve"> fluctuations.</w:t>
      </w:r>
    </w:p>
    <w:p>
      <w:pPr>
        <w:spacing w:after="0" w:line="78" w:lineRule="exact"/>
        <w:rPr>
          <w:sz w:val="20"/>
          <w:szCs w:val="20"/>
          <w:color w:val="auto"/>
        </w:rPr>
      </w:pPr>
    </w:p>
    <w:p>
      <w:pPr>
        <w:jc w:val="both"/>
        <w:ind w:left="9"/>
        <w:spacing w:after="0" w:line="298" w:lineRule="auto"/>
        <w:rPr>
          <w:sz w:val="20"/>
          <w:szCs w:val="20"/>
          <w:color w:val="auto"/>
        </w:rPr>
      </w:pPr>
      <w:r>
        <w:rPr>
          <w:rFonts w:ascii="Arial" w:cs="Arial" w:eastAsia="Arial" w:hAnsi="Arial"/>
          <w:sz w:val="17"/>
          <w:szCs w:val="17"/>
          <w:b w:val="1"/>
          <w:bCs w:val="1"/>
          <w:color w:val="auto"/>
        </w:rPr>
        <w:t>Total revenue decreased 9.7% for the year ended December 31, 2024 reflecting a 0.7-percentage point benefit from acquisitions, as well as a 0.2-percentage point adverse impact from currency. The decrease in total revenue was primarily due to lower post sale revenue, reflecting lower page volumes associated with our managed print services</w:t>
      </w:r>
      <w:r>
        <w:rPr>
          <w:rFonts w:ascii="Arial" w:cs="Arial" w:eastAsia="Arial" w:hAnsi="Arial"/>
          <w:sz w:val="11"/>
          <w:szCs w:val="11"/>
          <w:b w:val="1"/>
          <w:bCs w:val="1"/>
          <w:color w:val="auto"/>
        </w:rPr>
        <w:t>1</w:t>
      </w:r>
      <w:r>
        <w:rPr>
          <w:rFonts w:ascii="Arial" w:cs="Arial" w:eastAsia="Arial" w:hAnsi="Arial"/>
          <w:sz w:val="17"/>
          <w:szCs w:val="17"/>
          <w:b w:val="1"/>
          <w:bCs w:val="1"/>
          <w:color w:val="auto"/>
        </w:rPr>
        <w:t xml:space="preserve"> contracts, intentional reductions in non-core revenue, including lower margin IT endpoint device placements, Fuji royalty income, paper sales, and Finance income, as well as the effects of Reinvention actions, including geographic and offering simplification, and lower PARC revenue. These negative impacts to post sale revenue were in part offset by the benefits of a partial quarter of ITsavvy, as well as higher supplies and digital and legacy</w:t>
      </w:r>
    </w:p>
    <w:p>
      <w:pPr>
        <w:sectPr>
          <w:pgSz w:w="11880" w:h="15480" w:orient="portrait"/>
          <w:cols w:equalWidth="0" w:num="1">
            <w:col w:w="9949"/>
          </w:cols>
          <w:pgMar w:left="1051" w:top="593" w:right="880" w:bottom="0" w:gutter="0" w:footer="0" w:header="0"/>
        </w:sectPr>
      </w:pPr>
    </w:p>
    <w:p>
      <w:pPr>
        <w:spacing w:after="0" w:line="319"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42</w:t>
      </w:r>
    </w:p>
    <w:p>
      <w:pPr>
        <w:sectPr>
          <w:pgSz w:w="11880" w:h="15480" w:orient="portrait"/>
          <w:cols w:equalWidth="0" w:num="1">
            <w:col w:w="9949"/>
          </w:cols>
          <w:pgMar w:left="1051" w:top="593" w:right="880" w:bottom="0" w:gutter="0" w:footer="0" w:header="0"/>
          <w:type w:val="continuous"/>
        </w:sectPr>
      </w:pPr>
    </w:p>
    <w:bookmarkStart w:id="52" w:name="page53"/>
    <w:bookmarkEnd w:id="52"/>
    <w:p>
      <w:pPr>
        <w:jc w:val="both"/>
        <w:ind w:left="9"/>
        <w:spacing w:after="0" w:line="266" w:lineRule="auto"/>
        <w:rPr>
          <w:sz w:val="20"/>
          <w:szCs w:val="20"/>
          <w:color w:val="auto"/>
        </w:rPr>
      </w:pPr>
      <w:r>
        <w:rPr>
          <w:rFonts w:ascii="Arial" w:cs="Arial" w:eastAsia="Arial" w:hAnsi="Arial"/>
          <w:sz w:val="19"/>
          <w:szCs w:val="19"/>
          <w:b w:val="1"/>
          <w:bCs w:val="1"/>
          <w:color w:val="auto"/>
        </w:rPr>
        <w:t>managed IT services revenue. The decrease in total revenue also reflects lower equipment sales, resulting from an unfavorable mix, the effects of backlog fluctuations in the current and prior year, the decision to stop manufacturing certain high-end equipment, the effects of geographic simplification, and the impacts from the implementation of organizational model changes in the first half of 2024. Equipment revenue declined across all product groups, and was most pronounced in Mid-range.</w:t>
      </w:r>
    </w:p>
    <w:p>
      <w:pPr>
        <w:spacing w:after="0" w:line="80"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_____________</w:t>
      </w:r>
    </w:p>
    <w:p>
      <w:pPr>
        <w:spacing w:after="0" w:line="3" w:lineRule="exact"/>
        <w:rPr>
          <w:sz w:val="20"/>
          <w:szCs w:val="20"/>
          <w:color w:val="auto"/>
        </w:rPr>
      </w:pPr>
    </w:p>
    <w:p>
      <w:pPr>
        <w:ind w:left="349" w:hanging="349"/>
        <w:spacing w:after="0"/>
        <w:tabs>
          <w:tab w:leader="none" w:pos="349" w:val="left"/>
        </w:tabs>
        <w:numPr>
          <w:ilvl w:val="0"/>
          <w:numId w:val="3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revenues from service, maintenance and rentals. IT Solutions and digital services are not included in managed print services.</w:t>
      </w:r>
    </w:p>
    <w:p>
      <w:pPr>
        <w:spacing w:after="0" w:line="25" w:lineRule="exact"/>
        <w:rPr>
          <w:rFonts w:ascii="Arial" w:cs="Arial" w:eastAsia="Arial" w:hAnsi="Arial"/>
          <w:sz w:val="14"/>
          <w:szCs w:val="14"/>
          <w:b w:val="1"/>
          <w:bCs w:val="1"/>
          <w:i w:val="1"/>
          <w:iCs w:val="1"/>
          <w:color w:val="auto"/>
        </w:rPr>
      </w:pPr>
    </w:p>
    <w:p>
      <w:pPr>
        <w:ind w:left="349" w:hanging="349"/>
        <w:spacing w:after="0" w:line="242" w:lineRule="auto"/>
        <w:tabs>
          <w:tab w:leader="none" w:pos="349"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49" w:hanging="349"/>
        <w:spacing w:after="0" w:line="270" w:lineRule="auto"/>
        <w:tabs>
          <w:tab w:leader="none" w:pos="349"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Order backlog is measured as the value of unfulfilled sales orders, shipped and non-shipped, received from our customers waiting to be installed, including orders with future installation dates. It includes printing devices as well as IT hardware.</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Total revenues included the following:</w:t>
      </w:r>
    </w:p>
    <w:p>
      <w:pPr>
        <w:spacing w:after="0" w:line="10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Post sale revenue</w:t>
      </w:r>
    </w:p>
    <w:p>
      <w:pPr>
        <w:spacing w:after="0" w:line="118" w:lineRule="exact"/>
        <w:rPr>
          <w:sz w:val="20"/>
          <w:szCs w:val="20"/>
          <w:color w:val="auto"/>
        </w:rPr>
      </w:pPr>
    </w:p>
    <w:p>
      <w:pPr>
        <w:jc w:val="both"/>
        <w:ind w:left="9"/>
        <w:spacing w:after="0" w:line="284" w:lineRule="auto"/>
        <w:rPr>
          <w:sz w:val="20"/>
          <w:szCs w:val="20"/>
          <w:color w:val="auto"/>
        </w:rPr>
      </w:pPr>
      <w:r>
        <w:rPr>
          <w:rFonts w:ascii="Arial" w:cs="Arial" w:eastAsia="Arial" w:hAnsi="Arial"/>
          <w:sz w:val="18"/>
          <w:szCs w:val="18"/>
          <w:b w:val="1"/>
          <w:bCs w:val="1"/>
          <w:color w:val="auto"/>
        </w:rPr>
        <w:t>Post sale revenue reflects revenues from managed print services</w:t>
      </w:r>
      <w:r>
        <w:rPr>
          <w:rFonts w:ascii="Arial" w:cs="Arial" w:eastAsia="Arial" w:hAnsi="Arial"/>
          <w:sz w:val="11"/>
          <w:szCs w:val="11"/>
          <w:b w:val="1"/>
          <w:bCs w:val="1"/>
          <w:color w:val="auto"/>
        </w:rPr>
        <w:t>1</w:t>
      </w:r>
      <w:r>
        <w:rPr>
          <w:rFonts w:ascii="Arial" w:cs="Arial" w:eastAsia="Arial" w:hAnsi="Arial"/>
          <w:sz w:val="18"/>
          <w:szCs w:val="18"/>
          <w:b w:val="1"/>
          <w:bCs w:val="1"/>
          <w:color w:val="auto"/>
        </w:rPr>
        <w:t>, supplies, paper and financing. These revenues are associated not only with the population of devices in the field, which is affected by installs and removals, but also by the page volumes generated from the usage of such devices and the revenue per printed page. Post sale revenue also includes revenues from IT Solutions, comprised of IT products and services, Digital services and gains, commissions, and servicing revenue associated with the sale of finance receivables.</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Post sale revenue for the three years ended December 31, 2025, 2024 and 2023 reflected the following:</w:t>
      </w:r>
    </w:p>
    <w:p>
      <w:pPr>
        <w:spacing w:after="0" w:line="111" w:lineRule="exact"/>
        <w:rPr>
          <w:sz w:val="20"/>
          <w:szCs w:val="20"/>
          <w:color w:val="auto"/>
        </w:rPr>
      </w:pPr>
    </w:p>
    <w:p>
      <w:pPr>
        <w:jc w:val="both"/>
        <w:ind w:left="9"/>
        <w:spacing w:after="0" w:line="303" w:lineRule="auto"/>
        <w:rPr>
          <w:sz w:val="20"/>
          <w:szCs w:val="20"/>
          <w:color w:val="auto"/>
        </w:rPr>
      </w:pPr>
      <w:r>
        <w:rPr>
          <w:rFonts w:ascii="Arial" w:cs="Arial" w:eastAsia="Arial" w:hAnsi="Arial"/>
          <w:sz w:val="18"/>
          <w:szCs w:val="18"/>
          <w:b w:val="1"/>
          <w:bCs w:val="1"/>
          <w:color w:val="DA2031"/>
        </w:rPr>
        <w:t xml:space="preserve">Services, maintenance, rentals and other </w:t>
      </w:r>
      <w:r>
        <w:rPr>
          <w:rFonts w:ascii="Arial" w:cs="Arial" w:eastAsia="Arial" w:hAnsi="Arial"/>
          <w:sz w:val="18"/>
          <w:szCs w:val="18"/>
          <w:b w:val="1"/>
          <w:bCs w:val="1"/>
          <w:color w:val="000000"/>
        </w:rPr>
        <w:t>revenue includes maintenance revenue (including bundled supplies),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the services portion of our IT Solutions offering, digital services revenue, rentals, financing, and other revenues.</w:t>
      </w:r>
    </w:p>
    <w:p>
      <w:pPr>
        <w:spacing w:after="0" w:line="2" w:lineRule="exact"/>
        <w:rPr>
          <w:sz w:val="20"/>
          <w:szCs w:val="20"/>
          <w:color w:val="auto"/>
        </w:rPr>
      </w:pPr>
    </w:p>
    <w:p>
      <w:pPr>
        <w:jc w:val="both"/>
        <w:ind w:left="349" w:hanging="349"/>
        <w:spacing w:after="0" w:line="275" w:lineRule="auto"/>
        <w:tabs>
          <w:tab w:leader="none" w:pos="349" w:val="left"/>
        </w:tabs>
        <w:numPr>
          <w:ilvl w:val="0"/>
          <w:numId w:val="37"/>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2025, these revenues decreased 2.7% as compared to the prior year and included a 4.3-percentage point benefit and a 2.8-percentage point benefit from the Lexmark Acquisition and ITsavvy, respectively, as well as a 0.8-percentage point benefit from currency. The decline in constant currency</w:t>
      </w:r>
      <w:r>
        <w:rPr>
          <w:rFonts w:ascii="Arial" w:cs="Arial" w:eastAsia="Arial" w:hAnsi="Arial"/>
          <w:sz w:val="11"/>
          <w:szCs w:val="11"/>
          <w:b w:val="1"/>
          <w:bCs w:val="1"/>
          <w:color w:val="auto"/>
        </w:rPr>
        <w:t>3</w:t>
      </w:r>
      <w:r>
        <w:rPr>
          <w:rFonts w:ascii="Arial" w:cs="Arial" w:eastAsia="Arial" w:hAnsi="Arial"/>
          <w:sz w:val="18"/>
          <w:szCs w:val="18"/>
          <w:b w:val="1"/>
          <w:bCs w:val="1"/>
          <w:color w:val="auto"/>
        </w:rPr>
        <w:t xml:space="preserve"> for the year ended December 31, 2025 reflects declines of legacy Xerox, partially offset by the benefit of these acquisitions. Excluding the impact of the acquisitions, revenue declined 9.8% in actual currency as compared to the prior year due primarily to managed print services</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revenue which declined high-single digits, reflecting lower outsourcing, print services, and rental revenue, as well as the effects of geographic and offering simplification. The decline is also due to lower financing revenue reflecting a continued reduction in the average finance receivables balance associated with the sales of finance receivables. These negative impacts were partially offset by growth in digital services revenue. On a pro forma</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basis revenue for the year ended December 31, 2025 decreased 8.1% as compared to the prior year, due to the impacts noted above.</w:t>
      </w:r>
    </w:p>
    <w:p>
      <w:pPr>
        <w:spacing w:after="0" w:line="10" w:lineRule="exact"/>
        <w:rPr>
          <w:rFonts w:ascii="Arial" w:cs="Arial" w:eastAsia="Arial" w:hAnsi="Arial"/>
          <w:sz w:val="18"/>
          <w:szCs w:val="18"/>
          <w:b w:val="1"/>
          <w:bCs w:val="1"/>
          <w:color w:val="DA2031"/>
        </w:rPr>
      </w:pPr>
    </w:p>
    <w:p>
      <w:pPr>
        <w:jc w:val="both"/>
        <w:ind w:left="349" w:hanging="349"/>
        <w:spacing w:after="0" w:line="261" w:lineRule="auto"/>
        <w:tabs>
          <w:tab w:leader="none" w:pos="349" w:val="left"/>
        </w:tabs>
        <w:numPr>
          <w:ilvl w:val="0"/>
          <w:numId w:val="37"/>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2024, these revenues decreased 7.8% as compared to the prior year period and included no impact from currency. Managed print services</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revenue declined year-over year driven by lower outsourcing and print service revenue, including the effects of geographic simplification, as well as lower rental revenue, the termination of Fuji royalty income and the donation of PARC. The decline is also due to lower financing revenue reflecting a continued reduction in the average finance receivables balance associated with the sales of finance receivables, and lower originations. These impacts were partially offset by higher organic and inorganic IT Solutions revenue, including the benefits of a partial quarter of ITsavvy results, as well as higher digital services revenue, and gains, commission and servicing revenue associated with the sale of finance receivables.</w:t>
      </w:r>
    </w:p>
    <w:p>
      <w:pPr>
        <w:spacing w:after="0" w:line="53" w:lineRule="exact"/>
        <w:rPr>
          <w:sz w:val="20"/>
          <w:szCs w:val="20"/>
          <w:color w:val="auto"/>
        </w:rPr>
      </w:pPr>
    </w:p>
    <w:p>
      <w:pPr>
        <w:jc w:val="both"/>
        <w:ind w:left="9"/>
        <w:spacing w:after="0" w:line="292" w:lineRule="auto"/>
        <w:rPr>
          <w:sz w:val="20"/>
          <w:szCs w:val="20"/>
          <w:color w:val="auto"/>
        </w:rPr>
      </w:pPr>
      <w:r>
        <w:rPr>
          <w:rFonts w:ascii="Arial" w:cs="Arial" w:eastAsia="Arial" w:hAnsi="Arial"/>
          <w:sz w:val="18"/>
          <w:szCs w:val="18"/>
          <w:b w:val="1"/>
          <w:bCs w:val="1"/>
          <w:color w:val="DA2031"/>
        </w:rPr>
        <w:t xml:space="preserve">IT products </w:t>
      </w:r>
      <w:r>
        <w:rPr>
          <w:rFonts w:ascii="Arial" w:cs="Arial" w:eastAsia="Arial" w:hAnsi="Arial"/>
          <w:sz w:val="18"/>
          <w:szCs w:val="18"/>
          <w:b w:val="1"/>
          <w:bCs w:val="1"/>
          <w:color w:val="000000"/>
        </w:rPr>
        <w:t>revenue includes the sale of notebooks, network communications and other endpoint devices, desktop</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computers and other IT hardware. Software product sales include deployments of cloud and security solutions, endpoint security application suites, operating systems, other applications and network management solutions.</w:t>
      </w:r>
    </w:p>
    <w:p>
      <w:pPr>
        <w:spacing w:after="0" w:line="2" w:lineRule="exact"/>
        <w:rPr>
          <w:sz w:val="20"/>
          <w:szCs w:val="20"/>
          <w:color w:val="auto"/>
        </w:rPr>
      </w:pPr>
    </w:p>
    <w:p>
      <w:pPr>
        <w:jc w:val="both"/>
        <w:ind w:left="349" w:hanging="349"/>
        <w:spacing w:after="0" w:line="279" w:lineRule="auto"/>
        <w:tabs>
          <w:tab w:leader="none" w:pos="349" w:val="left"/>
        </w:tabs>
        <w:numPr>
          <w:ilvl w:val="0"/>
          <w:numId w:val="38"/>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2025, these revenues increased 125.4% as compared to the prior year, and included a 128.1-percentage point benefit from the acquisition of ITsavvy, and a 1.7-percentage point benefit from currency. Excluding the impact of ITsavvy, revenue decreased 2.7% in actual currency as compared to the prior year due to a decline in the legacy Xerox IT Solutions business, which was partially attributable to the timing of large product placements in the prior year, a larger mix of revenue subject to net classification and revenue deferrals, the adverse impact to deals as a result of the government shutdown in 2025, and component cost increases. On a pro forma</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basis, revenue for the year ended December 31, 2025 decreased 7.6%.</w:t>
      </w:r>
    </w:p>
    <w:p>
      <w:pPr>
        <w:spacing w:after="0" w:line="3" w:lineRule="exact"/>
        <w:rPr>
          <w:rFonts w:ascii="Arial" w:cs="Arial" w:eastAsia="Arial" w:hAnsi="Arial"/>
          <w:sz w:val="18"/>
          <w:szCs w:val="18"/>
          <w:b w:val="1"/>
          <w:bCs w:val="1"/>
          <w:color w:val="DA2031"/>
        </w:rPr>
      </w:pPr>
    </w:p>
    <w:p>
      <w:pPr>
        <w:jc w:val="both"/>
        <w:ind w:left="349" w:hanging="349"/>
        <w:spacing w:after="0" w:line="289" w:lineRule="auto"/>
        <w:tabs>
          <w:tab w:leader="none" w:pos="349" w:val="left"/>
        </w:tabs>
        <w:numPr>
          <w:ilvl w:val="0"/>
          <w:numId w:val="38"/>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2024, these revenues decreased 9.4% as compared to the prior year period, and included a 13.9-percentage point benefit from the acquisition of ITsavvy, as well as a 0.1-percentage point benefit from currency. Excluding the impact of ITsavvy, revenue decreased 23.3% in actual currency as compared to the prior year period due to a decline in the legacy Xerox IT Solutions business.</w:t>
      </w:r>
    </w:p>
    <w:p>
      <w:pPr>
        <w:spacing w:after="0" w:line="200" w:lineRule="exact"/>
        <w:rPr>
          <w:sz w:val="20"/>
          <w:szCs w:val="20"/>
          <w:color w:val="auto"/>
        </w:rPr>
      </w:pPr>
    </w:p>
    <w:p>
      <w:pPr>
        <w:spacing w:after="0" w:line="362"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43</w:t>
      </w:r>
    </w:p>
    <w:p>
      <w:pPr>
        <w:sectPr>
          <w:pgSz w:w="11880" w:h="15480" w:orient="portrait"/>
          <w:cols w:equalWidth="0" w:num="1">
            <w:col w:w="9949"/>
          </w:cols>
          <w:pgMar w:left="1051" w:top="605" w:right="880" w:bottom="0" w:gutter="0" w:footer="0" w:header="0"/>
        </w:sectPr>
      </w:pPr>
    </w:p>
    <w:bookmarkStart w:id="53" w:name="page54"/>
    <w:bookmarkEnd w:id="53"/>
    <w:p>
      <w:pPr>
        <w:ind w:left="9"/>
        <w:spacing w:after="0"/>
        <w:rPr>
          <w:sz w:val="20"/>
          <w:szCs w:val="20"/>
          <w:color w:val="auto"/>
        </w:rPr>
      </w:pPr>
      <w:r>
        <w:rPr>
          <w:rFonts w:ascii="Arial" w:cs="Arial" w:eastAsia="Arial" w:hAnsi="Arial"/>
          <w:sz w:val="19"/>
          <w:szCs w:val="19"/>
          <w:b w:val="1"/>
          <w:bCs w:val="1"/>
          <w:color w:val="DA2031"/>
        </w:rPr>
        <w:t xml:space="preserve">Supplies, paper and other sales </w:t>
      </w:r>
      <w:r>
        <w:rPr>
          <w:rFonts w:ascii="Arial" w:cs="Arial" w:eastAsia="Arial" w:hAnsi="Arial"/>
          <w:sz w:val="19"/>
          <w:szCs w:val="19"/>
          <w:b w:val="1"/>
          <w:bCs w:val="1"/>
          <w:color w:val="000000"/>
        </w:rPr>
        <w:t>includes unbundled supplies, paper and other sales.</w:t>
      </w:r>
    </w:p>
    <w:p>
      <w:pPr>
        <w:spacing w:after="0" w:line="73" w:lineRule="exact"/>
        <w:rPr>
          <w:sz w:val="20"/>
          <w:szCs w:val="20"/>
          <w:color w:val="auto"/>
        </w:rPr>
      </w:pPr>
    </w:p>
    <w:p>
      <w:pPr>
        <w:jc w:val="both"/>
        <w:ind w:left="349" w:hanging="349"/>
        <w:spacing w:after="0" w:line="264" w:lineRule="auto"/>
        <w:tabs>
          <w:tab w:leader="none" w:pos="349" w:val="left"/>
        </w:tabs>
        <w:numPr>
          <w:ilvl w:val="0"/>
          <w:numId w:val="39"/>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2025, these revenues increased 65.6% as compared to the prior year period and included a 74.3-percentage point benefit from the Lexmark Acquisition and a 0.3-percentage point adverse impact from currency. Excluding the impact of Lexmark, revenue declined 8.7% in actual currency as compared to the prior year due primarily to lower supplies revenue, as well as lower paper sales as a result of the sale of our European paper business. On a pro forma</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basis revenue for the year ended December 31, 2025 declined 5.8% as compared to the prior year.</w:t>
      </w:r>
    </w:p>
    <w:p>
      <w:pPr>
        <w:spacing w:after="0" w:line="12" w:lineRule="exact"/>
        <w:rPr>
          <w:rFonts w:ascii="Arial" w:cs="Arial" w:eastAsia="Arial" w:hAnsi="Arial"/>
          <w:sz w:val="19"/>
          <w:szCs w:val="19"/>
          <w:b w:val="1"/>
          <w:bCs w:val="1"/>
          <w:color w:val="DA2031"/>
        </w:rPr>
      </w:pPr>
    </w:p>
    <w:p>
      <w:pPr>
        <w:jc w:val="both"/>
        <w:ind w:left="349" w:hanging="349"/>
        <w:spacing w:after="0" w:line="266" w:lineRule="auto"/>
        <w:tabs>
          <w:tab w:leader="none" w:pos="349" w:val="left"/>
        </w:tabs>
        <w:numPr>
          <w:ilvl w:val="0"/>
          <w:numId w:val="39"/>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2024, these revenues decreased 5.1% as compared to the prior year, including a 0.1-percentage point adverse impact from currency. The decline at constant currency</w:t>
      </w:r>
      <w:r>
        <w:rPr>
          <w:rFonts w:ascii="Arial" w:cs="Arial" w:eastAsia="Arial" w:hAnsi="Arial"/>
          <w:sz w:val="12"/>
          <w:szCs w:val="12"/>
          <w:b w:val="1"/>
          <w:bCs w:val="1"/>
          <w:color w:val="auto"/>
        </w:rPr>
        <w:t>3</w:t>
      </w:r>
      <w:r>
        <w:rPr>
          <w:rFonts w:ascii="Arial" w:cs="Arial" w:eastAsia="Arial" w:hAnsi="Arial"/>
          <w:sz w:val="19"/>
          <w:szCs w:val="19"/>
          <w:b w:val="1"/>
          <w:bCs w:val="1"/>
          <w:color w:val="auto"/>
        </w:rPr>
        <w:t xml:space="preserve"> primarily reflects lower sales of non-strategic, lower margin IT endpoint device placements and paper sales, as well as the effects of geographic simplification. These declines were partially offset by the benefit of revenue from the ITsavvy acquisition, and higher supplies revenue.</w:t>
      </w:r>
    </w:p>
    <w:p>
      <w:pPr>
        <w:spacing w:after="0" w:line="121"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Equipment sales revenue</w:t>
      </w:r>
    </w:p>
    <w:p>
      <w:pPr>
        <w:spacing w:after="0" w:line="137" w:lineRule="exact"/>
        <w:rPr>
          <w:sz w:val="20"/>
          <w:szCs w:val="20"/>
          <w:color w:val="auto"/>
        </w:rPr>
      </w:pPr>
    </w:p>
    <w:p>
      <w:pPr>
        <w:ind w:left="9"/>
        <w:spacing w:after="0" w:line="299" w:lineRule="auto"/>
        <w:rPr>
          <w:sz w:val="20"/>
          <w:szCs w:val="20"/>
          <w:color w:val="auto"/>
        </w:rPr>
      </w:pPr>
      <w:r>
        <w:rPr>
          <w:rFonts w:ascii="Arial" w:cs="Arial" w:eastAsia="Arial" w:hAnsi="Arial"/>
          <w:sz w:val="19"/>
          <w:szCs w:val="19"/>
          <w:b w:val="1"/>
          <w:bCs w:val="1"/>
          <w:color w:val="auto"/>
        </w:rPr>
        <w:t xml:space="preserve">Refer to the </w:t>
      </w:r>
      <w:r>
        <w:rPr>
          <w:rFonts w:ascii="Arial" w:cs="Arial" w:eastAsia="Arial" w:hAnsi="Arial"/>
          <w:sz w:val="19"/>
          <w:szCs w:val="19"/>
          <w:b w:val="1"/>
          <w:bCs w:val="1"/>
          <w:color w:val="DA2031"/>
        </w:rPr>
        <w:t>Segment Review - Print and Other</w:t>
      </w:r>
      <w:r>
        <w:rPr>
          <w:rFonts w:ascii="Arial" w:cs="Arial" w:eastAsia="Arial" w:hAnsi="Arial"/>
          <w:sz w:val="19"/>
          <w:szCs w:val="19"/>
          <w:b w:val="1"/>
          <w:bCs w:val="1"/>
          <w:color w:val="auto"/>
        </w:rPr>
        <w:t xml:space="preserve"> discussion below for additional discussion on Equipment sales revenue.</w:t>
      </w:r>
    </w:p>
    <w:p>
      <w:pPr>
        <w:ind w:left="9"/>
        <w:spacing w:after="0" w:line="229" w:lineRule="auto"/>
        <w:rPr>
          <w:sz w:val="20"/>
          <w:szCs w:val="20"/>
          <w:color w:val="auto"/>
        </w:rPr>
      </w:pPr>
      <w:r>
        <w:rPr>
          <w:rFonts w:ascii="Arial" w:cs="Arial" w:eastAsia="Arial" w:hAnsi="Arial"/>
          <w:sz w:val="12"/>
          <w:szCs w:val="12"/>
          <w:b w:val="1"/>
          <w:bCs w:val="1"/>
          <w:color w:val="auto"/>
        </w:rPr>
        <w:t>_______________</w:t>
      </w:r>
    </w:p>
    <w:p>
      <w:pPr>
        <w:ind w:left="349" w:hanging="349"/>
        <w:spacing w:after="0"/>
        <w:tabs>
          <w:tab w:leader="none" w:pos="349" w:val="left"/>
        </w:tabs>
        <w:numPr>
          <w:ilvl w:val="0"/>
          <w:numId w:val="4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revenues from service, maintenance and rentals. IT Solutions and digital services are not included in managed print services.</w:t>
      </w:r>
    </w:p>
    <w:p>
      <w:pPr>
        <w:spacing w:after="0" w:line="25" w:lineRule="exact"/>
        <w:rPr>
          <w:rFonts w:ascii="Arial" w:cs="Arial" w:eastAsia="Arial" w:hAnsi="Arial"/>
          <w:sz w:val="14"/>
          <w:szCs w:val="14"/>
          <w:b w:val="1"/>
          <w:bCs w:val="1"/>
          <w:i w:val="1"/>
          <w:iCs w:val="1"/>
          <w:color w:val="auto"/>
        </w:rPr>
      </w:pPr>
    </w:p>
    <w:p>
      <w:pPr>
        <w:ind w:left="349" w:hanging="349"/>
        <w:spacing w:after="0" w:line="242" w:lineRule="auto"/>
        <w:tabs>
          <w:tab w:leader="none" w:pos="349"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49" w:hanging="349"/>
        <w:spacing w:after="0"/>
        <w:tabs>
          <w:tab w:leader="none" w:pos="349"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See "Currency Impact" section for a description of Constant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44</w:t>
      </w:r>
    </w:p>
    <w:p>
      <w:pPr>
        <w:sectPr>
          <w:pgSz w:w="11880" w:h="15480" w:orient="portrait"/>
          <w:cols w:equalWidth="0" w:num="1">
            <w:col w:w="9949"/>
          </w:cols>
          <w:pgMar w:left="1051" w:top="604" w:right="880" w:bottom="0" w:gutter="0" w:footer="0" w:header="0"/>
        </w:sectPr>
      </w:pPr>
    </w:p>
    <w:bookmarkStart w:id="54" w:name="page55"/>
    <w:bookmarkEnd w:id="54"/>
    <w:p>
      <w:pPr>
        <w:ind w:left="9"/>
        <w:spacing w:after="0"/>
        <w:rPr>
          <w:sz w:val="20"/>
          <w:szCs w:val="20"/>
          <w:color w:val="auto"/>
        </w:rPr>
      </w:pPr>
      <w:r>
        <w:rPr>
          <w:rFonts w:ascii="Arial" w:cs="Arial" w:eastAsia="Arial" w:hAnsi="Arial"/>
          <w:sz w:val="23"/>
          <w:szCs w:val="23"/>
          <w:b w:val="1"/>
          <w:bCs w:val="1"/>
          <w:color w:val="DA2031"/>
        </w:rPr>
        <w:t>Costs, Expenses and Other Income</w:t>
      </w:r>
    </w:p>
    <w:p>
      <w:pPr>
        <w:spacing w:after="0" w:line="11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Summary of Key Financial Ratios</w:t>
      </w:r>
    </w:p>
    <w:p>
      <w:pPr>
        <w:spacing w:after="0" w:line="7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The following is a summary of our key financial ratios used to assess our performance:</w:t>
      </w: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w w:val="99"/>
              </w:rPr>
              <w:t>Year Ended December 31,</w:t>
            </w: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102"/>
              <w:spacing w:after="0"/>
              <w:rPr>
                <w:sz w:val="20"/>
                <w:szCs w:val="20"/>
                <w:color w:val="auto"/>
              </w:rPr>
            </w:pPr>
            <w:r>
              <w:rPr>
                <w:rFonts w:ascii="Arial" w:cs="Arial" w:eastAsia="Arial" w:hAnsi="Arial"/>
                <w:sz w:val="16"/>
                <w:szCs w:val="16"/>
                <w:b w:val="1"/>
                <w:bCs w:val="1"/>
                <w:color w:val="auto"/>
                <w:w w:val="95"/>
              </w:rPr>
              <w:t>2025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7"/>
              </w:rPr>
              <w:t>2025 B/(W)</w:t>
            </w:r>
          </w:p>
        </w:tc>
        <w:tc>
          <w:tcPr>
            <w:tcW w:w="440" w:type="dxa"/>
            <w:vAlign w:val="bottom"/>
          </w:tcPr>
          <w:p>
            <w:pPr>
              <w:spacing w:after="0"/>
              <w:rPr>
                <w:sz w:val="13"/>
                <w:szCs w:val="13"/>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2024 B/(W)</w:t>
            </w:r>
          </w:p>
        </w:tc>
        <w:tc>
          <w:tcPr>
            <w:tcW w:w="8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8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2"/>
              <w:spacing w:after="0" w:line="173" w:lineRule="exact"/>
              <w:rPr>
                <w:sz w:val="20"/>
                <w:szCs w:val="20"/>
                <w:color w:val="auto"/>
              </w:rPr>
            </w:pPr>
            <w:r>
              <w:rPr>
                <w:rFonts w:ascii="Arial" w:cs="Arial" w:eastAsia="Arial" w:hAnsi="Arial"/>
                <w:sz w:val="16"/>
                <w:szCs w:val="16"/>
                <w:b w:val="1"/>
                <w:bCs w:val="1"/>
                <w:color w:val="auto"/>
                <w:w w:val="96"/>
              </w:rPr>
              <w:t>B/(W)</w:t>
            </w:r>
            <w:r>
              <w:rPr>
                <w:rFonts w:ascii="Arial" w:cs="Arial" w:eastAsia="Arial" w:hAnsi="Arial"/>
                <w:sz w:val="10"/>
                <w:szCs w:val="10"/>
                <w:b w:val="1"/>
                <w:bCs w:val="1"/>
                <w:color w:val="auto"/>
                <w:w w:val="96"/>
              </w:rPr>
              <w:t>(1)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BDBDB"/>
            </w:tcBorders>
          </w:tcPr>
          <w:p>
            <w:pPr>
              <w:spacing w:after="0" w:line="20" w:lineRule="exact"/>
              <w:rPr>
                <w:sz w:val="1"/>
                <w:szCs w:val="1"/>
                <w:color w:val="auto"/>
              </w:rPr>
            </w:pPr>
          </w:p>
        </w:tc>
        <w:tc>
          <w:tcPr>
            <w:tcW w:w="580" w:type="dxa"/>
            <w:vAlign w:val="bottom"/>
            <w:tcBorders>
              <w:top w:val="single" w:sz="8" w:color="auto"/>
              <w:bottom w:val="single" w:sz="8" w:color="DBDBDB"/>
            </w:tcBorders>
          </w:tcPr>
          <w:p>
            <w:pPr>
              <w:spacing w:after="0" w:line="20" w:lineRule="exact"/>
              <w:rPr>
                <w:sz w:val="1"/>
                <w:szCs w:val="1"/>
                <w:color w:val="auto"/>
              </w:rPr>
            </w:pPr>
          </w:p>
        </w:tc>
        <w:tc>
          <w:tcPr>
            <w:tcW w:w="256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1,901</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1,960</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2,314</w:t>
            </w:r>
          </w:p>
        </w:tc>
        <w:tc>
          <w:tcPr>
            <w:tcW w:w="40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(59)</w:t>
            </w:r>
          </w:p>
        </w:tc>
        <w:tc>
          <w:tcPr>
            <w:tcW w:w="440" w:type="dxa"/>
            <w:vAlign w:val="bottom"/>
            <w:shd w:val="clear" w:color="auto" w:fill="DBDBDB"/>
          </w:tcPr>
          <w:p>
            <w:pPr>
              <w:spacing w:after="0"/>
              <w:rPr>
                <w:sz w:val="18"/>
                <w:szCs w:val="18"/>
                <w:color w:val="auto"/>
              </w:rPr>
            </w:pPr>
          </w:p>
        </w:tc>
        <w:tc>
          <w:tcPr>
            <w:tcW w:w="2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(354)</w:t>
            </w:r>
          </w:p>
        </w:tc>
        <w:tc>
          <w:tcPr>
            <w:tcW w:w="42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(314)</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80" w:type="dxa"/>
            <w:vAlign w:val="bottom"/>
            <w:gridSpan w:val="3"/>
          </w:tcPr>
          <w:p>
            <w:pPr>
              <w:ind w:left="40"/>
              <w:spacing w:after="0"/>
              <w:rPr>
                <w:sz w:val="20"/>
                <w:szCs w:val="20"/>
                <w:color w:val="auto"/>
              </w:rPr>
            </w:pPr>
            <w:r>
              <w:rPr>
                <w:rFonts w:ascii="Arial" w:cs="Arial" w:eastAsia="Arial" w:hAnsi="Arial"/>
                <w:sz w:val="16"/>
                <w:szCs w:val="16"/>
                <w:b w:val="1"/>
                <w:bCs w:val="1"/>
                <w:color w:val="auto"/>
              </w:rPr>
              <w:t>RD&amp;E</w:t>
            </w:r>
          </w:p>
        </w:tc>
        <w:tc>
          <w:tcPr>
            <w:tcW w:w="200" w:type="dxa"/>
            <w:vAlign w:val="bottom"/>
          </w:tcPr>
          <w:p>
            <w:pPr>
              <w:spacing w:after="0"/>
              <w:rPr>
                <w:sz w:val="19"/>
                <w:szCs w:val="19"/>
                <w:color w:val="auto"/>
              </w:rPr>
            </w:pPr>
          </w:p>
        </w:tc>
        <w:tc>
          <w:tcPr>
            <w:tcW w:w="680" w:type="dxa"/>
            <w:vAlign w:val="bottom"/>
          </w:tcPr>
          <w:p>
            <w:pPr>
              <w:jc w:val="right"/>
              <w:ind w:right="122"/>
              <w:spacing w:after="0"/>
              <w:rPr>
                <w:sz w:val="20"/>
                <w:szCs w:val="20"/>
                <w:color w:val="auto"/>
              </w:rPr>
            </w:pPr>
            <w:r>
              <w:rPr>
                <w:rFonts w:ascii="Arial" w:cs="Arial" w:eastAsia="Arial" w:hAnsi="Arial"/>
                <w:sz w:val="16"/>
                <w:szCs w:val="16"/>
                <w:b w:val="1"/>
                <w:bCs w:val="1"/>
                <w:color w:val="auto"/>
              </w:rPr>
              <w:t>230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22"/>
              <w:spacing w:after="0"/>
              <w:rPr>
                <w:sz w:val="20"/>
                <w:szCs w:val="20"/>
                <w:color w:val="auto"/>
              </w:rPr>
            </w:pPr>
            <w:r>
              <w:rPr>
                <w:rFonts w:ascii="Arial" w:cs="Arial" w:eastAsia="Arial" w:hAnsi="Arial"/>
                <w:sz w:val="16"/>
                <w:szCs w:val="16"/>
                <w:b w:val="1"/>
                <w:bCs w:val="1"/>
                <w:color w:val="auto"/>
              </w:rPr>
              <w:t>191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22"/>
              <w:spacing w:after="0"/>
              <w:rPr>
                <w:sz w:val="20"/>
                <w:szCs w:val="20"/>
                <w:color w:val="auto"/>
              </w:rPr>
            </w:pPr>
            <w:r>
              <w:rPr>
                <w:rFonts w:ascii="Arial" w:cs="Arial" w:eastAsia="Arial" w:hAnsi="Arial"/>
                <w:sz w:val="16"/>
                <w:szCs w:val="16"/>
                <w:b w:val="1"/>
                <w:bCs w:val="1"/>
                <w:color w:val="auto"/>
              </w:rPr>
              <w:t>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38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SAG</w:t>
            </w: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1,654</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0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1,537</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1,696</w:t>
            </w:r>
          </w:p>
        </w:tc>
        <w:tc>
          <w:tcPr>
            <w:tcW w:w="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(117)</w:t>
            </w:r>
          </w:p>
        </w:tc>
        <w:tc>
          <w:tcPr>
            <w:tcW w:w="4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6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159</w:t>
            </w:r>
          </w:p>
        </w:tc>
        <w:tc>
          <w:tcPr>
            <w:tcW w:w="4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(91)</w:t>
            </w:r>
          </w:p>
        </w:tc>
        <w:tc>
          <w:tcPr>
            <w:tcW w:w="3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Equipment Gross Margin</w:t>
            </w: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21.4 %</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30.2 %</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33.7 %</w:t>
            </w:r>
          </w:p>
        </w:tc>
        <w:tc>
          <w:tcPr>
            <w:tcW w:w="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00" w:type="dxa"/>
            <w:vAlign w:val="bottom"/>
            <w:gridSpan w:val="2"/>
            <w:shd w:val="clear" w:color="auto" w:fill="DBDBDB"/>
          </w:tcPr>
          <w:p>
            <w:pPr>
              <w:jc w:val="right"/>
              <w:ind w:right="42"/>
              <w:spacing w:after="0"/>
              <w:rPr>
                <w:sz w:val="20"/>
                <w:szCs w:val="20"/>
                <w:color w:val="auto"/>
              </w:rPr>
            </w:pPr>
            <w:r>
              <w:rPr>
                <w:rFonts w:ascii="Arial" w:cs="Arial" w:eastAsia="Arial" w:hAnsi="Arial"/>
                <w:sz w:val="16"/>
                <w:szCs w:val="16"/>
                <w:b w:val="1"/>
                <w:bCs w:val="1"/>
                <w:color w:val="auto"/>
              </w:rPr>
              <w:t>(8.8) pts.</w:t>
            </w:r>
          </w:p>
        </w:tc>
        <w:tc>
          <w:tcPr>
            <w:tcW w:w="260" w:type="dxa"/>
            <w:vAlign w:val="bottom"/>
            <w:shd w:val="clear" w:color="auto" w:fill="DBDBDB"/>
          </w:tcPr>
          <w:p>
            <w:pPr>
              <w:spacing w:after="0"/>
              <w:rPr>
                <w:sz w:val="20"/>
                <w:szCs w:val="20"/>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(3.5) pts.</w:t>
            </w:r>
          </w:p>
        </w:tc>
        <w:tc>
          <w:tcPr>
            <w:tcW w:w="160" w:type="dxa"/>
            <w:vAlign w:val="bottom"/>
            <w:shd w:val="clear" w:color="auto" w:fill="DBDBDB"/>
          </w:tcPr>
          <w:p>
            <w:pPr>
              <w:spacing w:after="0"/>
              <w:rPr>
                <w:sz w:val="20"/>
                <w:szCs w:val="20"/>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pts.</w:t>
            </w:r>
          </w:p>
        </w:tc>
        <w:tc>
          <w:tcPr>
            <w:tcW w:w="0" w:type="dxa"/>
            <w:vAlign w:val="bottom"/>
          </w:tcPr>
          <w:p>
            <w:pPr>
              <w:spacing w:after="0"/>
              <w:rPr>
                <w:sz w:val="1"/>
                <w:szCs w:val="1"/>
                <w:color w:val="auto"/>
              </w:rPr>
            </w:pPr>
          </w:p>
        </w:tc>
      </w:tr>
      <w:tr>
        <w:trPr>
          <w:trHeight w:val="227"/>
        </w:trPr>
        <w:tc>
          <w:tcPr>
            <w:tcW w:w="3180" w:type="dxa"/>
            <w:vAlign w:val="bottom"/>
            <w:gridSpan w:val="3"/>
          </w:tcPr>
          <w:p>
            <w:pPr>
              <w:ind w:left="40"/>
              <w:spacing w:after="0"/>
              <w:rPr>
                <w:sz w:val="20"/>
                <w:szCs w:val="20"/>
                <w:color w:val="auto"/>
              </w:rPr>
            </w:pPr>
            <w:r>
              <w:rPr>
                <w:rFonts w:ascii="Arial" w:cs="Arial" w:eastAsia="Arial" w:hAnsi="Arial"/>
                <w:sz w:val="16"/>
                <w:szCs w:val="16"/>
                <w:b w:val="1"/>
                <w:bCs w:val="1"/>
                <w:color w:val="auto"/>
              </w:rPr>
              <w:t>Post sale Gross Margin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28.6 %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33.6 %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(3.3) pts.</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 pts.</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 pts.</w:t>
            </w:r>
          </w:p>
        </w:tc>
        <w:tc>
          <w:tcPr>
            <w:tcW w:w="0" w:type="dxa"/>
            <w:vAlign w:val="bottom"/>
          </w:tcPr>
          <w:p>
            <w:pPr>
              <w:spacing w:after="0"/>
              <w:rPr>
                <w:sz w:val="1"/>
                <w:szCs w:val="1"/>
                <w:color w:val="auto"/>
              </w:rPr>
            </w:pPr>
          </w:p>
        </w:tc>
      </w:tr>
      <w:tr>
        <w:trPr>
          <w:trHeight w:val="239"/>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Total Gross Margin</w:t>
            </w: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27.1 %</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31.5 %</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33.6 %</w:t>
            </w:r>
          </w:p>
        </w:tc>
        <w:tc>
          <w:tcPr>
            <w:tcW w:w="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00" w:type="dxa"/>
            <w:vAlign w:val="bottom"/>
            <w:gridSpan w:val="2"/>
            <w:shd w:val="clear" w:color="auto" w:fill="DBDBDB"/>
          </w:tcPr>
          <w:p>
            <w:pPr>
              <w:jc w:val="right"/>
              <w:ind w:right="42"/>
              <w:spacing w:after="0"/>
              <w:rPr>
                <w:sz w:val="20"/>
                <w:szCs w:val="20"/>
                <w:color w:val="auto"/>
              </w:rPr>
            </w:pPr>
            <w:r>
              <w:rPr>
                <w:rFonts w:ascii="Arial" w:cs="Arial" w:eastAsia="Arial" w:hAnsi="Arial"/>
                <w:sz w:val="16"/>
                <w:szCs w:val="16"/>
                <w:b w:val="1"/>
                <w:bCs w:val="1"/>
                <w:color w:val="auto"/>
              </w:rPr>
              <w:t>(4.4) pts.</w:t>
            </w:r>
          </w:p>
        </w:tc>
        <w:tc>
          <w:tcPr>
            <w:tcW w:w="260" w:type="dxa"/>
            <w:vAlign w:val="bottom"/>
            <w:shd w:val="clear" w:color="auto" w:fill="DBDBDB"/>
          </w:tcPr>
          <w:p>
            <w:pPr>
              <w:spacing w:after="0"/>
              <w:rPr>
                <w:sz w:val="20"/>
                <w:szCs w:val="20"/>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(2.1) pts.</w:t>
            </w:r>
          </w:p>
        </w:tc>
        <w:tc>
          <w:tcPr>
            <w:tcW w:w="160" w:type="dxa"/>
            <w:vAlign w:val="bottom"/>
            <w:shd w:val="clear" w:color="auto" w:fill="DBDBDB"/>
          </w:tcPr>
          <w:p>
            <w:pPr>
              <w:spacing w:after="0"/>
              <w:rPr>
                <w:sz w:val="20"/>
                <w:szCs w:val="20"/>
                <w:color w:val="auto"/>
              </w:rPr>
            </w:pP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(1.4) pts.</w:t>
            </w:r>
          </w:p>
        </w:tc>
        <w:tc>
          <w:tcPr>
            <w:tcW w:w="0" w:type="dxa"/>
            <w:vAlign w:val="bottom"/>
          </w:tcPr>
          <w:p>
            <w:pPr>
              <w:spacing w:after="0"/>
              <w:rPr>
                <w:sz w:val="1"/>
                <w:szCs w:val="1"/>
                <w:color w:val="auto"/>
              </w:rPr>
            </w:pPr>
          </w:p>
        </w:tc>
      </w:tr>
      <w:tr>
        <w:trPr>
          <w:trHeight w:val="227"/>
        </w:trPr>
        <w:tc>
          <w:tcPr>
            <w:tcW w:w="3180" w:type="dxa"/>
            <w:vAlign w:val="bottom"/>
            <w:gridSpan w:val="3"/>
          </w:tcPr>
          <w:p>
            <w:pPr>
              <w:ind w:left="40"/>
              <w:spacing w:after="0"/>
              <w:rPr>
                <w:sz w:val="20"/>
                <w:szCs w:val="20"/>
                <w:color w:val="auto"/>
              </w:rPr>
            </w:pPr>
            <w:r>
              <w:rPr>
                <w:rFonts w:ascii="Arial" w:cs="Arial" w:eastAsia="Arial" w:hAnsi="Arial"/>
                <w:sz w:val="16"/>
                <w:szCs w:val="16"/>
                <w:b w:val="1"/>
                <w:bCs w:val="1"/>
                <w:color w:val="auto"/>
              </w:rPr>
              <w:t>RD&amp;E as a % of Revenue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3.3 %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(0.2) pts.</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0.2  pts.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pts.</w:t>
            </w:r>
          </w:p>
        </w:tc>
        <w:tc>
          <w:tcPr>
            <w:tcW w:w="0" w:type="dxa"/>
            <w:vAlign w:val="bottom"/>
          </w:tcPr>
          <w:p>
            <w:pPr>
              <w:spacing w:after="0"/>
              <w:rPr>
                <w:sz w:val="1"/>
                <w:szCs w:val="1"/>
                <w:color w:val="auto"/>
              </w:rPr>
            </w:pPr>
          </w:p>
        </w:tc>
      </w:tr>
      <w:tr>
        <w:trPr>
          <w:trHeight w:val="239"/>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SAG as a % of Revenue</w:t>
            </w: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23.6 %</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24.7 %</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24.6 %</w:t>
            </w:r>
          </w:p>
        </w:tc>
        <w:tc>
          <w:tcPr>
            <w:tcW w:w="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c>
          <w:tcPr>
            <w:tcW w:w="440" w:type="dxa"/>
            <w:vAlign w:val="bottom"/>
            <w:shd w:val="clear" w:color="auto" w:fill="DBDBDB"/>
          </w:tcPr>
          <w:p>
            <w:pPr>
              <w:jc w:val="right"/>
              <w:ind w:right="42"/>
              <w:spacing w:after="0"/>
              <w:rPr>
                <w:sz w:val="20"/>
                <w:szCs w:val="20"/>
                <w:color w:val="auto"/>
              </w:rPr>
            </w:pPr>
            <w:r>
              <w:rPr>
                <w:rFonts w:ascii="Arial" w:cs="Arial" w:eastAsia="Arial" w:hAnsi="Arial"/>
                <w:sz w:val="16"/>
                <w:szCs w:val="16"/>
                <w:b w:val="1"/>
                <w:bCs w:val="1"/>
                <w:color w:val="auto"/>
              </w:rPr>
              <w:t>pts.</w:t>
            </w:r>
          </w:p>
        </w:tc>
        <w:tc>
          <w:tcPr>
            <w:tcW w:w="260" w:type="dxa"/>
            <w:vAlign w:val="bottom"/>
            <w:shd w:val="clear" w:color="auto" w:fill="DBDBDB"/>
          </w:tcPr>
          <w:p>
            <w:pPr>
              <w:spacing w:after="0"/>
              <w:rPr>
                <w:sz w:val="20"/>
                <w:szCs w:val="20"/>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(0.1) pts.</w:t>
            </w:r>
          </w:p>
        </w:tc>
        <w:tc>
          <w:tcPr>
            <w:tcW w:w="160" w:type="dxa"/>
            <w:vAlign w:val="bottom"/>
            <w:shd w:val="clear" w:color="auto" w:fill="DBDBDB"/>
          </w:tcPr>
          <w:p>
            <w:pPr>
              <w:spacing w:after="0"/>
              <w:rPr>
                <w:sz w:val="20"/>
                <w:szCs w:val="20"/>
                <w:color w:val="auto"/>
              </w:rPr>
            </w:pP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(0.7) pts.</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Pre-tax Loss</w:t>
            </w:r>
            <w:r>
              <w:rPr>
                <w:rFonts w:ascii="Arial" w:cs="Arial" w:eastAsia="Arial" w:hAnsi="Arial"/>
                <w:sz w:val="10"/>
                <w:szCs w:val="10"/>
                <w:b w:val="1"/>
                <w:bCs w:val="1"/>
                <w:color w:val="auto"/>
              </w:rPr>
              <w:t>(2)</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DBDBDB"/>
          </w:tcPr>
          <w:p>
            <w:pPr>
              <w:jc w:val="right"/>
              <w:ind w:right="62"/>
              <w:spacing w:after="0"/>
              <w:rPr>
                <w:sz w:val="20"/>
                <w:szCs w:val="20"/>
                <w:color w:val="auto"/>
              </w:rPr>
            </w:pPr>
            <w:r>
              <w:rPr>
                <w:rFonts w:ascii="Arial" w:cs="Arial" w:eastAsia="Arial" w:hAnsi="Arial"/>
                <w:sz w:val="16"/>
                <w:szCs w:val="16"/>
                <w:b w:val="1"/>
                <w:bCs w:val="1"/>
                <w:color w:val="auto"/>
              </w:rPr>
              <w:t>(488)</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DBDBDB"/>
          </w:tcPr>
          <w:p>
            <w:pPr>
              <w:jc w:val="right"/>
              <w:ind w:right="62"/>
              <w:spacing w:after="0"/>
              <w:rPr>
                <w:sz w:val="20"/>
                <w:szCs w:val="20"/>
                <w:color w:val="auto"/>
              </w:rPr>
            </w:pPr>
            <w:r>
              <w:rPr>
                <w:rFonts w:ascii="Arial" w:cs="Arial" w:eastAsia="Arial" w:hAnsi="Arial"/>
                <w:sz w:val="16"/>
                <w:szCs w:val="16"/>
                <w:b w:val="1"/>
                <w:bCs w:val="1"/>
                <w:color w:val="auto"/>
              </w:rPr>
              <w:t>(1,216)</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DBDBDB"/>
          </w:tcPr>
          <w:p>
            <w:pPr>
              <w:jc w:val="right"/>
              <w:ind w:right="62"/>
              <w:spacing w:after="0"/>
              <w:rPr>
                <w:sz w:val="20"/>
                <w:szCs w:val="20"/>
                <w:color w:val="auto"/>
              </w:rPr>
            </w:pPr>
            <w:r>
              <w:rPr>
                <w:rFonts w:ascii="Arial" w:cs="Arial" w:eastAsia="Arial" w:hAnsi="Arial"/>
                <w:sz w:val="16"/>
                <w:szCs w:val="16"/>
                <w:b w:val="1"/>
                <w:bCs w:val="1"/>
                <w:color w:val="auto"/>
              </w:rPr>
              <w:t>(28)</w:t>
            </w:r>
          </w:p>
        </w:tc>
        <w:tc>
          <w:tcPr>
            <w:tcW w:w="40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728</w:t>
            </w:r>
          </w:p>
        </w:tc>
        <w:tc>
          <w:tcPr>
            <w:tcW w:w="440" w:type="dxa"/>
            <w:vAlign w:val="bottom"/>
            <w:shd w:val="clear" w:color="auto" w:fill="DBDBDB"/>
          </w:tcPr>
          <w:p>
            <w:pPr>
              <w:spacing w:after="0"/>
              <w:rPr>
                <w:sz w:val="20"/>
                <w:szCs w:val="20"/>
                <w:color w:val="auto"/>
              </w:rPr>
            </w:pPr>
          </w:p>
        </w:tc>
        <w:tc>
          <w:tcPr>
            <w:tcW w:w="2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(1,188)</w:t>
            </w:r>
          </w:p>
        </w:tc>
        <w:tc>
          <w:tcPr>
            <w:tcW w:w="42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1,122</w:t>
            </w:r>
          </w:p>
        </w:tc>
        <w:tc>
          <w:tcPr>
            <w:tcW w:w="3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180" w:type="dxa"/>
            <w:vAlign w:val="bottom"/>
            <w:gridSpan w:val="3"/>
          </w:tcPr>
          <w:p>
            <w:pPr>
              <w:ind w:left="40"/>
              <w:spacing w:after="0"/>
              <w:rPr>
                <w:sz w:val="20"/>
                <w:szCs w:val="20"/>
                <w:color w:val="auto"/>
              </w:rPr>
            </w:pPr>
            <w:r>
              <w:rPr>
                <w:rFonts w:ascii="Arial" w:cs="Arial" w:eastAsia="Arial" w:hAnsi="Arial"/>
                <w:sz w:val="16"/>
                <w:szCs w:val="16"/>
                <w:b w:val="1"/>
                <w:bCs w:val="1"/>
                <w:color w:val="auto"/>
              </w:rPr>
              <w:t>Pre-tax Loss Margin</w:t>
            </w:r>
            <w:r>
              <w:rPr>
                <w:rFonts w:ascii="Arial" w:cs="Arial" w:eastAsia="Arial" w:hAnsi="Arial"/>
                <w:sz w:val="10"/>
                <w:szCs w:val="10"/>
                <w:b w:val="1"/>
                <w:bCs w:val="1"/>
                <w:color w:val="auto"/>
              </w:rPr>
              <w:t>(2)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pts.</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(19.1) pts.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pts.</w:t>
            </w:r>
          </w:p>
        </w:tc>
        <w:tc>
          <w:tcPr>
            <w:tcW w:w="0" w:type="dxa"/>
            <w:vAlign w:val="bottom"/>
          </w:tcPr>
          <w:p>
            <w:pPr>
              <w:spacing w:after="0"/>
              <w:rPr>
                <w:sz w:val="1"/>
                <w:szCs w:val="1"/>
                <w:color w:val="auto"/>
              </w:rPr>
            </w:pPr>
          </w:p>
        </w:tc>
      </w:tr>
      <w:tr>
        <w:trPr>
          <w:trHeight w:val="239"/>
        </w:trPr>
        <w:tc>
          <w:tcPr>
            <w:tcW w:w="318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0"/>
                <w:szCs w:val="10"/>
                <w:b w:val="1"/>
                <w:bCs w:val="1"/>
                <w:color w:val="auto"/>
              </w:rPr>
              <w:t>(3)</w:t>
            </w:r>
            <w:r>
              <w:rPr>
                <w:rFonts w:ascii="Arial" w:cs="Arial" w:eastAsia="Arial" w:hAnsi="Arial"/>
                <w:sz w:val="16"/>
                <w:szCs w:val="16"/>
                <w:b w:val="1"/>
                <w:bCs w:val="1"/>
                <w:color w:val="auto"/>
              </w:rPr>
              <w:t xml:space="preserve"> Operating Profit</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248</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302</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389</w:t>
            </w:r>
          </w:p>
        </w:tc>
        <w:tc>
          <w:tcPr>
            <w:tcW w:w="40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(54)</w:t>
            </w:r>
          </w:p>
        </w:tc>
        <w:tc>
          <w:tcPr>
            <w:tcW w:w="440" w:type="dxa"/>
            <w:vAlign w:val="bottom"/>
            <w:shd w:val="clear" w:color="auto" w:fill="DBDBDB"/>
          </w:tcPr>
          <w:p>
            <w:pPr>
              <w:spacing w:after="0"/>
              <w:rPr>
                <w:sz w:val="20"/>
                <w:szCs w:val="20"/>
                <w:color w:val="auto"/>
              </w:rPr>
            </w:pPr>
          </w:p>
        </w:tc>
        <w:tc>
          <w:tcPr>
            <w:tcW w:w="2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(87)</w:t>
            </w:r>
          </w:p>
        </w:tc>
        <w:tc>
          <w:tcPr>
            <w:tcW w:w="42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(208)</w:t>
            </w:r>
          </w:p>
        </w:tc>
        <w:tc>
          <w:tcPr>
            <w:tcW w:w="3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180" w:type="dxa"/>
            <w:vAlign w:val="bottom"/>
            <w:gridSpan w:val="3"/>
          </w:tcPr>
          <w:p>
            <w:pPr>
              <w:ind w:left="40"/>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0"/>
                <w:szCs w:val="10"/>
                <w:b w:val="1"/>
                <w:bCs w:val="1"/>
                <w:color w:val="auto"/>
              </w:rPr>
              <w:t>(3)</w:t>
            </w:r>
            <w:r>
              <w:rPr>
                <w:rFonts w:ascii="Arial" w:cs="Arial" w:eastAsia="Arial" w:hAnsi="Arial"/>
                <w:sz w:val="16"/>
                <w:szCs w:val="16"/>
                <w:b w:val="1"/>
                <w:bCs w:val="1"/>
                <w:color w:val="auto"/>
              </w:rPr>
              <w:t xml:space="preserve"> Operating Margin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(1.4) pts.</w:t>
            </w: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(0.7) pts.</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 pts.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right="60" w:hanging="349"/>
        <w:spacing w:after="0" w:line="242" w:lineRule="auto"/>
        <w:tabs>
          <w:tab w:leader="none" w:pos="349"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49" w:right="240" w:hanging="349"/>
        <w:spacing w:after="0" w:line="242" w:lineRule="auto"/>
        <w:tabs>
          <w:tab w:leader="none" w:pos="349"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2024 includes a pre-tax non-cash Goodwill impairment charge of $1,058 million, and 2023 includes the pre-tax PARC donation charge of $132 million.</w:t>
      </w:r>
    </w:p>
    <w:p>
      <w:pPr>
        <w:spacing w:after="0" w:line="1" w:lineRule="exact"/>
        <w:rPr>
          <w:rFonts w:ascii="Arial" w:cs="Arial" w:eastAsia="Arial" w:hAnsi="Arial"/>
          <w:sz w:val="16"/>
          <w:szCs w:val="16"/>
          <w:b w:val="1"/>
          <w:bCs w:val="1"/>
          <w:i w:val="1"/>
          <w:iCs w:val="1"/>
          <w:color w:val="auto"/>
        </w:rPr>
      </w:pPr>
    </w:p>
    <w:p>
      <w:pPr>
        <w:ind w:left="349" w:hanging="349"/>
        <w:spacing w:after="0"/>
        <w:tabs>
          <w:tab w:leader="none" w:pos="349"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"Non-GAAP Financial Measures" section for an explanation of the non-GAAP financial measure.</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Gross Margin</w:t>
      </w:r>
    </w:p>
    <w:p>
      <w:pPr>
        <w:spacing w:after="0" w:line="118" w:lineRule="exact"/>
        <w:rPr>
          <w:sz w:val="20"/>
          <w:szCs w:val="20"/>
          <w:color w:val="auto"/>
        </w:rPr>
      </w:pPr>
    </w:p>
    <w:p>
      <w:pPr>
        <w:jc w:val="both"/>
        <w:ind w:left="9"/>
        <w:spacing w:after="0" w:line="277" w:lineRule="auto"/>
        <w:rPr>
          <w:sz w:val="20"/>
          <w:szCs w:val="20"/>
          <w:color w:val="auto"/>
        </w:rPr>
      </w:pPr>
      <w:r>
        <w:rPr>
          <w:rFonts w:ascii="Arial" w:cs="Arial" w:eastAsia="Arial" w:hAnsi="Arial"/>
          <w:sz w:val="18"/>
          <w:szCs w:val="18"/>
          <w:b w:val="1"/>
          <w:bCs w:val="1"/>
          <w:color w:val="auto"/>
        </w:rPr>
        <w:t>Total gross margin for the year ended December 31, 2025 of 27.1% decreased 4.4-percentage points compared to 2024, and included an approximate 1.4-percentage point adverse impact and an approximate 0.5-percentage point adverse impact related to the Lexmark Acquisition and ITsavvy, respectively. Excluding the impact of these acquisitions, gross margin declined 2.5-percentage points. The decrease primarily reflects lower revenue and gross profit, including the adverse impact related to unfavorable product mix, primarily due to lower services, maintenance, rentals and other revenues, and lower page volumes, as well as product-related cost increases and the adverse impact related to tariffs. These impacts were partially offset by the benefits associated with Reinvention-related cost and productivity actions, and recent pricing actions. On a pro forma</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basis, gross margin for the year ended December 31, 2025 of 28.6% decreased by 1.4-percentage points due to the impacts noted above.</w:t>
      </w:r>
    </w:p>
    <w:p>
      <w:pPr>
        <w:spacing w:after="0" w:line="42" w:lineRule="exact"/>
        <w:rPr>
          <w:sz w:val="20"/>
          <w:szCs w:val="20"/>
          <w:color w:val="auto"/>
        </w:rPr>
      </w:pPr>
    </w:p>
    <w:p>
      <w:pPr>
        <w:jc w:val="both"/>
        <w:ind w:left="9"/>
        <w:spacing w:after="0" w:line="264" w:lineRule="auto"/>
        <w:rPr>
          <w:sz w:val="20"/>
          <w:szCs w:val="20"/>
          <w:color w:val="auto"/>
        </w:rPr>
      </w:pPr>
      <w:r>
        <w:rPr>
          <w:rFonts w:ascii="Arial" w:cs="Arial" w:eastAsia="Arial" w:hAnsi="Arial"/>
          <w:sz w:val="19"/>
          <w:szCs w:val="19"/>
          <w:b w:val="1"/>
          <w:bCs w:val="1"/>
          <w:color w:val="auto"/>
        </w:rPr>
        <w:t>Total gross margin for the year ended December 31, 2024 of 31.5% decreased 2.1-percentage points compared to 2023, primarily reflecting lower revenue and gross profit, primarily due to charges associated with the exit of certain production print manufacturing operations, which had a 0.8-percentage point unfavorable impact on gross margin, as well as higher transportation and product costs, an unfavorable equipment mix and lower print volumes. These impacts were partially offset by the benefits associated with recent Reinvention-related cost and productivity actions and currency.</w:t>
      </w:r>
    </w:p>
    <w:p>
      <w:pPr>
        <w:spacing w:after="0" w:line="52" w:lineRule="exact"/>
        <w:rPr>
          <w:sz w:val="20"/>
          <w:szCs w:val="20"/>
          <w:color w:val="auto"/>
        </w:rPr>
      </w:pPr>
    </w:p>
    <w:p>
      <w:pPr>
        <w:jc w:val="both"/>
        <w:ind w:left="9"/>
        <w:spacing w:after="0" w:line="262" w:lineRule="auto"/>
        <w:rPr>
          <w:sz w:val="20"/>
          <w:szCs w:val="20"/>
          <w:color w:val="auto"/>
        </w:rPr>
      </w:pPr>
      <w:r>
        <w:rPr>
          <w:rFonts w:ascii="Arial" w:cs="Arial" w:eastAsia="Arial" w:hAnsi="Arial"/>
          <w:sz w:val="19"/>
          <w:szCs w:val="19"/>
          <w:b w:val="1"/>
          <w:bCs w:val="1"/>
          <w:color w:val="auto"/>
        </w:rPr>
        <w:t>Equipment gross margin for the year ended December 31, 2025 of 21.4% decreased 8.8-percentage points compared to 2024, and included a 3.1-percentage point adverse impact from the Lexmark Acquisition. Excluding the impact of Lexmark, equipment gross margin declined 5.7-percentage points. The decrease reflects lower revenue and gross profit, as well as the adverse impact related to product cost increases, incremental tariff-related costs, and unfavorable product mix. These impacts were partially offset by recent pricing initiatives and lower freight costs.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equipment gross margin for the year ended December 31, 2025 of 19.7% increased 1.9 - percentage points.</w:t>
      </w:r>
    </w:p>
    <w:p>
      <w:pPr>
        <w:spacing w:after="0" w:line="57"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Equipment gross margin for the year ended December 31, 2024 of 30.2% decreased 3.5-percentage points as compared to 2023, primarily reflecting lower revenue and gross profit, as well as higher product and transportation costs, the exit of certain production print manufacturing operations, and unfavorable product and channel mix. These impacts were partially offset by currency.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45</w:t>
      </w:r>
    </w:p>
    <w:p>
      <w:pPr>
        <w:sectPr>
          <w:pgSz w:w="11880" w:h="15480" w:orient="portrait"/>
          <w:cols w:equalWidth="0" w:num="1">
            <w:col w:w="9949"/>
          </w:cols>
          <w:pgMar w:left="1051" w:top="724" w:right="880" w:bottom="0" w:gutter="0" w:footer="0" w:header="0"/>
        </w:sectPr>
      </w:pPr>
    </w:p>
    <w:bookmarkStart w:id="55" w:name="page56"/>
    <w:bookmarkEnd w:id="55"/>
    <w:p>
      <w:pPr>
        <w:jc w:val="both"/>
        <w:ind w:left="9"/>
        <w:spacing w:after="0" w:line="277" w:lineRule="auto"/>
        <w:rPr>
          <w:sz w:val="20"/>
          <w:szCs w:val="20"/>
          <w:color w:val="auto"/>
        </w:rPr>
      </w:pPr>
      <w:r>
        <w:rPr>
          <w:rFonts w:ascii="Arial" w:cs="Arial" w:eastAsia="Arial" w:hAnsi="Arial"/>
          <w:sz w:val="18"/>
          <w:szCs w:val="18"/>
          <w:b w:val="1"/>
          <w:bCs w:val="1"/>
          <w:color w:val="auto"/>
        </w:rPr>
        <w:t>Post sale gross margin for the year ended December 31, 2025 of 28.6% decreased 3.3-percentage points compared to 2024, which included an approximate 0.9-percentage point adverse impact and an approximate 0.8-percentage point adverse impact related to the Lexmark Acquisition and ITsavvy, respectively. Excluding the impact of these acquisitions, post sale gross margin declined approximately 1.6-percentage points. The decrease primarily reflects lower revenue and gross profit, including the adverse impact related to unfavorable revenue mix, primarily due to lower services, maintenance, rentals and other revenues and lower page volumes, as well as the adverse impact related to cost increases and incremental tariff-related costs. Partially offsetting these impacts were benefits associated with Reinvention-related cost and productivity actions. On a pro forma</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basis, post sale gross margin for the year ended December 31, 2025 of 31.0% decreased 2.4-percentage points</w:t>
      </w:r>
    </w:p>
    <w:p>
      <w:pPr>
        <w:spacing w:after="0" w:line="42"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b w:val="1"/>
          <w:bCs w:val="1"/>
          <w:color w:val="auto"/>
        </w:rPr>
        <w:t>Post sale gross margin for the year ended December 31, 2024 of 31.9% decreased 1.7-percentage points compared to 2023, reflecting lower revenue, including lower page volumes, lower gross profit, and charges associated with the Company's Reinvention, primarily related to the exit of certain production print manufacturing operations, which had a 1.0-percentage point unfavorable impact on gross margin. These impacts were partially offset by the benefits associated with Reinvention-related cost and productivity actions and favorable currency.</w:t>
      </w:r>
    </w:p>
    <w:p>
      <w:pPr>
        <w:spacing w:after="0" w:line="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right="60" w:hanging="349"/>
        <w:spacing w:after="0" w:line="270" w:lineRule="auto"/>
        <w:tabs>
          <w:tab w:leader="none" w:pos="349" w:val="left"/>
        </w:tabs>
        <w:numPr>
          <w:ilvl w:val="0"/>
          <w:numId w:val="4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Research, Development and Engineering Expenses (RD&amp;E)</w:t>
      </w:r>
    </w:p>
    <w:p>
      <w:pPr>
        <w:spacing w:after="0" w:line="137" w:lineRule="exact"/>
        <w:rPr>
          <w:sz w:val="20"/>
          <w:szCs w:val="20"/>
          <w:color w:val="auto"/>
        </w:rPr>
      </w:pPr>
    </w:p>
    <w:p>
      <w:pPr>
        <w:jc w:val="both"/>
        <w:ind w:left="9"/>
        <w:spacing w:after="0" w:line="261" w:lineRule="auto"/>
        <w:rPr>
          <w:sz w:val="20"/>
          <w:szCs w:val="20"/>
          <w:color w:val="auto"/>
        </w:rPr>
      </w:pPr>
      <w:r>
        <w:rPr>
          <w:rFonts w:ascii="Arial" w:cs="Arial" w:eastAsia="Arial" w:hAnsi="Arial"/>
          <w:sz w:val="19"/>
          <w:szCs w:val="19"/>
          <w:b w:val="1"/>
          <w:bCs w:val="1"/>
          <w:color w:val="auto"/>
        </w:rPr>
        <w:t>RD&amp;E as a percentage of revenue for the year ended December 31, 2025 of 3.3% increased 0.2-percentage points as compared to 2024, and included a 0.5-percentage point adverse impact from the Lexmark Acquisition and a 0.2-percentage point benefit from ITsavvy. The increase, as compared to the prior year, reflected spending that outpaced the increase in revenue. RD&amp;E of $230 million for the year ended December 31, 2025 increased $39 million as compared to 2024. The increase was primarily due to Lexmark Acquisition, partially offset by lower spend in print and print services, as well as productivity and cost savings related to the Company's Reinvention.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RD&amp;E decreased by $26 million for the year ended December 31, 2025 as compared to the prior year due to the impacts noted above.</w:t>
      </w:r>
    </w:p>
    <w:p>
      <w:pPr>
        <w:spacing w:after="0" w:line="78" w:lineRule="exact"/>
        <w:rPr>
          <w:sz w:val="20"/>
          <w:szCs w:val="20"/>
          <w:color w:val="auto"/>
        </w:rPr>
      </w:pPr>
    </w:p>
    <w:p>
      <w:pPr>
        <w:jc w:val="both"/>
        <w:ind w:left="9"/>
        <w:spacing w:after="0" w:line="262" w:lineRule="auto"/>
        <w:rPr>
          <w:sz w:val="20"/>
          <w:szCs w:val="20"/>
          <w:color w:val="auto"/>
        </w:rPr>
      </w:pPr>
      <w:r>
        <w:rPr>
          <w:rFonts w:ascii="Arial" w:cs="Arial" w:eastAsia="Arial" w:hAnsi="Arial"/>
          <w:sz w:val="19"/>
          <w:szCs w:val="19"/>
          <w:b w:val="1"/>
          <w:bCs w:val="1"/>
          <w:color w:val="auto"/>
        </w:rPr>
        <w:t>RD&amp;E as a percentage of revenue for the year ended December 31, 2024 of 3.1% decreased 0.2-percentage points as compared to 2023, and RD&amp;E of $191 million for the year ended December 31, 2024, decreased $38 million as compared to 2023. The decrease was primarily due to productivity and cost savings related to the Company's Reinvention, the spin-off, exit, or shutdown of certain other RD&amp;E related activities or businesses, and the corresponding reduction in real estate. The lower spending in innovation reflects decisions which provide greater focus and financial flexibility to pursue growth opportunities adjacent to our core operations. The decrease also reflected the strategic decision to donate PARC in 2023.</w:t>
      </w:r>
    </w:p>
    <w:p>
      <w:pPr>
        <w:spacing w:after="0" w:line="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right="60" w:hanging="349"/>
        <w:spacing w:after="0" w:line="270" w:lineRule="auto"/>
        <w:tabs>
          <w:tab w:leader="none" w:pos="349" w:val="left"/>
        </w:tabs>
        <w:numPr>
          <w:ilvl w:val="0"/>
          <w:numId w:val="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5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Selling, Administrative and General Expenses (SAG)</w:t>
      </w:r>
    </w:p>
    <w:p>
      <w:pPr>
        <w:spacing w:after="0" w:line="118"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SAG as a percentage of revenue of 23.6% decreased 1.1-percentage points for the year ended December 31, 2025 as compared to 2024, including a 0.9-percentage point benefit from both the Lexmark Acquisition and ITsavvy, respectively. The decrease reflects higher revenues, which outpaced the increase in SAG spending, and lower bad debt expense.</w:t>
      </w:r>
    </w:p>
    <w:p>
      <w:pPr>
        <w:spacing w:after="0" w:line="49" w:lineRule="exact"/>
        <w:rPr>
          <w:sz w:val="20"/>
          <w:szCs w:val="20"/>
          <w:color w:val="auto"/>
        </w:rPr>
      </w:pPr>
    </w:p>
    <w:p>
      <w:pPr>
        <w:jc w:val="both"/>
        <w:ind w:left="9"/>
        <w:spacing w:after="0" w:line="261" w:lineRule="auto"/>
        <w:rPr>
          <w:sz w:val="20"/>
          <w:szCs w:val="20"/>
          <w:color w:val="auto"/>
        </w:rPr>
      </w:pPr>
      <w:r>
        <w:rPr>
          <w:rFonts w:ascii="Arial" w:cs="Arial" w:eastAsia="Arial" w:hAnsi="Arial"/>
          <w:sz w:val="19"/>
          <w:szCs w:val="19"/>
          <w:b w:val="1"/>
          <w:bCs w:val="1"/>
          <w:color w:val="auto"/>
        </w:rPr>
        <w:t>SAG expenses of $1,654 million for the year ended December 31, 2025 were $117 million higher than 2024, primarily due to expenses related to the Lexmark Acquisition and ITsavvy, including post-acquisition expenses, including the settlement of pre-existing employment agreements, as well as other Reinvention-related investments, higher expense related to sales enablement and advertising, and the adverse impact of currency. These adverse impacts were partially offset by productivity and cost savings related to the Company's Reinvention, lower incentive compensation and benefits expenses, and lower outsourcing costs.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SAG decreased $91 million for the year ended December 31, 2025 due to the impacts noted above, as well as lower post-acquisition expenses.</w:t>
      </w:r>
    </w:p>
    <w:p>
      <w:pPr>
        <w:spacing w:after="0" w:line="59" w:lineRule="exact"/>
        <w:rPr>
          <w:sz w:val="20"/>
          <w:szCs w:val="20"/>
          <w:color w:val="auto"/>
        </w:rPr>
      </w:pPr>
    </w:p>
    <w:p>
      <w:pPr>
        <w:jc w:val="both"/>
        <w:ind w:left="9"/>
        <w:spacing w:after="0" w:line="300" w:lineRule="auto"/>
        <w:rPr>
          <w:sz w:val="20"/>
          <w:szCs w:val="20"/>
          <w:color w:val="auto"/>
        </w:rPr>
      </w:pPr>
      <w:r>
        <w:rPr>
          <w:rFonts w:ascii="Arial" w:cs="Arial" w:eastAsia="Arial" w:hAnsi="Arial"/>
          <w:sz w:val="17"/>
          <w:szCs w:val="17"/>
          <w:b w:val="1"/>
          <w:bCs w:val="1"/>
          <w:color w:val="auto"/>
        </w:rPr>
        <w:t>SAG as a percentage of revenue of 24.7% increased 0.1-percentage points for the year ended December 31, 2024 compared to 2023 primarily due to lower revenue, as well as higher bad debt expense, which were partially offset by lower selling and other administrative and general expenses. SAG expenses of $1,537 million for the year ended December 31, 2024 were $159 million lower than 2023 primarily reflecting productivity and cost savings related to the Company's Reinvention, as well as, lower incentive compensation expense, IT expenses, outsourcing costs, commission payments, litigation expense, and advertising costs, as well as the strategic decision to donate PARC in</w:t>
      </w:r>
    </w:p>
    <w:p>
      <w:pPr>
        <w:spacing w:after="0" w:line="200" w:lineRule="exact"/>
        <w:rPr>
          <w:sz w:val="20"/>
          <w:szCs w:val="20"/>
          <w:color w:val="auto"/>
        </w:rPr>
      </w:pPr>
    </w:p>
    <w:p>
      <w:pPr>
        <w:spacing w:after="0" w:line="255"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46</w:t>
      </w:r>
    </w:p>
    <w:p>
      <w:pPr>
        <w:sectPr>
          <w:pgSz w:w="11880" w:h="15480" w:orient="portrait"/>
          <w:cols w:equalWidth="0" w:num="1">
            <w:col w:w="9949"/>
          </w:cols>
          <w:pgMar w:left="1051" w:top="736" w:right="880" w:bottom="0" w:gutter="0" w:footer="0" w:header="0"/>
        </w:sectPr>
      </w:pPr>
    </w:p>
    <w:bookmarkStart w:id="56" w:name="page57"/>
    <w:bookmarkEnd w:id="56"/>
    <w:p>
      <w:pPr>
        <w:jc w:val="both"/>
        <w:ind w:left="9"/>
        <w:spacing w:after="0" w:line="299" w:lineRule="auto"/>
        <w:rPr>
          <w:sz w:val="20"/>
          <w:szCs w:val="20"/>
          <w:color w:val="auto"/>
        </w:rPr>
      </w:pPr>
      <w:r>
        <w:rPr>
          <w:rFonts w:ascii="Arial" w:cs="Arial" w:eastAsia="Arial" w:hAnsi="Arial"/>
          <w:sz w:val="18"/>
          <w:szCs w:val="18"/>
          <w:b w:val="1"/>
          <w:bCs w:val="1"/>
          <w:color w:val="auto"/>
        </w:rPr>
        <w:t>the prior year. These favorable impacts were partially offset by higher bad debt expense, the inclusion of a partial quarter of ITsavvy results and transaction-related expenses related to the recent acquisition of ITsavvy and expected acquisition of Lexmark, as well as other Reinvention-related investments, and unfavorable currency.</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b w:val="1"/>
          <w:bCs w:val="1"/>
          <w:color w:val="auto"/>
        </w:rPr>
        <w:t>Bad debt expense for the year ended December 31, 2024 of $42 million increased $14 million as compared to 2023. The increase reflects a reserve release in 2023 of approximately $12 million due to a favorable reassessment of the credit exposure on a large customer receivable balance, as well as an increased provision for aged accounts receivables in 2024. The adverse impacts were offset by a lower finance receivable balance, reflecting sales of finance receivables to various funding partners.</w:t>
      </w:r>
    </w:p>
    <w:p>
      <w:pPr>
        <w:spacing w:after="0" w:line="50"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We continue to monitor developments in future economic conditions, and as a result, our reserves may need to be updated in future periods. As of December 31, 2025, on a trailing twelve-month basis, bad debt expense was approximately 1.5% of total receivables, as compared to approximately 1.9% for the prior year comparable period (excluding the reserve release in 2024) primarily reflecting lower bad debt expense.</w:t>
      </w:r>
    </w:p>
    <w:p>
      <w:pPr>
        <w:spacing w:after="0" w:line="49" w:lineRule="exact"/>
        <w:rPr>
          <w:sz w:val="20"/>
          <w:szCs w:val="20"/>
          <w:color w:val="auto"/>
        </w:rPr>
      </w:pPr>
    </w:p>
    <w:p>
      <w:pPr>
        <w:jc w:val="both"/>
        <w:ind w:left="9"/>
        <w:spacing w:after="0" w:line="257" w:lineRule="auto"/>
        <w:rPr>
          <w:sz w:val="20"/>
          <w:szCs w:val="20"/>
          <w:color w:val="auto"/>
        </w:rPr>
      </w:pPr>
      <w:r>
        <w:rPr>
          <w:rFonts w:ascii="Arial" w:cs="Arial" w:eastAsia="Arial" w:hAnsi="Arial"/>
          <w:sz w:val="19"/>
          <w:szCs w:val="19"/>
          <w:b w:val="1"/>
          <w:bCs w:val="1"/>
          <w:color w:val="auto"/>
        </w:rPr>
        <w:t>Refer to Note 7 - Accounts Receivable, Net and Note 8 - Finance Receivables, Net in the Consolidated Financial Statements for additional information regarding our bad debt provision and related reserves.</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right="60" w:hanging="349"/>
        <w:spacing w:after="0" w:line="270" w:lineRule="auto"/>
        <w:tabs>
          <w:tab w:leader="none" w:pos="349" w:val="left"/>
        </w:tabs>
        <w:numPr>
          <w:ilvl w:val="0"/>
          <w:numId w:val="4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3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Restructuring and Related Costs, Net</w:t>
      </w:r>
    </w:p>
    <w:p>
      <w:pPr>
        <w:spacing w:after="0" w:line="118"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b w:val="1"/>
          <w:bCs w:val="1"/>
          <w:color w:val="auto"/>
        </w:rPr>
        <w:t>We incurred restructuring and related costs, net of $66 million, $112 million and $167 million for the three years ended December 31, 2025, 2024 and 2023, respectively. Charges incurred for restructuring actions were associated with Reinvention initiatives and other transformation programs to reduce and realign our cost structure to the changing nature of our business, as well as our efforts to integrate and consolidate certain operations of the legacy Xerox and Lexmark businesses, and included the following:</w:t>
      </w:r>
    </w:p>
    <w:p>
      <w:pPr>
        <w:spacing w:after="0" w:line="119" w:lineRule="exact"/>
        <w:rPr>
          <w:sz w:val="20"/>
          <w:szCs w:val="20"/>
          <w:color w:val="auto"/>
        </w:rPr>
      </w:pPr>
    </w:p>
    <w:tbl>
      <w:tblPr>
        <w:tblLayout w:type="fixed"/>
        <w:tblInd w:w="9" w:type="dxa"/>
        <w:tblCellMar>
          <w:top w:w="0" w:type="dxa"/>
          <w:left w:w="0" w:type="dxa"/>
          <w:bottom w:w="0" w:type="dxa"/>
          <w:right w:w="0" w:type="dxa"/>
        </w:tblCellMar>
      </w:tblPr>
      <w:tr>
        <w:trPr>
          <w:trHeight w:val="208"/>
        </w:trPr>
        <w:tc>
          <w:tcPr>
            <w:tcW w:w="53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4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4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Restructuring charges, net</w:t>
            </w:r>
            <w:r>
              <w:rPr>
                <w:rFonts w:ascii="Arial" w:cs="Arial" w:eastAsia="Arial" w:hAnsi="Arial"/>
                <w:sz w:val="10"/>
                <w:szCs w:val="10"/>
                <w:b w:val="1"/>
                <w:bCs w:val="1"/>
                <w:color w:val="auto"/>
              </w:rPr>
              <w:t>(1)</w:t>
            </w:r>
          </w:p>
        </w:tc>
        <w:tc>
          <w:tcPr>
            <w:tcW w:w="1060" w:type="dxa"/>
            <w:vAlign w:val="bottom"/>
            <w:shd w:val="clear" w:color="auto" w:fill="DBDBDB"/>
          </w:tcPr>
          <w:p>
            <w:pPr>
              <w:jc w:val="right"/>
              <w:ind w:right="86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82</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114</w:t>
            </w:r>
          </w:p>
        </w:tc>
      </w:tr>
      <w:tr>
        <w:trPr>
          <w:trHeight w:val="233"/>
        </w:trPr>
        <w:tc>
          <w:tcPr>
            <w:tcW w:w="5340" w:type="dxa"/>
            <w:vAlign w:val="bottom"/>
          </w:tcPr>
          <w:p>
            <w:pPr>
              <w:ind w:left="40"/>
              <w:spacing w:after="0"/>
              <w:rPr>
                <w:sz w:val="20"/>
                <w:szCs w:val="20"/>
                <w:color w:val="auto"/>
              </w:rPr>
            </w:pPr>
            <w:r>
              <w:rPr>
                <w:rFonts w:ascii="Arial" w:cs="Arial" w:eastAsia="Arial" w:hAnsi="Arial"/>
                <w:sz w:val="16"/>
                <w:szCs w:val="16"/>
                <w:b w:val="1"/>
                <w:bCs w:val="1"/>
                <w:color w:val="auto"/>
              </w:rPr>
              <w:t>Asset impairment charges, net</w:t>
            </w:r>
            <w:r>
              <w:rPr>
                <w:rFonts w:ascii="Arial" w:cs="Arial" w:eastAsia="Arial" w:hAnsi="Arial"/>
                <w:sz w:val="10"/>
                <w:szCs w:val="10"/>
                <w:b w:val="1"/>
                <w:bCs w:val="1"/>
                <w:color w:val="auto"/>
              </w:rPr>
              <w:t>(2)</w:t>
            </w: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r>
        <w:trPr>
          <w:trHeight w:val="243"/>
        </w:trPr>
        <w:tc>
          <w:tcPr>
            <w:tcW w:w="534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Related costs, net</w:t>
            </w:r>
          </w:p>
        </w:tc>
        <w:tc>
          <w:tcPr>
            <w:tcW w:w="1060" w:type="dxa"/>
            <w:vAlign w:val="bottom"/>
            <w:tcBorders>
              <w:bottom w:val="single" w:sz="8" w:color="auto"/>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25</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21</w:t>
            </w:r>
          </w:p>
        </w:tc>
      </w:tr>
      <w:tr>
        <w:trPr>
          <w:trHeight w:val="173"/>
        </w:trPr>
        <w:tc>
          <w:tcPr>
            <w:tcW w:w="5340" w:type="dxa"/>
            <w:vAlign w:val="bottom"/>
          </w:tcPr>
          <w:p>
            <w:pPr>
              <w:ind w:left="40"/>
              <w:spacing w:after="0" w:line="174" w:lineRule="exact"/>
              <w:rPr>
                <w:sz w:val="20"/>
                <w:szCs w:val="20"/>
                <w:color w:val="auto"/>
              </w:rPr>
            </w:pPr>
            <w:r>
              <w:rPr>
                <w:rFonts w:ascii="Arial" w:cs="Arial" w:eastAsia="Arial" w:hAnsi="Arial"/>
                <w:sz w:val="16"/>
                <w:szCs w:val="16"/>
                <w:b w:val="1"/>
                <w:bCs w:val="1"/>
                <w:color w:val="auto"/>
              </w:rPr>
              <w:t>Total Restructuring and related costs, net</w:t>
            </w:r>
          </w:p>
        </w:tc>
        <w:tc>
          <w:tcPr>
            <w:tcW w:w="1060" w:type="dxa"/>
            <w:vAlign w:val="bottom"/>
          </w:tcPr>
          <w:p>
            <w:pPr>
              <w:jc w:val="right"/>
              <w:ind w:right="862"/>
              <w:spacing w:after="0" w:line="174"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66</w:t>
            </w:r>
          </w:p>
        </w:tc>
        <w:tc>
          <w:tcPr>
            <w:tcW w:w="420" w:type="dxa"/>
            <w:vAlign w:val="bottom"/>
            <w:gridSpan w:val="2"/>
          </w:tcPr>
          <w:p>
            <w:pPr>
              <w:jc w:val="right"/>
              <w:ind w:right="220"/>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112</w:t>
            </w:r>
          </w:p>
        </w:tc>
        <w:tc>
          <w:tcPr>
            <w:tcW w:w="420" w:type="dxa"/>
            <w:vAlign w:val="bottom"/>
            <w:gridSpan w:val="2"/>
          </w:tcPr>
          <w:p>
            <w:pPr>
              <w:jc w:val="right"/>
              <w:ind w:right="220"/>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167</w:t>
            </w:r>
          </w:p>
        </w:tc>
      </w:tr>
      <w:tr>
        <w:trPr>
          <w:trHeight w:val="20"/>
        </w:trPr>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-42545</wp:posOffset>
            </wp:positionV>
            <wp:extent cx="2954020" cy="5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2954020" cy="50165"/>
                    </a:xfrm>
                    <a:prstGeom prst="rect">
                      <a:avLst/>
                    </a:prstGeom>
                    <a:noFill/>
                  </pic:spPr>
                </pic:pic>
              </a:graphicData>
            </a:graphic>
          </wp:anchor>
        </w:drawing>
      </w:r>
    </w:p>
    <w:p>
      <w:pPr>
        <w:spacing w:after="0" w:line="9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jc w:val="both"/>
        <w:ind w:left="349" w:hanging="305"/>
        <w:spacing w:after="0" w:line="277" w:lineRule="auto"/>
        <w:tabs>
          <w:tab w:leader="none" w:pos="349" w:val="left"/>
        </w:tabs>
        <w:numPr>
          <w:ilvl w:val="0"/>
          <w:numId w:val="4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net headcount reductions of approximately 1,365, 1,100, and 2,125 for the three years ended December 31, 2025, 2024 and 2023, respectively. Restructuring and severance costs for the year ended December 31, 2025, includes approximately $89 million for worldwide headcount reductions as a result of our efforts to integrate and consolidate certain operations of the legacy Xerox and Lexmark businesses.</w:t>
      </w:r>
    </w:p>
    <w:p>
      <w:pPr>
        <w:spacing w:after="0" w:line="1" w:lineRule="exact"/>
        <w:rPr>
          <w:rFonts w:ascii="Arial" w:cs="Arial" w:eastAsia="Arial" w:hAnsi="Arial"/>
          <w:sz w:val="14"/>
          <w:szCs w:val="14"/>
          <w:b w:val="1"/>
          <w:bCs w:val="1"/>
          <w:i w:val="1"/>
          <w:iCs w:val="1"/>
          <w:color w:val="auto"/>
        </w:rPr>
      </w:pPr>
    </w:p>
    <w:p>
      <w:pPr>
        <w:ind w:left="349" w:hanging="305"/>
        <w:spacing w:after="0"/>
        <w:tabs>
          <w:tab w:leader="none" w:pos="349" w:val="left"/>
        </w:tabs>
        <w:numPr>
          <w:ilvl w:val="0"/>
          <w:numId w:val="4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Impairments are net of cash receipts.</w:t>
      </w:r>
    </w:p>
    <w:p>
      <w:pPr>
        <w:spacing w:after="0" w:line="87" w:lineRule="exact"/>
        <w:rPr>
          <w:sz w:val="20"/>
          <w:szCs w:val="20"/>
          <w:color w:val="auto"/>
        </w:rPr>
      </w:pPr>
    </w:p>
    <w:p>
      <w:pPr>
        <w:jc w:val="both"/>
        <w:ind w:left="9"/>
        <w:spacing w:after="0" w:line="276" w:lineRule="auto"/>
        <w:rPr>
          <w:sz w:val="20"/>
          <w:szCs w:val="20"/>
          <w:color w:val="auto"/>
        </w:rPr>
      </w:pPr>
      <w:r>
        <w:rPr>
          <w:rFonts w:ascii="Arial" w:cs="Arial" w:eastAsia="Arial" w:hAnsi="Arial"/>
          <w:sz w:val="19"/>
          <w:szCs w:val="19"/>
          <w:b w:val="1"/>
          <w:bCs w:val="1"/>
          <w:color w:val="auto"/>
        </w:rPr>
        <w:t>2025 Restructuring and related costs, net are primarily associated with actions to integrate the legacy Xerox and Lexmark businesses, as well as actions associated with Reinvention including the impairment of an operating lease ROU asset, as well as the sales of facilities in the U.S. and Europe.</w:t>
      </w:r>
    </w:p>
    <w:p>
      <w:pPr>
        <w:spacing w:after="0" w:line="42" w:lineRule="exact"/>
        <w:rPr>
          <w:sz w:val="20"/>
          <w:szCs w:val="20"/>
          <w:color w:val="auto"/>
        </w:rPr>
      </w:pPr>
    </w:p>
    <w:p>
      <w:pPr>
        <w:jc w:val="both"/>
        <w:ind w:left="9"/>
        <w:spacing w:after="0" w:line="326" w:lineRule="auto"/>
        <w:rPr>
          <w:sz w:val="20"/>
          <w:szCs w:val="20"/>
          <w:color w:val="auto"/>
        </w:rPr>
      </w:pPr>
      <w:r>
        <w:rPr>
          <w:rFonts w:ascii="Arial" w:cs="Arial" w:eastAsia="Arial" w:hAnsi="Arial"/>
          <w:sz w:val="18"/>
          <w:szCs w:val="18"/>
          <w:b w:val="1"/>
          <w:bCs w:val="1"/>
          <w:color w:val="auto"/>
        </w:rPr>
        <w:t xml:space="preserve">2025 </w:t>
      </w:r>
      <w:r>
        <w:rPr>
          <w:rFonts w:ascii="Arial" w:cs="Arial" w:eastAsia="Arial" w:hAnsi="Arial"/>
          <w:sz w:val="18"/>
          <w:szCs w:val="18"/>
          <w:b w:val="1"/>
          <w:bCs w:val="1"/>
          <w:color w:val="212121"/>
        </w:rPr>
        <w:t>actions impacted several functional areas, with approximately 45% focused on gross margin improvements,</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12121"/>
        </w:rPr>
        <w:t>approximately 50% focused on SAG reductions, and the remainder focused on RD&amp;E enhancements.</w:t>
      </w:r>
    </w:p>
    <w:p>
      <w:pPr>
        <w:jc w:val="both"/>
        <w:ind w:left="9"/>
        <w:spacing w:after="0" w:line="276" w:lineRule="auto"/>
        <w:rPr>
          <w:sz w:val="20"/>
          <w:szCs w:val="20"/>
          <w:color w:val="auto"/>
        </w:rPr>
      </w:pPr>
      <w:r>
        <w:rPr>
          <w:rFonts w:ascii="Arial" w:cs="Arial" w:eastAsia="Arial" w:hAnsi="Arial"/>
          <w:sz w:val="19"/>
          <w:szCs w:val="19"/>
          <w:b w:val="1"/>
          <w:bCs w:val="1"/>
          <w:color w:val="auto"/>
        </w:rPr>
        <w:t xml:space="preserve">We expect 2025 restructuring actions to generate annualized pre-tax savings of approximately $115 million beginning in 2026. </w:t>
      </w:r>
      <w:r>
        <w:rPr>
          <w:rFonts w:ascii="Arial" w:cs="Arial" w:eastAsia="Arial" w:hAnsi="Arial"/>
          <w:sz w:val="19"/>
          <w:szCs w:val="19"/>
          <w:b w:val="1"/>
          <w:bCs w:val="1"/>
          <w:color w:val="212121"/>
        </w:rPr>
        <w:t>These estimates are based on current plans and assumptions and are subject to risks and</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212121"/>
        </w:rPr>
        <w:t>uncertainties. Actual savings may differ materially from these estimates.</w:t>
      </w:r>
    </w:p>
    <w:p>
      <w:pPr>
        <w:spacing w:after="0" w:line="42" w:lineRule="exact"/>
        <w:rPr>
          <w:sz w:val="20"/>
          <w:szCs w:val="20"/>
          <w:color w:val="auto"/>
        </w:rPr>
      </w:pPr>
    </w:p>
    <w:p>
      <w:pPr>
        <w:jc w:val="both"/>
        <w:ind w:left="9"/>
        <w:spacing w:after="0" w:line="298" w:lineRule="auto"/>
        <w:rPr>
          <w:sz w:val="20"/>
          <w:szCs w:val="20"/>
          <w:color w:val="auto"/>
        </w:rPr>
      </w:pPr>
      <w:r>
        <w:rPr>
          <w:rFonts w:ascii="Arial" w:cs="Arial" w:eastAsia="Arial" w:hAnsi="Arial"/>
          <w:sz w:val="19"/>
          <w:szCs w:val="19"/>
          <w:b w:val="1"/>
          <w:bCs w:val="1"/>
          <w:color w:val="auto"/>
        </w:rPr>
        <w:t xml:space="preserve">The reserve balance for Restructuring and related costs, net as of </w:t>
      </w:r>
      <w:r>
        <w:rPr>
          <w:rFonts w:ascii="Arial" w:cs="Arial" w:eastAsia="Arial" w:hAnsi="Arial"/>
          <w:sz w:val="19"/>
          <w:szCs w:val="19"/>
          <w:b w:val="1"/>
          <w:bCs w:val="1"/>
          <w:color w:val="212121"/>
        </w:rPr>
        <w:t>December 31, 2025,</w:t>
      </w:r>
      <w:r>
        <w:rPr>
          <w:rFonts w:ascii="Arial" w:cs="Arial" w:eastAsia="Arial" w:hAnsi="Arial"/>
          <w:sz w:val="19"/>
          <w:szCs w:val="19"/>
          <w:b w:val="1"/>
          <w:bCs w:val="1"/>
          <w:color w:val="auto"/>
        </w:rPr>
        <w:t xml:space="preserve"> was $130 million, of which $71 million is expected to be paid over the next twelve months.</w:t>
      </w:r>
    </w:p>
    <w:p>
      <w:pPr>
        <w:spacing w:after="0" w:line="20" w:lineRule="exact"/>
        <w:rPr>
          <w:sz w:val="20"/>
          <w:szCs w:val="20"/>
          <w:color w:val="auto"/>
        </w:rPr>
      </w:pPr>
    </w:p>
    <w:p>
      <w:pPr>
        <w:jc w:val="both"/>
        <w:ind w:left="9"/>
        <w:spacing w:after="0" w:line="298" w:lineRule="auto"/>
        <w:rPr>
          <w:sz w:val="20"/>
          <w:szCs w:val="20"/>
          <w:color w:val="auto"/>
        </w:rPr>
      </w:pPr>
      <w:r>
        <w:rPr>
          <w:rFonts w:ascii="Arial" w:cs="Arial" w:eastAsia="Arial" w:hAnsi="Arial"/>
          <w:sz w:val="19"/>
          <w:szCs w:val="19"/>
          <w:b w:val="1"/>
          <w:bCs w:val="1"/>
          <w:color w:val="auto"/>
        </w:rPr>
        <w:t>Refer to Note 13 - Restructuring Programs in the Consolidated Financial Statements for additional information regarding our restructuring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47</w:t>
      </w:r>
    </w:p>
    <w:p>
      <w:pPr>
        <w:sectPr>
          <w:pgSz w:w="11880" w:h="15480" w:orient="portrait"/>
          <w:cols w:equalWidth="0" w:num="1">
            <w:col w:w="9949"/>
          </w:cols>
          <w:pgMar w:left="1051" w:top="736" w:right="880" w:bottom="0" w:gutter="0" w:footer="0" w:header="0"/>
        </w:sectPr>
      </w:pPr>
    </w:p>
    <w:bookmarkStart w:id="57" w:name="page58"/>
    <w:bookmarkEnd w:id="57"/>
    <w:p>
      <w:pPr>
        <w:spacing w:after="0"/>
        <w:rPr>
          <w:sz w:val="20"/>
          <w:szCs w:val="20"/>
          <w:color w:val="auto"/>
        </w:rPr>
      </w:pPr>
      <w:r>
        <w:rPr>
          <w:rFonts w:ascii="Arial" w:cs="Arial" w:eastAsia="Arial" w:hAnsi="Arial"/>
          <w:sz w:val="21"/>
          <w:szCs w:val="21"/>
          <w:b w:val="1"/>
          <w:bCs w:val="1"/>
          <w:color w:val="DA2031"/>
        </w:rPr>
        <w:t>Amortization of Intangible Assets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Amortization of intangible assets for the three years ended December 31, 2025, 2024 and 2023 was $83 million, $73 million and $43 million, respectively. Amortization expense increased in 2025 as compared to 2024, reflecting amortization expense associated with the intangible assets from the recent Lexmark Acquisition as well as a full year of amortization expense related to ITsavvy, both of which were partially offset by the higher level of accelerated amortization of certain trade names in the prior year. The increased level of amortization of intangible assets in 2024, as compared to 2023, was primarily related to the strategic write-off of approximately $37 million of certain trade names in 2024, as well as the amortization expense associated with the intangible assets from the recent acquisition of ITsavvy.</w:t>
      </w:r>
    </w:p>
    <w:p>
      <w:pPr>
        <w:spacing w:after="0" w:line="7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6 - Acquisitions and Divestitures, and Note 12 - Goodwill, Net and Intangible Assets, Net in the Consolidated Financial Statements for additional information regarding our intangible assets.</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Worldwide Employment</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Worldwide employment was approximately 22,900 as of December 31, 2025, an increase of approximately 6,100 from December 31, 2024. The increase primarily relates to the Lexmark Acquisition, partially offset by the net effects of workforce reduction decisions.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Other Expenses, Net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22"/>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179"/>
        </w:trPr>
        <w:tc>
          <w:tcPr>
            <w:tcW w:w="512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5"/>
                <w:szCs w:val="15"/>
                <w:color w:val="auto"/>
              </w:rPr>
            </w:pPr>
          </w:p>
        </w:tc>
        <w:tc>
          <w:tcPr>
            <w:tcW w:w="1180" w:type="dxa"/>
            <w:vAlign w:val="bottom"/>
          </w:tcPr>
          <w:p>
            <w:pPr>
              <w:jc w:val="right"/>
              <w:ind w:right="522"/>
              <w:spacing w:after="0" w:line="17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22"/>
              <w:spacing w:after="0" w:line="179"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22"/>
              <w:spacing w:after="0" w:line="179" w:lineRule="exact"/>
              <w:rPr>
                <w:sz w:val="20"/>
                <w:szCs w:val="20"/>
                <w:color w:val="auto"/>
              </w:rPr>
            </w:pPr>
            <w:r>
              <w:rPr>
                <w:rFonts w:ascii="Arial" w:cs="Arial" w:eastAsia="Arial" w:hAnsi="Arial"/>
                <w:sz w:val="16"/>
                <w:szCs w:val="16"/>
                <w:b w:val="1"/>
                <w:bCs w:val="1"/>
                <w:color w:val="auto"/>
              </w:rPr>
              <w:t>2023</w:t>
            </w: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50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Non-financing interest expense</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248</w:t>
            </w:r>
          </w:p>
        </w:tc>
        <w:tc>
          <w:tcPr>
            <w:tcW w:w="46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w:t>
            </w:r>
          </w:p>
        </w:tc>
        <w:tc>
          <w:tcPr>
            <w:tcW w:w="44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68</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Interest income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33"/>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Non-service retirement-related costs</w:t>
            </w:r>
          </w:p>
        </w:tc>
        <w:tc>
          <w:tcPr>
            <w:tcW w:w="36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80</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b w:val="1"/>
                <w:bCs w:val="1"/>
                <w:color w:val="auto"/>
              </w:rPr>
              <w:t>Gains on sales of businesses and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233"/>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Litigation matters</w:t>
            </w:r>
          </w:p>
        </w:tc>
        <w:tc>
          <w:tcPr>
            <w:tcW w:w="36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Currency losses, net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233"/>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Loss (Gain) on early extinguishment of debt</w:t>
            </w:r>
          </w:p>
        </w:tc>
        <w:tc>
          <w:tcPr>
            <w:tcW w:w="36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b w:val="1"/>
                <w:bCs w:val="1"/>
                <w:color w:val="auto"/>
              </w:rPr>
              <w:t>Forfeitures from defined contribution plan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Commitment fee expenses</w:t>
            </w:r>
          </w:p>
        </w:tc>
        <w:tc>
          <w:tcPr>
            <w:tcW w:w="36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b w:val="1"/>
                <w:bCs w:val="1"/>
                <w:color w:val="auto"/>
              </w:rPr>
              <w:t>Gain on release of contingent consideration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Transaction related costs, net</w:t>
            </w:r>
          </w:p>
        </w:tc>
        <w:tc>
          <w:tcPr>
            <w:tcW w:w="36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b w:val="1"/>
                <w:bCs w:val="1"/>
                <w:color w:val="auto"/>
              </w:rPr>
              <w:t>Excess contribution refund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233"/>
        </w:trPr>
        <w:tc>
          <w:tcPr>
            <w:tcW w:w="51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Tax indemnification from Conduent</w:t>
            </w:r>
          </w:p>
        </w:tc>
        <w:tc>
          <w:tcPr>
            <w:tcW w:w="36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r>
      <w:tr>
        <w:trPr>
          <w:trHeight w:val="223"/>
        </w:trPr>
        <w:tc>
          <w:tcPr>
            <w:tcW w:w="5120" w:type="dxa"/>
            <w:vAlign w:val="bottom"/>
            <w:tcBorders>
              <w:bottom w:val="single" w:sz="8" w:color="E5E5E5"/>
            </w:tcBorders>
            <w:gridSpan w:val="3"/>
          </w:tcPr>
          <w:p>
            <w:pPr>
              <w:ind w:left="40"/>
              <w:spacing w:after="0"/>
              <w:rPr>
                <w:sz w:val="20"/>
                <w:szCs w:val="20"/>
                <w:color w:val="auto"/>
              </w:rPr>
            </w:pPr>
            <w:r>
              <w:rPr>
                <w:rFonts w:ascii="Arial" w:cs="Arial" w:eastAsia="Arial" w:hAnsi="Arial"/>
                <w:sz w:val="16"/>
                <w:szCs w:val="16"/>
                <w:b w:val="1"/>
                <w:bCs w:val="1"/>
                <w:color w:val="auto"/>
              </w:rPr>
              <w:t>All other expenses, net</w:t>
            </w:r>
            <w:r>
              <w:rPr>
                <w:rFonts w:ascii="Arial" w:cs="Arial" w:eastAsia="Arial" w:hAnsi="Arial"/>
                <w:sz w:val="10"/>
                <w:szCs w:val="10"/>
                <w:b w:val="1"/>
                <w:bCs w:val="1"/>
                <w:color w:val="auto"/>
              </w:rPr>
              <w:t>(1)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Borders>
              <w:bottom w:val="single" w:sz="8" w:color="E5E5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r>
      <w:tr>
        <w:trPr>
          <w:trHeight w:val="232"/>
        </w:trPr>
        <w:tc>
          <w:tcPr>
            <w:tcW w:w="5120" w:type="dxa"/>
            <w:vAlign w:val="bottom"/>
            <w:tcBorders>
              <w:bottom w:val="single" w:sz="8" w:color="E5E5E5"/>
            </w:tcBorders>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Other expenses, net</w:t>
            </w: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360</w:t>
            </w:r>
          </w:p>
        </w:tc>
        <w:tc>
          <w:tcPr>
            <w:tcW w:w="80" w:type="dxa"/>
            <w:vAlign w:val="bottom"/>
            <w:tcBorders>
              <w:bottom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-55245</wp:posOffset>
            </wp:positionV>
            <wp:extent cx="3118485" cy="75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3118485"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0" w:hanging="305"/>
        <w:spacing w:after="0" w:line="270" w:lineRule="auto"/>
        <w:tabs>
          <w:tab w:leader="none" w:pos="340" w:val="left"/>
        </w:tabs>
        <w:numPr>
          <w:ilvl w:val="0"/>
          <w:numId w:val="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Equity (income) of $(7) million, $(7) million and $(4) million and Noncontrolling interest charge of $3 million, $2 million and $3 million for the three years ended December 31, 2025, 2024 and 2023,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Non-Financing Interest Expense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Non-financing interest expense for the year ended December 31, 2025 of $248 million was $129 million higher than 2024. The increase reflects the net increase in debt, primarily reflecting borrowings in support of the Lexmark Acquisition. Also contributing to the increase is a lower debt level allocated to Xerox Financial Services, which reflects a continued reduction in the average finance receivables balance associated with the sales of finance receivables to our various funding affiliates, as well as lower originations. When non-financing interest expense is combined with financing interest expense (Cost of financing), total interest expense of $334 million increased by $109 million from the prior year, primarily reflecting higher debt and interest rates on new debt issued in 2025.</w:t>
      </w:r>
    </w:p>
    <w:p>
      <w:pPr>
        <w:spacing w:after="0" w:line="4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Non-financing interest expense for the year ended December 31, 2024 of $119 million was $51 million higher than 2023. The increase was primarily due to higher interest rates on new Senior Notes issued in 2024, lower financing debt, as well as a slightly higher average debt balance as a result of issuance of Senior Notes and promissory notes in 2024. When non-financing interest expense is combined with financing interest expense (Cost of financing), total interest expense of $225 million increased by $27 million from the prior year, primarily reflecting the impact of higher average interest rates.</w:t>
      </w:r>
    </w:p>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For the years ended December 31, 2025, 2024 and 2023, both Xerox Holdings and Xerox reported total interest expense of $334 million, $225 million and $198 million, respectively, however, the amount reported by Xerox includes interest expense of $136 million, $111 million and $80 million for the three years ended December 31, 2025, 2024 and 2023, respectively, paid to Xerox Holdings on an Intercompany Loan. The Intercompany Loan</w:t>
      </w:r>
    </w:p>
    <w:p>
      <w:pPr>
        <w:spacing w:after="0" w:line="391" w:lineRule="exact"/>
        <w:rPr>
          <w:sz w:val="20"/>
          <w:szCs w:val="20"/>
          <w:color w:val="auto"/>
        </w:rPr>
      </w:pPr>
    </w:p>
    <w:p>
      <w:pPr>
        <w:jc w:val="center"/>
        <w:ind w:right="1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48</w:t>
      </w:r>
    </w:p>
    <w:p>
      <w:pPr>
        <w:sectPr>
          <w:pgSz w:w="11880" w:h="15480" w:orient="portrait"/>
          <w:cols w:equalWidth="0" w:num="1">
            <w:col w:w="9940"/>
          </w:cols>
          <w:pgMar w:left="1060" w:top="730" w:right="880" w:bottom="0" w:gutter="0" w:footer="0" w:header="0"/>
        </w:sectPr>
      </w:pPr>
    </w:p>
    <w:bookmarkStart w:id="58" w:name="page59"/>
    <w:bookmarkEnd w:id="58"/>
    <w:p>
      <w:pPr>
        <w:jc w:val="both"/>
        <w:spacing w:after="0" w:line="276" w:lineRule="auto"/>
        <w:rPr>
          <w:sz w:val="20"/>
          <w:szCs w:val="20"/>
          <w:color w:val="auto"/>
        </w:rPr>
      </w:pPr>
      <w:r>
        <w:rPr>
          <w:rFonts w:ascii="Arial" w:cs="Arial" w:eastAsia="Arial" w:hAnsi="Arial"/>
          <w:sz w:val="19"/>
          <w:szCs w:val="19"/>
          <w:b w:val="1"/>
          <w:bCs w:val="1"/>
          <w:color w:val="auto"/>
        </w:rPr>
        <w:t>represents a loan to Xerox of the net proceeds Xerox Holdings Corporation received from its Senior Notes, which was used to repay existing debt of Xerox Corporation. Xerox's interest expense on the Intercompany Loan matches the interest expense recognized by Xerox Holdings on its Senior Notes.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Refer to Note 15 - Debt in the Consolidated Financial Statements for additional information regarding the Xerox Holdings Corporation/Xerox Corporation Intercompany Loan, our debt activity and information regarding the allocation of interest expense.</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Non-Service Retirement-Related Costs</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Non-service retirement-related costs decreased $2 million for the year ended December 31, 2025 as compared to 2024. The decrease was primarily due to the absence of settlement expense in the current year, as well as higher returns on plan assets, both of which were partially offset by costs associated with the Lexmark Acquisition.</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Non-service retirement-related costs increased $61 million for the year ended December 31, 2024 as compared to 2023.The increase primarily reflects higher interest cost associated with an increase in actuarial losses subject to amortization, higher discount rates and a decrease in the expected return on plan assets, all of which were partially offset by lower settlement losses.</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Service retirement-related costs, which are included in operating expenses, were $7 million, $6 million and $6 million for the years December 31, 2025, 2024 and 2023, respectively.</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18 - Employee Benefit Plans in the Consolidated Financial Statements for additional information regarding service and non-service retirement-related costs.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Gains on Sales of Businesses and Assets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Gains on sales of businesses and assets for the year ended December 31, 2025 was $3 million lower than 2024. For the year ended December 31, 2024 gains on sales of businesses and assets was $31 million lower than 2023 reflecting lower sales of non-core surplus business assets in 2024, as compared to 2023.</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Currency Losses, Net</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Currency losses, net of $12 million for the year ended December 31, 2025 were $3 million lower as compared to 2024 primarily reflecting the sales of our direct business operations in Argentina, Chile &amp; Peru in 2024, partially offset by the Lexmark Acquisition.</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Currency losses, net of $15 million for the year ended December 31, 2024 were $13 million lower as compared to 2023 primarily due to the sale of our direct business operations in Argentina in 2024, as well as of the sale our Russian subsidiary in 2023</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16 - Financial Instruments in the Consolidated Financial Statements for additional information regarding our foreign currency derivatives.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Litigation Matters</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2025 reflects legal fees and related expenses associated with various litigation and dispute matters which arise in the ordinary course of business.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Loss (Gain) on Early Extinguishment of Debt</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During 2025, we recorded a $5 million loss reflecting the write-off of deferred debt issuance costs and unamortized discount, as well as other extinguishment costs related to the repayment of Senior Notes.</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During 2024, we recorded a $(4) million (gain) on the repayment of Senior Notes (through a tender offer), partially offset by a loss of approximately $2 million on the write-off of deferred debt issuance costs</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During 2023, we recorded losses of $10 million on the extinguishment of debt related to the early repayment on secured borrowings, the termination of our $250 million Credit Facility prior to entering into the new 5-year Asset Based Lending Facility (ABL), and the write-off of deferred debt issuance costs associated with the early extinguishment of the $555 million Bridge Loan Facility, that was replaced with the Term Loan B facility.</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15 - Debt in the Consolidated Financial Statements for additional information regarding our Senior Notes and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49</w:t>
      </w:r>
    </w:p>
    <w:p>
      <w:pPr>
        <w:sectPr>
          <w:pgSz w:w="11880" w:h="15480" w:orient="portrait"/>
          <w:cols w:equalWidth="0" w:num="1">
            <w:col w:w="9940"/>
          </w:cols>
          <w:pgMar w:left="1060" w:top="736" w:right="880" w:bottom="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color w:val="DA2031"/>
        </w:rPr>
        <w:t>Forfeitures from defined contribution plan</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During 2025, we established a $10 million pension asset resulting from employee forfeitures impacting one of our defined contribution plans in Latin America. This asset will be used to offset future employer contributions to the plan.</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Commitment fee expenses</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Commitment fee expenses for the year ended December 31, 2025 primarily reflects fees associated with financing transactions related to the Lexmark Acquisition.</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Transaction and related costs, net</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2024 activity reflects the insurance proceeds related to a legal settlement, for the reimbursement of certain legal and other professional costs, associated with a past potential merger.</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Excess Contribution Refund</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During 2023, we received a refund reflecting the return of excess employer contributions to a defined contribution plan for one of our Latin American subsidiaries as a result of employee forfeitures. The excess contributions had accumulated over the past 20 plus years.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Tax Indemnification - Conduent</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credit of $7 million for the year ended December 31, 2023 represents the reversal of a payable to Conduent of an IRS refund Xerox was expected to receive with the settlement of a pre-separation unrecognized tax position. The matter was resolved during the third quarter 2023 and both the receivable from the IRS and the payable to Conduent were no longer required. The reversal of the offsetting IRS refund receivable is recorded as a charge in Income tax benefit.</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Pre-tax (Loss) Margin</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Pre-tax (loss) margin for the year ended December 31, 2025 of (6.9)% decreased 12.6-percentage points from the pre-tax (loss) margin of (19.5)% in 2024 and included a 0.7-percentage point benefit from ITsavvy and a 1.0-percentage point adverse impact from the Lexmark Acquisition. The improvement for the year ended December 31, 2025 is primarily due to the pre-tax non-cash goodwill impairment charge of $1,058 million in the third quarter 2024, as well as benefits associated with Reinvention-related cost and productivity actions, recent pricing initiatives, lower Restructuring and related costs, net, as well as lower incentive compensation and benefits costs. In addition, the prior year reflected the sales of certain direct business operations in Latin America, resulting in a net disposal loss of $51 million. These benefits were partially offset by higher Other expenses, net, which included higher non-financing interest expense related to recently completed borrowings in support of the Lexmark Acquisition, as well as commitment fees associated with those debt offerings and insurance proceeds related to a legal settlement 2024. In addition, SAG increased due to the Lexmark Acquisition and ITsavvy, including post-acquisition expenses, as did RD&amp;E. Lower gross margin included the adverse impacts related to the Lexmark Acquisition, unfavorable product mix, the impact of product cost increases and incremental tariff-related costs. On a pro forma</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basis pre-tax (loss) margin improved by 12.6-percentage points mainly due to the impacts noted above.</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Pre-tax (loss) margin for the year ended December 31, 2024 of (19.5)% increased 19.1-percentage points from the pre-tax (loss) margin of (0.4)% in 2023. The increase in pre-tax (loss) margin was primarily due to the pre-tax non-cash Goodwill impairment charge of $1,058 million, which was recorded during third quarter 2024. In addition, the pre-tax (loss) margin also reflects lower revenues and associated gross profit, including the intentional reduction of non-strategic revenue, the divestitures of certain direct business operations in Latin America, the exit of certain production print manufacturing operations, as well as higher Amortization of intangible assets, and higher Other expense, net. These impacts were partially offset by the PARC donation charge in 2023, as well as lower Selling, administrative and general expenses, lower Restructuring and related costs, net, and lower RD&amp;E expenses.</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Adjusted</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operating margin for the year ended December 31, 2025 of 3.5% decreased 1.4-percentage points as compared to 2024 which included an approximate 1.0-percentage point benefit from the Lexmark Acquisition and an approximate 0.4-percentage point benefit from ITsavvy. Excluding these acquisitions, the decrease reflects lower gross margin, due to unfavorable revenue mix, product cost increases and incremental tariff-related costs. These impacts were partially offset by productivity and cost savings related to the Company's Reinvention, lower incentive compensation and benefits expenses, as well as price increases. On a pro forma</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basis adjusted</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operating margin for the year ended December 31, 2025 of 4.3% decreased by 2.1-percentage points due primarily to the impacts noted above, as well as from the Lexmark Acquisition and ITsavvy.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50</w:t>
      </w:r>
    </w:p>
    <w:p>
      <w:pPr>
        <w:sectPr>
          <w:pgSz w:w="11880" w:h="15480" w:orient="portrait"/>
          <w:cols w:equalWidth="0" w:num="1">
            <w:col w:w="9940"/>
          </w:cols>
          <w:pgMar w:left="1060" w:top="735" w:right="880" w:bottom="0" w:gutter="0" w:footer="0" w:header="0"/>
        </w:sectPr>
      </w:pPr>
    </w:p>
    <w:bookmarkStart w:id="60" w:name="page61"/>
    <w:bookmarkEnd w:id="60"/>
    <w:p>
      <w:pPr>
        <w:jc w:val="both"/>
        <w:ind w:left="9"/>
        <w:spacing w:after="0" w:line="256" w:lineRule="auto"/>
        <w:rPr>
          <w:sz w:val="20"/>
          <w:szCs w:val="20"/>
          <w:color w:val="auto"/>
        </w:rPr>
      </w:pPr>
      <w:r>
        <w:rPr>
          <w:rFonts w:ascii="Arial" w:cs="Arial" w:eastAsia="Arial" w:hAnsi="Arial"/>
          <w:sz w:val="19"/>
          <w:szCs w:val="19"/>
          <w:b w:val="1"/>
          <w:bCs w:val="1"/>
          <w:color w:val="auto"/>
        </w:rPr>
        <w:t>Adjusted</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operating margin for the year ended December 31, 2024 of 4.9% decreased 0.7-percentage points as compared to 2023. The decrease primarily reflects lower revenue and lower gross profit, which reflected reductions in non-strategic revenue and the effects of Reinvention actions, higher transportation and product costs, an unfavorable equipment mix, and lower print volumes, as well as the termination of Fuji royalty income, and higher bad debt expense. These impacts were partially offset by lower Selling, administrative and general expenses, including lower incentive compensation expenses, and the benefits from Reinvention related cost and productivity actions, benefits from the strategic decision to donate PARC in 2023, and the spin-off, exit, or shutdown of certain other RD&amp;E related activities or businesses</w:t>
      </w:r>
    </w:p>
    <w:p>
      <w:pPr>
        <w:spacing w:after="0" w:line="1" w:lineRule="exact"/>
        <w:rPr>
          <w:sz w:val="20"/>
          <w:szCs w:val="20"/>
          <w:color w:val="auto"/>
        </w:rPr>
      </w:pPr>
    </w:p>
    <w:p>
      <w:pPr>
        <w:ind w:left="4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tabs>
          <w:tab w:leader="none" w:pos="349"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Adjusted Operating Income and Margin reconciliation table in the "Non-GAAP Financial Measures" section.</w:t>
      </w:r>
    </w:p>
    <w:p>
      <w:pPr>
        <w:spacing w:after="0" w:line="2" w:lineRule="exact"/>
        <w:rPr>
          <w:rFonts w:ascii="Arial" w:cs="Arial" w:eastAsia="Arial" w:hAnsi="Arial"/>
          <w:sz w:val="16"/>
          <w:szCs w:val="16"/>
          <w:b w:val="1"/>
          <w:bCs w:val="1"/>
          <w:i w:val="1"/>
          <w:iCs w:val="1"/>
          <w:color w:val="auto"/>
        </w:rPr>
      </w:pPr>
    </w:p>
    <w:p>
      <w:pPr>
        <w:ind w:left="349" w:right="60" w:hanging="349"/>
        <w:spacing w:after="0" w:line="270" w:lineRule="auto"/>
        <w:tabs>
          <w:tab w:leader="none" w:pos="349" w:val="left"/>
        </w:tabs>
        <w:numPr>
          <w:ilvl w:val="0"/>
          <w:numId w:val="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Income Taxes</w:t>
      </w:r>
    </w:p>
    <w:p>
      <w:pPr>
        <w:spacing w:after="0" w:line="137"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Xerox operations are widely dispersed. Our effective tax rate is based on our geographical mix of earnings as well as both recurring and nonrecurring events, including the taxation of foreign income. As a result of these factors, which may not be predictable, and our ability to benefit from current year’s losses, our effective tax rate may change.</w:t>
      </w:r>
    </w:p>
    <w:p>
      <w:pPr>
        <w:spacing w:after="0" w:line="49" w:lineRule="exact"/>
        <w:rPr>
          <w:sz w:val="20"/>
          <w:szCs w:val="20"/>
          <w:color w:val="auto"/>
        </w:rPr>
      </w:pPr>
    </w:p>
    <w:p>
      <w:pPr>
        <w:jc w:val="both"/>
        <w:ind w:left="9"/>
        <w:spacing w:after="0" w:line="284" w:lineRule="auto"/>
        <w:rPr>
          <w:sz w:val="20"/>
          <w:szCs w:val="20"/>
          <w:color w:val="auto"/>
        </w:rPr>
      </w:pPr>
      <w:r>
        <w:rPr>
          <w:rFonts w:ascii="Arial" w:cs="Arial" w:eastAsia="Arial" w:hAnsi="Arial"/>
          <w:sz w:val="18"/>
          <w:szCs w:val="18"/>
          <w:b w:val="1"/>
          <w:bCs w:val="1"/>
          <w:color w:val="auto"/>
        </w:rPr>
        <w:t>The 2025 effective tax rate was (110.9)% and resulted in a tax expense, primarily due to the establishment of a valuation allowance on certain deferred tax assets, as well the inability to benefit from certain current year losses. Excluding the establishment of a valuation allowance our effective tax rate was (0.6)%. On an adjusted</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basis, the 2025 effective tax rate was 1,340.0%. Both these rates were higher than the U.S. federal statutory tax rate of 21.0% primarily due to the inability to benefit from certain current year losses, and the geographical mix of earnings.</w:t>
      </w:r>
    </w:p>
    <w:p>
      <w:pPr>
        <w:spacing w:after="0" w:line="36" w:lineRule="exact"/>
        <w:rPr>
          <w:sz w:val="20"/>
          <w:szCs w:val="20"/>
          <w:color w:val="auto"/>
        </w:rPr>
      </w:pPr>
    </w:p>
    <w:p>
      <w:pPr>
        <w:jc w:val="both"/>
        <w:ind w:left="9"/>
        <w:spacing w:after="0" w:line="300" w:lineRule="auto"/>
        <w:rPr>
          <w:sz w:val="20"/>
          <w:szCs w:val="20"/>
          <w:color w:val="auto"/>
        </w:rPr>
      </w:pPr>
      <w:r>
        <w:rPr>
          <w:rFonts w:ascii="Arial" w:cs="Arial" w:eastAsia="Arial" w:hAnsi="Arial"/>
          <w:sz w:val="17"/>
          <w:szCs w:val="17"/>
          <w:b w:val="1"/>
          <w:bCs w:val="1"/>
          <w:color w:val="auto"/>
        </w:rPr>
        <w:t>The 2024 effective tax rate was (8.6)%. Excluding the tax impacts for the goodwill impairment charge and the establishment of a valuation allowance on certain deferred tax assets, the rate was 13.3%. This rate was lower than the U.S. federal statutory tax rate of 21% primarily due to the geographical mix of earnings, partially offset by the tax benefit associated with the redetermination of certain unrecognized tax positions. On an adjusted</w:t>
      </w:r>
      <w:r>
        <w:rPr>
          <w:rFonts w:ascii="Arial" w:cs="Arial" w:eastAsia="Arial" w:hAnsi="Arial"/>
          <w:sz w:val="11"/>
          <w:szCs w:val="11"/>
          <w:b w:val="1"/>
          <w:bCs w:val="1"/>
          <w:color w:val="auto"/>
        </w:rPr>
        <w:t>1</w:t>
      </w:r>
      <w:r>
        <w:rPr>
          <w:rFonts w:ascii="Arial" w:cs="Arial" w:eastAsia="Arial" w:hAnsi="Arial"/>
          <w:sz w:val="17"/>
          <w:szCs w:val="17"/>
          <w:b w:val="1"/>
          <w:bCs w:val="1"/>
          <w:color w:val="auto"/>
        </w:rPr>
        <w:t xml:space="preserve"> basis, the 2024 effective tax rate was 26.6%, which was higher than the U.S. federal statutory tax rate of 21% primarily due to the geographical mix of adjusted earnings, partially offset by the redetermination of certain unrecognized tax positions.</w:t>
      </w:r>
    </w:p>
    <w:p>
      <w:pPr>
        <w:spacing w:after="0" w:line="28" w:lineRule="exact"/>
        <w:rPr>
          <w:sz w:val="20"/>
          <w:szCs w:val="20"/>
          <w:color w:val="auto"/>
        </w:rPr>
      </w:pPr>
    </w:p>
    <w:p>
      <w:pPr>
        <w:jc w:val="both"/>
        <w:ind w:left="9"/>
        <w:spacing w:after="0" w:line="264" w:lineRule="auto"/>
        <w:rPr>
          <w:sz w:val="20"/>
          <w:szCs w:val="20"/>
          <w:color w:val="auto"/>
        </w:rPr>
      </w:pPr>
      <w:r>
        <w:rPr>
          <w:rFonts w:ascii="Arial" w:cs="Arial" w:eastAsia="Arial" w:hAnsi="Arial"/>
          <w:sz w:val="19"/>
          <w:szCs w:val="19"/>
          <w:b w:val="1"/>
          <w:bCs w:val="1"/>
          <w:color w:val="auto"/>
        </w:rPr>
        <w:t>The 2023 effective tax rate was 103.6% and includes the loss on the PARC donation as well as the associated tax benefits. Excluding this impact, the effective tax rate was 10.6%. On an adjusted</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the 2023 effective tax rate was 14.6%. Both rates were lower than the U.S. federal statutory tax rate of 21% primarily due to the tax benefits related to the redetermination of certain unrecognized tax positions upon the conclusion of several audits, as well as the remeasurement of deferred tax assets and change in tax filing positions, partially offset by the geographical mix of earnings.</w:t>
      </w:r>
    </w:p>
    <w:p>
      <w:pPr>
        <w:spacing w:after="0" w:line="52" w:lineRule="exact"/>
        <w:rPr>
          <w:sz w:val="20"/>
          <w:szCs w:val="20"/>
          <w:color w:val="auto"/>
        </w:rPr>
      </w:pPr>
    </w:p>
    <w:p>
      <w:pPr>
        <w:jc w:val="both"/>
        <w:ind w:left="9"/>
        <w:spacing w:after="0" w:line="327" w:lineRule="auto"/>
        <w:rPr>
          <w:sz w:val="20"/>
          <w:szCs w:val="20"/>
          <w:color w:val="auto"/>
        </w:rPr>
      </w:pPr>
      <w:r>
        <w:rPr>
          <w:rFonts w:ascii="Arial" w:cs="Arial" w:eastAsia="Arial" w:hAnsi="Arial"/>
          <w:sz w:val="18"/>
          <w:szCs w:val="18"/>
          <w:b w:val="1"/>
          <w:bCs w:val="1"/>
          <w:color w:val="auto"/>
        </w:rPr>
        <w:t>Refer to Note 19 - Income and Other Taxes in the Consolidated Financial Statements for additional information regarding the geographic mix of income before taxes and the related impacts on our effective tax rate.</w:t>
      </w:r>
    </w:p>
    <w:p>
      <w:pPr>
        <w:spacing w:after="0" w:line="1" w:lineRule="exact"/>
        <w:rPr>
          <w:sz w:val="20"/>
          <w:szCs w:val="20"/>
          <w:color w:val="auto"/>
        </w:rPr>
      </w:pPr>
    </w:p>
    <w:p>
      <w:pPr>
        <w:ind w:left="4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tabs>
          <w:tab w:leader="none" w:pos="349" w:val="left"/>
        </w:tabs>
        <w:numPr>
          <w:ilvl w:val="0"/>
          <w:numId w:val="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Adjusted Effective Tax Rate reconciliation table in the "Non-GAAP Financial Measures"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51</w:t>
      </w:r>
    </w:p>
    <w:p>
      <w:pPr>
        <w:sectPr>
          <w:pgSz w:w="11880" w:h="15480" w:orient="portrait"/>
          <w:cols w:equalWidth="0" w:num="1">
            <w:col w:w="9949"/>
          </w:cols>
          <w:pgMar w:left="1051" w:top="736" w:right="880" w:bottom="0" w:gutter="0" w:footer="0" w:header="0"/>
        </w:sectPr>
      </w:pPr>
    </w:p>
    <w:bookmarkStart w:id="61" w:name="page62"/>
    <w:bookmarkEnd w:id="61"/>
    <w:p>
      <w:pPr>
        <w:ind w:left="9"/>
        <w:spacing w:after="0"/>
        <w:rPr>
          <w:sz w:val="20"/>
          <w:szCs w:val="20"/>
          <w:color w:val="auto"/>
        </w:rPr>
      </w:pPr>
      <w:r>
        <w:rPr>
          <w:rFonts w:ascii="Arial" w:cs="Arial" w:eastAsia="Arial" w:hAnsi="Arial"/>
          <w:sz w:val="21"/>
          <w:szCs w:val="21"/>
          <w:b w:val="1"/>
          <w:bCs w:val="1"/>
          <w:color w:val="DA2031"/>
        </w:rPr>
        <w:t>Net (Loss) Income</w:t>
      </w:r>
    </w:p>
    <w:p>
      <w:pPr>
        <w:spacing w:after="0" w:line="137" w:lineRule="exact"/>
        <w:rPr>
          <w:sz w:val="20"/>
          <w:szCs w:val="20"/>
          <w:color w:val="auto"/>
        </w:rPr>
      </w:pPr>
    </w:p>
    <w:p>
      <w:pPr>
        <w:jc w:val="both"/>
        <w:ind w:left="9"/>
        <w:spacing w:after="0" w:line="264" w:lineRule="auto"/>
        <w:rPr>
          <w:sz w:val="20"/>
          <w:szCs w:val="20"/>
          <w:color w:val="auto"/>
        </w:rPr>
      </w:pPr>
      <w:r>
        <w:rPr>
          <w:rFonts w:ascii="Arial" w:cs="Arial" w:eastAsia="Arial" w:hAnsi="Arial"/>
          <w:sz w:val="19"/>
          <w:szCs w:val="19"/>
          <w:b w:val="1"/>
          <w:bCs w:val="1"/>
          <w:color w:val="auto"/>
        </w:rPr>
        <w:t>Net (loss) for the year ended December 31, 2025 was $(1,029) million, or $(8.25) per diluted share, which included tax expense charges of $537 million, or $4.26 per diluted share, related to the establishment of a valuation allowance against certain deferred tax assets to reflect their realizability, as well as an inventory-related purchase accounting adjustment, related to the Lexmark Acquisition, of $85 million ($102 million pre-tax) or $0.67 per diluted share. On an adjusted</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Net (loss) for the year ended December 31, 2025 was $(62) million, or $(0.60) per diluted share.</w:t>
      </w:r>
    </w:p>
    <w:p>
      <w:pPr>
        <w:spacing w:after="0" w:line="52" w:lineRule="exact"/>
        <w:rPr>
          <w:sz w:val="20"/>
          <w:szCs w:val="20"/>
          <w:color w:val="auto"/>
        </w:rPr>
      </w:pPr>
    </w:p>
    <w:p>
      <w:pPr>
        <w:jc w:val="both"/>
        <w:ind w:left="9"/>
        <w:spacing w:after="0" w:line="261" w:lineRule="auto"/>
        <w:rPr>
          <w:sz w:val="20"/>
          <w:szCs w:val="20"/>
          <w:color w:val="auto"/>
        </w:rPr>
      </w:pPr>
      <w:r>
        <w:rPr>
          <w:rFonts w:ascii="Arial" w:cs="Arial" w:eastAsia="Arial" w:hAnsi="Arial"/>
          <w:sz w:val="19"/>
          <w:szCs w:val="19"/>
          <w:b w:val="1"/>
          <w:bCs w:val="1"/>
          <w:color w:val="auto"/>
        </w:rPr>
        <w:t>Net (loss) for the year ended December 31, 2024 was $(1,321) million, or $(10.75) per diluted share, which included an after-tax Reinvention-related charge of $100 million ($129 million pre-tax), or $0.81 per diluted share, an after-tax non-cash goodwill impairment charge of $1,015 million ($1,058 million pre-tax), or $8.17 per share, an after-tax write-off of intangibles of $28 million ($37 million pre-tax), or $0.22 per share, an after-tax Reinvention and transaction-related costs, net of $15 million ($19 million pre-tax), or $0.12 per share, and a tax expense charge of $161 million, or $1.30 per share related to the establishment of a valuation allowance against certain deferred tax assets to reflect their realizability. On an adjusted</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Net income the year ended December 31, 2024 was $135 million, or $0.97 per diluted share.</w:t>
      </w:r>
    </w:p>
    <w:p>
      <w:pPr>
        <w:spacing w:after="0" w:line="59"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b w:val="1"/>
          <w:bCs w:val="1"/>
          <w:color w:val="auto"/>
        </w:rPr>
        <w:t>Net income for the year ended December 31, 2023 was $1 million, or $(0.09) per diluted share, which included the after-tax PARC donation charge of $92 million (pre-tax charge of $132 million) or $0.58 per diluted share, and after-tax Restructuring and related costs, net charge of $78 million ($104 million pre-tax), or $0.52 per share, related to the Reinvention-related workforce reduction. On an adjusted</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Net income was $287 million, or $1.82 per diluted share.</w:t>
      </w:r>
    </w:p>
    <w:p>
      <w:pPr>
        <w:spacing w:after="0" w:line="50" w:lineRule="exact"/>
        <w:rPr>
          <w:sz w:val="20"/>
          <w:szCs w:val="20"/>
          <w:color w:val="auto"/>
        </w:rPr>
      </w:pPr>
    </w:p>
    <w:p>
      <w:pPr>
        <w:jc w:val="both"/>
        <w:ind w:left="9"/>
        <w:spacing w:after="0" w:line="257" w:lineRule="auto"/>
        <w:rPr>
          <w:sz w:val="20"/>
          <w:szCs w:val="20"/>
          <w:color w:val="auto"/>
        </w:rPr>
      </w:pPr>
      <w:r>
        <w:rPr>
          <w:rFonts w:ascii="Arial" w:cs="Arial" w:eastAsia="Arial" w:hAnsi="Arial"/>
          <w:sz w:val="19"/>
          <w:szCs w:val="19"/>
          <w:b w:val="1"/>
          <w:bCs w:val="1"/>
          <w:color w:val="auto"/>
        </w:rPr>
        <w:t>Refer to Note 25 - Loss per Share in the Consolidated Financial Statements, for additional information regarding the calculation of basic and diluted loss per share.</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tabs>
          <w:tab w:leader="none" w:pos="349"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Adjusted Net (Loss) Income and EPS reconciliation table in the "Non-GAAP Financial Measures" section.</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Other Comprehensive Loss, Net</w:t>
      </w:r>
    </w:p>
    <w:p>
      <w:pPr>
        <w:spacing w:after="0" w:line="118" w:lineRule="exact"/>
        <w:rPr>
          <w:sz w:val="20"/>
          <w:szCs w:val="20"/>
          <w:color w:val="auto"/>
        </w:rPr>
      </w:pPr>
    </w:p>
    <w:p>
      <w:pPr>
        <w:jc w:val="both"/>
        <w:ind w:left="9"/>
        <w:spacing w:after="0" w:line="264" w:lineRule="auto"/>
        <w:rPr>
          <w:sz w:val="20"/>
          <w:szCs w:val="20"/>
          <w:color w:val="auto"/>
        </w:rPr>
      </w:pPr>
      <w:r>
        <w:rPr>
          <w:rFonts w:ascii="Arial" w:cs="Arial" w:eastAsia="Arial" w:hAnsi="Arial"/>
          <w:sz w:val="19"/>
          <w:szCs w:val="19"/>
          <w:b w:val="1"/>
          <w:bCs w:val="1"/>
          <w:color w:val="auto"/>
        </w:rPr>
        <w:t>Other comprehensive income, net was $388 million in 2025 and included the following: i) $305 million of net translation adjustment gains reflecting the strengthening of our major foreign currencies against the U.S. Dollar during 2025; ii) $93 million of net gains from the changes in defined benefit plans primarily due to actuarial gains as a result of higher than expected returns on equity investments, the amortization of actuarial losses partially offset by lower settlement expense, partially offset by the adverse impact of currency; and iii) $10 million in unrealized losses, net.</w:t>
      </w:r>
    </w:p>
    <w:p>
      <w:pPr>
        <w:spacing w:after="0" w:line="52" w:lineRule="exact"/>
        <w:rPr>
          <w:sz w:val="20"/>
          <w:szCs w:val="20"/>
          <w:color w:val="auto"/>
        </w:rPr>
      </w:pPr>
    </w:p>
    <w:p>
      <w:pPr>
        <w:jc w:val="both"/>
        <w:ind w:left="9"/>
        <w:spacing w:after="0" w:line="281" w:lineRule="auto"/>
        <w:rPr>
          <w:sz w:val="20"/>
          <w:szCs w:val="20"/>
          <w:color w:val="auto"/>
        </w:rPr>
      </w:pPr>
      <w:r>
        <w:rPr>
          <w:rFonts w:ascii="Arial" w:cs="Arial" w:eastAsia="Arial" w:hAnsi="Arial"/>
          <w:sz w:val="18"/>
          <w:szCs w:val="18"/>
          <w:b w:val="1"/>
          <w:bCs w:val="1"/>
          <w:color w:val="auto"/>
        </w:rPr>
        <w:t>Other comprehensive loss, net was $23 million in 2024 and included the following: i) $120 million of net translation adjustment losses reflecting the weakening of our major foreign currencies against the U.S. Dollar during 2024; ii) $88 million of net gains from the changes in defined benefit plans primarily due to actuarial gains as a result of an increase in discount rates, the amortization of actuarial losses partially offset by lower settlement expense as a result of a change during 2024 to pension plans in the U.S. restricting the lump-sum election to 50% of a participant's benefit obligation, as well as the positive impact of currency; and iii) $9 million in unrealized gains, net</w:t>
      </w:r>
    </w:p>
    <w:p>
      <w:pPr>
        <w:spacing w:after="0" w:line="40" w:lineRule="exact"/>
        <w:rPr>
          <w:sz w:val="20"/>
          <w:szCs w:val="20"/>
          <w:color w:val="auto"/>
        </w:rPr>
      </w:pPr>
    </w:p>
    <w:p>
      <w:pPr>
        <w:jc w:val="both"/>
        <w:ind w:left="9"/>
        <w:spacing w:after="0" w:line="264" w:lineRule="auto"/>
        <w:rPr>
          <w:sz w:val="20"/>
          <w:szCs w:val="20"/>
          <w:color w:val="auto"/>
        </w:rPr>
      </w:pPr>
      <w:r>
        <w:rPr>
          <w:rFonts w:ascii="Arial" w:cs="Arial" w:eastAsia="Arial" w:hAnsi="Arial"/>
          <w:sz w:val="19"/>
          <w:szCs w:val="19"/>
          <w:b w:val="1"/>
          <w:bCs w:val="1"/>
          <w:color w:val="auto"/>
        </w:rPr>
        <w:t>Other comprehensive loss, net was $139 million in 2023 and included the following: i) $331 million of net losses from the changes in defined benefit plans primarily due to actuarial losses as a result of a decrease in discount rates and lower asset returns as compared to expected returns, as well as the negative impact of currency, partially offset by the amortization of actuarial losses and settlement losses; ii) $191 million of net translation adjustment gains reflecting the strengthening of most of our major foreign currencies against the U.S. Dollar during 2023; and iii) $1 million in unrealized gains, net.</w:t>
      </w:r>
    </w:p>
    <w:p>
      <w:pPr>
        <w:spacing w:after="0" w:line="52"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b w:val="1"/>
          <w:bCs w:val="1"/>
          <w:color w:val="auto"/>
        </w:rPr>
        <w:t>Refer to our discussion of Pension Plan Assumptions in the Application of Critical Accounting Estimates section of the MD&amp;A as well as Note 18 - Employee Benefit Plans in the Consolidated Financial Statements for additional information regarding changes in our defined benefit plans. Refer to Note 16 - Financial Instruments in the Consolidated Financial Statements for additional information regarding our foreign currency derivatives and associated unrealized gains and losses.</w:t>
      </w:r>
    </w:p>
    <w:p>
      <w:pPr>
        <w:spacing w:after="0" w:line="6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Recent Accounting Pronouncements</w:t>
      </w:r>
    </w:p>
    <w:p>
      <w:pPr>
        <w:spacing w:after="0" w:line="118" w:lineRule="exact"/>
        <w:rPr>
          <w:sz w:val="20"/>
          <w:szCs w:val="20"/>
          <w:color w:val="auto"/>
        </w:rPr>
      </w:pPr>
    </w:p>
    <w:p>
      <w:pPr>
        <w:jc w:val="both"/>
        <w:ind w:left="9"/>
        <w:spacing w:after="0" w:line="276" w:lineRule="auto"/>
        <w:rPr>
          <w:sz w:val="20"/>
          <w:szCs w:val="20"/>
          <w:color w:val="auto"/>
        </w:rPr>
      </w:pPr>
      <w:r>
        <w:rPr>
          <w:rFonts w:ascii="Arial" w:cs="Arial" w:eastAsia="Arial" w:hAnsi="Arial"/>
          <w:sz w:val="19"/>
          <w:szCs w:val="19"/>
          <w:b w:val="1"/>
          <w:bCs w:val="1"/>
          <w:color w:val="auto"/>
        </w:rPr>
        <w:t>Refer to Note 2 - Recent Accounting Pronouncements and Summary of Significant Accounting Policies in the Consolidated Financial Statements for a description of recent accounting pronouncements including the respective dates of adoption and the effects on results of operations and financial conditions.</w:t>
      </w:r>
    </w:p>
    <w:p>
      <w:pPr>
        <w:sectPr>
          <w:pgSz w:w="11880" w:h="15480" w:orient="portrait"/>
          <w:cols w:equalWidth="0" w:num="1">
            <w:col w:w="9949"/>
          </w:cols>
          <w:pgMar w:left="1051" w:top="59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52</w:t>
      </w:r>
    </w:p>
    <w:p>
      <w:pPr>
        <w:sectPr>
          <w:pgSz w:w="11880" w:h="15480" w:orient="portrait"/>
          <w:cols w:equalWidth="0" w:num="1">
            <w:col w:w="9949"/>
          </w:cols>
          <w:pgMar w:left="1051" w:top="599" w:right="880" w:bottom="0" w:gutter="0" w:footer="0" w:header="0"/>
          <w:type w:val="continuous"/>
        </w:sectPr>
      </w:pPr>
    </w:p>
    <w:bookmarkStart w:id="62" w:name="page63"/>
    <w:bookmarkEnd w:id="62"/>
    <w:p>
      <w:pPr>
        <w:ind w:left="9"/>
        <w:spacing w:after="0"/>
        <w:rPr>
          <w:sz w:val="20"/>
          <w:szCs w:val="20"/>
          <w:color w:val="auto"/>
        </w:rPr>
      </w:pPr>
      <w:r>
        <w:rPr>
          <w:rFonts w:ascii="Arial" w:cs="Arial" w:eastAsia="Arial" w:hAnsi="Arial"/>
          <w:sz w:val="23"/>
          <w:szCs w:val="23"/>
          <w:b w:val="1"/>
          <w:bCs w:val="1"/>
          <w:color w:val="DA2031"/>
        </w:rPr>
        <w:t>Reportable Segments</w:t>
      </w:r>
    </w:p>
    <w:p>
      <w:pPr>
        <w:spacing w:after="0" w:line="143" w:lineRule="exact"/>
        <w:rPr>
          <w:sz w:val="20"/>
          <w:szCs w:val="20"/>
          <w:color w:val="auto"/>
        </w:rPr>
      </w:pPr>
    </w:p>
    <w:p>
      <w:pPr>
        <w:jc w:val="both"/>
        <w:ind w:left="9" w:right="80"/>
        <w:spacing w:after="0" w:line="282" w:lineRule="auto"/>
        <w:rPr>
          <w:sz w:val="20"/>
          <w:szCs w:val="20"/>
          <w:color w:val="auto"/>
        </w:rPr>
      </w:pPr>
      <w:r>
        <w:rPr>
          <w:rFonts w:ascii="Arial" w:cs="Arial" w:eastAsia="Arial" w:hAnsi="Arial"/>
          <w:sz w:val="19"/>
          <w:szCs w:val="19"/>
          <w:b w:val="1"/>
          <w:bCs w:val="1"/>
          <w:color w:val="auto"/>
        </w:rPr>
        <w:t xml:space="preserve">Our business is organized to ensure we focus on efficiently managing operations while serving our customers and the markets in which we operate. We have two operating and reportable segments – </w:t>
      </w:r>
      <w:r>
        <w:rPr>
          <w:rFonts w:ascii="Arial" w:cs="Arial" w:eastAsia="Arial" w:hAnsi="Arial"/>
          <w:sz w:val="19"/>
          <w:szCs w:val="19"/>
          <w:b w:val="1"/>
          <w:bCs w:val="1"/>
          <w:color w:val="DA2031"/>
        </w:rPr>
        <w:t>Print and Other</w:t>
      </w:r>
      <w:r>
        <w:rPr>
          <w:rFonts w:ascii="Arial" w:cs="Arial" w:eastAsia="Arial" w:hAnsi="Arial"/>
          <w:sz w:val="19"/>
          <w:szCs w:val="19"/>
          <w:b w:val="1"/>
          <w:bCs w:val="1"/>
          <w:color w:val="auto"/>
        </w:rPr>
        <w:t xml:space="preserve"> and </w:t>
      </w:r>
      <w:r>
        <w:rPr>
          <w:rFonts w:ascii="Arial" w:cs="Arial" w:eastAsia="Arial" w:hAnsi="Arial"/>
          <w:sz w:val="19"/>
          <w:szCs w:val="19"/>
          <w:b w:val="1"/>
          <w:bCs w:val="1"/>
          <w:color w:val="DA2031"/>
        </w:rPr>
        <w:t>IT</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DA2031"/>
        </w:rPr>
        <w:t>Solutions.</w:t>
      </w:r>
    </w:p>
    <w:p>
      <w:pPr>
        <w:spacing w:after="0" w:line="25" w:lineRule="exact"/>
        <w:rPr>
          <w:sz w:val="20"/>
          <w:szCs w:val="20"/>
          <w:color w:val="auto"/>
        </w:rPr>
      </w:pPr>
    </w:p>
    <w:p>
      <w:pPr>
        <w:jc w:val="both"/>
        <w:ind w:left="9" w:right="80"/>
        <w:spacing w:after="0" w:line="298" w:lineRule="auto"/>
        <w:rPr>
          <w:sz w:val="20"/>
          <w:szCs w:val="20"/>
          <w:color w:val="auto"/>
        </w:rPr>
      </w:pPr>
      <w:r>
        <w:rPr>
          <w:rFonts w:ascii="Arial" w:cs="Arial" w:eastAsia="Arial" w:hAnsi="Arial"/>
          <w:sz w:val="19"/>
          <w:szCs w:val="19"/>
          <w:b w:val="1"/>
          <w:bCs w:val="1"/>
          <w:color w:val="auto"/>
        </w:rPr>
        <w:t>Refer to Note 4 - Segment and Geographic Area Reporting in the Consolidated Financial Statements for additional information regarding our reportable segments.</w:t>
      </w:r>
    </w:p>
    <w:p>
      <w:pPr>
        <w:spacing w:after="0" w:line="3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Segment Review</w:t>
      </w:r>
    </w:p>
    <w:p>
      <w:pPr>
        <w:spacing w:after="0" w:line="381" w:lineRule="exact"/>
        <w:rPr>
          <w:sz w:val="20"/>
          <w:szCs w:val="20"/>
          <w:color w:val="auto"/>
        </w:rPr>
      </w:pPr>
    </w:p>
    <w:tbl>
      <w:tblPr>
        <w:tblLayout w:type="fixed"/>
        <w:tblInd w:w="9" w:type="dxa"/>
        <w:tblCellMar>
          <w:top w:w="0" w:type="dxa"/>
          <w:left w:w="0" w:type="dxa"/>
          <w:bottom w:w="0" w:type="dxa"/>
          <w:right w:w="0" w:type="dxa"/>
        </w:tblCellMar>
      </w:tblPr>
      <w:tr>
        <w:trPr>
          <w:trHeight w:val="208"/>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6"/>
                <w:szCs w:val="16"/>
                <w:b w:val="1"/>
                <w:bCs w:val="1"/>
                <w:color w:val="auto"/>
                <w:w w:val="94"/>
              </w:rPr>
              <w:t>Year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82"/>
              <w:spacing w:after="0" w:line="166" w:lineRule="exact"/>
              <w:rPr>
                <w:sz w:val="20"/>
                <w:szCs w:val="20"/>
                <w:color w:val="auto"/>
              </w:rPr>
            </w:pPr>
            <w:r>
              <w:rPr>
                <w:rFonts w:ascii="Arial" w:cs="Arial" w:eastAsia="Arial" w:hAnsi="Arial"/>
                <w:sz w:val="16"/>
                <w:szCs w:val="16"/>
                <w:b w:val="1"/>
                <w:bCs w:val="1"/>
                <w:color w:val="auto"/>
                <w:w w:val="92"/>
              </w:rPr>
              <w:t>Print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w w:val="87"/>
              </w:rPr>
              <w:t>IT Solutions</w:t>
            </w:r>
          </w:p>
        </w:tc>
        <w:tc>
          <w:tcPr>
            <w:tcW w:w="6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Total Segment</w:t>
            </w:r>
          </w:p>
        </w:tc>
        <w:tc>
          <w:tcPr>
            <w:tcW w:w="80" w:type="dxa"/>
            <w:vAlign w:val="bottom"/>
          </w:tcPr>
          <w:p>
            <w:pPr>
              <w:spacing w:after="0"/>
              <w:rPr>
                <w:sz w:val="14"/>
                <w:szCs w:val="14"/>
                <w:color w:val="auto"/>
              </w:rPr>
            </w:pPr>
          </w:p>
        </w:tc>
        <w:tc>
          <w:tcPr>
            <w:tcW w:w="1120" w:type="dxa"/>
            <w:vAlign w:val="bottom"/>
            <w:gridSpan w:val="2"/>
          </w:tcPr>
          <w:p>
            <w:pPr>
              <w:jc w:val="right"/>
              <w:ind w:right="42"/>
              <w:spacing w:after="0" w:line="166" w:lineRule="exact"/>
              <w:rPr>
                <w:sz w:val="20"/>
                <w:szCs w:val="20"/>
                <w:color w:val="auto"/>
              </w:rPr>
            </w:pPr>
            <w:r>
              <w:rPr>
                <w:rFonts w:ascii="Arial" w:cs="Arial" w:eastAsia="Arial" w:hAnsi="Arial"/>
                <w:sz w:val="16"/>
                <w:szCs w:val="16"/>
                <w:b w:val="1"/>
                <w:bCs w:val="1"/>
                <w:color w:val="auto"/>
                <w:w w:val="97"/>
              </w:rPr>
              <w:t>Intersegment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42"/>
              <w:spacing w:after="0" w:line="166" w:lineRule="exact"/>
              <w:rPr>
                <w:sz w:val="20"/>
                <w:szCs w:val="20"/>
                <w:color w:val="auto"/>
              </w:rPr>
            </w:pPr>
            <w:r>
              <w:rPr>
                <w:rFonts w:ascii="Arial" w:cs="Arial" w:eastAsia="Arial" w:hAnsi="Arial"/>
                <w:sz w:val="16"/>
                <w:szCs w:val="16"/>
                <w:b w:val="1"/>
                <w:bCs w:val="1"/>
                <w:color w:val="auto"/>
                <w:w w:val="94"/>
              </w:rPr>
              <w:t>Corporate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920" w:type="dxa"/>
            <w:vAlign w:val="bottom"/>
          </w:tcPr>
          <w:p>
            <w:pPr>
              <w:jc w:val="right"/>
              <w:ind w:right="282"/>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w w:val="99"/>
              </w:rPr>
              <w:t>Elimination</w:t>
            </w:r>
            <w:r>
              <w:rPr>
                <w:rFonts w:ascii="Arial" w:cs="Arial" w:eastAsia="Arial" w:hAnsi="Arial"/>
                <w:sz w:val="10"/>
                <w:szCs w:val="10"/>
                <w:b w:val="1"/>
                <w:bCs w:val="1"/>
                <w:color w:val="auto"/>
                <w:w w:val="99"/>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42"/>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spacing w:after="0"/>
              <w:rPr>
                <w:sz w:val="19"/>
                <w:szCs w:val="19"/>
                <w:color w:val="auto"/>
              </w:rPr>
            </w:pPr>
          </w:p>
        </w:tc>
        <w:tc>
          <w:tcPr>
            <w:tcW w:w="64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6,272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761</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7,033</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7,022</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89 %</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11 %</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5,993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719</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6,712</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73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6,774</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279</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BDBDB"/>
          </w:tcPr>
          <w:p>
            <w:pPr>
              <w:jc w:val="right"/>
              <w:ind w:right="142"/>
              <w:spacing w:after="0"/>
              <w:rPr>
                <w:sz w:val="20"/>
                <w:szCs w:val="20"/>
                <w:color w:val="auto"/>
              </w:rPr>
            </w:pPr>
            <w:r>
              <w:rPr>
                <w:rFonts w:ascii="Arial" w:cs="Arial" w:eastAsia="Arial" w:hAnsi="Arial"/>
                <w:sz w:val="16"/>
                <w:szCs w:val="16"/>
                <w:b w:val="1"/>
                <w:bCs w:val="1"/>
                <w:color w:val="auto"/>
              </w:rPr>
              <w:t>42</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321</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(73)</w:t>
            </w:r>
          </w:p>
        </w:tc>
        <w:tc>
          <w:tcPr>
            <w:tcW w:w="3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248</w:t>
            </w: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Segment Margin</w:t>
            </w:r>
            <w:r>
              <w:rPr>
                <w:rFonts w:ascii="Arial" w:cs="Arial" w:eastAsia="Arial" w:hAnsi="Arial"/>
                <w:sz w:val="10"/>
                <w:szCs w:val="10"/>
                <w:b w:val="1"/>
                <w:bCs w:val="1"/>
                <w:color w:val="auto"/>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5.5 %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NM</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3.5 %</w:t>
            </w:r>
          </w:p>
        </w:tc>
        <w:tc>
          <w:tcPr>
            <w:tcW w:w="0" w:type="dxa"/>
            <w:vAlign w:val="bottom"/>
          </w:tcPr>
          <w:p>
            <w:pPr>
              <w:spacing w:after="0"/>
              <w:rPr>
                <w:sz w:val="1"/>
                <w:szCs w:val="1"/>
                <w:color w:val="auto"/>
              </w:rPr>
            </w:pPr>
          </w:p>
        </w:tc>
      </w:tr>
      <w:tr>
        <w:trPr>
          <w:trHeight w:val="239"/>
        </w:trPr>
        <w:tc>
          <w:tcPr>
            <w:tcW w:w="27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780" w:type="dxa"/>
            <w:vAlign w:val="bottom"/>
          </w:tcPr>
          <w:p>
            <w:pPr>
              <w:ind w:left="4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5,864</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BDBDB"/>
          </w:tcPr>
          <w:p>
            <w:pPr>
              <w:jc w:val="right"/>
              <w:ind w:right="142"/>
              <w:spacing w:after="0"/>
              <w:rPr>
                <w:sz w:val="20"/>
                <w:szCs w:val="20"/>
                <w:color w:val="auto"/>
              </w:rPr>
            </w:pPr>
            <w:r>
              <w:rPr>
                <w:rFonts w:ascii="Arial" w:cs="Arial" w:eastAsia="Arial" w:hAnsi="Arial"/>
                <w:sz w:val="16"/>
                <w:szCs w:val="16"/>
                <w:b w:val="1"/>
                <w:bCs w:val="1"/>
                <w:color w:val="auto"/>
              </w:rPr>
              <w:t>358</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6,222</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6,221</w:t>
            </w: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5,468</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BDBDB"/>
          </w:tcPr>
          <w:p>
            <w:pPr>
              <w:jc w:val="right"/>
              <w:ind w:right="142"/>
              <w:spacing w:after="0"/>
              <w:rPr>
                <w:sz w:val="20"/>
                <w:szCs w:val="20"/>
                <w:color w:val="auto"/>
              </w:rPr>
            </w:pPr>
            <w:r>
              <w:rPr>
                <w:rFonts w:ascii="Arial" w:cs="Arial" w:eastAsia="Arial" w:hAnsi="Arial"/>
                <w:sz w:val="16"/>
                <w:szCs w:val="16"/>
                <w:b w:val="1"/>
                <w:bCs w:val="1"/>
                <w:color w:val="auto"/>
              </w:rPr>
              <w:t>358</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5,826</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94</w:t>
            </w:r>
          </w:p>
        </w:tc>
        <w:tc>
          <w:tcPr>
            <w:tcW w:w="3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5,919</w:t>
            </w: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396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396</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302</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Segment Margin</w:t>
            </w:r>
            <w:r>
              <w:rPr>
                <w:rFonts w:ascii="Arial" w:cs="Arial" w:eastAsia="Arial" w:hAnsi="Arial"/>
                <w:sz w:val="10"/>
                <w:szCs w:val="10"/>
                <w:b w:val="1"/>
                <w:bCs w:val="1"/>
                <w:color w:val="auto"/>
              </w:rPr>
              <w:t>(3)</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6.8 %</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NM</w:t>
            </w: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4.9 %</w:t>
            </w: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8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2023</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6,886</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6,886</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95 %</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5 %</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6,396</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101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$6,497</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Segment Profit (Loss)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485</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BDBDB"/>
          </w:tcPr>
          <w:p>
            <w:pPr>
              <w:jc w:val="right"/>
              <w:ind w:right="142"/>
              <w:spacing w:after="0"/>
              <w:rPr>
                <w:sz w:val="20"/>
                <w:szCs w:val="20"/>
                <w:color w:val="auto"/>
              </w:rPr>
            </w:pPr>
            <w:r>
              <w:rPr>
                <w:rFonts w:ascii="Arial" w:cs="Arial" w:eastAsia="Arial" w:hAnsi="Arial"/>
                <w:sz w:val="16"/>
                <w:szCs w:val="16"/>
                <w:b w:val="1"/>
                <w:bCs w:val="1"/>
                <w:color w:val="auto"/>
              </w:rPr>
              <w:t>5</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490</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(101)</w:t>
            </w:r>
          </w:p>
        </w:tc>
        <w:tc>
          <w:tcPr>
            <w:tcW w:w="3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389</w:t>
            </w: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Segment Margin</w:t>
            </w:r>
            <w:r>
              <w:rPr>
                <w:rFonts w:ascii="Arial" w:cs="Arial" w:eastAsia="Arial" w:hAnsi="Arial"/>
                <w:sz w:val="10"/>
                <w:szCs w:val="10"/>
                <w:b w:val="1"/>
                <w:bCs w:val="1"/>
                <w:color w:val="auto"/>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NM</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5.6 %</w:t>
            </w:r>
          </w:p>
        </w:tc>
        <w:tc>
          <w:tcPr>
            <w:tcW w:w="0" w:type="dxa"/>
            <w:vAlign w:val="bottom"/>
          </w:tcPr>
          <w:p>
            <w:pPr>
              <w:spacing w:after="0"/>
              <w:rPr>
                <w:sz w:val="1"/>
                <w:szCs w:val="1"/>
                <w:color w:val="auto"/>
              </w:rPr>
            </w:pPr>
          </w:p>
        </w:tc>
      </w:tr>
      <w:tr>
        <w:trPr>
          <w:trHeight w:val="239"/>
        </w:trPr>
        <w:tc>
          <w:tcPr>
            <w:tcW w:w="27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2025 Pro Forma</w:t>
            </w:r>
            <w:r>
              <w:rPr>
                <w:rFonts w:ascii="Arial" w:cs="Arial" w:eastAsia="Arial" w:hAnsi="Arial"/>
                <w:sz w:val="10"/>
                <w:szCs w:val="10"/>
                <w:b w:val="1"/>
                <w:bCs w:val="1"/>
                <w:color w:val="auto"/>
              </w:rPr>
              <w:t>(4)</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$7,212</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$761</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7,973</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7,962</w:t>
            </w: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$6,829</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$719</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7,548</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80</w:t>
            </w: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$7,617</w:t>
            </w: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Segment Profit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383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42</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425</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345</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Segment Margin</w:t>
            </w:r>
            <w:r>
              <w:rPr>
                <w:rFonts w:ascii="Arial" w:cs="Arial" w:eastAsia="Arial" w:hAnsi="Arial"/>
                <w:sz w:val="10"/>
                <w:szCs w:val="10"/>
                <w:b w:val="1"/>
                <w:bCs w:val="1"/>
                <w:color w:val="auto"/>
              </w:rPr>
              <w:t>(3)</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5.3 %</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5.5 %</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NM</w:t>
            </w: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4.3 %</w:t>
            </w: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2024 Pro Forma</w:t>
            </w:r>
            <w:r>
              <w:rPr>
                <w:rFonts w:ascii="Arial" w:cs="Arial" w:eastAsia="Arial" w:hAnsi="Arial"/>
                <w:sz w:val="10"/>
                <w:szCs w:val="10"/>
                <w:b w:val="1"/>
                <w:bCs w:val="1"/>
                <w:color w:val="auto"/>
              </w:rPr>
              <w:t>(4)</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$7,854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$767</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8,621</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22"/>
              <w:spacing w:after="0"/>
              <w:rPr>
                <w:sz w:val="20"/>
                <w:szCs w:val="20"/>
                <w:color w:val="auto"/>
              </w:rPr>
            </w:pPr>
            <w:r>
              <w:rPr>
                <w:rFonts w:ascii="Arial" w:cs="Arial" w:eastAsia="Arial" w:hAnsi="Arial"/>
                <w:sz w:val="16"/>
                <w:szCs w:val="16"/>
                <w:b w:val="1"/>
                <w:bCs w:val="1"/>
                <w:color w:val="auto"/>
              </w:rPr>
              <w:t>8,620</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 of Total Revenue</w:t>
            </w: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91 %</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9 %</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$751</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rPr>
              <w:t>7,961</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107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$8,067</w:t>
            </w: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Segment Profit</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644</w:t>
            </w:r>
          </w:p>
        </w:tc>
        <w:tc>
          <w:tcPr>
            <w:tcW w:w="22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BDBDB"/>
          </w:tcPr>
          <w:p>
            <w:pPr>
              <w:jc w:val="right"/>
              <w:ind w:right="142"/>
              <w:spacing w:after="0"/>
              <w:rPr>
                <w:sz w:val="20"/>
                <w:szCs w:val="20"/>
                <w:color w:val="auto"/>
              </w:rPr>
            </w:pPr>
            <w:r>
              <w:rPr>
                <w:rFonts w:ascii="Arial" w:cs="Arial" w:eastAsia="Arial" w:hAnsi="Arial"/>
                <w:sz w:val="16"/>
                <w:szCs w:val="16"/>
                <w:b w:val="1"/>
                <w:bCs w:val="1"/>
                <w:color w:val="auto"/>
              </w:rPr>
              <w:t>16</w:t>
            </w:r>
          </w:p>
        </w:tc>
        <w:tc>
          <w:tcPr>
            <w:tcW w:w="260" w:type="dxa"/>
            <w:vAlign w:val="bottom"/>
            <w:gridSpan w:val="2"/>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660</w:t>
            </w:r>
          </w:p>
        </w:tc>
        <w:tc>
          <w:tcPr>
            <w:tcW w:w="560" w:type="dxa"/>
            <w:vAlign w:val="bottom"/>
            <w:gridSpan w:val="2"/>
            <w:shd w:val="clear" w:color="auto" w:fill="DBDBDB"/>
          </w:tcPr>
          <w:p>
            <w:pPr>
              <w:jc w:val="right"/>
              <w:ind w:right="26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(107)</w:t>
            </w:r>
          </w:p>
        </w:tc>
        <w:tc>
          <w:tcPr>
            <w:tcW w:w="3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553</w:t>
            </w:r>
          </w:p>
        </w:tc>
        <w:tc>
          <w:tcPr>
            <w:tcW w:w="0" w:type="dxa"/>
            <w:vAlign w:val="bottom"/>
          </w:tcPr>
          <w:p>
            <w:pPr>
              <w:spacing w:after="0"/>
              <w:rPr>
                <w:sz w:val="1"/>
                <w:szCs w:val="1"/>
                <w:color w:val="auto"/>
              </w:rPr>
            </w:pPr>
          </w:p>
        </w:tc>
      </w:tr>
      <w:tr>
        <w:trPr>
          <w:trHeight w:val="221"/>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Segment Margin</w:t>
            </w:r>
            <w:r>
              <w:rPr>
                <w:rFonts w:ascii="Arial" w:cs="Arial" w:eastAsia="Arial" w:hAnsi="Arial"/>
                <w:sz w:val="10"/>
                <w:szCs w:val="10"/>
                <w:b w:val="1"/>
                <w:bCs w:val="1"/>
                <w:color w:val="auto"/>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NM</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6.4 %</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3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tabs>
          <w:tab w:leader="none" w:pos="349" w:val="left"/>
        </w:tabs>
        <w:numPr>
          <w:ilvl w:val="0"/>
          <w:numId w:val="5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primarily IT hardware, software solutions and services, sold by the IT Solutions segment to the Print and Other segment.</w:t>
      </w:r>
    </w:p>
    <w:p>
      <w:pPr>
        <w:spacing w:after="0" w:line="25" w:lineRule="exact"/>
        <w:rPr>
          <w:rFonts w:ascii="Arial" w:cs="Arial" w:eastAsia="Arial" w:hAnsi="Arial"/>
          <w:sz w:val="14"/>
          <w:szCs w:val="14"/>
          <w:b w:val="1"/>
          <w:bCs w:val="1"/>
          <w:i w:val="1"/>
          <w:iCs w:val="1"/>
          <w:color w:val="auto"/>
        </w:rPr>
      </w:pPr>
    </w:p>
    <w:p>
      <w:pPr>
        <w:ind w:left="349" w:right="240" w:hanging="349"/>
        <w:spacing w:after="0" w:line="242" w:lineRule="auto"/>
        <w:tabs>
          <w:tab w:leader="none" w:pos="349"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Corporate Other reflects certain administrative and general expenses, which primarily relate to corporate functions, and are not allocated to either of our reportable segments.</w:t>
      </w:r>
    </w:p>
    <w:p>
      <w:pPr>
        <w:spacing w:after="0" w:line="1" w:lineRule="exact"/>
        <w:rPr>
          <w:rFonts w:ascii="Arial" w:cs="Arial" w:eastAsia="Arial" w:hAnsi="Arial"/>
          <w:sz w:val="16"/>
          <w:szCs w:val="16"/>
          <w:b w:val="1"/>
          <w:bCs w:val="1"/>
          <w:i w:val="1"/>
          <w:iCs w:val="1"/>
          <w:color w:val="auto"/>
        </w:rPr>
      </w:pPr>
    </w:p>
    <w:p>
      <w:pPr>
        <w:ind w:left="349" w:hanging="349"/>
        <w:spacing w:after="0"/>
        <w:tabs>
          <w:tab w:leader="none" w:pos="349"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Segment margin is based on total revenue. IT Solutions segment margin is net of Intersegment Elimination.</w:t>
      </w:r>
    </w:p>
    <w:p>
      <w:pPr>
        <w:spacing w:after="0" w:line="2" w:lineRule="exact"/>
        <w:rPr>
          <w:rFonts w:ascii="Arial" w:cs="Arial" w:eastAsia="Arial" w:hAnsi="Arial"/>
          <w:sz w:val="16"/>
          <w:szCs w:val="16"/>
          <w:b w:val="1"/>
          <w:bCs w:val="1"/>
          <w:i w:val="1"/>
          <w:iCs w:val="1"/>
          <w:color w:val="auto"/>
        </w:rPr>
      </w:pPr>
    </w:p>
    <w:p>
      <w:pPr>
        <w:ind w:left="349" w:right="400" w:hanging="349"/>
        <w:spacing w:after="0" w:line="270" w:lineRule="auto"/>
        <w:tabs>
          <w:tab w:leader="none" w:pos="349"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53</w:t>
      </w:r>
    </w:p>
    <w:p>
      <w:pPr>
        <w:sectPr>
          <w:pgSz w:w="11880" w:h="15480" w:orient="portrait"/>
          <w:cols w:equalWidth="0" w:num="1">
            <w:col w:w="9949"/>
          </w:cols>
          <w:pgMar w:left="1051" w:top="724" w:right="880" w:bottom="0" w:gutter="0" w:footer="0" w:header="0"/>
        </w:sectPr>
      </w:pPr>
    </w:p>
    <w:bookmarkStart w:id="63" w:name="page64"/>
    <w:bookmarkEnd w:id="63"/>
    <w:p>
      <w:pPr>
        <w:ind w:left="40"/>
        <w:spacing w:after="0"/>
        <w:rPr>
          <w:sz w:val="20"/>
          <w:szCs w:val="20"/>
          <w:color w:val="auto"/>
        </w:rPr>
      </w:pPr>
      <w:r>
        <w:rPr>
          <w:rFonts w:ascii="Arial" w:cs="Arial" w:eastAsia="Arial" w:hAnsi="Arial"/>
          <w:sz w:val="21"/>
          <w:szCs w:val="21"/>
          <w:b w:val="1"/>
          <w:bCs w:val="1"/>
          <w:color w:val="DA2031"/>
        </w:rPr>
        <w:t>Print and Other</w:t>
      </w:r>
    </w:p>
    <w:p>
      <w:pPr>
        <w:spacing w:after="0" w:line="137" w:lineRule="exact"/>
        <w:rPr>
          <w:sz w:val="20"/>
          <w:szCs w:val="20"/>
          <w:color w:val="auto"/>
        </w:rPr>
      </w:pPr>
    </w:p>
    <w:p>
      <w:pPr>
        <w:jc w:val="both"/>
        <w:ind w:left="40"/>
        <w:spacing w:after="0" w:line="269" w:lineRule="auto"/>
        <w:rPr>
          <w:sz w:val="20"/>
          <w:szCs w:val="20"/>
          <w:color w:val="auto"/>
        </w:rPr>
      </w:pPr>
      <w:r>
        <w:rPr>
          <w:rFonts w:ascii="Arial" w:cs="Arial" w:eastAsia="Arial" w:hAnsi="Arial"/>
          <w:sz w:val="19"/>
          <w:szCs w:val="19"/>
          <w:b w:val="1"/>
          <w:bCs w:val="1"/>
          <w:color w:val="auto"/>
        </w:rPr>
        <w:t>The Print and Other segment includes the design, development and sale of document management systems, supplies, and services as well as associated financing and technology-related offerings, digital and print-related software products and services. This segment also includes our recent Lexmark Acquisition, and Xerox Financial Services.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DA2031"/>
        </w:rPr>
        <w:t>Revenue</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7"/>
            <w:vMerge w:val="restart"/>
          </w:tcPr>
          <w:p>
            <w:pPr>
              <w:jc w:val="right"/>
              <w:ind w:right="462"/>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6"/>
                <w:szCs w:val="16"/>
                <w:color w:val="auto"/>
              </w:rPr>
            </w:pPr>
          </w:p>
        </w:tc>
        <w:tc>
          <w:tcPr>
            <w:tcW w:w="1900" w:type="dxa"/>
            <w:vAlign w:val="bottom"/>
            <w:gridSpan w:val="3"/>
            <w:vMerge w:val="restart"/>
          </w:tcPr>
          <w:p>
            <w:pPr>
              <w:jc w:val="right"/>
              <w:ind w:right="600"/>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Pro Forma</w:t>
            </w:r>
            <w:r>
              <w:rPr>
                <w:rFonts w:ascii="Arial" w:cs="Arial" w:eastAsia="Arial" w:hAnsi="Arial"/>
                <w:sz w:val="10"/>
                <w:szCs w:val="10"/>
                <w:b w:val="1"/>
                <w:bCs w:val="1"/>
                <w:color w:val="auto"/>
                <w:w w:val="91"/>
              </w:rPr>
              <w:t>(1)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Borders>
              <w:bottom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193"/>
        </w:trPr>
        <w:tc>
          <w:tcPr>
            <w:tcW w:w="390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6"/>
                <w:szCs w:val="16"/>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1000" w:type="dxa"/>
            <w:vAlign w:val="bottom"/>
            <w:gridSpan w:val="2"/>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32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Equipment sales</w:t>
            </w:r>
          </w:p>
        </w:tc>
        <w:tc>
          <w:tcPr>
            <w:tcW w:w="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1,488</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1,378</w:t>
            </w:r>
          </w:p>
        </w:tc>
        <w:tc>
          <w:tcPr>
            <w:tcW w:w="28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1,655</w:t>
            </w:r>
          </w:p>
        </w:tc>
        <w:tc>
          <w:tcPr>
            <w:tcW w:w="1000" w:type="dxa"/>
            <w:vAlign w:val="bottom"/>
            <w:gridSpan w:val="2"/>
            <w:shd w:val="clear" w:color="auto" w:fill="E5E5E5"/>
          </w:tcPr>
          <w:p>
            <w:pPr>
              <w:jc w:val="right"/>
              <w:ind w:right="182"/>
              <w:spacing w:after="0"/>
              <w:rPr>
                <w:sz w:val="20"/>
                <w:szCs w:val="20"/>
                <w:color w:val="auto"/>
              </w:rPr>
            </w:pPr>
            <w:r>
              <w:rPr>
                <w:rFonts w:ascii="Arial" w:cs="Arial" w:eastAsia="Arial" w:hAnsi="Arial"/>
                <w:sz w:val="16"/>
                <w:szCs w:val="16"/>
                <w:b w:val="1"/>
                <w:bCs w:val="1"/>
                <w:color w:val="auto"/>
              </w:rPr>
              <w:t>8.0%</w:t>
            </w:r>
          </w:p>
        </w:tc>
        <w:tc>
          <w:tcPr>
            <w:tcW w:w="980" w:type="dxa"/>
            <w:vAlign w:val="bottom"/>
            <w:gridSpan w:val="2"/>
            <w:shd w:val="clear" w:color="auto" w:fill="E5E5E5"/>
          </w:tcPr>
          <w:p>
            <w:pPr>
              <w:jc w:val="center"/>
              <w:ind w:left="2"/>
              <w:spacing w:after="0"/>
              <w:rPr>
                <w:sz w:val="20"/>
                <w:szCs w:val="20"/>
                <w:color w:val="auto"/>
              </w:rPr>
            </w:pPr>
            <w:r>
              <w:rPr>
                <w:rFonts w:ascii="Arial" w:cs="Arial" w:eastAsia="Arial" w:hAnsi="Arial"/>
                <w:sz w:val="16"/>
                <w:szCs w:val="16"/>
                <w:b w:val="1"/>
                <w:bCs w:val="1"/>
                <w:color w:val="auto"/>
                <w:w w:val="96"/>
              </w:rPr>
              <w:t>(16.7)%</w:t>
            </w:r>
          </w:p>
        </w:tc>
        <w:tc>
          <w:tcPr>
            <w:tcW w:w="1100" w:type="dxa"/>
            <w:vAlign w:val="bottom"/>
            <w:gridSpan w:val="2"/>
            <w:shd w:val="clear" w:color="auto" w:fill="E5E5E5"/>
          </w:tcPr>
          <w:p>
            <w:pPr>
              <w:jc w:val="center"/>
              <w:ind w:left="2"/>
              <w:spacing w:after="0"/>
              <w:rPr>
                <w:sz w:val="20"/>
                <w:szCs w:val="20"/>
                <w:color w:val="auto"/>
              </w:rPr>
            </w:pPr>
            <w:r>
              <w:rPr>
                <w:rFonts w:ascii="Arial" w:cs="Arial" w:eastAsia="Arial" w:hAnsi="Arial"/>
                <w:sz w:val="16"/>
                <w:szCs w:val="16"/>
                <w:b w:val="1"/>
                <w:bCs w:val="1"/>
                <w:color w:val="auto"/>
                <w:w w:val="97"/>
              </w:rPr>
              <w:t>(8.7)%</w:t>
            </w:r>
          </w:p>
        </w:tc>
        <w:tc>
          <w:tcPr>
            <w:tcW w:w="0" w:type="dxa"/>
            <w:vAlign w:val="bottom"/>
          </w:tcPr>
          <w:p>
            <w:pPr>
              <w:spacing w:after="0"/>
              <w:rPr>
                <w:sz w:val="1"/>
                <w:szCs w:val="1"/>
                <w:color w:val="auto"/>
              </w:rPr>
            </w:pPr>
          </w:p>
        </w:tc>
      </w:tr>
      <w:tr>
        <w:trPr>
          <w:trHeight w:val="222"/>
        </w:trPr>
        <w:tc>
          <w:tcPr>
            <w:tcW w:w="3900" w:type="dxa"/>
            <w:vAlign w:val="bottom"/>
            <w:tcBorders>
              <w:bottom w:val="single" w:sz="8" w:color="E5E5E5"/>
            </w:tcBorders>
            <w:gridSpan w:val="3"/>
          </w:tcPr>
          <w:p>
            <w:pPr>
              <w:ind w:left="40"/>
              <w:spacing w:after="0"/>
              <w:rPr>
                <w:sz w:val="20"/>
                <w:szCs w:val="20"/>
                <w:color w:val="auto"/>
              </w:rPr>
            </w:pPr>
            <w:r>
              <w:rPr>
                <w:rFonts w:ascii="Arial" w:cs="Arial" w:eastAsia="Arial" w:hAnsi="Arial"/>
                <w:sz w:val="16"/>
                <w:szCs w:val="16"/>
                <w:b w:val="1"/>
                <w:bCs w:val="1"/>
                <w:color w:val="auto"/>
              </w:rPr>
              <w:t>Post sale revenue</w:t>
            </w:r>
            <w:r>
              <w:rPr>
                <w:rFonts w:ascii="Arial" w:cs="Arial" w:eastAsia="Arial" w:hAnsi="Arial"/>
                <w:sz w:val="10"/>
                <w:szCs w:val="10"/>
                <w:b w:val="1"/>
                <w:bCs w:val="1"/>
                <w:color w:val="auto"/>
              </w:rPr>
              <w:t>(2)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4,784</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4,486</w:t>
            </w:r>
          </w:p>
        </w:tc>
        <w:tc>
          <w:tcPr>
            <w:tcW w:w="6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4,868</w:t>
            </w:r>
          </w:p>
        </w:tc>
        <w:tc>
          <w:tcPr>
            <w:tcW w:w="1000" w:type="dxa"/>
            <w:vAlign w:val="bottom"/>
            <w:tcBorders>
              <w:bottom w:val="single" w:sz="8" w:color="E5E5E5"/>
            </w:tcBorders>
            <w:gridSpan w:val="2"/>
          </w:tcPr>
          <w:p>
            <w:pPr>
              <w:jc w:val="right"/>
              <w:ind w:right="182"/>
              <w:spacing w:after="0"/>
              <w:rPr>
                <w:sz w:val="20"/>
                <w:szCs w:val="20"/>
                <w:color w:val="auto"/>
              </w:rPr>
            </w:pPr>
            <w:r>
              <w:rPr>
                <w:rFonts w:ascii="Arial" w:cs="Arial" w:eastAsia="Arial" w:hAnsi="Arial"/>
                <w:sz w:val="16"/>
                <w:szCs w:val="16"/>
                <w:b w:val="1"/>
                <w:bCs w:val="1"/>
                <w:color w:val="auto"/>
              </w:rPr>
              <w:t>6.6%</w:t>
            </w:r>
          </w:p>
        </w:tc>
        <w:tc>
          <w:tcPr>
            <w:tcW w:w="980" w:type="dxa"/>
            <w:vAlign w:val="bottom"/>
            <w:tcBorders>
              <w:bottom w:val="single" w:sz="8" w:color="E5E5E5"/>
            </w:tcBorders>
            <w:gridSpan w:val="2"/>
          </w:tcPr>
          <w:p>
            <w:pPr>
              <w:jc w:val="center"/>
              <w:ind w:left="2"/>
              <w:spacing w:after="0"/>
              <w:rPr>
                <w:sz w:val="20"/>
                <w:szCs w:val="20"/>
                <w:color w:val="auto"/>
              </w:rPr>
            </w:pPr>
            <w:r>
              <w:rPr>
                <w:rFonts w:ascii="Arial" w:cs="Arial" w:eastAsia="Arial" w:hAnsi="Arial"/>
                <w:sz w:val="16"/>
                <w:szCs w:val="16"/>
                <w:b w:val="1"/>
                <w:bCs w:val="1"/>
                <w:color w:val="auto"/>
                <w:w w:val="97"/>
              </w:rPr>
              <w:t>(7.8)%</w:t>
            </w:r>
          </w:p>
        </w:tc>
        <w:tc>
          <w:tcPr>
            <w:tcW w:w="1100" w:type="dxa"/>
            <w:vAlign w:val="bottom"/>
            <w:tcBorders>
              <w:bottom w:val="single" w:sz="8" w:color="E5E5E5"/>
            </w:tcBorders>
            <w:gridSpan w:val="2"/>
          </w:tcPr>
          <w:p>
            <w:pPr>
              <w:jc w:val="center"/>
              <w:ind w:left="2"/>
              <w:spacing w:after="0"/>
              <w:rPr>
                <w:sz w:val="20"/>
                <w:szCs w:val="20"/>
                <w:color w:val="auto"/>
              </w:rPr>
            </w:pPr>
            <w:r>
              <w:rPr>
                <w:rFonts w:ascii="Arial" w:cs="Arial" w:eastAsia="Arial" w:hAnsi="Arial"/>
                <w:sz w:val="16"/>
                <w:szCs w:val="16"/>
                <w:b w:val="1"/>
                <w:bCs w:val="1"/>
                <w:color w:val="auto"/>
                <w:w w:val="97"/>
              </w:rPr>
              <w:t>(8.0)%</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E5E5E5"/>
            </w:tcBorders>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Total Print and Other Revenue</w:t>
            </w:r>
          </w:p>
        </w:tc>
        <w:tc>
          <w:tcPr>
            <w:tcW w:w="2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6,272</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5,864</w:t>
            </w:r>
          </w:p>
        </w:tc>
        <w:tc>
          <w:tcPr>
            <w:tcW w:w="6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6,523</w:t>
            </w:r>
          </w:p>
        </w:tc>
        <w:tc>
          <w:tcPr>
            <w:tcW w:w="1000" w:type="dxa"/>
            <w:vAlign w:val="bottom"/>
            <w:tcBorders>
              <w:bottom w:val="single" w:sz="8" w:color="E5E5E5"/>
            </w:tcBorders>
            <w:gridSpan w:val="2"/>
            <w:shd w:val="clear" w:color="auto" w:fill="E5E5E5"/>
          </w:tcPr>
          <w:p>
            <w:pPr>
              <w:jc w:val="right"/>
              <w:ind w:right="182"/>
              <w:spacing w:after="0"/>
              <w:rPr>
                <w:sz w:val="20"/>
                <w:szCs w:val="20"/>
                <w:color w:val="auto"/>
              </w:rPr>
            </w:pPr>
            <w:r>
              <w:rPr>
                <w:rFonts w:ascii="Arial" w:cs="Arial" w:eastAsia="Arial" w:hAnsi="Arial"/>
                <w:sz w:val="16"/>
                <w:szCs w:val="16"/>
                <w:b w:val="1"/>
                <w:bCs w:val="1"/>
                <w:color w:val="auto"/>
              </w:rPr>
              <w:t>7.0%</w:t>
            </w:r>
          </w:p>
        </w:tc>
        <w:tc>
          <w:tcPr>
            <w:tcW w:w="980" w:type="dxa"/>
            <w:vAlign w:val="bottom"/>
            <w:tcBorders>
              <w:bottom w:val="single" w:sz="8" w:color="E5E5E5"/>
            </w:tcBorders>
            <w:gridSpan w:val="2"/>
            <w:shd w:val="clear" w:color="auto" w:fill="E5E5E5"/>
          </w:tcPr>
          <w:p>
            <w:pPr>
              <w:jc w:val="center"/>
              <w:ind w:left="2"/>
              <w:spacing w:after="0"/>
              <w:rPr>
                <w:sz w:val="20"/>
                <w:szCs w:val="20"/>
                <w:color w:val="auto"/>
              </w:rPr>
            </w:pPr>
            <w:r>
              <w:rPr>
                <w:rFonts w:ascii="Arial" w:cs="Arial" w:eastAsia="Arial" w:hAnsi="Arial"/>
                <w:sz w:val="16"/>
                <w:szCs w:val="16"/>
                <w:b w:val="1"/>
                <w:bCs w:val="1"/>
                <w:color w:val="auto"/>
                <w:w w:val="96"/>
              </w:rPr>
              <w:t>(10.1)%</w:t>
            </w:r>
          </w:p>
        </w:tc>
        <w:tc>
          <w:tcPr>
            <w:tcW w:w="1100" w:type="dxa"/>
            <w:vAlign w:val="bottom"/>
            <w:tcBorders>
              <w:bottom w:val="single" w:sz="8" w:color="E5E5E5"/>
            </w:tcBorders>
            <w:gridSpan w:val="2"/>
            <w:shd w:val="clear" w:color="auto" w:fill="E5E5E5"/>
          </w:tcPr>
          <w:p>
            <w:pPr>
              <w:jc w:val="center"/>
              <w:ind w:left="2"/>
              <w:spacing w:after="0"/>
              <w:rPr>
                <w:sz w:val="20"/>
                <w:szCs w:val="20"/>
                <w:color w:val="auto"/>
              </w:rPr>
            </w:pPr>
            <w:r>
              <w:rPr>
                <w:rFonts w:ascii="Arial" w:cs="Arial" w:eastAsia="Arial" w:hAnsi="Arial"/>
                <w:sz w:val="16"/>
                <w:szCs w:val="16"/>
                <w:b w:val="1"/>
                <w:bCs w:val="1"/>
                <w:color w:val="auto"/>
                <w:w w:val="97"/>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-55245</wp:posOffset>
            </wp:positionV>
            <wp:extent cx="1889125" cy="75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1889125" cy="755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_____________</w:t>
      </w:r>
    </w:p>
    <w:p>
      <w:pPr>
        <w:spacing w:after="0" w:line="119" w:lineRule="exact"/>
        <w:rPr>
          <w:sz w:val="20"/>
          <w:szCs w:val="20"/>
          <w:color w:val="auto"/>
        </w:rPr>
      </w:pPr>
    </w:p>
    <w:p>
      <w:pPr>
        <w:ind w:left="380" w:hanging="349"/>
        <w:spacing w:after="0" w:line="242" w:lineRule="auto"/>
        <w:tabs>
          <w:tab w:leader="none" w:pos="380"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80" w:right="240" w:hanging="349"/>
        <w:spacing w:after="0" w:line="270" w:lineRule="auto"/>
        <w:tabs>
          <w:tab w:leader="none" w:pos="380" w:val="left"/>
        </w:tabs>
        <w:numPr>
          <w:ilvl w:val="0"/>
          <w:numId w:val="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financing revenue generated from direct and indirectly financed Xerox equipment sale transactions of $86 million, $106 million, $130 million for the three years ended December 31, 2025, 2024 and 2023, respectively.</w:t>
      </w:r>
    </w:p>
    <w:p>
      <w:pPr>
        <w:spacing w:after="0" w:line="121" w:lineRule="exact"/>
        <w:rPr>
          <w:sz w:val="20"/>
          <w:szCs w:val="20"/>
          <w:color w:val="auto"/>
        </w:rPr>
      </w:pPr>
    </w:p>
    <w:p>
      <w:pPr>
        <w:jc w:val="both"/>
        <w:ind w:left="40"/>
        <w:spacing w:after="0" w:line="276" w:lineRule="auto"/>
        <w:rPr>
          <w:sz w:val="20"/>
          <w:szCs w:val="20"/>
          <w:color w:val="auto"/>
        </w:rPr>
      </w:pPr>
      <w:r>
        <w:rPr>
          <w:rFonts w:ascii="Arial" w:cs="Arial" w:eastAsia="Arial" w:hAnsi="Arial"/>
          <w:sz w:val="19"/>
          <w:szCs w:val="19"/>
          <w:b w:val="1"/>
          <w:bCs w:val="1"/>
          <w:color w:val="auto"/>
        </w:rPr>
        <w:t>For the year ended December 31, 2025 Print and Other segment revenue increased 7.0% as compared to 2024, and for the year ended December 31, 2024 Print and Other segment revenue decreased 10.1% as compared to 2023.</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Print and Other segment revenue results included the following: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DA2031"/>
        </w:rPr>
        <w:t>Equipment Sales Revenue</w:t>
      </w:r>
    </w:p>
    <w:p>
      <w:pPr>
        <w:spacing w:after="0" w:line="131" w:lineRule="exact"/>
        <w:rPr>
          <w:sz w:val="20"/>
          <w:szCs w:val="20"/>
          <w:color w:val="auto"/>
        </w:rPr>
      </w:pPr>
    </w:p>
    <w:p>
      <w:pPr>
        <w:jc w:val="both"/>
        <w:ind w:left="380" w:hanging="349"/>
        <w:spacing w:after="0" w:line="261" w:lineRule="auto"/>
        <w:tabs>
          <w:tab w:leader="none" w:pos="380" w:val="left"/>
        </w:tabs>
        <w:numPr>
          <w:ilvl w:val="0"/>
          <w:numId w:val="52"/>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2025, equipment sales revenue increased 8.0% as compared to 2024, and included an 16.5-percentage point benefit from the Lexmark Acquisition, and a 0.9-percentage point benefit from currency. The increase at constant currency</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reflects higher installations driven by the inclusion of Lexmark. Excluding Lexmark, equipment sales declined 8.5-percentage points in actual currency due to lower installations and Reinvention-related actions, including the exit of certain production print manufacturing operations, partially offset by higher pricing. On a pro forma</w:t>
      </w:r>
      <w:r>
        <w:rPr>
          <w:rFonts w:ascii="Arial" w:cs="Arial" w:eastAsia="Arial" w:hAnsi="Arial"/>
          <w:sz w:val="12"/>
          <w:szCs w:val="12"/>
          <w:b w:val="1"/>
          <w:bCs w:val="1"/>
          <w:color w:val="auto"/>
        </w:rPr>
        <w:t>2</w:t>
      </w:r>
      <w:r>
        <w:rPr>
          <w:rFonts w:ascii="Arial" w:cs="Arial" w:eastAsia="Arial" w:hAnsi="Arial"/>
          <w:sz w:val="19"/>
          <w:szCs w:val="19"/>
          <w:b w:val="1"/>
          <w:bCs w:val="1"/>
          <w:color w:val="auto"/>
        </w:rPr>
        <w:t xml:space="preserve"> basis, equipment sales revenue for the year ended December 31, 2025 decreased 8.7% as compared to the prior year, due to the impacts noted above, as well as backlog</w:t>
      </w:r>
      <w:r>
        <w:rPr>
          <w:rFonts w:ascii="Arial" w:cs="Arial" w:eastAsia="Arial" w:hAnsi="Arial"/>
          <w:sz w:val="12"/>
          <w:szCs w:val="12"/>
          <w:b w:val="1"/>
          <w:bCs w:val="1"/>
          <w:color w:val="auto"/>
        </w:rPr>
        <w:t>3</w:t>
      </w:r>
      <w:r>
        <w:rPr>
          <w:rFonts w:ascii="Arial" w:cs="Arial" w:eastAsia="Arial" w:hAnsi="Arial"/>
          <w:sz w:val="19"/>
          <w:szCs w:val="19"/>
          <w:b w:val="1"/>
          <w:bCs w:val="1"/>
          <w:color w:val="auto"/>
        </w:rPr>
        <w:t xml:space="preserve"> fluctuations.</w:t>
      </w:r>
    </w:p>
    <w:p>
      <w:pPr>
        <w:spacing w:after="0" w:line="77" w:lineRule="exact"/>
        <w:rPr>
          <w:rFonts w:ascii="Arial" w:cs="Arial" w:eastAsia="Arial" w:hAnsi="Arial"/>
          <w:sz w:val="19"/>
          <w:szCs w:val="19"/>
          <w:b w:val="1"/>
          <w:bCs w:val="1"/>
          <w:color w:val="DA2031"/>
        </w:rPr>
      </w:pPr>
    </w:p>
    <w:p>
      <w:pPr>
        <w:jc w:val="both"/>
        <w:ind w:left="380" w:hanging="349"/>
        <w:spacing w:after="0" w:line="279" w:lineRule="auto"/>
        <w:tabs>
          <w:tab w:leader="none" w:pos="380" w:val="left"/>
        </w:tabs>
        <w:numPr>
          <w:ilvl w:val="0"/>
          <w:numId w:val="52"/>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2024, equipment sales revenue decreased 16.7% compared to the prior year, including a 0.2-percentage point adverse impact from currency. The decrease in constant currency</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was primarily impacted by unfavorable mix, as well as the effects of backlog fluctuations in the current and prior year, the decision to stop manufacturing certain high-end equipment, the effects of geographic simplification, and the impacts from the organizational changes implemented in the first half of 2024. Revenue declined across all product groups, and was most pronounced in Mid-range, reflecting declines in both black-and-white and color installations, with a mix toward lower-priced A3 color multi-function printers.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Post Sale Revenue</w:t>
      </w:r>
    </w:p>
    <w:p>
      <w:pPr>
        <w:spacing w:after="0" w:line="131" w:lineRule="exact"/>
        <w:rPr>
          <w:sz w:val="20"/>
          <w:szCs w:val="20"/>
          <w:color w:val="auto"/>
        </w:rPr>
      </w:pPr>
    </w:p>
    <w:p>
      <w:pPr>
        <w:jc w:val="both"/>
        <w:ind w:left="380" w:hanging="349"/>
        <w:spacing w:after="0" w:line="277" w:lineRule="auto"/>
        <w:tabs>
          <w:tab w:leader="none" w:pos="380" w:val="left"/>
        </w:tabs>
        <w:numPr>
          <w:ilvl w:val="0"/>
          <w:numId w:val="53"/>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2025, post sale revenue increased by 6.6% as compared to 2024, and included an approximately 16.4-percentage point benefit from the Lexmark Acquisition as well as a 0.1-percentage point benefit from currency. Excluding the Lexmark Acquisition, post sale revenue declined approximately 9.8-percentage points in actual currency due primarily to a decline in managed print services</w:t>
      </w:r>
      <w:r>
        <w:rPr>
          <w:rFonts w:ascii="Arial" w:cs="Arial" w:eastAsia="Arial" w:hAnsi="Arial"/>
          <w:sz w:val="11"/>
          <w:szCs w:val="11"/>
          <w:b w:val="1"/>
          <w:bCs w:val="1"/>
          <w:color w:val="auto"/>
        </w:rPr>
        <w:t>4</w:t>
      </w:r>
      <w:r>
        <w:rPr>
          <w:rFonts w:ascii="Arial" w:cs="Arial" w:eastAsia="Arial" w:hAnsi="Arial"/>
          <w:sz w:val="18"/>
          <w:szCs w:val="18"/>
          <w:b w:val="1"/>
          <w:bCs w:val="1"/>
          <w:color w:val="auto"/>
        </w:rPr>
        <w:t xml:space="preserve"> revenue, driven by lower outsourcing, print services, and rental revenue. Post sale revenue was also adversely affected by intentional reductions in non-strategic revenue, such as paper sales, and financing revenue, and the effects of geographic and offering simplification, as well as lower supplies revenue. These negative impacts were partially offset by growth in digital services revenue. On a pro forma</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basis, post sale revenue for the year ended December 31, 2025 decreased 8.0%, mainly due to the impacts noted above.</w:t>
      </w:r>
    </w:p>
    <w:p>
      <w:pPr>
        <w:spacing w:after="0" w:line="61" w:lineRule="exact"/>
        <w:rPr>
          <w:rFonts w:ascii="Arial" w:cs="Arial" w:eastAsia="Arial" w:hAnsi="Arial"/>
          <w:sz w:val="18"/>
          <w:szCs w:val="18"/>
          <w:b w:val="1"/>
          <w:bCs w:val="1"/>
          <w:color w:val="DA2031"/>
        </w:rPr>
      </w:pPr>
    </w:p>
    <w:p>
      <w:pPr>
        <w:jc w:val="both"/>
        <w:ind w:left="380" w:hanging="349"/>
        <w:spacing w:after="0" w:line="289" w:lineRule="auto"/>
        <w:tabs>
          <w:tab w:leader="none" w:pos="380" w:val="left"/>
        </w:tabs>
        <w:numPr>
          <w:ilvl w:val="0"/>
          <w:numId w:val="53"/>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2024, post sale revenue decreased 7.8% as compared to 2023. Managed print services</w:t>
      </w:r>
      <w:r>
        <w:rPr>
          <w:rFonts w:ascii="Arial" w:cs="Arial" w:eastAsia="Arial" w:hAnsi="Arial"/>
          <w:sz w:val="11"/>
          <w:szCs w:val="11"/>
          <w:b w:val="1"/>
          <w:bCs w:val="1"/>
          <w:color w:val="auto"/>
        </w:rPr>
        <w:t>4</w:t>
      </w:r>
      <w:r>
        <w:rPr>
          <w:rFonts w:ascii="Arial" w:cs="Arial" w:eastAsia="Arial" w:hAnsi="Arial"/>
          <w:sz w:val="18"/>
          <w:szCs w:val="18"/>
          <w:b w:val="1"/>
          <w:bCs w:val="1"/>
          <w:color w:val="auto"/>
        </w:rPr>
        <w:t xml:space="preserve"> declined as compared to 2023, driven by lower outsourcing and print service revenue, which includes the effects of geographic simplification, as well as lower rental revenue and paper sales. Post sale declines also resulted from a continued reduction of the average finance receivables balance in 2024. Finance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54</w:t>
      </w:r>
    </w:p>
    <w:p>
      <w:pPr>
        <w:sectPr>
          <w:pgSz w:w="11880" w:h="15480" w:orient="portrait"/>
          <w:cols w:equalWidth="0" w:num="1">
            <w:col w:w="9900"/>
          </w:cols>
          <w:pgMar w:left="1020" w:top="730" w:right="960" w:bottom="0" w:gutter="0" w:footer="0" w:header="0"/>
        </w:sectPr>
      </w:pPr>
    </w:p>
    <w:bookmarkStart w:id="64" w:name="page65"/>
    <w:bookmarkEnd w:id="64"/>
    <w:p>
      <w:pPr>
        <w:ind w:left="349"/>
        <w:spacing w:after="0"/>
        <w:rPr>
          <w:sz w:val="20"/>
          <w:szCs w:val="20"/>
          <w:color w:val="auto"/>
        </w:rPr>
      </w:pPr>
      <w:r>
        <w:rPr>
          <w:rFonts w:ascii="Arial" w:cs="Arial" w:eastAsia="Arial" w:hAnsi="Arial"/>
          <w:sz w:val="18"/>
          <w:szCs w:val="18"/>
          <w:b w:val="1"/>
          <w:bCs w:val="1"/>
          <w:color w:val="auto"/>
        </w:rPr>
        <w:t>receivables were approximately $800 million lower at December 31, 2024 as compared to December 31, 2023.</w:t>
      </w:r>
    </w:p>
    <w:p>
      <w:pPr>
        <w:spacing w:after="0" w:line="26" w:lineRule="exact"/>
        <w:rPr>
          <w:sz w:val="20"/>
          <w:szCs w:val="20"/>
          <w:color w:val="auto"/>
        </w:rPr>
      </w:pPr>
    </w:p>
    <w:p>
      <w:pPr>
        <w:ind w:left="349"/>
        <w:spacing w:after="0"/>
        <w:rPr>
          <w:sz w:val="20"/>
          <w:szCs w:val="20"/>
          <w:color w:val="auto"/>
        </w:rPr>
      </w:pPr>
      <w:r>
        <w:rPr>
          <w:rFonts w:ascii="Arial" w:cs="Arial" w:eastAsia="Arial" w:hAnsi="Arial"/>
          <w:sz w:val="19"/>
          <w:szCs w:val="19"/>
          <w:b w:val="1"/>
          <w:bCs w:val="1"/>
          <w:color w:val="auto"/>
        </w:rPr>
        <w:t>These impacts were partially offset by higher digital services and supplies revenue.</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auto"/>
        </w:rPr>
        <w:t>___________</w:t>
      </w:r>
    </w:p>
    <w:p>
      <w:pPr>
        <w:spacing w:after="0" w:line="2" w:lineRule="exact"/>
        <w:rPr>
          <w:sz w:val="20"/>
          <w:szCs w:val="20"/>
          <w:color w:val="auto"/>
        </w:rPr>
      </w:pPr>
    </w:p>
    <w:p>
      <w:pPr>
        <w:ind w:left="349" w:hanging="349"/>
        <w:spacing w:after="0"/>
        <w:tabs>
          <w:tab w:leader="none" w:pos="349"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“Currency Impact” section for a description of constant currency.</w:t>
      </w:r>
    </w:p>
    <w:p>
      <w:pPr>
        <w:spacing w:after="0" w:line="2" w:lineRule="exact"/>
        <w:rPr>
          <w:rFonts w:ascii="Arial" w:cs="Arial" w:eastAsia="Arial" w:hAnsi="Arial"/>
          <w:sz w:val="16"/>
          <w:szCs w:val="16"/>
          <w:b w:val="1"/>
          <w:bCs w:val="1"/>
          <w:i w:val="1"/>
          <w:iCs w:val="1"/>
          <w:color w:val="auto"/>
        </w:rPr>
      </w:pPr>
    </w:p>
    <w:p>
      <w:pPr>
        <w:ind w:left="349" w:right="400" w:hanging="349"/>
        <w:spacing w:after="0" w:line="242" w:lineRule="auto"/>
        <w:tabs>
          <w:tab w:leader="none" w:pos="349"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ind w:left="349" w:right="300" w:hanging="349"/>
        <w:spacing w:after="0" w:line="277" w:lineRule="auto"/>
        <w:tabs>
          <w:tab w:leader="none" w:pos="349"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Order backlog is measured as the value of unfulfilled sales orders, shipped and non-shipped, received from our customers waiting to be installed, including orders with future installation dates. It includes printing devices as well as IT hardware.</w:t>
      </w:r>
    </w:p>
    <w:p>
      <w:pPr>
        <w:ind w:left="349" w:hanging="349"/>
        <w:spacing w:after="0"/>
        <w:tabs>
          <w:tab w:leader="none" w:pos="349"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revenues from service, maintenance and rentals. IT Solutions and digital services are not included in managed print services.</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Detail by product group is shown below:</w:t>
      </w:r>
    </w:p>
    <w:p>
      <w:pPr>
        <w:spacing w:after="0" w:line="214" w:lineRule="exact"/>
        <w:rPr>
          <w:sz w:val="20"/>
          <w:szCs w:val="20"/>
          <w:color w:val="auto"/>
        </w:rPr>
      </w:pPr>
    </w:p>
    <w:tbl>
      <w:tblPr>
        <w:tblLayout w:type="fixed"/>
        <w:tblInd w:w="9"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5"/>
              </w:rPr>
              <w:t>Revenue</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8"/>
                <w:szCs w:val="18"/>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CC % Change</w:t>
            </w:r>
          </w:p>
        </w:tc>
        <w:tc>
          <w:tcPr>
            <w:tcW w:w="80" w:type="dxa"/>
            <w:vAlign w:val="bottom"/>
          </w:tcPr>
          <w:p>
            <w:pPr>
              <w:spacing w:after="0"/>
              <w:rPr>
                <w:sz w:val="18"/>
                <w:szCs w:val="18"/>
                <w:color w:val="auto"/>
              </w:rPr>
            </w:pPr>
          </w:p>
        </w:tc>
        <w:tc>
          <w:tcPr>
            <w:tcW w:w="2420" w:type="dxa"/>
            <w:vAlign w:val="bottom"/>
            <w:tcBorders>
              <w:bottom w:val="single" w:sz="8" w:color="auto"/>
            </w:tcBorders>
            <w:gridSpan w:val="5"/>
          </w:tcPr>
          <w:p>
            <w:pPr>
              <w:jc w:val="right"/>
              <w:ind w:right="262"/>
              <w:spacing w:after="0"/>
              <w:rPr>
                <w:sz w:val="20"/>
                <w:szCs w:val="20"/>
                <w:color w:val="auto"/>
              </w:rPr>
            </w:pPr>
            <w:r>
              <w:rPr>
                <w:rFonts w:ascii="Arial" w:cs="Arial" w:eastAsia="Arial" w:hAnsi="Arial"/>
                <w:sz w:val="16"/>
                <w:szCs w:val="16"/>
                <w:b w:val="1"/>
                <w:bCs w:val="1"/>
                <w:color w:val="auto"/>
              </w:rPr>
              <w:t>% of Equipment Revenue</w:t>
            </w:r>
          </w:p>
        </w:tc>
      </w:tr>
      <w:tr>
        <w:trPr>
          <w:trHeight w:val="179"/>
        </w:trPr>
        <w:tc>
          <w:tcPr>
            <w:tcW w:w="222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160" w:type="dxa"/>
            <w:vAlign w:val="bottom"/>
          </w:tcPr>
          <w:p>
            <w:pPr>
              <w:spacing w:after="0"/>
              <w:rPr>
                <w:sz w:val="15"/>
                <w:szCs w:val="15"/>
                <w:color w:val="auto"/>
              </w:rPr>
            </w:pPr>
          </w:p>
        </w:tc>
        <w:tc>
          <w:tcPr>
            <w:tcW w:w="520" w:type="dxa"/>
            <w:vAlign w:val="bottom"/>
          </w:tcPr>
          <w:p>
            <w:pPr>
              <w:jc w:val="right"/>
              <w:ind w:right="82"/>
              <w:spacing w:after="0" w:line="179" w:lineRule="exact"/>
              <w:rPr>
                <w:sz w:val="20"/>
                <w:szCs w:val="20"/>
                <w:color w:val="auto"/>
              </w:rPr>
            </w:pPr>
            <w:r>
              <w:rPr>
                <w:rFonts w:ascii="Arial" w:cs="Arial" w:eastAsia="Arial" w:hAnsi="Arial"/>
                <w:sz w:val="16"/>
                <w:szCs w:val="16"/>
                <w:b w:val="1"/>
                <w:bCs w:val="1"/>
                <w:color w:val="auto"/>
                <w:w w:val="95"/>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Arial" w:cs="Arial" w:eastAsia="Arial" w:hAnsi="Arial"/>
                <w:sz w:val="16"/>
                <w:szCs w:val="16"/>
                <w:b w:val="1"/>
                <w:bCs w:val="1"/>
                <w:color w:val="auto"/>
                <w:w w:val="95"/>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02"/>
              <w:spacing w:after="0" w:line="179" w:lineRule="exact"/>
              <w:rPr>
                <w:sz w:val="20"/>
                <w:szCs w:val="20"/>
                <w:color w:val="auto"/>
              </w:rPr>
            </w:pPr>
            <w:r>
              <w:rPr>
                <w:rFonts w:ascii="Arial" w:cs="Arial" w:eastAsia="Arial" w:hAnsi="Arial"/>
                <w:sz w:val="16"/>
                <w:szCs w:val="16"/>
                <w:b w:val="1"/>
                <w:bCs w:val="1"/>
                <w:color w:val="auto"/>
                <w:w w:val="95"/>
              </w:rPr>
              <w:t>2023</w:t>
            </w:r>
          </w:p>
        </w:tc>
        <w:tc>
          <w:tcPr>
            <w:tcW w:w="760" w:type="dxa"/>
            <w:vAlign w:val="bottom"/>
            <w:gridSpan w:val="2"/>
          </w:tcPr>
          <w:p>
            <w:pPr>
              <w:jc w:val="right"/>
              <w:ind w:right="102"/>
              <w:spacing w:after="0" w:line="179" w:lineRule="exact"/>
              <w:rPr>
                <w:sz w:val="20"/>
                <w:szCs w:val="20"/>
                <w:color w:val="auto"/>
              </w:rPr>
            </w:pPr>
            <w:r>
              <w:rPr>
                <w:rFonts w:ascii="Arial" w:cs="Arial" w:eastAsia="Arial" w:hAnsi="Arial"/>
                <w:sz w:val="16"/>
                <w:szCs w:val="16"/>
                <w:b w:val="1"/>
                <w:bCs w:val="1"/>
                <w:color w:val="auto"/>
              </w:rPr>
              <w:t>2025</w:t>
            </w:r>
          </w:p>
        </w:tc>
        <w:tc>
          <w:tcPr>
            <w:tcW w:w="740" w:type="dxa"/>
            <w:vAlign w:val="bottom"/>
            <w:gridSpan w:val="2"/>
          </w:tcPr>
          <w:p>
            <w:pPr>
              <w:jc w:val="right"/>
              <w:ind w:right="160"/>
              <w:spacing w:after="0" w:line="179" w:lineRule="exact"/>
              <w:rPr>
                <w:sz w:val="20"/>
                <w:szCs w:val="20"/>
                <w:color w:val="auto"/>
              </w:rPr>
            </w:pPr>
            <w:r>
              <w:rPr>
                <w:rFonts w:ascii="Arial" w:cs="Arial" w:eastAsia="Arial" w:hAnsi="Arial"/>
                <w:sz w:val="16"/>
                <w:szCs w:val="16"/>
                <w:b w:val="1"/>
                <w:bCs w:val="1"/>
                <w:color w:val="auto"/>
              </w:rPr>
              <w:t>2024</w:t>
            </w:r>
          </w:p>
        </w:tc>
        <w:tc>
          <w:tcPr>
            <w:tcW w:w="760" w:type="dxa"/>
            <w:vAlign w:val="bottom"/>
            <w:gridSpan w:val="2"/>
          </w:tcPr>
          <w:p>
            <w:pPr>
              <w:jc w:val="right"/>
              <w:ind w:right="82"/>
              <w:spacing w:after="0" w:line="179" w:lineRule="exact"/>
              <w:rPr>
                <w:sz w:val="20"/>
                <w:szCs w:val="20"/>
                <w:color w:val="auto"/>
              </w:rPr>
            </w:pPr>
            <w:r>
              <w:rPr>
                <w:rFonts w:ascii="Arial" w:cs="Arial" w:eastAsia="Arial" w:hAnsi="Arial"/>
                <w:sz w:val="16"/>
                <w:szCs w:val="16"/>
                <w:b w:val="1"/>
                <w:bCs w:val="1"/>
                <w:color w:val="auto"/>
              </w:rPr>
              <w:t>2025</w:t>
            </w:r>
          </w:p>
        </w:tc>
        <w:tc>
          <w:tcPr>
            <w:tcW w:w="760" w:type="dxa"/>
            <w:vAlign w:val="bottom"/>
            <w:gridSpan w:val="2"/>
          </w:tcPr>
          <w:p>
            <w:pPr>
              <w:jc w:val="right"/>
              <w:ind w:right="160"/>
              <w:spacing w:after="0" w:line="179" w:lineRule="exact"/>
              <w:rPr>
                <w:sz w:val="20"/>
                <w:szCs w:val="20"/>
                <w:color w:val="auto"/>
              </w:rPr>
            </w:pPr>
            <w:r>
              <w:rPr>
                <w:rFonts w:ascii="Arial" w:cs="Arial" w:eastAsia="Arial" w:hAnsi="Arial"/>
                <w:sz w:val="16"/>
                <w:szCs w:val="16"/>
                <w:b w:val="1"/>
                <w:bCs w:val="1"/>
                <w:color w:val="auto"/>
              </w:rPr>
              <w:t>2024</w:t>
            </w:r>
          </w:p>
        </w:tc>
        <w:tc>
          <w:tcPr>
            <w:tcW w:w="760" w:type="dxa"/>
            <w:vAlign w:val="bottom"/>
            <w:gridSpan w:val="2"/>
          </w:tcPr>
          <w:p>
            <w:pPr>
              <w:jc w:val="right"/>
              <w:ind w:right="102"/>
              <w:spacing w:after="0" w:line="179" w:lineRule="exact"/>
              <w:rPr>
                <w:sz w:val="20"/>
                <w:szCs w:val="20"/>
                <w:color w:val="auto"/>
              </w:rPr>
            </w:pPr>
            <w:r>
              <w:rPr>
                <w:rFonts w:ascii="Arial" w:cs="Arial" w:eastAsia="Arial" w:hAnsi="Arial"/>
                <w:sz w:val="16"/>
                <w:szCs w:val="16"/>
                <w:b w:val="1"/>
                <w:bCs w:val="1"/>
                <w:color w:val="auto"/>
              </w:rPr>
              <w:t>2025</w:t>
            </w:r>
          </w:p>
        </w:tc>
        <w:tc>
          <w:tcPr>
            <w:tcW w:w="880" w:type="dxa"/>
            <w:vAlign w:val="bottom"/>
            <w:gridSpan w:val="2"/>
          </w:tcPr>
          <w:p>
            <w:pPr>
              <w:jc w:val="right"/>
              <w:ind w:right="162"/>
              <w:spacing w:after="0" w:line="179" w:lineRule="exact"/>
              <w:rPr>
                <w:sz w:val="20"/>
                <w:szCs w:val="20"/>
                <w:color w:val="auto"/>
              </w:rPr>
            </w:pPr>
            <w:r>
              <w:rPr>
                <w:rFonts w:ascii="Arial" w:cs="Arial" w:eastAsia="Arial" w:hAnsi="Arial"/>
                <w:sz w:val="16"/>
                <w:szCs w:val="16"/>
                <w:b w:val="1"/>
                <w:bCs w:val="1"/>
                <w:color w:val="auto"/>
              </w:rPr>
              <w:t>2024</w:t>
            </w:r>
          </w:p>
        </w:tc>
        <w:tc>
          <w:tcPr>
            <w:tcW w:w="860" w:type="dxa"/>
            <w:vAlign w:val="bottom"/>
            <w:gridSpan w:val="2"/>
          </w:tcPr>
          <w:p>
            <w:pPr>
              <w:jc w:val="right"/>
              <w:ind w:right="142"/>
              <w:spacing w:after="0" w:line="179" w:lineRule="exact"/>
              <w:rPr>
                <w:sz w:val="20"/>
                <w:szCs w:val="20"/>
                <w:color w:val="auto"/>
              </w:rPr>
            </w:pPr>
            <w:r>
              <w:rPr>
                <w:rFonts w:ascii="Arial" w:cs="Arial" w:eastAsia="Arial" w:hAnsi="Arial"/>
                <w:sz w:val="16"/>
                <w:szCs w:val="16"/>
                <w:b w:val="1"/>
                <w:bCs w:val="1"/>
                <w:color w:val="auto"/>
              </w:rPr>
              <w:t>2023</w:t>
            </w: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16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22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Entry</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381</w:t>
            </w:r>
          </w:p>
        </w:tc>
        <w:tc>
          <w:tcPr>
            <w:tcW w:w="22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214</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237</w:t>
            </w:r>
          </w:p>
        </w:tc>
        <w:tc>
          <w:tcPr>
            <w:tcW w:w="760" w:type="dxa"/>
            <w:vAlign w:val="bottom"/>
            <w:gridSpan w:val="2"/>
            <w:shd w:val="clear" w:color="auto" w:fill="E5E5E5"/>
          </w:tcPr>
          <w:p>
            <w:pPr>
              <w:jc w:val="center"/>
              <w:ind w:left="2"/>
              <w:spacing w:after="0"/>
              <w:rPr>
                <w:sz w:val="20"/>
                <w:szCs w:val="20"/>
                <w:color w:val="auto"/>
              </w:rPr>
            </w:pPr>
            <w:r>
              <w:rPr>
                <w:rFonts w:ascii="Arial" w:cs="Arial" w:eastAsia="Arial" w:hAnsi="Arial"/>
                <w:sz w:val="16"/>
                <w:szCs w:val="16"/>
                <w:b w:val="1"/>
                <w:bCs w:val="1"/>
                <w:color w:val="auto"/>
                <w:w w:val="96"/>
              </w:rPr>
              <w:t>78.0%</w:t>
            </w:r>
          </w:p>
        </w:tc>
        <w:tc>
          <w:tcPr>
            <w:tcW w:w="740" w:type="dxa"/>
            <w:vAlign w:val="bottom"/>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7"/>
              </w:rPr>
              <w:t>(9.7)%</w:t>
            </w:r>
          </w:p>
        </w:tc>
        <w:tc>
          <w:tcPr>
            <w:tcW w:w="760" w:type="dxa"/>
            <w:vAlign w:val="bottom"/>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6"/>
              </w:rPr>
              <w:t>77.2%</w:t>
            </w:r>
          </w:p>
        </w:tc>
        <w:tc>
          <w:tcPr>
            <w:tcW w:w="7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7"/>
              </w:rPr>
              <w:t>(9.3)%</w:t>
            </w:r>
          </w:p>
        </w:tc>
        <w:tc>
          <w:tcPr>
            <w:tcW w:w="7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3"/>
              </w:rPr>
              <w:t>26%</w:t>
            </w:r>
          </w:p>
        </w:tc>
        <w:tc>
          <w:tcPr>
            <w:tcW w:w="88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3"/>
              </w:rPr>
              <w:t>16%</w:t>
            </w:r>
          </w:p>
        </w:tc>
        <w:tc>
          <w:tcPr>
            <w:tcW w:w="8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9"/>
              </w:rPr>
              <w:t>14%</w:t>
            </w:r>
          </w:p>
        </w:tc>
      </w:tr>
      <w:tr>
        <w:trPr>
          <w:trHeight w:val="227"/>
        </w:trPr>
        <w:tc>
          <w:tcPr>
            <w:tcW w:w="2220" w:type="dxa"/>
            <w:vAlign w:val="bottom"/>
            <w:gridSpan w:val="3"/>
          </w:tcPr>
          <w:p>
            <w:pPr>
              <w:ind w:left="40"/>
              <w:spacing w:after="0"/>
              <w:rPr>
                <w:sz w:val="20"/>
                <w:szCs w:val="20"/>
                <w:color w:val="auto"/>
              </w:rPr>
            </w:pPr>
            <w:r>
              <w:rPr>
                <w:rFonts w:ascii="Arial" w:cs="Arial" w:eastAsia="Arial" w:hAnsi="Arial"/>
                <w:sz w:val="16"/>
                <w:szCs w:val="16"/>
                <w:b w:val="1"/>
                <w:bCs w:val="1"/>
                <w:color w:val="auto"/>
              </w:rPr>
              <w:t>Mid-range</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912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b w:val="1"/>
                <w:bCs w:val="1"/>
                <w:color w:val="auto"/>
              </w:rPr>
              <w:t>1,084</w:t>
            </w:r>
          </w:p>
        </w:tc>
        <w:tc>
          <w:tcPr>
            <w:tcW w:w="76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3"/>
              </w:rPr>
              <w:t>0.1%</w:t>
            </w:r>
          </w:p>
        </w:tc>
        <w:tc>
          <w:tcPr>
            <w:tcW w:w="74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96"/>
              </w:rPr>
              <w:t>(15.9)%</w:t>
            </w:r>
          </w:p>
        </w:tc>
        <w:tc>
          <w:tcPr>
            <w:tcW w:w="76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99"/>
              </w:rPr>
              <w:t>(50.0)%</w:t>
            </w:r>
          </w:p>
        </w:tc>
        <w:tc>
          <w:tcPr>
            <w:tcW w:w="76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6"/>
              </w:rPr>
              <w:t>(15.7)%</w:t>
            </w:r>
          </w:p>
        </w:tc>
        <w:tc>
          <w:tcPr>
            <w:tcW w:w="76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3"/>
              </w:rPr>
              <w:t>61%</w:t>
            </w:r>
          </w:p>
        </w:tc>
        <w:tc>
          <w:tcPr>
            <w:tcW w:w="88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3"/>
              </w:rPr>
              <w:t>66%</w:t>
            </w:r>
          </w:p>
        </w:tc>
        <w:tc>
          <w:tcPr>
            <w:tcW w:w="86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9"/>
              </w:rPr>
              <w:t>66%</w:t>
            </w:r>
          </w:p>
        </w:tc>
      </w:tr>
      <w:tr>
        <w:trPr>
          <w:trHeight w:val="239"/>
        </w:trPr>
        <w:tc>
          <w:tcPr>
            <w:tcW w:w="22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High-end</w:t>
            </w:r>
          </w:p>
        </w:tc>
        <w:tc>
          <w:tcPr>
            <w:tcW w:w="16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175</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232</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5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316</w:t>
            </w:r>
          </w:p>
        </w:tc>
        <w:tc>
          <w:tcPr>
            <w:tcW w:w="7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6"/>
              </w:rPr>
              <w:t>(24.6)%</w:t>
            </w:r>
          </w:p>
        </w:tc>
        <w:tc>
          <w:tcPr>
            <w:tcW w:w="740" w:type="dxa"/>
            <w:vAlign w:val="bottom"/>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6"/>
              </w:rPr>
              <w:t>(26.6)%</w:t>
            </w:r>
          </w:p>
        </w:tc>
        <w:tc>
          <w:tcPr>
            <w:tcW w:w="760" w:type="dxa"/>
            <w:vAlign w:val="bottom"/>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9"/>
              </w:rPr>
              <w:t>(25.2)%</w:t>
            </w:r>
          </w:p>
        </w:tc>
        <w:tc>
          <w:tcPr>
            <w:tcW w:w="7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6"/>
              </w:rPr>
              <w:t>(26.4)%</w:t>
            </w:r>
          </w:p>
        </w:tc>
        <w:tc>
          <w:tcPr>
            <w:tcW w:w="7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3"/>
              </w:rPr>
              <w:t>12%</w:t>
            </w:r>
          </w:p>
        </w:tc>
        <w:tc>
          <w:tcPr>
            <w:tcW w:w="88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3"/>
              </w:rPr>
              <w:t>17%</w:t>
            </w:r>
          </w:p>
        </w:tc>
        <w:tc>
          <w:tcPr>
            <w:tcW w:w="8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9"/>
              </w:rPr>
              <w:t>19%</w:t>
            </w:r>
          </w:p>
        </w:tc>
      </w:tr>
      <w:tr>
        <w:trPr>
          <w:trHeight w:val="222"/>
        </w:trPr>
        <w:tc>
          <w:tcPr>
            <w:tcW w:w="40" w:type="dxa"/>
            <w:vAlign w:val="bottom"/>
            <w:tcBorders>
              <w:bottom w:val="single" w:sz="8" w:color="E5E5E5"/>
            </w:tcBorders>
          </w:tcPr>
          <w:p>
            <w:pPr>
              <w:spacing w:after="0"/>
              <w:rPr>
                <w:sz w:val="19"/>
                <w:szCs w:val="19"/>
                <w:color w:val="auto"/>
              </w:rPr>
            </w:pPr>
          </w:p>
        </w:tc>
        <w:tc>
          <w:tcPr>
            <w:tcW w:w="218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w:t>
            </w:r>
          </w:p>
        </w:tc>
        <w:tc>
          <w:tcPr>
            <w:tcW w:w="760" w:type="dxa"/>
            <w:vAlign w:val="bottom"/>
            <w:tcBorders>
              <w:bottom w:val="single" w:sz="8" w:color="E5E5E5"/>
            </w:tcBorders>
            <w:gridSpan w:val="2"/>
          </w:tcPr>
          <w:p>
            <w:pPr>
              <w:jc w:val="center"/>
              <w:ind w:left="22"/>
              <w:spacing w:after="0"/>
              <w:rPr>
                <w:sz w:val="20"/>
                <w:szCs w:val="20"/>
                <w:color w:val="auto"/>
              </w:rPr>
            </w:pPr>
            <w:r>
              <w:rPr>
                <w:rFonts w:ascii="Arial" w:cs="Arial" w:eastAsia="Arial" w:hAnsi="Arial"/>
                <w:sz w:val="16"/>
                <w:szCs w:val="16"/>
                <w:b w:val="1"/>
                <w:bCs w:val="1"/>
                <w:color w:val="auto"/>
                <w:w w:val="97"/>
              </w:rPr>
              <w:t>(5.0)%</w:t>
            </w:r>
          </w:p>
        </w:tc>
        <w:tc>
          <w:tcPr>
            <w:tcW w:w="740" w:type="dxa"/>
            <w:vAlign w:val="bottom"/>
            <w:tcBorders>
              <w:bottom w:val="single" w:sz="8" w:color="E5E5E5"/>
            </w:tcBorders>
            <w:gridSpan w:val="2"/>
          </w:tcPr>
          <w:p>
            <w:pPr>
              <w:jc w:val="center"/>
              <w:ind w:left="22"/>
              <w:spacing w:after="0"/>
              <w:rPr>
                <w:sz w:val="20"/>
                <w:szCs w:val="20"/>
                <w:color w:val="auto"/>
              </w:rPr>
            </w:pPr>
            <w:r>
              <w:rPr>
                <w:rFonts w:ascii="Arial" w:cs="Arial" w:eastAsia="Arial" w:hAnsi="Arial"/>
                <w:sz w:val="16"/>
                <w:szCs w:val="16"/>
                <w:b w:val="1"/>
                <w:bCs w:val="1"/>
                <w:color w:val="auto"/>
                <w:w w:val="96"/>
              </w:rPr>
              <w:t>11.1%</w:t>
            </w:r>
          </w:p>
        </w:tc>
        <w:tc>
          <w:tcPr>
            <w:tcW w:w="760" w:type="dxa"/>
            <w:vAlign w:val="bottom"/>
            <w:tcBorders>
              <w:bottom w:val="single" w:sz="8" w:color="E5E5E5"/>
            </w:tcBorders>
            <w:gridSpan w:val="2"/>
          </w:tcPr>
          <w:p>
            <w:pPr>
              <w:jc w:val="center"/>
              <w:ind w:left="42"/>
              <w:spacing w:after="0"/>
              <w:rPr>
                <w:sz w:val="20"/>
                <w:szCs w:val="20"/>
                <w:color w:val="auto"/>
              </w:rPr>
            </w:pPr>
            <w:r>
              <w:rPr>
                <w:rFonts w:ascii="Arial" w:cs="Arial" w:eastAsia="Arial" w:hAnsi="Arial"/>
                <w:sz w:val="16"/>
                <w:szCs w:val="16"/>
                <w:b w:val="1"/>
                <w:bCs w:val="1"/>
                <w:color w:val="auto"/>
                <w:w w:val="93"/>
              </w:rPr>
              <w:t>(5.0)%</w:t>
            </w:r>
          </w:p>
        </w:tc>
        <w:tc>
          <w:tcPr>
            <w:tcW w:w="760" w:type="dxa"/>
            <w:vAlign w:val="bottom"/>
            <w:tcBorders>
              <w:bottom w:val="single" w:sz="8" w:color="E5E5E5"/>
            </w:tcBorders>
            <w:gridSpan w:val="2"/>
          </w:tcPr>
          <w:p>
            <w:pPr>
              <w:jc w:val="center"/>
              <w:ind w:left="42"/>
              <w:spacing w:after="0"/>
              <w:rPr>
                <w:sz w:val="20"/>
                <w:szCs w:val="20"/>
                <w:color w:val="auto"/>
              </w:rPr>
            </w:pPr>
            <w:r>
              <w:rPr>
                <w:rFonts w:ascii="Arial" w:cs="Arial" w:eastAsia="Arial" w:hAnsi="Arial"/>
                <w:sz w:val="16"/>
                <w:szCs w:val="16"/>
                <w:b w:val="1"/>
                <w:bCs w:val="1"/>
                <w:color w:val="auto"/>
                <w:w w:val="96"/>
              </w:rPr>
              <w:t>11.1%</w:t>
            </w:r>
          </w:p>
        </w:tc>
        <w:tc>
          <w:tcPr>
            <w:tcW w:w="80" w:type="dxa"/>
            <w:vAlign w:val="bottom"/>
            <w:tcBorders>
              <w:bottom w:val="single" w:sz="8" w:color="E5E5E5"/>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1%</w:t>
            </w:r>
          </w:p>
        </w:tc>
        <w:tc>
          <w:tcPr>
            <w:tcW w:w="80" w:type="dxa"/>
            <w:vAlign w:val="bottom"/>
            <w:tcBorders>
              <w:bottom w:val="single" w:sz="8" w:color="E5E5E5"/>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1%</w:t>
            </w:r>
          </w:p>
        </w:tc>
        <w:tc>
          <w:tcPr>
            <w:tcW w:w="60" w:type="dxa"/>
            <w:vAlign w:val="bottom"/>
            <w:tcBorders>
              <w:bottom w:val="single" w:sz="8" w:color="E5E5E5"/>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r>
      <w:tr>
        <w:trPr>
          <w:trHeight w:val="232"/>
        </w:trPr>
        <w:tc>
          <w:tcPr>
            <w:tcW w:w="40" w:type="dxa"/>
            <w:vAlign w:val="bottom"/>
            <w:tcBorders>
              <w:bottom w:val="single" w:sz="8" w:color="E5E5E5"/>
            </w:tcBorders>
            <w:shd w:val="clear" w:color="auto" w:fill="E5E5E5"/>
          </w:tcPr>
          <w:p>
            <w:pPr>
              <w:spacing w:after="0"/>
              <w:rPr>
                <w:sz w:val="20"/>
                <w:szCs w:val="20"/>
                <w:color w:val="auto"/>
              </w:rPr>
            </w:pPr>
          </w:p>
        </w:tc>
        <w:tc>
          <w:tcPr>
            <w:tcW w:w="21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Equipment sales</w:t>
            </w:r>
            <w:r>
              <w:rPr>
                <w:rFonts w:ascii="Arial" w:cs="Arial" w:eastAsia="Arial" w:hAnsi="Arial"/>
                <w:sz w:val="10"/>
                <w:szCs w:val="10"/>
                <w:b w:val="1"/>
                <w:bCs w:val="1"/>
                <w:color w:val="auto"/>
              </w:rPr>
              <w:t>(1)</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1,488</w:t>
            </w:r>
          </w:p>
        </w:tc>
        <w:tc>
          <w:tcPr>
            <w:tcW w:w="80" w:type="dxa"/>
            <w:vAlign w:val="bottom"/>
            <w:tcBorders>
              <w:bottom w:val="single" w:sz="8" w:color="E5E5E5"/>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1,378</w:t>
            </w:r>
          </w:p>
        </w:tc>
        <w:tc>
          <w:tcPr>
            <w:tcW w:w="80" w:type="dxa"/>
            <w:vAlign w:val="bottom"/>
            <w:tcBorders>
              <w:bottom w:val="single" w:sz="8" w:color="E5E5E5"/>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1,655</w:t>
            </w:r>
          </w:p>
        </w:tc>
        <w:tc>
          <w:tcPr>
            <w:tcW w:w="760" w:type="dxa"/>
            <w:vAlign w:val="bottom"/>
            <w:tcBorders>
              <w:bottom w:val="single" w:sz="8" w:color="E5E5E5"/>
            </w:tcBorders>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3"/>
              </w:rPr>
              <w:t>8.0%</w:t>
            </w:r>
          </w:p>
        </w:tc>
        <w:tc>
          <w:tcPr>
            <w:tcW w:w="740" w:type="dxa"/>
            <w:vAlign w:val="bottom"/>
            <w:tcBorders>
              <w:bottom w:val="single" w:sz="8" w:color="E5E5E5"/>
            </w:tcBorders>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6"/>
              </w:rPr>
              <w:t>(16.7)%</w:t>
            </w:r>
          </w:p>
        </w:tc>
        <w:tc>
          <w:tcPr>
            <w:tcW w:w="760" w:type="dxa"/>
            <w:vAlign w:val="bottom"/>
            <w:tcBorders>
              <w:bottom w:val="single" w:sz="8" w:color="E5E5E5"/>
            </w:tcBorders>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8"/>
              </w:rPr>
              <w:t>7.1%</w:t>
            </w:r>
          </w:p>
        </w:tc>
        <w:tc>
          <w:tcPr>
            <w:tcW w:w="760" w:type="dxa"/>
            <w:vAlign w:val="bottom"/>
            <w:tcBorders>
              <w:bottom w:val="single" w:sz="8" w:color="E5E5E5"/>
            </w:tcBorders>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6"/>
              </w:rPr>
              <w:t>(16.5)%</w:t>
            </w:r>
          </w:p>
        </w:tc>
        <w:tc>
          <w:tcPr>
            <w:tcW w:w="80" w:type="dxa"/>
            <w:vAlign w:val="bottom"/>
            <w:tcBorders>
              <w:bottom w:val="single" w:sz="8" w:color="E5E5E5"/>
            </w:tcBorders>
            <w:shd w:val="clear" w:color="auto" w:fill="E5E5E5"/>
          </w:tcPr>
          <w:p>
            <w:pPr>
              <w:spacing w:after="0"/>
              <w:rPr>
                <w:sz w:val="20"/>
                <w:szCs w:val="20"/>
                <w:color w:val="auto"/>
              </w:rPr>
            </w:pPr>
          </w:p>
        </w:tc>
        <w:tc>
          <w:tcPr>
            <w:tcW w:w="6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7"/>
              </w:rPr>
              <w:t>100%</w:t>
            </w:r>
          </w:p>
        </w:tc>
        <w:tc>
          <w:tcPr>
            <w:tcW w:w="80" w:type="dxa"/>
            <w:vAlign w:val="bottom"/>
            <w:tcBorders>
              <w:bottom w:val="single" w:sz="8" w:color="E5E5E5"/>
            </w:tcBorders>
            <w:shd w:val="clear" w:color="auto" w:fill="E5E5E5"/>
          </w:tcPr>
          <w:p>
            <w:pPr>
              <w:spacing w:after="0"/>
              <w:rPr>
                <w:sz w:val="20"/>
                <w:szCs w:val="20"/>
                <w:color w:val="auto"/>
              </w:rPr>
            </w:pPr>
          </w:p>
        </w:tc>
        <w:tc>
          <w:tcPr>
            <w:tcW w:w="8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2"/>
              </w:rPr>
              <w:t>100%</w:t>
            </w:r>
          </w:p>
        </w:tc>
        <w:tc>
          <w:tcPr>
            <w:tcW w:w="60" w:type="dxa"/>
            <w:vAlign w:val="bottom"/>
            <w:tcBorders>
              <w:bottom w:val="single" w:sz="8" w:color="E5E5E5"/>
            </w:tcBorders>
            <w:shd w:val="clear" w:color="auto" w:fill="E5E5E5"/>
          </w:tcPr>
          <w:p>
            <w:pPr>
              <w:spacing w:after="0"/>
              <w:rPr>
                <w:sz w:val="20"/>
                <w:szCs w:val="20"/>
                <w:color w:val="auto"/>
              </w:rPr>
            </w:pPr>
          </w:p>
        </w:tc>
        <w:tc>
          <w:tcPr>
            <w:tcW w:w="8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7"/>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-55245</wp:posOffset>
            </wp:positionV>
            <wp:extent cx="1445895" cy="75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1445895" cy="75565"/>
                    </a:xfrm>
                    <a:prstGeom prst="rect">
                      <a:avLst/>
                    </a:prstGeom>
                    <a:noFill/>
                  </pic:spPr>
                </pic:pic>
              </a:graphicData>
            </a:graphic>
          </wp:anchor>
        </w:drawing>
        <w:drawing>
          <wp:anchor simplePos="0" relativeHeight="251657728" behindDoc="1" locked="0" layoutInCell="0" allowOverlap="1">
            <wp:simplePos x="0" y="0"/>
            <wp:positionH relativeFrom="column">
              <wp:posOffset>4751070</wp:posOffset>
            </wp:positionH>
            <wp:positionV relativeFrom="paragraph">
              <wp:posOffset>-55245</wp:posOffset>
            </wp:positionV>
            <wp:extent cx="1593850" cy="75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1593850" cy="75565"/>
                    </a:xfrm>
                    <a:prstGeom prst="rect">
                      <a:avLst/>
                    </a:prstGeom>
                    <a:noFill/>
                  </pic:spPr>
                </pic:pic>
              </a:graphicData>
            </a:graphic>
          </wp:anchor>
        </w:drawing>
      </w:r>
    </w:p>
    <w:p>
      <w:pPr>
        <w:spacing w:after="0" w:line="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auto"/>
        </w:rPr>
        <w:t>_____________</w:t>
      </w:r>
    </w:p>
    <w:p>
      <w:pPr>
        <w:spacing w:after="0" w:line="2"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auto"/>
        </w:rPr>
        <w:t>CC - See "Currency Impact" section for description of constant currency.</w:t>
      </w:r>
    </w:p>
    <w:p>
      <w:pPr>
        <w:spacing w:after="0" w:line="2" w:lineRule="exact"/>
        <w:rPr>
          <w:sz w:val="20"/>
          <w:szCs w:val="20"/>
          <w:color w:val="auto"/>
        </w:rPr>
      </w:pPr>
    </w:p>
    <w:p>
      <w:pPr>
        <w:ind w:left="349" w:hanging="349"/>
        <w:spacing w:after="0"/>
        <w:tabs>
          <w:tab w:leader="none" w:pos="349" w:val="left"/>
        </w:tabs>
        <w:numPr>
          <w:ilvl w:val="0"/>
          <w:numId w:val="5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Products and Offerings Definitions section.</w:t>
      </w:r>
    </w:p>
    <w:p>
      <w:pPr>
        <w:spacing w:after="0" w:line="107"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The change at constant currency</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reflected the following:</w:t>
      </w:r>
    </w:p>
    <w:p>
      <w:pPr>
        <w:spacing w:after="0" w:line="9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Entry</w:t>
      </w:r>
    </w:p>
    <w:p>
      <w:pPr>
        <w:spacing w:after="0" w:line="73" w:lineRule="exact"/>
        <w:rPr>
          <w:sz w:val="20"/>
          <w:szCs w:val="20"/>
          <w:color w:val="auto"/>
        </w:rPr>
      </w:pPr>
    </w:p>
    <w:p>
      <w:pPr>
        <w:jc w:val="both"/>
        <w:ind w:left="349" w:right="80" w:hanging="349"/>
        <w:spacing w:after="0" w:line="269" w:lineRule="auto"/>
        <w:tabs>
          <w:tab w:leader="none" w:pos="349" w:val="left"/>
        </w:tabs>
        <w:numPr>
          <w:ilvl w:val="0"/>
          <w:numId w:val="56"/>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2025, the increase, as compared to 2024, primarily reflects the Lexmark Acquisition. Excluding the Lexmark Acquisition, the decrease reflects lower installations of black-and-white products, as well as a higher mix of sales to indirect channel partners, both of which were partially offset by higher installs of color products.</w:t>
      </w:r>
    </w:p>
    <w:p>
      <w:pPr>
        <w:spacing w:after="0" w:line="9" w:lineRule="exact"/>
        <w:rPr>
          <w:rFonts w:ascii="Arial" w:cs="Arial" w:eastAsia="Arial" w:hAnsi="Arial"/>
          <w:sz w:val="19"/>
          <w:szCs w:val="19"/>
          <w:b w:val="1"/>
          <w:bCs w:val="1"/>
          <w:color w:val="DA2031"/>
        </w:rPr>
      </w:pPr>
    </w:p>
    <w:p>
      <w:pPr>
        <w:jc w:val="both"/>
        <w:ind w:left="349" w:right="80" w:hanging="349"/>
        <w:spacing w:after="0" w:line="276" w:lineRule="auto"/>
        <w:tabs>
          <w:tab w:leader="none" w:pos="349" w:val="left"/>
        </w:tabs>
        <w:numPr>
          <w:ilvl w:val="0"/>
          <w:numId w:val="56"/>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2024, the decrease, as compared to 2023, primarily reflects higher backlog reductions and installations of Entry printer, and Entry A4 color devices in the prior year, partially offset by higher installations of Entry A4 black-and-white devices in the current year.</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Mid-range</w:t>
      </w:r>
    </w:p>
    <w:p>
      <w:pPr>
        <w:spacing w:after="0" w:line="73" w:lineRule="exact"/>
        <w:rPr>
          <w:sz w:val="20"/>
          <w:szCs w:val="20"/>
          <w:color w:val="auto"/>
        </w:rPr>
      </w:pPr>
    </w:p>
    <w:p>
      <w:pPr>
        <w:jc w:val="both"/>
        <w:ind w:left="349" w:right="80" w:hanging="349"/>
        <w:spacing w:after="0" w:line="292" w:lineRule="auto"/>
        <w:tabs>
          <w:tab w:leader="none" w:pos="349" w:val="left"/>
        </w:tabs>
        <w:numPr>
          <w:ilvl w:val="0"/>
          <w:numId w:val="57"/>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2025, the increase, as compared to 2024, reflects the incremental installations as a result of the Lexmark Acquisition. Excluding the Lexmark Acquisition, the decrease reflects lower installs of black-and-white MFP products, partially offset by higher entry production color installs.</w:t>
      </w:r>
    </w:p>
    <w:p>
      <w:pPr>
        <w:spacing w:after="0" w:line="1" w:lineRule="exact"/>
        <w:rPr>
          <w:rFonts w:ascii="Arial" w:cs="Arial" w:eastAsia="Arial" w:hAnsi="Arial"/>
          <w:sz w:val="18"/>
          <w:szCs w:val="18"/>
          <w:b w:val="1"/>
          <w:bCs w:val="1"/>
          <w:color w:val="DA2031"/>
        </w:rPr>
      </w:pPr>
    </w:p>
    <w:p>
      <w:pPr>
        <w:jc w:val="both"/>
        <w:ind w:left="349" w:right="80" w:hanging="349"/>
        <w:spacing w:after="0" w:line="276" w:lineRule="auto"/>
        <w:tabs>
          <w:tab w:leader="none" w:pos="349" w:val="left"/>
        </w:tabs>
        <w:numPr>
          <w:ilvl w:val="0"/>
          <w:numId w:val="57"/>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2024, the decrease, as compared to 2023, reflects higher backlog reductions in the prior year, as well as declines in both black-and-white and color installations, and higher mix of lower-priced A3 color multi-function printers.</w:t>
      </w:r>
    </w:p>
    <w:p>
      <w:pPr>
        <w:spacing w:after="0" w:line="2"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High-end</w:t>
      </w:r>
    </w:p>
    <w:p>
      <w:pPr>
        <w:spacing w:after="0" w:line="73" w:lineRule="exact"/>
        <w:rPr>
          <w:sz w:val="20"/>
          <w:szCs w:val="20"/>
          <w:color w:val="auto"/>
        </w:rPr>
      </w:pPr>
    </w:p>
    <w:p>
      <w:pPr>
        <w:ind w:left="349" w:right="80" w:hanging="349"/>
        <w:spacing w:after="0" w:line="287" w:lineRule="auto"/>
        <w:tabs>
          <w:tab w:leader="none" w:pos="349" w:val="left"/>
        </w:tabs>
        <w:numPr>
          <w:ilvl w:val="0"/>
          <w:numId w:val="58"/>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2025, the decrease, as compared to 2024, was primarily due to lower installations, and the exit certain production print manufacturing operations in the prior year period.</w:t>
      </w:r>
    </w:p>
    <w:p>
      <w:pPr>
        <w:spacing w:after="0" w:line="1" w:lineRule="exact"/>
        <w:rPr>
          <w:rFonts w:ascii="Arial" w:cs="Arial" w:eastAsia="Arial" w:hAnsi="Arial"/>
          <w:sz w:val="19"/>
          <w:szCs w:val="19"/>
          <w:b w:val="1"/>
          <w:bCs w:val="1"/>
          <w:color w:val="DA2031"/>
        </w:rPr>
      </w:pPr>
    </w:p>
    <w:p>
      <w:pPr>
        <w:jc w:val="both"/>
        <w:ind w:left="349" w:right="80" w:hanging="349"/>
        <w:spacing w:after="0" w:line="269" w:lineRule="auto"/>
        <w:tabs>
          <w:tab w:leader="none" w:pos="349" w:val="left"/>
        </w:tabs>
        <w:numPr>
          <w:ilvl w:val="0"/>
          <w:numId w:val="58"/>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2024, the decrease, as compared to 2023, was primarily due to higher backlog</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reductions in the prior year, as well as an unfavorable mix toward black-and-white devices, as well as</w:t>
      </w:r>
    </w:p>
    <w:p>
      <w:pPr>
        <w:spacing w:after="0" w:line="2" w:lineRule="exact"/>
        <w:rPr>
          <w:sz w:val="20"/>
          <w:szCs w:val="20"/>
          <w:color w:val="auto"/>
        </w:rPr>
      </w:pPr>
    </w:p>
    <w:p>
      <w:pPr>
        <w:ind w:left="349"/>
        <w:spacing w:after="0"/>
        <w:rPr>
          <w:sz w:val="20"/>
          <w:szCs w:val="20"/>
          <w:color w:val="auto"/>
        </w:rPr>
      </w:pPr>
      <w:r>
        <w:rPr>
          <w:rFonts w:ascii="Arial" w:cs="Arial" w:eastAsia="Arial" w:hAnsi="Arial"/>
          <w:sz w:val="19"/>
          <w:szCs w:val="19"/>
          <w:b w:val="1"/>
          <w:bCs w:val="1"/>
          <w:color w:val="auto"/>
        </w:rPr>
        <w:t>lower High-end color installations, reflecting the evolution of our Production Print portfolio.</w:t>
      </w:r>
    </w:p>
    <w:p>
      <w:pPr>
        <w:spacing w:after="0" w:line="1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tabs>
          <w:tab w:leader="none" w:pos="349"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See "Currency Impact" section for description of constant currency.</w:t>
      </w:r>
    </w:p>
    <w:p>
      <w:pPr>
        <w:spacing w:after="0" w:line="2" w:lineRule="exact"/>
        <w:rPr>
          <w:rFonts w:ascii="Arial" w:cs="Arial" w:eastAsia="Arial" w:hAnsi="Arial"/>
          <w:sz w:val="16"/>
          <w:szCs w:val="16"/>
          <w:b w:val="1"/>
          <w:bCs w:val="1"/>
          <w:i w:val="1"/>
          <w:iCs w:val="1"/>
          <w:color w:val="auto"/>
        </w:rPr>
      </w:pPr>
    </w:p>
    <w:p>
      <w:pPr>
        <w:ind w:left="349" w:right="80" w:hanging="349"/>
        <w:spacing w:after="0" w:line="270" w:lineRule="auto"/>
        <w:tabs>
          <w:tab w:leader="none" w:pos="349"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Order backlog is measured as the value of unfulfilled sales orders, shipped and non-shipped, received from our customers waiting to be installed, including orders with future installation dates. It includes printing devices as well as IT hardware.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55</w:t>
      </w:r>
    </w:p>
    <w:p>
      <w:pPr>
        <w:sectPr>
          <w:pgSz w:w="11880" w:h="15480" w:orient="portrait"/>
          <w:cols w:equalWidth="0" w:num="1">
            <w:col w:w="9949"/>
          </w:cols>
          <w:pgMar w:left="1051" w:top="736" w:right="880" w:bottom="0" w:gutter="0" w:footer="0" w:header="0"/>
        </w:sectPr>
      </w:pPr>
    </w:p>
    <w:bookmarkStart w:id="65" w:name="page66"/>
    <w:bookmarkEnd w:id="65"/>
    <w:p>
      <w:pPr>
        <w:ind w:left="9"/>
        <w:spacing w:after="0"/>
        <w:rPr>
          <w:sz w:val="20"/>
          <w:szCs w:val="20"/>
          <w:color w:val="auto"/>
        </w:rPr>
      </w:pPr>
      <w:r>
        <w:rPr>
          <w:rFonts w:ascii="Arial" w:cs="Arial" w:eastAsia="Arial" w:hAnsi="Arial"/>
          <w:sz w:val="19"/>
          <w:szCs w:val="19"/>
          <w:b w:val="1"/>
          <w:bCs w:val="1"/>
          <w:color w:val="DA2031"/>
        </w:rPr>
        <w:t>Total Installs</w:t>
      </w:r>
    </w:p>
    <w:p>
      <w:pPr>
        <w:spacing w:after="0" w:line="131" w:lineRule="exact"/>
        <w:rPr>
          <w:sz w:val="20"/>
          <w:szCs w:val="20"/>
          <w:color w:val="auto"/>
        </w:rPr>
      </w:pPr>
    </w:p>
    <w:p>
      <w:pPr>
        <w:jc w:val="both"/>
        <w:ind w:left="9"/>
        <w:spacing w:after="0" w:line="249" w:lineRule="auto"/>
        <w:rPr>
          <w:sz w:val="20"/>
          <w:szCs w:val="20"/>
          <w:color w:val="auto"/>
        </w:rPr>
      </w:pPr>
      <w:r>
        <w:rPr>
          <w:rFonts w:ascii="Arial" w:cs="Arial" w:eastAsia="Arial" w:hAnsi="Arial"/>
          <w:sz w:val="19"/>
          <w:szCs w:val="19"/>
          <w:b w:val="1"/>
          <w:bCs w:val="1"/>
          <w:color w:val="auto"/>
        </w:rPr>
        <w:t>Installs reflect new placements of devices to end-user customers, and sales to distributors and resellers. Revenue associated with equipment installations may be reflected up-front in Equipment sales or over time either through rental income or as part of our services revenues (which are both reported within our Post sale revenues), depending on the terms and conditions of our agreements with customers. Installs include activity for Xerox and non-Xerox branded products.</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 xml:space="preserve">Detail by product group (see </w:t>
      </w:r>
      <w:r>
        <w:rPr>
          <w:rFonts w:ascii="Arial" w:cs="Arial" w:eastAsia="Arial" w:hAnsi="Arial"/>
          <w:sz w:val="19"/>
          <w:szCs w:val="19"/>
          <w:b w:val="1"/>
          <w:bCs w:val="1"/>
          <w:i w:val="1"/>
          <w:iCs w:val="1"/>
          <w:color w:val="DA2031"/>
        </w:rPr>
        <w:t>Products and Offerings Definitions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is shown below.</w:t>
      </w:r>
    </w:p>
    <w:p>
      <w:pPr>
        <w:spacing w:after="0" w:line="115"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Installs for the year ended December 31, 2025, include the impact of the Lexmark Acquisition, were:</w:t>
      </w:r>
    </w:p>
    <w:p>
      <w:pPr>
        <w:spacing w:after="0" w:line="130" w:lineRule="exact"/>
        <w:rPr>
          <w:sz w:val="20"/>
          <w:szCs w:val="20"/>
          <w:color w:val="auto"/>
        </w:rPr>
      </w:pPr>
    </w:p>
    <w:p>
      <w:pPr>
        <w:jc w:val="both"/>
        <w:ind w:left="349" w:hanging="349"/>
        <w:spacing w:after="0" w:line="277" w:lineRule="auto"/>
        <w:tabs>
          <w:tab w:leader="none" w:pos="349" w:val="left"/>
        </w:tabs>
        <w:numPr>
          <w:ilvl w:val="0"/>
          <w:numId w:val="60"/>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Entry </w:t>
      </w:r>
      <w:r>
        <w:rPr>
          <w:rFonts w:ascii="Arial" w:cs="Arial" w:eastAsia="Arial" w:hAnsi="Arial"/>
          <w:sz w:val="19"/>
          <w:szCs w:val="19"/>
          <w:b w:val="1"/>
          <w:bCs w:val="1"/>
          <w:color w:val="000000"/>
        </w:rPr>
        <w:t>increased 60% driven primarily by the contribution of Lexmark. Excluding the Lexmark Acquisition,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installations decreased primarily due to declines of black-and-white printers, partially offset by growth of color printer installations.</w:t>
      </w:r>
    </w:p>
    <w:p>
      <w:pPr>
        <w:spacing w:after="0" w:line="58" w:lineRule="exact"/>
        <w:rPr>
          <w:rFonts w:ascii="Arial" w:cs="Arial" w:eastAsia="Arial" w:hAnsi="Arial"/>
          <w:sz w:val="19"/>
          <w:szCs w:val="19"/>
          <w:b w:val="1"/>
          <w:bCs w:val="1"/>
          <w:color w:val="DA2031"/>
        </w:rPr>
      </w:pPr>
    </w:p>
    <w:p>
      <w:pPr>
        <w:jc w:val="both"/>
        <w:ind w:left="349" w:hanging="349"/>
        <w:spacing w:after="0" w:line="277" w:lineRule="auto"/>
        <w:tabs>
          <w:tab w:leader="none" w:pos="349" w:val="left"/>
        </w:tabs>
        <w:numPr>
          <w:ilvl w:val="0"/>
          <w:numId w:val="60"/>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Mid-Range </w:t>
      </w:r>
      <w:r>
        <w:rPr>
          <w:rFonts w:ascii="Arial" w:cs="Arial" w:eastAsia="Arial" w:hAnsi="Arial"/>
          <w:sz w:val="19"/>
          <w:szCs w:val="19"/>
          <w:b w:val="1"/>
          <w:bCs w:val="1"/>
          <w:color w:val="000000"/>
        </w:rPr>
        <w:t>increased 2% driven by the contribution of Lexmark. Excluding the Lexmark Acquisition,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installations were down primarily due to declines in color and black-and-white MFPs, partially offset by growth of Entry Production Color Low product installations.</w:t>
      </w:r>
    </w:p>
    <w:p>
      <w:pPr>
        <w:spacing w:after="0" w:line="58" w:lineRule="exact"/>
        <w:rPr>
          <w:rFonts w:ascii="Arial" w:cs="Arial" w:eastAsia="Arial" w:hAnsi="Arial"/>
          <w:sz w:val="19"/>
          <w:szCs w:val="19"/>
          <w:b w:val="1"/>
          <w:bCs w:val="1"/>
          <w:color w:val="DA2031"/>
        </w:rPr>
      </w:pPr>
    </w:p>
    <w:p>
      <w:pPr>
        <w:ind w:left="349" w:hanging="349"/>
        <w:spacing w:after="0" w:line="299" w:lineRule="auto"/>
        <w:tabs>
          <w:tab w:leader="none" w:pos="349" w:val="left"/>
        </w:tabs>
        <w:numPr>
          <w:ilvl w:val="0"/>
          <w:numId w:val="60"/>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High-End </w:t>
      </w:r>
      <w:r>
        <w:rPr>
          <w:rFonts w:ascii="Arial" w:cs="Arial" w:eastAsia="Arial" w:hAnsi="Arial"/>
          <w:sz w:val="19"/>
          <w:szCs w:val="19"/>
          <w:b w:val="1"/>
          <w:bCs w:val="1"/>
          <w:color w:val="000000"/>
        </w:rPr>
        <w:t>decreased 27% primarily reflecting declines in Entry Production Color, as well as the decision to the</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exit certain production print manufacturing operations made in the prior year period.</w:t>
      </w:r>
    </w:p>
    <w:p>
      <w:pPr>
        <w:spacing w:after="0" w:line="38"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Installs for the year ended December 31, 2024 were:</w:t>
      </w:r>
    </w:p>
    <w:p>
      <w:pPr>
        <w:spacing w:after="0" w:line="130" w:lineRule="exact"/>
        <w:rPr>
          <w:sz w:val="20"/>
          <w:szCs w:val="20"/>
          <w:color w:val="auto"/>
        </w:rPr>
      </w:pPr>
    </w:p>
    <w:p>
      <w:pPr>
        <w:jc w:val="both"/>
        <w:ind w:left="349" w:hanging="349"/>
        <w:spacing w:after="0" w:line="277" w:lineRule="auto"/>
        <w:tabs>
          <w:tab w:leader="none" w:pos="349" w:val="left"/>
        </w:tabs>
        <w:numPr>
          <w:ilvl w:val="0"/>
          <w:numId w:val="61"/>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Entry </w:t>
      </w:r>
      <w:r>
        <w:rPr>
          <w:rFonts w:ascii="Arial" w:cs="Arial" w:eastAsia="Arial" w:hAnsi="Arial"/>
          <w:sz w:val="19"/>
          <w:szCs w:val="19"/>
          <w:b w:val="1"/>
          <w:bCs w:val="1"/>
          <w:color w:val="000000"/>
        </w:rPr>
        <w:t>decreased 4% driven primarily by color installs reflecting declines in entry color printers, as well as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declines in A4 Color MFP, as well as lower installs of black-and-white installs driven by declines in entry mono printers, partially offset by higher installs of A4 mono MFPs.</w:t>
      </w:r>
    </w:p>
    <w:p>
      <w:pPr>
        <w:spacing w:after="0" w:line="58" w:lineRule="exact"/>
        <w:rPr>
          <w:rFonts w:ascii="Arial" w:cs="Arial" w:eastAsia="Arial" w:hAnsi="Arial"/>
          <w:sz w:val="19"/>
          <w:szCs w:val="19"/>
          <w:b w:val="1"/>
          <w:bCs w:val="1"/>
          <w:color w:val="DA2031"/>
        </w:rPr>
      </w:pPr>
    </w:p>
    <w:p>
      <w:pPr>
        <w:jc w:val="both"/>
        <w:ind w:left="349" w:hanging="349"/>
        <w:spacing w:after="0" w:line="277" w:lineRule="auto"/>
        <w:tabs>
          <w:tab w:leader="none" w:pos="349" w:val="left"/>
        </w:tabs>
        <w:numPr>
          <w:ilvl w:val="0"/>
          <w:numId w:val="61"/>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Mid-Range </w:t>
      </w:r>
      <w:r>
        <w:rPr>
          <w:rFonts w:ascii="Arial" w:cs="Arial" w:eastAsia="Arial" w:hAnsi="Arial"/>
          <w:sz w:val="19"/>
          <w:szCs w:val="19"/>
          <w:b w:val="1"/>
          <w:bCs w:val="1"/>
          <w:color w:val="000000"/>
        </w:rPr>
        <w:t>decreased 9% primarily reflecting lower black-and-white installs, primarily driven by A3 mono</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MFPs, as well as lower installs of color products, primarily reflecting declines in A3 color MFPs, as well as Entry Production Color devices.</w:t>
      </w:r>
    </w:p>
    <w:p>
      <w:pPr>
        <w:spacing w:after="0" w:line="58" w:lineRule="exact"/>
        <w:rPr>
          <w:rFonts w:ascii="Arial" w:cs="Arial" w:eastAsia="Arial" w:hAnsi="Arial"/>
          <w:sz w:val="19"/>
          <w:szCs w:val="19"/>
          <w:b w:val="1"/>
          <w:bCs w:val="1"/>
          <w:color w:val="DA2031"/>
        </w:rPr>
      </w:pPr>
    </w:p>
    <w:p>
      <w:pPr>
        <w:ind w:left="349" w:hanging="349"/>
        <w:spacing w:after="0" w:line="299" w:lineRule="auto"/>
        <w:tabs>
          <w:tab w:leader="none" w:pos="349" w:val="left"/>
        </w:tabs>
        <w:numPr>
          <w:ilvl w:val="0"/>
          <w:numId w:val="61"/>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High-End </w:t>
      </w:r>
      <w:r>
        <w:rPr>
          <w:rFonts w:ascii="Arial" w:cs="Arial" w:eastAsia="Arial" w:hAnsi="Arial"/>
          <w:sz w:val="19"/>
          <w:szCs w:val="19"/>
          <w:b w:val="1"/>
          <w:bCs w:val="1"/>
          <w:color w:val="000000"/>
        </w:rPr>
        <w:t>decreased 24% driven primarily by high-end color installs, reflecting declines in Entry Production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Color products, as well as lower installs of black-and-white High-End Cut Sheet products.</w:t>
      </w:r>
    </w:p>
    <w:p>
      <w:pPr>
        <w:spacing w:after="0" w:line="38"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Product and Offerings Definitions</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Our product groups range from:</w:t>
      </w:r>
    </w:p>
    <w:p>
      <w:pPr>
        <w:spacing w:after="0" w:line="72" w:lineRule="exact"/>
        <w:rPr>
          <w:sz w:val="20"/>
          <w:szCs w:val="20"/>
          <w:color w:val="auto"/>
        </w:rPr>
      </w:pPr>
    </w:p>
    <w:p>
      <w:pPr>
        <w:ind w:left="349" w:hanging="349"/>
        <w:spacing w:after="0" w:line="287" w:lineRule="auto"/>
        <w:tabs>
          <w:tab w:leader="none" w:pos="349" w:val="left"/>
        </w:tabs>
        <w:numPr>
          <w:ilvl w:val="0"/>
          <w:numId w:val="62"/>
        </w:numPr>
        <w:rPr>
          <w:rFonts w:ascii="Arial" w:cs="Arial" w:eastAsia="Arial" w:hAnsi="Arial"/>
          <w:sz w:val="19"/>
          <w:szCs w:val="19"/>
          <w:b w:val="1"/>
          <w:bCs w:val="1"/>
          <w:color w:val="DA2031"/>
        </w:rPr>
      </w:pPr>
      <w:r>
        <w:rPr>
          <w:rFonts w:ascii="Arial" w:cs="Arial" w:eastAsia="Arial" w:hAnsi="Arial"/>
          <w:sz w:val="19"/>
          <w:szCs w:val="19"/>
          <w:b w:val="1"/>
          <w:bCs w:val="1"/>
          <w:color w:val="auto"/>
        </w:rPr>
        <w:t>“Entry”, which generally includes A4 devices and desktop printers and multifunction devices that primarily serve small and medium workgroups/work teams.</w:t>
      </w:r>
    </w:p>
    <w:p>
      <w:pPr>
        <w:spacing w:after="0" w:line="1" w:lineRule="exact"/>
        <w:rPr>
          <w:rFonts w:ascii="Arial" w:cs="Arial" w:eastAsia="Arial" w:hAnsi="Arial"/>
          <w:sz w:val="19"/>
          <w:szCs w:val="19"/>
          <w:b w:val="1"/>
          <w:bCs w:val="1"/>
          <w:color w:val="DA2031"/>
        </w:rPr>
      </w:pPr>
    </w:p>
    <w:p>
      <w:pPr>
        <w:jc w:val="both"/>
        <w:ind w:left="349" w:hanging="349"/>
        <w:spacing w:after="0" w:line="277" w:lineRule="auto"/>
        <w:tabs>
          <w:tab w:leader="none" w:pos="349" w:val="left"/>
        </w:tabs>
        <w:numPr>
          <w:ilvl w:val="0"/>
          <w:numId w:val="62"/>
        </w:numPr>
        <w:rPr>
          <w:rFonts w:ascii="Arial" w:cs="Arial" w:eastAsia="Arial" w:hAnsi="Arial"/>
          <w:sz w:val="19"/>
          <w:szCs w:val="19"/>
          <w:b w:val="1"/>
          <w:bCs w:val="1"/>
          <w:color w:val="DA2031"/>
        </w:rPr>
      </w:pPr>
      <w:r>
        <w:rPr>
          <w:rFonts w:ascii="Arial" w:cs="Arial" w:eastAsia="Arial" w:hAnsi="Arial"/>
          <w:sz w:val="19"/>
          <w:szCs w:val="19"/>
          <w:b w:val="1"/>
          <w:bCs w:val="1"/>
          <w:color w:val="auto"/>
        </w:rPr>
        <w:t>“Mid-Range”, which generally includes A3 devices that primarily serve large workgroup/work teams environments as well as products in the Light Production product groups serving centralized print centers, print for pay and lower volume production print establishments.</w:t>
      </w:r>
    </w:p>
    <w:p>
      <w:pPr>
        <w:ind w:left="349" w:hanging="349"/>
        <w:spacing w:after="0" w:line="299" w:lineRule="auto"/>
        <w:tabs>
          <w:tab w:leader="none" w:pos="349" w:val="left"/>
        </w:tabs>
        <w:numPr>
          <w:ilvl w:val="0"/>
          <w:numId w:val="62"/>
        </w:numPr>
        <w:rPr>
          <w:rFonts w:ascii="Arial" w:cs="Arial" w:eastAsia="Arial" w:hAnsi="Arial"/>
          <w:sz w:val="19"/>
          <w:szCs w:val="19"/>
          <w:b w:val="1"/>
          <w:bCs w:val="1"/>
          <w:color w:val="DA2031"/>
        </w:rPr>
      </w:pPr>
      <w:r>
        <w:rPr>
          <w:rFonts w:ascii="Arial" w:cs="Arial" w:eastAsia="Arial" w:hAnsi="Arial"/>
          <w:sz w:val="19"/>
          <w:szCs w:val="19"/>
          <w:b w:val="1"/>
          <w:bCs w:val="1"/>
          <w:color w:val="auto"/>
        </w:rPr>
        <w:t>“High-End”, which generally includes production printing and publishing systems that generally serve the graphic communications marketplace and print centers in large enterprises.</w:t>
      </w:r>
    </w:p>
    <w:p>
      <w:pPr>
        <w:spacing w:after="0" w:line="38" w:lineRule="exact"/>
        <w:rPr>
          <w:sz w:val="20"/>
          <w:szCs w:val="20"/>
          <w:color w:val="auto"/>
        </w:rPr>
      </w:pPr>
    </w:p>
    <w:p>
      <w:pPr>
        <w:ind w:left="9"/>
        <w:spacing w:after="0" w:line="298" w:lineRule="auto"/>
        <w:rPr>
          <w:sz w:val="20"/>
          <w:szCs w:val="20"/>
          <w:color w:val="auto"/>
        </w:rPr>
      </w:pPr>
      <w:r>
        <w:rPr>
          <w:rFonts w:ascii="Arial" w:cs="Arial" w:eastAsia="Arial" w:hAnsi="Arial"/>
          <w:sz w:val="19"/>
          <w:szCs w:val="19"/>
          <w:b w:val="1"/>
          <w:bCs w:val="1"/>
          <w:color w:val="auto"/>
        </w:rPr>
        <w:t>Product group classifications reflect how management evaluates equipment offerings during the periods presented and may evolve over time as the Company’s portfolio and go-to-market approach change.</w:t>
      </w:r>
    </w:p>
    <w:p>
      <w:pPr>
        <w:spacing w:after="0" w:line="3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Segment Expenses</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Print and Other Segment expenses included the following:</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Research, Development and Engineering Expenses (RD&amp;E)</w:t>
      </w:r>
    </w:p>
    <w:p>
      <w:pPr>
        <w:spacing w:after="0" w:line="131" w:lineRule="exact"/>
        <w:rPr>
          <w:sz w:val="20"/>
          <w:szCs w:val="20"/>
          <w:color w:val="auto"/>
        </w:rPr>
      </w:pPr>
    </w:p>
    <w:p>
      <w:pPr>
        <w:jc w:val="both"/>
        <w:ind w:left="349" w:hanging="349"/>
        <w:spacing w:after="0" w:line="266" w:lineRule="auto"/>
        <w:tabs>
          <w:tab w:leader="none" w:pos="349" w:val="left"/>
        </w:tabs>
        <w:numPr>
          <w:ilvl w:val="0"/>
          <w:numId w:val="63"/>
        </w:numPr>
        <w:rPr>
          <w:rFonts w:ascii="Arial" w:cs="Arial" w:eastAsia="Arial" w:hAnsi="Arial"/>
          <w:sz w:val="19"/>
          <w:szCs w:val="19"/>
          <w:b w:val="1"/>
          <w:bCs w:val="1"/>
          <w:color w:val="DA2031"/>
          <w:strike w:val="1"/>
        </w:rPr>
      </w:pPr>
      <w:r>
        <w:rPr>
          <w:rFonts w:ascii="Arial" w:cs="Arial" w:eastAsia="Arial" w:hAnsi="Arial"/>
          <w:sz w:val="19"/>
          <w:szCs w:val="19"/>
          <w:b w:val="1"/>
          <w:bCs w:val="1"/>
          <w:color w:val="auto"/>
        </w:rPr>
        <w:t>RD&amp;E of $230 million for the year ended December 31, 2025 increased $39 million as compared to 2024. The increase was primarily due to Lexmark Acquisition, partially offset by lower spend in print and print services, as well as productivity and cost savings related to the Company's Reinvention.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RD&amp;E decreased by $26 million for the year ended December 31, 2025 as compared to the prior year due to the impacts noted above.</w:t>
      </w:r>
    </w:p>
    <w:p>
      <w:pPr>
        <w:spacing w:after="0" w:line="11" w:lineRule="exact"/>
        <w:rPr>
          <w:rFonts w:ascii="Arial" w:cs="Arial" w:eastAsia="Arial" w:hAnsi="Arial"/>
          <w:sz w:val="19"/>
          <w:szCs w:val="19"/>
          <w:b w:val="1"/>
          <w:bCs w:val="1"/>
          <w:color w:val="DA2031"/>
          <w:strike w:val="1"/>
        </w:rPr>
      </w:pPr>
    </w:p>
    <w:p>
      <w:pPr>
        <w:jc w:val="both"/>
        <w:ind w:left="349" w:hanging="349"/>
        <w:spacing w:after="0" w:line="289" w:lineRule="auto"/>
        <w:tabs>
          <w:tab w:leader="none" w:pos="349" w:val="left"/>
        </w:tabs>
        <w:numPr>
          <w:ilvl w:val="0"/>
          <w:numId w:val="63"/>
        </w:numPr>
        <w:rPr>
          <w:rFonts w:ascii="Arial" w:cs="Arial" w:eastAsia="Arial" w:hAnsi="Arial"/>
          <w:sz w:val="18"/>
          <w:szCs w:val="18"/>
          <w:b w:val="1"/>
          <w:bCs w:val="1"/>
          <w:color w:val="BF2115"/>
        </w:rPr>
      </w:pPr>
      <w:r>
        <w:rPr>
          <w:rFonts w:ascii="Arial" w:cs="Arial" w:eastAsia="Arial" w:hAnsi="Arial"/>
          <w:sz w:val="18"/>
          <w:szCs w:val="18"/>
          <w:b w:val="1"/>
          <w:bCs w:val="1"/>
          <w:color w:val="auto"/>
        </w:rPr>
        <w:t>RD&amp;E of $191 million for the year ended December 31, 2024, decreased $38 million as compared to 2023. The decrease was primarily due to productivity and cost savings related to the Company's Reinvention, the spin-off, exit, or shutdown of certain other RD&amp;E related activities or businesses, and the corresponding reduction in real estate. The lower spending in innovation reflects decisions which provide greater focus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56</w:t>
      </w:r>
    </w:p>
    <w:p>
      <w:pPr>
        <w:sectPr>
          <w:pgSz w:w="11880" w:h="15480" w:orient="portrait"/>
          <w:cols w:equalWidth="0" w:num="1">
            <w:col w:w="9869"/>
          </w:cols>
          <w:pgMar w:left="1051" w:top="735" w:right="960" w:bottom="0" w:gutter="0" w:footer="0" w:header="0"/>
        </w:sectPr>
      </w:pPr>
    </w:p>
    <w:bookmarkStart w:id="66" w:name="page67"/>
    <w:bookmarkEnd w:id="66"/>
    <w:p>
      <w:pPr>
        <w:ind w:left="349"/>
        <w:spacing w:after="0" w:line="298" w:lineRule="auto"/>
        <w:rPr>
          <w:sz w:val="20"/>
          <w:szCs w:val="20"/>
          <w:color w:val="auto"/>
        </w:rPr>
      </w:pPr>
      <w:r>
        <w:rPr>
          <w:rFonts w:ascii="Arial" w:cs="Arial" w:eastAsia="Arial" w:hAnsi="Arial"/>
          <w:sz w:val="19"/>
          <w:szCs w:val="19"/>
          <w:b w:val="1"/>
          <w:bCs w:val="1"/>
          <w:color w:val="auto"/>
        </w:rPr>
        <w:t>financial flexibility to pursue growth opportunities adjacent to our core operations. The decrease also reflected the strategic decision to donate PARC in 2023.</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Selling, Administrative and General Expenses (SAG)</w:t>
      </w:r>
    </w:p>
    <w:p>
      <w:pPr>
        <w:spacing w:after="0" w:line="131" w:lineRule="exact"/>
        <w:rPr>
          <w:sz w:val="20"/>
          <w:szCs w:val="20"/>
          <w:color w:val="auto"/>
        </w:rPr>
      </w:pPr>
    </w:p>
    <w:p>
      <w:pPr>
        <w:jc w:val="both"/>
        <w:ind w:left="349" w:hanging="349"/>
        <w:spacing w:after="0" w:line="281" w:lineRule="auto"/>
        <w:tabs>
          <w:tab w:leader="none" w:pos="349" w:val="left"/>
        </w:tabs>
        <w:numPr>
          <w:ilvl w:val="0"/>
          <w:numId w:val="64"/>
        </w:numPr>
        <w:rPr>
          <w:rFonts w:ascii="Arial" w:cs="Arial" w:eastAsia="Arial" w:hAnsi="Arial"/>
          <w:sz w:val="15"/>
          <w:szCs w:val="15"/>
          <w:b w:val="1"/>
          <w:bCs w:val="1"/>
          <w:i w:val="1"/>
          <w:iCs w:val="1"/>
          <w:color w:val="DA2031"/>
        </w:rPr>
      </w:pPr>
      <w:r>
        <w:rPr>
          <w:rFonts w:ascii="Arial" w:cs="Arial" w:eastAsia="Arial" w:hAnsi="Arial"/>
          <w:sz w:val="18"/>
          <w:szCs w:val="18"/>
          <w:b w:val="1"/>
          <w:bCs w:val="1"/>
          <w:color w:val="auto"/>
        </w:rPr>
        <w:t>SAG expenses of $1,402 million for the year ended December 31, 2025 were $36 million higher than 2024, primarily due to expenses related to the Lexmark Acquisition, including post-acquisition expenses associated with the settlement of pre-existing employment agreements, as well as other Reinvention-related investments, and higher expense related to sales enablement and advertising, and the adverse impact of currency. These adverse impacts were partially offset by productivity and cost savings related to the Company's Reinvention, lower incentive compensation and benefits expense, and lower bad debt expense.</w:t>
      </w:r>
    </w:p>
    <w:p>
      <w:pPr>
        <w:jc w:val="both"/>
        <w:ind w:left="349" w:hanging="349"/>
        <w:spacing w:after="0" w:line="266" w:lineRule="auto"/>
        <w:tabs>
          <w:tab w:leader="none" w:pos="349" w:val="left"/>
        </w:tabs>
        <w:numPr>
          <w:ilvl w:val="0"/>
          <w:numId w:val="64"/>
        </w:numPr>
        <w:rPr>
          <w:rFonts w:ascii="Arial" w:cs="Arial" w:eastAsia="Arial" w:hAnsi="Arial"/>
          <w:sz w:val="16"/>
          <w:szCs w:val="16"/>
          <w:b w:val="1"/>
          <w:bCs w:val="1"/>
          <w:i w:val="1"/>
          <w:iCs w:val="1"/>
          <w:color w:val="DA2031"/>
        </w:rPr>
      </w:pPr>
      <w:r>
        <w:rPr>
          <w:rFonts w:ascii="Arial" w:cs="Arial" w:eastAsia="Arial" w:hAnsi="Arial"/>
          <w:sz w:val="19"/>
          <w:szCs w:val="19"/>
          <w:b w:val="1"/>
          <w:bCs w:val="1"/>
          <w:color w:val="auto"/>
        </w:rPr>
        <w:t>SAG expenses of $1,366 million for the year ended December 31, 2024 were $181 million lower than 2023 primarily reflecting productivity and cost savings related to the Company's Reinvention, as well as lower incentive compensation expense, IT expenses, outsourcing costs, commission payments, litigation expense, and advertising costs, and the strategic decision to donate PARC in the prior year. These favorable impacts were partially offset by higher bad debt expense, and unfavorable currency.</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Segment Margin</w:t>
      </w:r>
    </w:p>
    <w:p>
      <w:pPr>
        <w:spacing w:after="0" w:line="112" w:lineRule="exact"/>
        <w:rPr>
          <w:sz w:val="20"/>
          <w:szCs w:val="20"/>
          <w:color w:val="auto"/>
        </w:rPr>
      </w:pPr>
    </w:p>
    <w:p>
      <w:pPr>
        <w:jc w:val="both"/>
        <w:ind w:left="9"/>
        <w:spacing w:after="0" w:line="279" w:lineRule="auto"/>
        <w:rPr>
          <w:sz w:val="20"/>
          <w:szCs w:val="20"/>
          <w:color w:val="auto"/>
        </w:rPr>
      </w:pPr>
      <w:r>
        <w:rPr>
          <w:rFonts w:ascii="Arial" w:cs="Arial" w:eastAsia="Arial" w:hAnsi="Arial"/>
          <w:sz w:val="18"/>
          <w:szCs w:val="18"/>
          <w:b w:val="1"/>
          <w:bCs w:val="1"/>
          <w:color w:val="auto"/>
        </w:rPr>
        <w:t>Print and Other segment margin of 4.4% for the year ended December 31, 2025 decreased by 2.4-percentage points as compared to the prior year, primarily due to lower gross profit, impacted by higher product and incremental tariff-related costs, and unfavorable mix, as well as higher SAG and RD&amp;E expenses. These impacts were partially offset by higher revenue, primarily as a result of the Lexmark Acquisition, as well as Reinvention-related cost and productivity actions, recent pricing actions, and lower freight costs. On a pro forma</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basis, Print and Other segment margin of 5.3% decreased by 2.9-percentage points as compared to the prior year period, due to the impacts noted above, as well as the timing of certain enterprise deals at Lexmark.</w:t>
      </w:r>
    </w:p>
    <w:p>
      <w:pPr>
        <w:spacing w:after="0" w:line="42"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Print and Other segment margin of 6.8% for the year ended December 31, 2024 decreased 0.6-percentage points compared to 2023. The decrease is primarily due to lower revenue, lower gross margin, and higher bad debt expense. These adverse impacts were partially offset by lower Selling and other administrative and general expenses, and lower RD&amp;E expense, reflecting the benefits of cost and productivity savings.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auto"/>
        </w:rPr>
        <w:t>___________</w:t>
      </w:r>
    </w:p>
    <w:p>
      <w:pPr>
        <w:spacing w:after="0" w:line="2" w:lineRule="exact"/>
        <w:rPr>
          <w:sz w:val="20"/>
          <w:szCs w:val="20"/>
          <w:color w:val="auto"/>
        </w:rPr>
      </w:pPr>
    </w:p>
    <w:p>
      <w:pPr>
        <w:ind w:left="349" w:right="320" w:hanging="349"/>
        <w:spacing w:after="0" w:line="270" w:lineRule="auto"/>
        <w:tabs>
          <w:tab w:leader="none" w:pos="349" w:val="left"/>
        </w:tabs>
        <w:numPr>
          <w:ilvl w:val="0"/>
          <w:numId w:val="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57"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IT Solutions</w:t>
      </w:r>
    </w:p>
    <w:p>
      <w:pPr>
        <w:spacing w:after="0" w:line="137" w:lineRule="exact"/>
        <w:rPr>
          <w:sz w:val="20"/>
          <w:szCs w:val="20"/>
          <w:color w:val="auto"/>
        </w:rPr>
      </w:pPr>
    </w:p>
    <w:p>
      <w:pPr>
        <w:jc w:val="both"/>
        <w:ind w:left="9"/>
        <w:spacing w:after="0" w:line="284" w:lineRule="auto"/>
        <w:rPr>
          <w:sz w:val="20"/>
          <w:szCs w:val="20"/>
          <w:color w:val="auto"/>
        </w:rPr>
      </w:pPr>
      <w:r>
        <w:rPr>
          <w:rFonts w:ascii="Arial" w:cs="Arial" w:eastAsia="Arial" w:hAnsi="Arial"/>
          <w:sz w:val="18"/>
          <w:szCs w:val="18"/>
          <w:b w:val="1"/>
          <w:bCs w:val="1"/>
          <w:color w:val="auto"/>
        </w:rPr>
        <w:t>The IT Solutions 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w:t>
      </w:r>
    </w:p>
    <w:p>
      <w:pPr>
        <w:spacing w:after="0" w:line="49"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Revenue</w:t>
      </w:r>
    </w:p>
    <w:p>
      <w:pPr>
        <w:spacing w:after="0" w:line="358"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7"/>
            <w:vMerge w:val="restart"/>
          </w:tcPr>
          <w:p>
            <w:pPr>
              <w:jc w:val="right"/>
              <w:ind w:right="422"/>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6"/>
                <w:szCs w:val="16"/>
                <w:color w:val="auto"/>
              </w:rPr>
            </w:pPr>
          </w:p>
        </w:tc>
        <w:tc>
          <w:tcPr>
            <w:tcW w:w="186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rPr>
              <w:t>% Change</w:t>
            </w: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Pro Forma</w:t>
            </w:r>
            <w:r>
              <w:rPr>
                <w:rFonts w:ascii="Arial" w:cs="Arial" w:eastAsia="Arial" w:hAnsi="Arial"/>
                <w:sz w:val="10"/>
                <w:szCs w:val="10"/>
                <w:b w:val="1"/>
                <w:bCs w:val="1"/>
                <w:color w:val="auto"/>
                <w:w w:val="91"/>
              </w:rPr>
              <w:t>(1)</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23"/>
        </w:trPr>
        <w:tc>
          <w:tcPr>
            <w:tcW w:w="3980" w:type="dxa"/>
            <w:vAlign w:val="bottom"/>
            <w:gridSpan w:val="4"/>
          </w:tcPr>
          <w:p>
            <w:pPr>
              <w:ind w:left="40"/>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9"/>
                <w:szCs w:val="19"/>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980" w:type="dxa"/>
            <w:vAlign w:val="bottom"/>
            <w:gridSpan w:val="2"/>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960" w:type="dxa"/>
            <w:vAlign w:val="bottom"/>
            <w:gridSpan w:val="2"/>
          </w:tcPr>
          <w:p>
            <w:pPr>
              <w:jc w:val="right"/>
              <w:ind w:right="202"/>
              <w:spacing w:after="0"/>
              <w:rPr>
                <w:sz w:val="20"/>
                <w:szCs w:val="20"/>
                <w:color w:val="auto"/>
              </w:rPr>
            </w:pPr>
            <w:r>
              <w:rPr>
                <w:rFonts w:ascii="Arial" w:cs="Arial" w:eastAsia="Arial" w:hAnsi="Arial"/>
                <w:sz w:val="16"/>
                <w:szCs w:val="16"/>
                <w:b w:val="1"/>
                <w:bCs w:val="1"/>
                <w:color w:val="auto"/>
              </w:rPr>
              <w:t>2024</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980" w:type="dxa"/>
            <w:vAlign w:val="bottom"/>
            <w:gridSpan w:val="4"/>
            <w:shd w:val="clear" w:color="auto" w:fill="E5E5E5"/>
          </w:tcPr>
          <w:p>
            <w:pPr>
              <w:ind w:left="40"/>
              <w:spacing w:after="0"/>
              <w:rPr>
                <w:sz w:val="20"/>
                <w:szCs w:val="20"/>
                <w:color w:val="auto"/>
              </w:rPr>
            </w:pPr>
            <w:r>
              <w:rPr>
                <w:rFonts w:ascii="Arial" w:cs="Arial" w:eastAsia="Arial" w:hAnsi="Arial"/>
                <w:sz w:val="16"/>
                <w:szCs w:val="16"/>
                <w:b w:val="1"/>
                <w:bCs w:val="1"/>
                <w:color w:val="auto"/>
              </w:rPr>
              <w:t>IT Products</w:t>
            </w:r>
            <w:r>
              <w:rPr>
                <w:rFonts w:ascii="Arial" w:cs="Arial" w:eastAsia="Arial" w:hAnsi="Arial"/>
                <w:sz w:val="10"/>
                <w:szCs w:val="10"/>
                <w:b w:val="1"/>
                <w:bCs w:val="1"/>
                <w:color w:val="auto"/>
              </w:rPr>
              <w:t>(2)</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523</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232</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256</w:t>
            </w:r>
          </w:p>
        </w:tc>
        <w:tc>
          <w:tcPr>
            <w:tcW w:w="980" w:type="dxa"/>
            <w:vAlign w:val="bottom"/>
            <w:gridSpan w:val="2"/>
            <w:shd w:val="clear" w:color="auto" w:fill="E5E5E5"/>
          </w:tcPr>
          <w:p>
            <w:pPr>
              <w:jc w:val="center"/>
              <w:ind w:left="42"/>
              <w:spacing w:after="0"/>
              <w:rPr>
                <w:sz w:val="20"/>
                <w:szCs w:val="20"/>
                <w:color w:val="auto"/>
              </w:rPr>
            </w:pPr>
            <w:r>
              <w:rPr>
                <w:rFonts w:ascii="Arial" w:cs="Arial" w:eastAsia="Arial" w:hAnsi="Arial"/>
                <w:sz w:val="16"/>
                <w:szCs w:val="16"/>
                <w:b w:val="1"/>
                <w:bCs w:val="1"/>
                <w:color w:val="auto"/>
                <w:w w:val="99"/>
              </w:rPr>
              <w:t>125.4%</w:t>
            </w:r>
          </w:p>
        </w:tc>
        <w:tc>
          <w:tcPr>
            <w:tcW w:w="960" w:type="dxa"/>
            <w:vAlign w:val="bottom"/>
            <w:gridSpan w:val="2"/>
            <w:shd w:val="clear" w:color="auto" w:fill="E5E5E5"/>
          </w:tcPr>
          <w:p>
            <w:pPr>
              <w:jc w:val="center"/>
              <w:ind w:left="22"/>
              <w:spacing w:after="0"/>
              <w:rPr>
                <w:sz w:val="20"/>
                <w:szCs w:val="20"/>
                <w:color w:val="auto"/>
              </w:rPr>
            </w:pPr>
            <w:r>
              <w:rPr>
                <w:rFonts w:ascii="Arial" w:cs="Arial" w:eastAsia="Arial" w:hAnsi="Arial"/>
                <w:sz w:val="16"/>
                <w:szCs w:val="16"/>
                <w:b w:val="1"/>
                <w:bCs w:val="1"/>
                <w:color w:val="auto"/>
                <w:w w:val="97"/>
              </w:rPr>
              <w:t>(9.4)%</w:t>
            </w:r>
          </w:p>
        </w:tc>
        <w:tc>
          <w:tcPr>
            <w:tcW w:w="1100" w:type="dxa"/>
            <w:vAlign w:val="bottom"/>
            <w:gridSpan w:val="2"/>
            <w:shd w:val="clear" w:color="auto" w:fill="E5E5E5"/>
          </w:tcPr>
          <w:p>
            <w:pPr>
              <w:jc w:val="center"/>
              <w:ind w:left="2"/>
              <w:spacing w:after="0"/>
              <w:rPr>
                <w:sz w:val="20"/>
                <w:szCs w:val="20"/>
                <w:color w:val="auto"/>
              </w:rPr>
            </w:pPr>
            <w:r>
              <w:rPr>
                <w:rFonts w:ascii="Arial" w:cs="Arial" w:eastAsia="Arial" w:hAnsi="Arial"/>
                <w:sz w:val="16"/>
                <w:szCs w:val="16"/>
                <w:b w:val="1"/>
                <w:bCs w:val="1"/>
                <w:color w:val="auto"/>
                <w:w w:val="97"/>
              </w:rPr>
              <w:t>(7.6)%</w:t>
            </w:r>
          </w:p>
        </w:tc>
        <w:tc>
          <w:tcPr>
            <w:tcW w:w="0" w:type="dxa"/>
            <w:vAlign w:val="bottom"/>
          </w:tcPr>
          <w:p>
            <w:pPr>
              <w:spacing w:after="0"/>
              <w:rPr>
                <w:sz w:val="1"/>
                <w:szCs w:val="1"/>
                <w:color w:val="auto"/>
              </w:rPr>
            </w:pPr>
          </w:p>
        </w:tc>
      </w:tr>
      <w:tr>
        <w:trPr>
          <w:trHeight w:val="242"/>
        </w:trPr>
        <w:tc>
          <w:tcPr>
            <w:tcW w:w="3980" w:type="dxa"/>
            <w:vAlign w:val="bottom"/>
            <w:gridSpan w:val="4"/>
          </w:tcPr>
          <w:p>
            <w:pPr>
              <w:ind w:left="40"/>
              <w:spacing w:after="0"/>
              <w:rPr>
                <w:sz w:val="20"/>
                <w:szCs w:val="20"/>
                <w:color w:val="auto"/>
              </w:rPr>
            </w:pPr>
            <w:r>
              <w:rPr>
                <w:rFonts w:ascii="Arial" w:cs="Arial" w:eastAsia="Arial" w:hAnsi="Arial"/>
                <w:sz w:val="16"/>
                <w:szCs w:val="16"/>
                <w:b w:val="1"/>
                <w:bCs w:val="1"/>
                <w:color w:val="auto"/>
              </w:rPr>
              <w:t>IT Services</w:t>
            </w:r>
            <w:r>
              <w:rPr>
                <w:rFonts w:ascii="Arial" w:cs="Arial" w:eastAsia="Arial" w:hAnsi="Arial"/>
                <w:sz w:val="10"/>
                <w:szCs w:val="10"/>
                <w:b w:val="1"/>
                <w:bCs w:val="1"/>
                <w:color w:val="auto"/>
              </w:rPr>
              <w:t>(3)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125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980" w:type="dxa"/>
            <w:vAlign w:val="bottom"/>
            <w:gridSpan w:val="2"/>
          </w:tcPr>
          <w:p>
            <w:pPr>
              <w:jc w:val="center"/>
              <w:ind w:left="62"/>
              <w:spacing w:after="0"/>
              <w:rPr>
                <w:sz w:val="20"/>
                <w:szCs w:val="20"/>
                <w:color w:val="auto"/>
              </w:rPr>
            </w:pPr>
            <w:r>
              <w:rPr>
                <w:rFonts w:ascii="Arial" w:cs="Arial" w:eastAsia="Arial" w:hAnsi="Arial"/>
                <w:sz w:val="16"/>
                <w:szCs w:val="16"/>
                <w:b w:val="1"/>
                <w:bCs w:val="1"/>
                <w:color w:val="auto"/>
                <w:w w:val="96"/>
              </w:rPr>
              <w:t>81.6%</w:t>
            </w:r>
          </w:p>
        </w:tc>
        <w:tc>
          <w:tcPr>
            <w:tcW w:w="96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96"/>
              </w:rPr>
              <w:t>16.8%</w:t>
            </w:r>
          </w:p>
        </w:tc>
        <w:tc>
          <w:tcPr>
            <w:tcW w:w="110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6"/>
              </w:rPr>
              <w:t>13.5%</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E5E5E5"/>
            </w:tcBorders>
            <w:gridSpan w:val="4"/>
            <w:shd w:val="clear" w:color="auto" w:fill="E5E5E5"/>
          </w:tcPr>
          <w:p>
            <w:pPr>
              <w:ind w:left="40"/>
              <w:spacing w:after="0"/>
              <w:rPr>
                <w:sz w:val="20"/>
                <w:szCs w:val="20"/>
                <w:color w:val="auto"/>
              </w:rPr>
            </w:pPr>
            <w:r>
              <w:rPr>
                <w:rFonts w:ascii="Arial" w:cs="Arial" w:eastAsia="Arial" w:hAnsi="Arial"/>
                <w:sz w:val="16"/>
                <w:szCs w:val="16"/>
                <w:b w:val="1"/>
                <w:bCs w:val="1"/>
                <w:color w:val="auto"/>
              </w:rPr>
              <w:t>Intersegment revenue</w:t>
            </w:r>
            <w:r>
              <w:rPr>
                <w:rFonts w:ascii="Arial" w:cs="Arial" w:eastAsia="Arial" w:hAnsi="Arial"/>
                <w:sz w:val="10"/>
                <w:szCs w:val="10"/>
                <w:b w:val="1"/>
                <w:bCs w:val="1"/>
                <w:color w:val="auto"/>
              </w:rPr>
              <w:t>(4)</w:t>
            </w:r>
          </w:p>
        </w:tc>
        <w:tc>
          <w:tcPr>
            <w:tcW w:w="200" w:type="dxa"/>
            <w:vAlign w:val="bottom"/>
            <w:tcBorders>
              <w:bottom w:val="single" w:sz="8" w:color="auto"/>
            </w:tcBorders>
            <w:shd w:val="clear" w:color="auto" w:fill="E5E5E5"/>
          </w:tcPr>
          <w:p>
            <w:pPr>
              <w:spacing w:after="0"/>
              <w:rPr>
                <w:sz w:val="22"/>
                <w:szCs w:val="22"/>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E5E5E5"/>
            </w:tcBorders>
            <w:shd w:val="clear" w:color="auto" w:fill="E5E5E5"/>
          </w:tcPr>
          <w:p>
            <w:pPr>
              <w:spacing w:after="0"/>
              <w:rPr>
                <w:sz w:val="22"/>
                <w:szCs w:val="22"/>
                <w:color w:val="auto"/>
              </w:rPr>
            </w:pPr>
          </w:p>
        </w:tc>
        <w:tc>
          <w:tcPr>
            <w:tcW w:w="200" w:type="dxa"/>
            <w:vAlign w:val="bottom"/>
            <w:tcBorders>
              <w:bottom w:val="single" w:sz="8" w:color="auto"/>
            </w:tcBorders>
            <w:shd w:val="clear" w:color="auto" w:fill="E5E5E5"/>
          </w:tcPr>
          <w:p>
            <w:pPr>
              <w:spacing w:after="0"/>
              <w:rPr>
                <w:sz w:val="22"/>
                <w:szCs w:val="22"/>
                <w:color w:val="auto"/>
              </w:rPr>
            </w:pPr>
          </w:p>
        </w:tc>
        <w:tc>
          <w:tcPr>
            <w:tcW w:w="7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2"/>
                <w:szCs w:val="22"/>
                <w:color w:val="auto"/>
              </w:rPr>
            </w:pPr>
          </w:p>
        </w:tc>
        <w:tc>
          <w:tcPr>
            <w:tcW w:w="220" w:type="dxa"/>
            <w:vAlign w:val="bottom"/>
            <w:tcBorders>
              <w:bottom w:val="single" w:sz="8" w:color="auto"/>
            </w:tcBorders>
            <w:shd w:val="clear" w:color="auto" w:fill="E5E5E5"/>
          </w:tcPr>
          <w:p>
            <w:pPr>
              <w:spacing w:after="0"/>
              <w:rPr>
                <w:sz w:val="22"/>
                <w:szCs w:val="22"/>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2"/>
                <w:szCs w:val="22"/>
                <w:color w:val="auto"/>
              </w:rPr>
            </w:pPr>
          </w:p>
        </w:tc>
        <w:tc>
          <w:tcPr>
            <w:tcW w:w="9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6"/>
              </w:rPr>
              <w:t>NM</w:t>
            </w:r>
          </w:p>
        </w:tc>
        <w:tc>
          <w:tcPr>
            <w:tcW w:w="60" w:type="dxa"/>
            <w:vAlign w:val="bottom"/>
            <w:tcBorders>
              <w:bottom w:val="single" w:sz="8" w:color="E5E5E5"/>
            </w:tcBorders>
            <w:shd w:val="clear" w:color="auto" w:fill="E5E5E5"/>
          </w:tcPr>
          <w:p>
            <w:pPr>
              <w:spacing w:after="0"/>
              <w:rPr>
                <w:sz w:val="22"/>
                <w:szCs w:val="22"/>
                <w:color w:val="auto"/>
              </w:rPr>
            </w:pPr>
          </w:p>
        </w:tc>
        <w:tc>
          <w:tcPr>
            <w:tcW w:w="9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6"/>
              </w:rPr>
              <w:t>NM</w:t>
            </w:r>
          </w:p>
        </w:tc>
        <w:tc>
          <w:tcPr>
            <w:tcW w:w="60" w:type="dxa"/>
            <w:vAlign w:val="bottom"/>
            <w:tcBorders>
              <w:bottom w:val="single" w:sz="8" w:color="E5E5E5"/>
            </w:tcBorders>
            <w:shd w:val="clear" w:color="auto" w:fill="E5E5E5"/>
          </w:tcPr>
          <w:p>
            <w:pPr>
              <w:spacing w:after="0"/>
              <w:rPr>
                <w:sz w:val="22"/>
                <w:szCs w:val="22"/>
                <w:color w:val="auto"/>
              </w:rPr>
            </w:pP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6"/>
              </w:rPr>
              <w:t>NM</w:t>
            </w:r>
          </w:p>
        </w:tc>
        <w:tc>
          <w:tcPr>
            <w:tcW w:w="0" w:type="dxa"/>
            <w:vAlign w:val="bottom"/>
          </w:tcPr>
          <w:p>
            <w:pPr>
              <w:spacing w:after="0"/>
              <w:rPr>
                <w:sz w:val="1"/>
                <w:szCs w:val="1"/>
                <w:color w:val="auto"/>
              </w:rPr>
            </w:pPr>
          </w:p>
        </w:tc>
      </w:tr>
      <w:tr>
        <w:trPr>
          <w:trHeight w:val="189"/>
        </w:trPr>
        <w:tc>
          <w:tcPr>
            <w:tcW w:w="398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IT Solutions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761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358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980" w:type="dxa"/>
            <w:vAlign w:val="bottom"/>
            <w:gridSpan w:val="2"/>
          </w:tcPr>
          <w:p>
            <w:pPr>
              <w:jc w:val="center"/>
              <w:ind w:left="42"/>
              <w:spacing w:after="0"/>
              <w:rPr>
                <w:sz w:val="20"/>
                <w:szCs w:val="20"/>
                <w:color w:val="auto"/>
              </w:rPr>
            </w:pPr>
            <w:r>
              <w:rPr>
                <w:rFonts w:ascii="Arial" w:cs="Arial" w:eastAsia="Arial" w:hAnsi="Arial"/>
                <w:sz w:val="16"/>
                <w:szCs w:val="16"/>
                <w:b w:val="1"/>
                <w:bCs w:val="1"/>
                <w:color w:val="auto"/>
                <w:w w:val="99"/>
              </w:rPr>
              <w:t>112.6%</w:t>
            </w:r>
          </w:p>
        </w:tc>
        <w:tc>
          <w:tcPr>
            <w:tcW w:w="960" w:type="dxa"/>
            <w:vAlign w:val="bottom"/>
            <w:gridSpan w:val="2"/>
          </w:tcPr>
          <w:p>
            <w:pPr>
              <w:jc w:val="center"/>
              <w:ind w:left="22"/>
              <w:spacing w:after="0"/>
              <w:rPr>
                <w:sz w:val="20"/>
                <w:szCs w:val="20"/>
                <w:color w:val="auto"/>
              </w:rPr>
            </w:pPr>
            <w:r>
              <w:rPr>
                <w:rFonts w:ascii="Arial" w:cs="Arial" w:eastAsia="Arial" w:hAnsi="Arial"/>
                <w:sz w:val="16"/>
                <w:szCs w:val="16"/>
                <w:b w:val="1"/>
                <w:bCs w:val="1"/>
                <w:color w:val="auto"/>
                <w:w w:val="97"/>
              </w:rPr>
              <w:t>(1.4)%</w:t>
            </w:r>
          </w:p>
        </w:tc>
        <w:tc>
          <w:tcPr>
            <w:tcW w:w="1100" w:type="dxa"/>
            <w:vAlign w:val="bottom"/>
            <w:gridSpan w:val="2"/>
          </w:tcPr>
          <w:p>
            <w:pPr>
              <w:jc w:val="center"/>
              <w:ind w:left="2"/>
              <w:spacing w:after="0"/>
              <w:rPr>
                <w:sz w:val="20"/>
                <w:szCs w:val="20"/>
                <w:color w:val="auto"/>
              </w:rPr>
            </w:pPr>
            <w:r>
              <w:rPr>
                <w:rFonts w:ascii="Arial" w:cs="Arial" w:eastAsia="Arial" w:hAnsi="Arial"/>
                <w:sz w:val="16"/>
                <w:szCs w:val="16"/>
                <w:b w:val="1"/>
                <w:bCs w:val="1"/>
                <w:color w:val="auto"/>
                <w:w w:val="97"/>
              </w:rPr>
              <w:t>(0.8)%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-55880</wp:posOffset>
            </wp:positionV>
            <wp:extent cx="1861820" cy="75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1861820" cy="75565"/>
                    </a:xfrm>
                    <a:prstGeom prst="rect">
                      <a:avLst/>
                    </a:prstGeom>
                    <a:noFill/>
                  </pic:spPr>
                </pic:pic>
              </a:graphicData>
            </a:graphic>
          </wp:anchor>
        </w:drawing>
      </w:r>
    </w:p>
    <w:p>
      <w:pPr>
        <w:spacing w:after="0" w:line="6"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auto"/>
        </w:rPr>
        <w:t>_____________</w:t>
      </w:r>
    </w:p>
    <w:p>
      <w:pPr>
        <w:spacing w:after="0" w:line="2" w:lineRule="exact"/>
        <w:rPr>
          <w:sz w:val="20"/>
          <w:szCs w:val="20"/>
          <w:color w:val="auto"/>
        </w:rPr>
      </w:pPr>
    </w:p>
    <w:p>
      <w:pPr>
        <w:ind w:left="349" w:right="60" w:hanging="349"/>
        <w:spacing w:after="0" w:line="242" w:lineRule="auto"/>
        <w:tabs>
          <w:tab w:leader="none" w:pos="349" w:val="left"/>
        </w:tabs>
        <w:numPr>
          <w:ilvl w:val="0"/>
          <w:numId w:val="6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ITsavvy as if it was acquired on January 1, 2023. Refer to the "Pro Forma Basis" section for an explanation of this measure.</w:t>
      </w:r>
    </w:p>
    <w:p>
      <w:pPr>
        <w:spacing w:after="0" w:line="1" w:lineRule="exact"/>
        <w:rPr>
          <w:rFonts w:ascii="Arial" w:cs="Arial" w:eastAsia="Arial" w:hAnsi="Arial"/>
          <w:sz w:val="16"/>
          <w:szCs w:val="16"/>
          <w:b w:val="1"/>
          <w:bCs w:val="1"/>
          <w:i w:val="1"/>
          <w:iCs w:val="1"/>
          <w:color w:val="auto"/>
        </w:rPr>
      </w:pPr>
    </w:p>
    <w:p>
      <w:pPr>
        <w:jc w:val="both"/>
        <w:ind w:left="349" w:hanging="349"/>
        <w:spacing w:after="0" w:line="242" w:lineRule="auto"/>
        <w:tabs>
          <w:tab w:leader="none" w:pos="349" w:val="left"/>
        </w:tabs>
        <w:numPr>
          <w:ilvl w:val="0"/>
          <w:numId w:val="6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IT Products reflect the sale of IT hardware and software solutions. Hardware product sales include the sale of notebooks, desktop, network communications and other endpoint devices, infrastructure components and other IT hardware. Software product sales include deployments of cloud and security solutions, endpoint security application suites, operating systems, other applications and network management solutions.</w:t>
      </w:r>
    </w:p>
    <w:p>
      <w:pPr>
        <w:spacing w:after="0" w:line="2" w:lineRule="exact"/>
        <w:rPr>
          <w:rFonts w:ascii="Arial" w:cs="Arial" w:eastAsia="Arial" w:hAnsi="Arial"/>
          <w:sz w:val="16"/>
          <w:szCs w:val="16"/>
          <w:b w:val="1"/>
          <w:bCs w:val="1"/>
          <w:i w:val="1"/>
          <w:iCs w:val="1"/>
          <w:color w:val="auto"/>
        </w:rPr>
      </w:pPr>
    </w:p>
    <w:p>
      <w:pPr>
        <w:ind w:left="349" w:hanging="349"/>
        <w:spacing w:after="0" w:line="242" w:lineRule="auto"/>
        <w:tabs>
          <w:tab w:leader="none" w:pos="349" w:val="left"/>
        </w:tabs>
        <w:numPr>
          <w:ilvl w:val="0"/>
          <w:numId w:val="6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IT Services reflect revenue associated with the implementation of IT Solutions, including device lifecycle solutions, deployment and network and security monitoring services, and other managed IT services.</w:t>
      </w:r>
    </w:p>
    <w:p>
      <w:pPr>
        <w:spacing w:after="0" w:line="1" w:lineRule="exact"/>
        <w:rPr>
          <w:rFonts w:ascii="Arial" w:cs="Arial" w:eastAsia="Arial" w:hAnsi="Arial"/>
          <w:sz w:val="16"/>
          <w:szCs w:val="16"/>
          <w:b w:val="1"/>
          <w:bCs w:val="1"/>
          <w:i w:val="1"/>
          <w:iCs w:val="1"/>
          <w:color w:val="auto"/>
        </w:rPr>
      </w:pPr>
    </w:p>
    <w:p>
      <w:pPr>
        <w:ind w:left="349" w:hanging="349"/>
        <w:spacing w:after="0"/>
        <w:tabs>
          <w:tab w:leader="none" w:pos="349" w:val="left"/>
        </w:tabs>
        <w:numPr>
          <w:ilvl w:val="0"/>
          <w:numId w:val="6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primarily IT hardware, software solutions and services sold by the IT Solutions segment to the Print and Other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57</w:t>
      </w:r>
    </w:p>
    <w:p>
      <w:pPr>
        <w:sectPr>
          <w:pgSz w:w="11880" w:h="15480" w:orient="portrait"/>
          <w:cols w:equalWidth="0" w:num="1">
            <w:col w:w="9869"/>
          </w:cols>
          <w:pgMar w:left="1051" w:top="736" w:right="960" w:bottom="0" w:gutter="0" w:footer="0" w:header="0"/>
        </w:sectPr>
      </w:pPr>
    </w:p>
    <w:bookmarkStart w:id="67" w:name="page68"/>
    <w:bookmarkEnd w:id="67"/>
    <w:p>
      <w:pPr>
        <w:ind w:left="9"/>
        <w:spacing w:after="0" w:line="328" w:lineRule="auto"/>
        <w:rPr>
          <w:sz w:val="20"/>
          <w:szCs w:val="20"/>
          <w:color w:val="auto"/>
        </w:rPr>
      </w:pPr>
      <w:r>
        <w:rPr>
          <w:rFonts w:ascii="Arial" w:cs="Arial" w:eastAsia="Arial" w:hAnsi="Arial"/>
          <w:sz w:val="18"/>
          <w:szCs w:val="18"/>
          <w:b w:val="1"/>
          <w:bCs w:val="1"/>
          <w:color w:val="auto"/>
        </w:rPr>
        <w:t>For the year ended December 31, 2025 IT Solutions segment revenue increased 112.6%, as compared to 2024, and for the year ended December 31, 2024 IT Solutions segment revenue decreased 1.4%, as compared to 2023.</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IT Solutions segment revenue included the following:</w:t>
      </w:r>
    </w:p>
    <w:p>
      <w:pPr>
        <w:spacing w:after="0" w:line="130"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IT Products Revenue:</w:t>
      </w:r>
    </w:p>
    <w:p>
      <w:pPr>
        <w:spacing w:after="0" w:line="131" w:lineRule="exact"/>
        <w:rPr>
          <w:sz w:val="20"/>
          <w:szCs w:val="20"/>
          <w:color w:val="auto"/>
        </w:rPr>
      </w:pPr>
    </w:p>
    <w:p>
      <w:pPr>
        <w:jc w:val="both"/>
        <w:ind w:left="349" w:hanging="349"/>
        <w:spacing w:after="0" w:line="279" w:lineRule="auto"/>
        <w:tabs>
          <w:tab w:leader="none" w:pos="349" w:val="left"/>
        </w:tabs>
        <w:numPr>
          <w:ilvl w:val="0"/>
          <w:numId w:val="67"/>
        </w:numPr>
        <w:rPr>
          <w:rFonts w:ascii="Arial" w:cs="Arial" w:eastAsia="Arial" w:hAnsi="Arial"/>
          <w:sz w:val="18"/>
          <w:szCs w:val="18"/>
          <w:b w:val="1"/>
          <w:bCs w:val="1"/>
          <w:color w:val="DA2031"/>
        </w:rPr>
      </w:pPr>
      <w:r>
        <w:rPr>
          <w:rFonts w:ascii="Arial" w:cs="Arial" w:eastAsia="Arial" w:hAnsi="Arial"/>
          <w:sz w:val="18"/>
          <w:szCs w:val="18"/>
          <w:b w:val="1"/>
          <w:bCs w:val="1"/>
          <w:color w:val="auto"/>
        </w:rPr>
        <w:t>For the year ended December 31, 2025 IT products revenue increased 125.4% as compared to 2024, primarily due to ITsavvy. Excluding ITsavvy, revenue decreased 2.7% due to a decline in the legacy Xerox IT Solutions business, which was partially attributable to a larger mix of revenue subject to net classification and revenue deferrals, the timing of large product placements in the prior year, the adverse impact to deals as a result of the government shutdown in 2025, and component cost increases. On a pro forma</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basis, IT Product revenue for the year ended December 31, 2025 decreased 7.6% due to lower revenues from legacy Xerox, offset by growth from ITsavvy, reflecting higher sales of endpoint, infrastructure and networking products.</w:t>
      </w:r>
    </w:p>
    <w:p>
      <w:pPr>
        <w:spacing w:after="0" w:line="61" w:lineRule="exact"/>
        <w:rPr>
          <w:rFonts w:ascii="Arial" w:cs="Arial" w:eastAsia="Arial" w:hAnsi="Arial"/>
          <w:sz w:val="18"/>
          <w:szCs w:val="18"/>
          <w:b w:val="1"/>
          <w:bCs w:val="1"/>
          <w:color w:val="DA2031"/>
        </w:rPr>
      </w:pPr>
    </w:p>
    <w:p>
      <w:pPr>
        <w:jc w:val="both"/>
        <w:ind w:left="349" w:hanging="349"/>
        <w:spacing w:after="0" w:line="276" w:lineRule="auto"/>
        <w:tabs>
          <w:tab w:leader="none" w:pos="349" w:val="left"/>
        </w:tabs>
        <w:numPr>
          <w:ilvl w:val="0"/>
          <w:numId w:val="67"/>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2024, IT product revenue decreased 9.4% as compared to 2023, primarily reflecting lower revenues from legacy Xerox due to large product refreshes in 2023, partially offset by the impact of the acquisition of ITsavvy in the fourth quarter of 2024.</w:t>
      </w:r>
    </w:p>
    <w:p>
      <w:pPr>
        <w:spacing w:after="0" w:line="60"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IT Services Revenue:</w:t>
      </w:r>
    </w:p>
    <w:p>
      <w:pPr>
        <w:spacing w:after="0" w:line="131" w:lineRule="exact"/>
        <w:rPr>
          <w:sz w:val="20"/>
          <w:szCs w:val="20"/>
          <w:color w:val="auto"/>
        </w:rPr>
      </w:pPr>
    </w:p>
    <w:p>
      <w:pPr>
        <w:jc w:val="both"/>
        <w:ind w:left="349" w:hanging="349"/>
        <w:spacing w:after="0" w:line="276" w:lineRule="auto"/>
        <w:tabs>
          <w:tab w:leader="none" w:pos="349" w:val="left"/>
        </w:tabs>
        <w:numPr>
          <w:ilvl w:val="0"/>
          <w:numId w:val="68"/>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2025 revenue increased 81.6% as compared to 2024 The increase was primarily due to ITsavvy.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IT service revenue for the year ended December 31, 2025 increased 13.5% due to growth from ITsavvy.</w:t>
      </w:r>
    </w:p>
    <w:p>
      <w:pPr>
        <w:spacing w:after="0" w:line="61" w:lineRule="exact"/>
        <w:rPr>
          <w:rFonts w:ascii="Arial" w:cs="Arial" w:eastAsia="Arial" w:hAnsi="Arial"/>
          <w:sz w:val="19"/>
          <w:szCs w:val="19"/>
          <w:b w:val="1"/>
          <w:bCs w:val="1"/>
          <w:color w:val="DA2031"/>
        </w:rPr>
      </w:pPr>
    </w:p>
    <w:p>
      <w:pPr>
        <w:ind w:left="349" w:hanging="349"/>
        <w:spacing w:after="0" w:line="298" w:lineRule="auto"/>
        <w:tabs>
          <w:tab w:leader="none" w:pos="349" w:val="left"/>
        </w:tabs>
        <w:numPr>
          <w:ilvl w:val="0"/>
          <w:numId w:val="68"/>
        </w:numPr>
        <w:rPr>
          <w:rFonts w:ascii="Arial" w:cs="Arial" w:eastAsia="Arial" w:hAnsi="Arial"/>
          <w:sz w:val="19"/>
          <w:szCs w:val="19"/>
          <w:b w:val="1"/>
          <w:bCs w:val="1"/>
          <w:color w:val="DA2031"/>
        </w:rPr>
      </w:pPr>
      <w:r>
        <w:rPr>
          <w:rFonts w:ascii="Arial" w:cs="Arial" w:eastAsia="Arial" w:hAnsi="Arial"/>
          <w:sz w:val="19"/>
          <w:szCs w:val="19"/>
          <w:b w:val="1"/>
          <w:bCs w:val="1"/>
          <w:color w:val="auto"/>
        </w:rPr>
        <w:t>For the year ended December 31, 2024 revenue increased 16.8% as compared to 2023. The increase from the prior year was primarily due to the impact of the acquisition of ITsavvy in the fourth quarter of 2024.</w:t>
      </w:r>
    </w:p>
    <w:p>
      <w:pPr>
        <w:spacing w:after="0" w:line="3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Segment Expenses</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Selling, Administrative and General Expenses (SAG)</w:t>
      </w:r>
    </w:p>
    <w:p>
      <w:pPr>
        <w:spacing w:after="0" w:line="131" w:lineRule="exact"/>
        <w:rPr>
          <w:sz w:val="20"/>
          <w:szCs w:val="20"/>
          <w:color w:val="auto"/>
        </w:rPr>
      </w:pPr>
    </w:p>
    <w:p>
      <w:pPr>
        <w:ind w:left="349" w:hanging="349"/>
        <w:spacing w:after="0" w:line="287" w:lineRule="auto"/>
        <w:tabs>
          <w:tab w:leader="none" w:pos="349" w:val="left"/>
        </w:tabs>
        <w:numPr>
          <w:ilvl w:val="0"/>
          <w:numId w:val="69"/>
        </w:numPr>
        <w:rPr>
          <w:rFonts w:ascii="Arial" w:cs="Arial" w:eastAsia="Arial" w:hAnsi="Arial"/>
          <w:sz w:val="19"/>
          <w:szCs w:val="19"/>
          <w:b w:val="1"/>
          <w:bCs w:val="1"/>
          <w:i w:val="1"/>
          <w:iCs w:val="1"/>
          <w:color w:val="DA2031"/>
        </w:rPr>
      </w:pPr>
      <w:r>
        <w:rPr>
          <w:rFonts w:ascii="Arial" w:cs="Arial" w:eastAsia="Arial" w:hAnsi="Arial"/>
          <w:sz w:val="19"/>
          <w:szCs w:val="19"/>
          <w:b w:val="1"/>
          <w:bCs w:val="1"/>
          <w:color w:val="auto"/>
        </w:rPr>
        <w:t>SAG expenses of $101 million for the year ended December 31, 2025 were $43 million higher than 2024, primarily due to ITsavvy.</w:t>
      </w:r>
    </w:p>
    <w:p>
      <w:pPr>
        <w:spacing w:after="0" w:line="1" w:lineRule="exact"/>
        <w:rPr>
          <w:rFonts w:ascii="Arial" w:cs="Arial" w:eastAsia="Arial" w:hAnsi="Arial"/>
          <w:sz w:val="19"/>
          <w:szCs w:val="19"/>
          <w:b w:val="1"/>
          <w:bCs w:val="1"/>
          <w:i w:val="1"/>
          <w:iCs w:val="1"/>
          <w:color w:val="DA2031"/>
        </w:rPr>
      </w:pPr>
    </w:p>
    <w:p>
      <w:pPr>
        <w:ind w:left="349" w:hanging="349"/>
        <w:spacing w:after="0" w:line="298" w:lineRule="auto"/>
        <w:tabs>
          <w:tab w:leader="none" w:pos="349" w:val="left"/>
        </w:tabs>
        <w:numPr>
          <w:ilvl w:val="0"/>
          <w:numId w:val="69"/>
        </w:numPr>
        <w:rPr>
          <w:rFonts w:ascii="Arial" w:cs="Arial" w:eastAsia="Arial" w:hAnsi="Arial"/>
          <w:sz w:val="19"/>
          <w:szCs w:val="19"/>
          <w:b w:val="1"/>
          <w:bCs w:val="1"/>
          <w:i w:val="1"/>
          <w:iCs w:val="1"/>
          <w:color w:val="DA2031"/>
        </w:rPr>
      </w:pPr>
      <w:r>
        <w:rPr>
          <w:rFonts w:ascii="Arial" w:cs="Arial" w:eastAsia="Arial" w:hAnsi="Arial"/>
          <w:sz w:val="19"/>
          <w:szCs w:val="19"/>
          <w:b w:val="1"/>
          <w:bCs w:val="1"/>
          <w:color w:val="auto"/>
        </w:rPr>
        <w:t>SAG expenses of $58 million for the year ended December 31, 2024 were $10 million higher than 2023, primarily due to legacy XBS IT solutions and the acquisition of ITsavvy in 2024.</w:t>
      </w:r>
    </w:p>
    <w:p>
      <w:pPr>
        <w:spacing w:after="0" w:line="3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DA2031"/>
        </w:rPr>
        <w:t>Segment Margin</w:t>
      </w:r>
    </w:p>
    <w:p>
      <w:pPr>
        <w:spacing w:after="0" w:line="137"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b w:val="1"/>
          <w:bCs w:val="1"/>
          <w:color w:val="auto"/>
        </w:rPr>
        <w:t>IT Solutions segment margin of 5.5% for the year ended December 31, 2025 increased 5.5-percentage points as compared to 2024. The increase from 2024 was driven by ITsavvy, partially offset by higher SAG. On a pro forma</w:t>
      </w:r>
      <w:r>
        <w:rPr>
          <w:rFonts w:ascii="Arial" w:cs="Arial" w:eastAsia="Arial" w:hAnsi="Arial"/>
          <w:sz w:val="12"/>
          <w:szCs w:val="12"/>
          <w:b w:val="1"/>
          <w:bCs w:val="1"/>
          <w:color w:val="auto"/>
        </w:rPr>
        <w:t>1</w:t>
      </w:r>
      <w:r>
        <w:rPr>
          <w:rFonts w:ascii="Arial" w:cs="Arial" w:eastAsia="Arial" w:hAnsi="Arial"/>
          <w:sz w:val="19"/>
          <w:szCs w:val="19"/>
          <w:b w:val="1"/>
          <w:bCs w:val="1"/>
          <w:color w:val="auto"/>
        </w:rPr>
        <w:t xml:space="preserve"> basis, IT Solutions segment margin of 5.5% increased by 3.4-percentage points as compared to 2024, due to the impacts noted above, as well as productivity and cost savings related to the integration of the legacy XBS IT solutions business.</w:t>
      </w:r>
    </w:p>
    <w:p>
      <w:pPr>
        <w:spacing w:after="0" w:line="70" w:lineRule="exact"/>
        <w:rPr>
          <w:sz w:val="20"/>
          <w:szCs w:val="20"/>
          <w:color w:val="auto"/>
        </w:rPr>
      </w:pPr>
    </w:p>
    <w:p>
      <w:pPr>
        <w:jc w:val="both"/>
        <w:ind w:left="9"/>
        <w:spacing w:after="0" w:line="276" w:lineRule="auto"/>
        <w:rPr>
          <w:sz w:val="20"/>
          <w:szCs w:val="20"/>
          <w:color w:val="auto"/>
        </w:rPr>
      </w:pPr>
      <w:r>
        <w:rPr>
          <w:rFonts w:ascii="Arial" w:cs="Arial" w:eastAsia="Arial" w:hAnsi="Arial"/>
          <w:sz w:val="19"/>
          <w:szCs w:val="19"/>
          <w:b w:val="1"/>
          <w:bCs w:val="1"/>
          <w:color w:val="auto"/>
        </w:rPr>
        <w:t>IT Solutions segment margin was 0.0% for the year ended December 31, 2024 and decreased 1.4-percentage points as compared to 2023 primarily reflecting higher SAG and lower revenues from legacy Xerox, partially offset by the impact of the acquisition of ITsavvy in the fourth quarter of 2024.</w:t>
      </w:r>
    </w:p>
    <w:p>
      <w:pPr>
        <w:spacing w:after="0" w:line="6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line="270" w:lineRule="auto"/>
        <w:tabs>
          <w:tab w:leader="none" w:pos="349" w:val="left"/>
        </w:tabs>
        <w:numPr>
          <w:ilvl w:val="0"/>
          <w:numId w:val="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for an explanation of this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58</w:t>
      </w:r>
    </w:p>
    <w:p>
      <w:pPr>
        <w:sectPr>
          <w:pgSz w:w="11880" w:h="15480" w:orient="portrait"/>
          <w:cols w:equalWidth="0" w:num="1">
            <w:col w:w="9869"/>
          </w:cols>
          <w:pgMar w:left="1051" w:top="736" w:right="960" w:bottom="0" w:gutter="0" w:footer="0" w:header="0"/>
        </w:sectPr>
      </w:pPr>
    </w:p>
    <w:bookmarkStart w:id="68" w:name="page69"/>
    <w:bookmarkEnd w:id="68"/>
    <w:p>
      <w:pPr>
        <w:ind w:left="9"/>
        <w:spacing w:after="0"/>
        <w:rPr>
          <w:sz w:val="20"/>
          <w:szCs w:val="20"/>
          <w:color w:val="auto"/>
        </w:rPr>
      </w:pPr>
      <w:r>
        <w:rPr>
          <w:rFonts w:ascii="Arial" w:cs="Arial" w:eastAsia="Arial" w:hAnsi="Arial"/>
          <w:sz w:val="23"/>
          <w:szCs w:val="23"/>
          <w:b w:val="1"/>
          <w:bCs w:val="1"/>
          <w:color w:val="DA2031"/>
        </w:rPr>
        <w:t>Capital Resources and Liquidity</w:t>
      </w:r>
    </w:p>
    <w:p>
      <w:pPr>
        <w:spacing w:after="0" w:line="143" w:lineRule="exact"/>
        <w:rPr>
          <w:sz w:val="20"/>
          <w:szCs w:val="20"/>
          <w:color w:val="auto"/>
        </w:rPr>
      </w:pPr>
    </w:p>
    <w:p>
      <w:pPr>
        <w:jc w:val="both"/>
        <w:ind w:left="9"/>
        <w:spacing w:after="0" w:line="278" w:lineRule="auto"/>
        <w:rPr>
          <w:sz w:val="20"/>
          <w:szCs w:val="20"/>
          <w:color w:val="auto"/>
        </w:rPr>
      </w:pPr>
      <w:r>
        <w:rPr>
          <w:rFonts w:ascii="Arial" w:cs="Arial" w:eastAsia="Arial" w:hAnsi="Arial"/>
          <w:sz w:val="18"/>
          <w:szCs w:val="18"/>
          <w:b w:val="1"/>
          <w:bCs w:val="1"/>
          <w:color w:val="auto"/>
        </w:rPr>
        <w:t>Our liquidity is primarily dependent on our ability to generate positive cash flows from operations. Additional liquidity is also provided through access to the financial capital markets and a committed asset-based revolving credit agreement (the ABL Facility), as well as the sales and assignment of finance lease receivables. Our access to financial capital markets may be limited from time to time due to a number of factors, including our credit ratings, the level of our outstanding indebtedness, and prevailing market conditions, including the trading levels of our existing debt securities. Based on our current level of operations, we do not expect our near term liquidity needs to be dependent on access to the financial capital markets and we believe that our available sources will be adequate to meet our liquidity needs for at least the next 12 months.</w:t>
      </w:r>
    </w:p>
    <w:p>
      <w:pPr>
        <w:spacing w:after="0" w:line="61"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Currently, we are not aware of any other trends or demands, commitments, events or uncertainties that will result in or that are reasonably likely to result in our liquidity increasing or decreasing in any material way that will impact our capital needs during or beyond the next 12 months from March 16, 2026, the date these Consolidated Financial Statements were issued.</w:t>
      </w:r>
    </w:p>
    <w:p>
      <w:pPr>
        <w:spacing w:after="0" w:line="68" w:lineRule="exact"/>
        <w:rPr>
          <w:sz w:val="20"/>
          <w:szCs w:val="20"/>
          <w:color w:val="auto"/>
        </w:rPr>
      </w:pPr>
    </w:p>
    <w:p>
      <w:pPr>
        <w:jc w:val="both"/>
        <w:ind w:left="9"/>
        <w:spacing w:after="0" w:line="276" w:lineRule="auto"/>
        <w:rPr>
          <w:sz w:val="20"/>
          <w:szCs w:val="20"/>
          <w:color w:val="auto"/>
        </w:rPr>
      </w:pPr>
      <w:r>
        <w:rPr>
          <w:rFonts w:ascii="Arial" w:cs="Arial" w:eastAsia="Arial" w:hAnsi="Arial"/>
          <w:sz w:val="19"/>
          <w:szCs w:val="19"/>
          <w:b w:val="1"/>
          <w:bCs w:val="1"/>
          <w:color w:val="auto"/>
        </w:rPr>
        <w:t>We cannot assure you, however, that our business will generate sufficient cash flow from operations or that future borrowings will be available to us under the Company's ABL facility and in amounts sufficient to enable us to repay our indebtedness or to fund our other liquidity needs.</w:t>
      </w:r>
    </w:p>
    <w:p>
      <w:pPr>
        <w:spacing w:after="0" w:line="6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The following is a summary of our liquidity position:</w:t>
      </w:r>
    </w:p>
    <w:p>
      <w:pPr>
        <w:spacing w:after="0" w:line="73" w:lineRule="exact"/>
        <w:rPr>
          <w:sz w:val="20"/>
          <w:szCs w:val="20"/>
          <w:color w:val="auto"/>
        </w:rPr>
      </w:pPr>
    </w:p>
    <w:p>
      <w:pPr>
        <w:ind w:left="349" w:hanging="349"/>
        <w:spacing w:after="0" w:line="287" w:lineRule="auto"/>
        <w:tabs>
          <w:tab w:leader="none" w:pos="349" w:val="left"/>
        </w:tabs>
        <w:numPr>
          <w:ilvl w:val="0"/>
          <w:numId w:val="71"/>
        </w:numPr>
        <w:rPr>
          <w:rFonts w:ascii="Arial" w:cs="Arial" w:eastAsia="Arial" w:hAnsi="Arial"/>
          <w:sz w:val="19"/>
          <w:szCs w:val="19"/>
          <w:b w:val="1"/>
          <w:bCs w:val="1"/>
          <w:color w:val="DA2031"/>
        </w:rPr>
      </w:pPr>
      <w:r>
        <w:rPr>
          <w:rFonts w:ascii="Arial" w:cs="Arial" w:eastAsia="Arial" w:hAnsi="Arial"/>
          <w:sz w:val="19"/>
          <w:szCs w:val="19"/>
          <w:b w:val="1"/>
          <w:bCs w:val="1"/>
          <w:color w:val="auto"/>
        </w:rPr>
        <w:t>As of December 31, 2025, total cash, cash equivalents and restricted cash were $565 million, and apart from restricted cash of $53 million, were readily accessible for use.</w:t>
      </w:r>
    </w:p>
    <w:p>
      <w:pPr>
        <w:spacing w:after="0" w:line="1" w:lineRule="exact"/>
        <w:rPr>
          <w:rFonts w:ascii="Arial" w:cs="Arial" w:eastAsia="Arial" w:hAnsi="Arial"/>
          <w:sz w:val="19"/>
          <w:szCs w:val="19"/>
          <w:b w:val="1"/>
          <w:bCs w:val="1"/>
          <w:color w:val="DA2031"/>
        </w:rPr>
      </w:pPr>
    </w:p>
    <w:p>
      <w:pPr>
        <w:jc w:val="both"/>
        <w:ind w:left="349" w:hanging="349"/>
        <w:spacing w:after="0" w:line="266" w:lineRule="auto"/>
        <w:tabs>
          <w:tab w:leader="none" w:pos="349" w:val="left"/>
        </w:tabs>
        <w:numPr>
          <w:ilvl w:val="0"/>
          <w:numId w:val="71"/>
        </w:numPr>
        <w:rPr>
          <w:rFonts w:ascii="Arial" w:cs="Arial" w:eastAsia="Arial" w:hAnsi="Arial"/>
          <w:sz w:val="19"/>
          <w:szCs w:val="19"/>
          <w:b w:val="1"/>
          <w:bCs w:val="1"/>
          <w:color w:val="DA2031"/>
        </w:rPr>
      </w:pPr>
      <w:r>
        <w:rPr>
          <w:rFonts w:ascii="Arial" w:cs="Arial" w:eastAsia="Arial" w:hAnsi="Arial"/>
          <w:sz w:val="19"/>
          <w:szCs w:val="19"/>
          <w:b w:val="1"/>
          <w:bCs w:val="1"/>
          <w:color w:val="auto"/>
        </w:rPr>
        <w:t>Total debt at December 31, 2025 was $4,247 million of which $1,488 million is internally allocated to and supports the Company's finance assets. The remaining debt of $2,759 million is attributable to the non-financing business. Debt consists of senior unsecured notes, senior secured notes, secured promissory notes, and borrowings under a Term Loan B credit facility (the TLB). Refer to Note 15 - Debt in the Consolidated Financial Statements for additional details regarding our debt.</w:t>
      </w:r>
    </w:p>
    <w:p>
      <w:pPr>
        <w:spacing w:after="0" w:line="11" w:lineRule="exact"/>
        <w:rPr>
          <w:rFonts w:ascii="Arial" w:cs="Arial" w:eastAsia="Arial" w:hAnsi="Arial"/>
          <w:sz w:val="19"/>
          <w:szCs w:val="19"/>
          <w:b w:val="1"/>
          <w:bCs w:val="1"/>
          <w:color w:val="DA2031"/>
        </w:rPr>
      </w:pPr>
    </w:p>
    <w:p>
      <w:pPr>
        <w:jc w:val="both"/>
        <w:ind w:left="349" w:hanging="349"/>
        <w:spacing w:after="0" w:line="279" w:lineRule="auto"/>
        <w:tabs>
          <w:tab w:leader="none" w:pos="349" w:val="left"/>
        </w:tabs>
        <w:numPr>
          <w:ilvl w:val="0"/>
          <w:numId w:val="71"/>
        </w:numPr>
        <w:rPr>
          <w:rFonts w:ascii="Arial" w:cs="Arial" w:eastAsia="Arial" w:hAnsi="Arial"/>
          <w:sz w:val="18"/>
          <w:szCs w:val="18"/>
          <w:b w:val="1"/>
          <w:bCs w:val="1"/>
          <w:color w:val="DA2031"/>
        </w:rPr>
      </w:pPr>
      <w:r>
        <w:rPr>
          <w:rFonts w:ascii="Arial" w:cs="Arial" w:eastAsia="Arial" w:hAnsi="Arial"/>
          <w:sz w:val="18"/>
          <w:szCs w:val="18"/>
          <w:b w:val="1"/>
          <w:bCs w:val="1"/>
          <w:color w:val="auto"/>
        </w:rPr>
        <w:t>During 2025, we issued $400 million aggregate principal amount of 10.250% Senior Secured First Lien Notes due 2030 (the First Lien Notes), $500 million of aggregate principal amount of 13.500% Senior Secured Second Lien Notes due 2031 (the Second Lien Notes), $250 million aggregate principal amount of 13.00% Senior Notes due 2030 (the 2030 Notes), and $125 million aggregate principal amount of 13.00% Senior Unsecured Notes due 2026 (the 2026 Notes) an incremental term loan borrowing of approximately $327 million (Incremental Term Loans) under Xerox Corporation's Term Loan B (the TLB Facility). Refer to Note 15 - Debt in the Consolidated Financial Statements for additional information related to our Debt activity.</w:t>
      </w:r>
    </w:p>
    <w:p>
      <w:pPr>
        <w:spacing w:after="0" w:line="3" w:lineRule="exact"/>
        <w:rPr>
          <w:rFonts w:ascii="Arial" w:cs="Arial" w:eastAsia="Arial" w:hAnsi="Arial"/>
          <w:sz w:val="18"/>
          <w:szCs w:val="18"/>
          <w:b w:val="1"/>
          <w:bCs w:val="1"/>
          <w:color w:val="DA2031"/>
        </w:rPr>
      </w:pPr>
    </w:p>
    <w:p>
      <w:pPr>
        <w:jc w:val="both"/>
        <w:ind w:left="349" w:hanging="349"/>
        <w:spacing w:after="0" w:line="269" w:lineRule="auto"/>
        <w:tabs>
          <w:tab w:leader="none" w:pos="349" w:val="left"/>
        </w:tabs>
        <w:numPr>
          <w:ilvl w:val="0"/>
          <w:numId w:val="71"/>
        </w:numPr>
        <w:rPr>
          <w:rFonts w:ascii="Arial" w:cs="Arial" w:eastAsia="Arial" w:hAnsi="Arial"/>
          <w:sz w:val="19"/>
          <w:szCs w:val="19"/>
          <w:b w:val="1"/>
          <w:bCs w:val="1"/>
          <w:color w:val="DA2031"/>
        </w:rPr>
      </w:pPr>
      <w:r>
        <w:rPr>
          <w:rFonts w:ascii="Arial" w:cs="Arial" w:eastAsia="Arial" w:hAnsi="Arial"/>
          <w:sz w:val="19"/>
          <w:szCs w:val="19"/>
          <w:b w:val="1"/>
          <w:bCs w:val="1"/>
          <w:color w:val="auto"/>
        </w:rPr>
        <w:t>In 2025, Xerox Corporation redeemed an aggregate principal amount of $388 million of Senior Notes due August 2025 (2025 Notes) and $136 million of aggregate principal amount of borrowings under the TLB Facility. Refer to Note 15 - Debt in the Consolidated Financial Statements for additional information related to our Debt activity.</w:t>
      </w:r>
    </w:p>
    <w:p>
      <w:pPr>
        <w:spacing w:after="0" w:line="9" w:lineRule="exact"/>
        <w:rPr>
          <w:rFonts w:ascii="Arial" w:cs="Arial" w:eastAsia="Arial" w:hAnsi="Arial"/>
          <w:sz w:val="19"/>
          <w:szCs w:val="19"/>
          <w:b w:val="1"/>
          <w:bCs w:val="1"/>
          <w:color w:val="DA2031"/>
        </w:rPr>
      </w:pPr>
    </w:p>
    <w:p>
      <w:pPr>
        <w:jc w:val="both"/>
        <w:ind w:left="349" w:hanging="349"/>
        <w:spacing w:after="0" w:line="264" w:lineRule="auto"/>
        <w:tabs>
          <w:tab w:leader="none" w:pos="349" w:val="left"/>
        </w:tabs>
        <w:numPr>
          <w:ilvl w:val="0"/>
          <w:numId w:val="71"/>
        </w:numPr>
        <w:rPr>
          <w:rFonts w:ascii="Arial" w:cs="Arial" w:eastAsia="Arial" w:hAnsi="Arial"/>
          <w:sz w:val="19"/>
          <w:szCs w:val="19"/>
          <w:b w:val="1"/>
          <w:bCs w:val="1"/>
          <w:color w:val="DA2031"/>
        </w:rPr>
      </w:pPr>
      <w:r>
        <w:rPr>
          <w:rFonts w:ascii="Arial" w:cs="Arial" w:eastAsia="Arial" w:hAnsi="Arial"/>
          <w:sz w:val="19"/>
          <w:szCs w:val="19"/>
          <w:b w:val="1"/>
          <w:bCs w:val="1"/>
          <w:color w:val="auto"/>
        </w:rPr>
        <w:t>The Company has a finance receivables funding arrangements with various funding partners in the U.S., Canada, and in EMEA, pursuant to which the Company sells certain eligible pools of finance receivables. Under certain arrangements, Xerox may earn a specified fee with certain funding partners for servicing receivables from prior service arrangements. These arrangements have terms up to five years. We received proceeds of $357 million related to finance receivables sold during 2025, which included sales of leases originated in prior years.</w:t>
      </w:r>
    </w:p>
    <w:p>
      <w:pPr>
        <w:spacing w:after="0" w:line="12" w:lineRule="exact"/>
        <w:rPr>
          <w:rFonts w:ascii="Arial" w:cs="Arial" w:eastAsia="Arial" w:hAnsi="Arial"/>
          <w:sz w:val="19"/>
          <w:szCs w:val="19"/>
          <w:b w:val="1"/>
          <w:bCs w:val="1"/>
          <w:color w:val="DA2031"/>
        </w:rPr>
      </w:pPr>
    </w:p>
    <w:p>
      <w:pPr>
        <w:jc w:val="both"/>
        <w:ind w:left="349" w:hanging="349"/>
        <w:spacing w:after="0" w:line="264" w:lineRule="auto"/>
        <w:tabs>
          <w:tab w:leader="none" w:pos="349" w:val="left"/>
        </w:tabs>
        <w:numPr>
          <w:ilvl w:val="0"/>
          <w:numId w:val="71"/>
        </w:numPr>
        <w:rPr>
          <w:rFonts w:ascii="Arial" w:cs="Arial" w:eastAsia="Arial" w:hAnsi="Arial"/>
          <w:sz w:val="19"/>
          <w:szCs w:val="19"/>
          <w:b w:val="1"/>
          <w:bCs w:val="1"/>
          <w:color w:val="DA2031"/>
        </w:rPr>
      </w:pPr>
      <w:r>
        <w:rPr>
          <w:rFonts w:ascii="Arial" w:cs="Arial" w:eastAsia="Arial" w:hAnsi="Arial"/>
          <w:sz w:val="19"/>
          <w:szCs w:val="19"/>
          <w:b w:val="1"/>
          <w:bCs w:val="1"/>
          <w:color w:val="auto"/>
        </w:rPr>
        <w:t>As of March 16, 2026 and based on our January availability calculation, we have availability of $382 before letters of credit issued under the ABL Facility of approximately $93. There are no current borrowings outstanding. Accordingly, our net availability is approximately $289. Certain debt covenants limit our total amount of secured debt outstanding. As of the date of our filing, our capacity under the ABL was not limited by any debt covenants. Our capacity to borrow under the ABL Facility may be adversely impacted by the terms of the ABL Facility and certain other agreements that govern our debt.</w:t>
      </w:r>
    </w:p>
    <w:p>
      <w:pPr>
        <w:spacing w:after="0" w:line="12" w:lineRule="exact"/>
        <w:rPr>
          <w:rFonts w:ascii="Arial" w:cs="Arial" w:eastAsia="Arial" w:hAnsi="Arial"/>
          <w:sz w:val="19"/>
          <w:szCs w:val="19"/>
          <w:b w:val="1"/>
          <w:bCs w:val="1"/>
          <w:color w:val="DA2031"/>
        </w:rPr>
      </w:pPr>
    </w:p>
    <w:p>
      <w:pPr>
        <w:jc w:val="both"/>
        <w:ind w:left="349" w:hanging="349"/>
        <w:spacing w:after="0" w:line="276" w:lineRule="auto"/>
        <w:tabs>
          <w:tab w:leader="none" w:pos="349" w:val="left"/>
        </w:tabs>
        <w:numPr>
          <w:ilvl w:val="0"/>
          <w:numId w:val="71"/>
        </w:numPr>
        <w:rPr>
          <w:rFonts w:ascii="Arial" w:cs="Arial" w:eastAsia="Arial" w:hAnsi="Arial"/>
          <w:sz w:val="19"/>
          <w:szCs w:val="19"/>
          <w:b w:val="1"/>
          <w:bCs w:val="1"/>
          <w:color w:val="DA2031"/>
        </w:rPr>
      </w:pPr>
      <w:r>
        <w:rPr>
          <w:rFonts w:ascii="Arial" w:cs="Arial" w:eastAsia="Arial" w:hAnsi="Arial"/>
          <w:sz w:val="19"/>
          <w:szCs w:val="19"/>
          <w:b w:val="1"/>
          <w:bCs w:val="1"/>
          <w:color w:val="auto"/>
        </w:rPr>
        <w:t>We expect Operating cash flows to be approximately $360 million in 2026, reflecting the positive impacts of of an overall reduction in finance receivables, as well as higher net interest expense. Although not committed, we believe we have the ability to sell finance receivables for additional liquidity</w:t>
      </w:r>
      <w:r>
        <w:rPr>
          <w:rFonts w:ascii="Times New Roman" w:cs="Times New Roman" w:eastAsia="Times New Roman" w:hAnsi="Times New Roman"/>
          <w:sz w:val="19"/>
          <w:szCs w:val="19"/>
          <w:color w:val="auto"/>
        </w:rPr>
        <w:t>.</w:t>
      </w:r>
    </w:p>
    <w:p>
      <w:pPr>
        <w:spacing w:after="0" w:line="60"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Refer to Note 6 – Acquisitions and Divestitures in the Consolidated Financial Statements for additional information regarding our recent acquisitions, Note 8 – Finance Receivables, Net in the Consolidated Financial Statements for additional information regarding the sale of finance receivables, and Note 15 - Debt in the Consolidated Financial Statements for additional information regarding our debt activity.</w:t>
      </w:r>
    </w:p>
    <w:p>
      <w:pPr>
        <w:spacing w:after="0" w:line="200" w:lineRule="exact"/>
        <w:rPr>
          <w:sz w:val="20"/>
          <w:szCs w:val="20"/>
          <w:color w:val="auto"/>
        </w:rPr>
      </w:pPr>
    </w:p>
    <w:p>
      <w:pPr>
        <w:spacing w:after="0" w:line="297" w:lineRule="exact"/>
        <w:rPr>
          <w:sz w:val="20"/>
          <w:szCs w:val="20"/>
          <w:color w:val="auto"/>
        </w:rPr>
      </w:pPr>
    </w:p>
    <w:p>
      <w:pPr>
        <w:jc w:val="center"/>
        <w:ind w:right="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59</w:t>
      </w:r>
    </w:p>
    <w:p>
      <w:pPr>
        <w:sectPr>
          <w:pgSz w:w="11880" w:h="15480" w:orient="portrait"/>
          <w:cols w:equalWidth="0" w:num="1">
            <w:col w:w="9869"/>
          </w:cols>
          <w:pgMar w:left="1051" w:top="637" w:right="960" w:bottom="0" w:gutter="0" w:footer="0" w:header="0"/>
        </w:sectPr>
      </w:pPr>
    </w:p>
    <w:bookmarkStart w:id="69" w:name="page70"/>
    <w:bookmarkEnd w:id="69"/>
    <w:p>
      <w:pPr>
        <w:spacing w:after="0"/>
        <w:rPr>
          <w:sz w:val="20"/>
          <w:szCs w:val="20"/>
          <w:color w:val="auto"/>
        </w:rPr>
      </w:pPr>
      <w:r>
        <w:rPr>
          <w:rFonts w:ascii="Arial" w:cs="Arial" w:eastAsia="Arial" w:hAnsi="Arial"/>
          <w:sz w:val="21"/>
          <w:szCs w:val="21"/>
          <w:b w:val="1"/>
          <w:bCs w:val="1"/>
          <w:color w:val="DA2031"/>
        </w:rPr>
        <w:t>Cash Flow Analysis</w:t>
      </w:r>
    </w:p>
    <w:p>
      <w:pPr>
        <w:spacing w:after="0" w:line="137" w:lineRule="exact"/>
        <w:rPr>
          <w:sz w:val="20"/>
          <w:szCs w:val="20"/>
          <w:color w:val="auto"/>
        </w:rPr>
      </w:pPr>
    </w:p>
    <w:p>
      <w:pPr>
        <w:ind w:right="300"/>
        <w:spacing w:after="0" w:line="361" w:lineRule="auto"/>
        <w:rPr>
          <w:sz w:val="20"/>
          <w:szCs w:val="20"/>
          <w:color w:val="auto"/>
        </w:rPr>
      </w:pPr>
      <w:r>
        <w:rPr>
          <w:rFonts w:ascii="Arial" w:cs="Arial" w:eastAsia="Arial" w:hAnsi="Arial"/>
          <w:sz w:val="17"/>
          <w:szCs w:val="17"/>
          <w:b w:val="1"/>
          <w:bCs w:val="1"/>
          <w:color w:val="auto"/>
        </w:rPr>
        <w:t>The following summarizes our cash flows for the three years ended December 31, 2025, 2024 and 2023, as reported in our Consolidated Statements of Cash Flows in the accompanying Consolidated Financial Statements: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right"/>
              <w:ind w:right="482"/>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06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22"/>
              <w:spacing w:after="0" w:line="179" w:lineRule="exact"/>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44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shd w:val="clear" w:color="auto" w:fill="E5E5E5"/>
          </w:tcPr>
          <w:p>
            <w:pPr>
              <w:spacing w:after="0"/>
              <w:rPr>
                <w:sz w:val="18"/>
                <w:szCs w:val="18"/>
                <w:color w:val="auto"/>
              </w:rPr>
            </w:pPr>
          </w:p>
        </w:tc>
        <w:tc>
          <w:tcPr>
            <w:tcW w:w="50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224</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686</w:t>
            </w:r>
          </w:p>
        </w:tc>
        <w:tc>
          <w:tcPr>
            <w:tcW w:w="28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(287)</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(175)</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0" w:type="dxa"/>
            <w:vAlign w:val="bottom"/>
          </w:tcPr>
          <w:p>
            <w:pPr>
              <w:spacing w:after="0"/>
              <w:rPr>
                <w:sz w:val="1"/>
                <w:szCs w:val="1"/>
                <w:color w:val="auto"/>
              </w:rPr>
            </w:pPr>
          </w:p>
        </w:tc>
      </w:tr>
      <w:tr>
        <w:trPr>
          <w:trHeight w:val="239"/>
        </w:trPr>
        <w:tc>
          <w:tcPr>
            <w:tcW w:w="40" w:type="dxa"/>
            <w:vAlign w:val="bottom"/>
            <w:shd w:val="clear" w:color="auto" w:fill="E5E5E5"/>
          </w:tcPr>
          <w:p>
            <w:pPr>
              <w:spacing w:after="0"/>
              <w:rPr>
                <w:sz w:val="20"/>
                <w:szCs w:val="20"/>
                <w:color w:val="auto"/>
              </w:rPr>
            </w:pPr>
          </w:p>
        </w:tc>
        <w:tc>
          <w:tcPr>
            <w:tcW w:w="50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(271)</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(1,202)</w:t>
            </w:r>
          </w:p>
        </w:tc>
        <w:tc>
          <w:tcPr>
            <w:tcW w:w="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675</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Effect of exchange rate changes on cash, cash equivalents and</w:t>
            </w: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07"/>
        </w:trPr>
        <w:tc>
          <w:tcPr>
            <w:tcW w:w="40" w:type="dxa"/>
            <w:vAlign w:val="bottom"/>
            <w:tcBorders>
              <w:bottom w:val="single" w:sz="8" w:color="E5E5E5"/>
            </w:tcBorders>
          </w:tcPr>
          <w:p>
            <w:pPr>
              <w:spacing w:after="0"/>
              <w:rPr>
                <w:sz w:val="17"/>
                <w:szCs w:val="17"/>
                <w:color w:val="auto"/>
              </w:rPr>
            </w:pPr>
          </w:p>
        </w:tc>
        <w:tc>
          <w:tcPr>
            <w:tcW w:w="502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E5E5E5"/>
          </w:tcPr>
          <w:p>
            <w:pPr>
              <w:spacing w:after="0"/>
              <w:rPr>
                <w:sz w:val="19"/>
                <w:szCs w:val="19"/>
                <w:color w:val="auto"/>
              </w:rPr>
            </w:pPr>
          </w:p>
        </w:tc>
        <w:tc>
          <w:tcPr>
            <w:tcW w:w="50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(522)</w:t>
            </w:r>
          </w:p>
        </w:tc>
        <w:tc>
          <w:tcPr>
            <w:tcW w:w="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(80)</w:t>
            </w:r>
          </w:p>
        </w:tc>
        <w:tc>
          <w:tcPr>
            <w:tcW w:w="8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536</w:t>
            </w:r>
          </w:p>
        </w:tc>
        <w:tc>
          <w:tcPr>
            <w:tcW w:w="0" w:type="dxa"/>
            <w:vAlign w:val="bottom"/>
          </w:tcPr>
          <w:p>
            <w:pPr>
              <w:spacing w:after="0"/>
              <w:rPr>
                <w:sz w:val="1"/>
                <w:szCs w:val="1"/>
                <w:color w:val="auto"/>
              </w:rPr>
            </w:pPr>
          </w:p>
        </w:tc>
      </w:tr>
      <w:tr>
        <w:trPr>
          <w:trHeight w:val="222"/>
        </w:trPr>
        <w:tc>
          <w:tcPr>
            <w:tcW w:w="40" w:type="dxa"/>
            <w:vAlign w:val="bottom"/>
            <w:tcBorders>
              <w:bottom w:val="single" w:sz="8" w:color="E5E5E5"/>
            </w:tcBorders>
          </w:tcPr>
          <w:p>
            <w:pPr>
              <w:spacing w:after="0"/>
              <w:rPr>
                <w:sz w:val="19"/>
                <w:szCs w:val="19"/>
                <w:color w:val="auto"/>
              </w:rPr>
            </w:pPr>
          </w:p>
        </w:tc>
        <w:tc>
          <w:tcPr>
            <w:tcW w:w="502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Cash, cash equivalents and restricted cash at beginning of year</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617</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1,139</w:t>
            </w:r>
          </w:p>
        </w:tc>
        <w:tc>
          <w:tcPr>
            <w:tcW w:w="6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w:t>
            </w:r>
          </w:p>
        </w:tc>
        <w:tc>
          <w:tcPr>
            <w:tcW w:w="0" w:type="dxa"/>
            <w:vAlign w:val="bottom"/>
          </w:tcPr>
          <w:p>
            <w:pPr>
              <w:spacing w:after="0"/>
              <w:rPr>
                <w:sz w:val="1"/>
                <w:szCs w:val="1"/>
                <w:color w:val="auto"/>
              </w:rPr>
            </w:pPr>
          </w:p>
        </w:tc>
      </w:tr>
      <w:tr>
        <w:trPr>
          <w:trHeight w:val="232"/>
        </w:trPr>
        <w:tc>
          <w:tcPr>
            <w:tcW w:w="40" w:type="dxa"/>
            <w:vAlign w:val="bottom"/>
            <w:tcBorders>
              <w:bottom w:val="single" w:sz="8" w:color="E5E5E5"/>
            </w:tcBorders>
            <w:shd w:val="clear" w:color="auto" w:fill="E5E5E5"/>
          </w:tcPr>
          <w:p>
            <w:pPr>
              <w:spacing w:after="0"/>
              <w:rPr>
                <w:sz w:val="20"/>
                <w:szCs w:val="20"/>
                <w:color w:val="auto"/>
              </w:rPr>
            </w:pPr>
          </w:p>
        </w:tc>
        <w:tc>
          <w:tcPr>
            <w:tcW w:w="50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565</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631</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617</w:t>
            </w:r>
          </w:p>
        </w:tc>
        <w:tc>
          <w:tcPr>
            <w:tcW w:w="6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-55245</wp:posOffset>
            </wp:positionV>
            <wp:extent cx="3192145" cy="75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3192145" cy="7556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Cash Flows from Operating Activities</w:t>
      </w:r>
    </w:p>
    <w:p>
      <w:pPr>
        <w:spacing w:after="0" w:line="131"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b w:val="1"/>
          <w:bCs w:val="1"/>
          <w:color w:val="auto"/>
        </w:rPr>
        <w:t>Net cash provided by operating activities was $224 million for the year ended December 31, 2025, a decrease of $287 million as compared to 2024, reflecting lower operating performance and changes in customer financing and working capital. The decrease primarily reflected a $336 million decrease in pre-tax income before depreciation and amortization and other non-operating items due to lower profitability. Cash flow from operating activities was further impacted by a $174 million decrease related to finance receivables, primarily due to lower sales of finance receivables, partially offset by increased portfolio run-off as origination volumes declined. Working capital changes partially offset these impacts, including lower inventory levels, higher accounts payable and other liabilities due to timing of payments, as well as lower restructuring-related cash outflows. These favorable working capital movements were partially offset by higher accounts receivable driven by the timing of customer collections. Refer to Note 8 – Finance Receivables, Net in the Consolidated Financial Statements for additional information regarding the sale of finance receivables.</w:t>
      </w:r>
    </w:p>
    <w:p>
      <w:pPr>
        <w:spacing w:after="0" w:line="68" w:lineRule="exact"/>
        <w:rPr>
          <w:sz w:val="20"/>
          <w:szCs w:val="20"/>
          <w:color w:val="auto"/>
        </w:rPr>
      </w:pPr>
    </w:p>
    <w:p>
      <w:pPr>
        <w:jc w:val="both"/>
        <w:ind w:right="140"/>
        <w:spacing w:after="0" w:line="276" w:lineRule="auto"/>
        <w:rPr>
          <w:sz w:val="20"/>
          <w:szCs w:val="20"/>
          <w:color w:val="auto"/>
        </w:rPr>
      </w:pPr>
      <w:r>
        <w:rPr>
          <w:rFonts w:ascii="Arial" w:cs="Arial" w:eastAsia="Arial" w:hAnsi="Arial"/>
          <w:sz w:val="18"/>
          <w:szCs w:val="18"/>
          <w:b w:val="1"/>
          <w:bCs w:val="1"/>
          <w:color w:val="auto"/>
        </w:rPr>
        <w:t>Net cash provided by operating activities was $511 million for the year ended December 31, 2024, a decrease of $175 million as compared to 2023, reflecting lower operating performance, higher inventory levels, and increased cash outflows related to compensation, restructuring, and pension contributions. The decrease reflected a $101 million decrease in pre-tax income before depreciation and amortization and other non-operating items. Cash flow was further impacted by higher inventory levels, primarily reflecting increased purchases associated with changes in contractual terms with a large OEM vendor, as well as lower sales volumes of equipment and supplies. These impacts were partially offset by favorable working capital movements, including higher accounts payable due to the timing of supplier and vendor payments, changes in accounts receivable, increased run-off of finance receivables and lower placements of equipment on operating leases. Refer to Note 8 – Finance Receivables, Net in the Consolidated Financial Statements for additional information regarding the sale of finance receivables.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Cash Flows from Investing Activities</w:t>
      </w:r>
    </w:p>
    <w:p>
      <w:pPr>
        <w:spacing w:after="0" w:line="131" w:lineRule="exact"/>
        <w:rPr>
          <w:sz w:val="20"/>
          <w:szCs w:val="20"/>
          <w:color w:val="auto"/>
        </w:rPr>
      </w:pPr>
    </w:p>
    <w:p>
      <w:pPr>
        <w:jc w:val="both"/>
        <w:ind w:right="200"/>
        <w:spacing w:after="0" w:line="311" w:lineRule="auto"/>
        <w:rPr>
          <w:sz w:val="20"/>
          <w:szCs w:val="20"/>
          <w:color w:val="auto"/>
        </w:rPr>
      </w:pPr>
      <w:r>
        <w:rPr>
          <w:rFonts w:ascii="Arial" w:cs="Arial" w:eastAsia="Arial" w:hAnsi="Arial"/>
          <w:sz w:val="17"/>
          <w:szCs w:val="17"/>
          <w:b w:val="1"/>
          <w:bCs w:val="1"/>
          <w:color w:val="auto"/>
        </w:rPr>
        <w:t>Net cash used in investing activities was $698 million for the year ended December 31, 2025, an increase of $500 million as compared to 2024, that was primarily driven by the Lexmark Acquisition and higher capital expenditures. These uses were offset by higher proceeds from the sale of surplus property and assets in the U.S. and Europe as well as the sale of non-core business assets, and partially offset by lower noncontrolling investments.</w:t>
      </w:r>
    </w:p>
    <w:p>
      <w:pPr>
        <w:spacing w:after="0" w:line="34" w:lineRule="exact"/>
        <w:rPr>
          <w:sz w:val="20"/>
          <w:szCs w:val="20"/>
          <w:color w:val="auto"/>
        </w:rPr>
      </w:pPr>
    </w:p>
    <w:p>
      <w:pPr>
        <w:jc w:val="both"/>
        <w:ind w:right="140"/>
        <w:spacing w:after="0" w:line="323" w:lineRule="auto"/>
        <w:rPr>
          <w:sz w:val="20"/>
          <w:szCs w:val="20"/>
          <w:color w:val="auto"/>
        </w:rPr>
      </w:pPr>
      <w:r>
        <w:rPr>
          <w:rFonts w:ascii="Arial" w:cs="Arial" w:eastAsia="Arial" w:hAnsi="Arial"/>
          <w:sz w:val="17"/>
          <w:szCs w:val="17"/>
          <w:b w:val="1"/>
          <w:bCs w:val="1"/>
          <w:color w:val="auto"/>
        </w:rPr>
        <w:t>Net cash used in investing activities was $198 million for the year ended December 31, 2024, an increase of $193 million as compared to 2023. The increase was primarily due to higher acquisition-related activity and increased investments, including noncontrolling investments of $19 million in 2024 as compared to $5 million in the prior year.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Cash Flows from Financing Activities</w:t>
      </w:r>
    </w:p>
    <w:p>
      <w:pPr>
        <w:spacing w:after="0" w:line="131" w:lineRule="exact"/>
        <w:rPr>
          <w:sz w:val="20"/>
          <w:szCs w:val="20"/>
          <w:color w:val="auto"/>
        </w:rPr>
      </w:pPr>
    </w:p>
    <w:p>
      <w:pPr>
        <w:jc w:val="both"/>
        <w:ind w:right="140"/>
        <w:spacing w:after="0" w:line="269" w:lineRule="auto"/>
        <w:rPr>
          <w:sz w:val="20"/>
          <w:szCs w:val="20"/>
          <w:color w:val="auto"/>
        </w:rPr>
      </w:pPr>
      <w:r>
        <w:rPr>
          <w:rFonts w:ascii="Arial" w:cs="Arial" w:eastAsia="Arial" w:hAnsi="Arial"/>
          <w:sz w:val="19"/>
          <w:szCs w:val="19"/>
          <w:b w:val="1"/>
          <w:bCs w:val="1"/>
          <w:color w:val="auto"/>
        </w:rPr>
        <w:t>Xerox Holdings Corporation is the parent company and conducts the Company’s primary financing, dividend, and capital allocation activities. Xerox Corporation is the principal operating subsidiary and generates cash that is distributed to the parent to support these activities. The discussion below addresses financing activities at both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4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60</w:t>
      </w:r>
    </w:p>
    <w:p>
      <w:pPr>
        <w:sectPr>
          <w:pgSz w:w="11880" w:h="15480" w:orient="portrait"/>
          <w:cols w:equalWidth="0" w:num="1">
            <w:col w:w="10000"/>
          </w:cols>
          <w:pgMar w:left="1060" w:top="642" w:right="820" w:bottom="0" w:gutter="0" w:footer="0" w:header="0"/>
        </w:sectPr>
      </w:pPr>
    </w:p>
    <w:bookmarkStart w:id="70" w:name="page71"/>
    <w:bookmarkEnd w:id="70"/>
    <w:p>
      <w:pPr>
        <w:spacing w:after="0"/>
        <w:rPr>
          <w:sz w:val="20"/>
          <w:szCs w:val="20"/>
          <w:color w:val="auto"/>
        </w:rPr>
      </w:pPr>
      <w:r>
        <w:rPr>
          <w:rFonts w:ascii="Arial" w:cs="Arial" w:eastAsia="Arial" w:hAnsi="Arial"/>
          <w:sz w:val="19"/>
          <w:szCs w:val="19"/>
          <w:b w:val="1"/>
          <w:bCs w:val="1"/>
          <w:i w:val="1"/>
          <w:iCs w:val="1"/>
          <w:u w:val="single" w:color="auto"/>
          <w:color w:val="DA2031"/>
        </w:rPr>
        <w:t>Xerox Holdings Corporation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Net cash provided by financing activities for Xerox Holdings was $404 million for the year ended December 31, 2025, as compared to net cash used in financing activities of $271 million in 2024. The increase in cash provided primarily reflected higher net debt issuances in 2025 and lower dividend payments, partially offset by higher other financing-related activities. During 2025, financing activities included the issuance of Senior Notes, resulting in approximately $1.2 billion of net debt proceeds, which were partially offset by repayments of existing debt, including Senior Notes, Term Loan B borrowings, secured promissory notes, and secured financing arrangements. These activities increased net borrowings as compared to the prior year, which included significant debt repayments and refinancing activity. Cash used in financing activities during 2025 also reflected common stock dividends, which declined compared to 2024 following dividend reductions, as well as commitment fees incurred in connection with the Lexmark Acquisition. The Company did not incur capped call purchases in 2025.</w:t>
      </w:r>
    </w:p>
    <w:p>
      <w:pPr>
        <w:spacing w:after="0" w:line="6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Net cash used in financing activities for Xerox Holdings was $271 million for the year ended December 31, 2024, a decrease of $931 million in the cash used as compared to 2023. The decrease was primarily driven by net debt repayment activity and the absence of share repurchases completed in 2023, including the share repurchase from Icahn and affiliated parties. Cash used in financing activities during 2024 also reflected common stock dividends, which declined compared to 2023 as a result of lower outstanding shares.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Xerox Corporation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Net cash provided by financing activities for Xerox Corporation was $391 million for the year ended December 31, 2025. Financing activity at the operating company level primarily reflected debt issuances and repayments consistent with those described above, as well as distributions to Xerox Holdings.</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Net cash used in financing activities for Xerox Corporation was $291 million for the year ended December 31, 2024. During 2024, Xerox Corporation distributed $202 million to Xerox Holdings, which was primarily used by the parent to fund dividends and share repurchases. Distributions from Xerox Corporation to Xerox Holdings are expected to continue and are intended to support the parent company’s capital allocation activities, including dividends and share repurchases. In addition, financing activity at the operating company level primarily reflected debt issuances and repayments consistent with those described above.</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Refer to Note 15 - Debt in the Consolidated Financial Statements for additional information regarding debt activity and Note 22 – Shareholders’ Equity in the Consolidated Financial Statements for additional information regarding the Icahn share repurchase.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Cash, Cash Equivalents and Restricted Cash</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14 - Supplementary Financial Information in the Consolidated Financial Statements for additional information regarding restricted cash.</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Lease Obligations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Company has significant lease obligations related to real estate, vehicles, and certain equipment used in its operations. These obligations include both operating leases and finance leases, and lease payments are considered in the Company’s liquidity planning.</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Operating Leases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7"/>
          <w:szCs w:val="17"/>
          <w:b w:val="1"/>
          <w:bCs w:val="1"/>
          <w:color w:val="auto"/>
        </w:rPr>
        <w:t>Operating lease obligations primarily relate to facilities, vehicles, and certain supply chain arrangements. Payments under operating leases represent a recurring use of operating cash flows. During 2025, operating lease obligations increased primarily due to the Lexmark Acquisition and certain lease modifications; however, the Company believes its operating cash flows and available liquidity are sufficient to meet these obligations as they come due.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Finance Leases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Finance lease obligations relate primarily to equipment and infrastructure used in the Company’s operations. Obligations under finance leases are treated as financing commitments and are funded through a combination of operating cash flows and financing sources. The Company continues to manage finance lease obligations within its overall capital structure and liquidity framework.</w:t>
      </w:r>
    </w:p>
    <w:p>
      <w:pPr>
        <w:spacing w:after="0" w:line="68"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Additional information regarding the Company’s operating and finance leases, including lease classifications and maturity profiles, is provided in Note 11 - Lessee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61</w:t>
      </w:r>
    </w:p>
    <w:p>
      <w:pPr>
        <w:sectPr>
          <w:pgSz w:w="11880" w:h="15480" w:orient="portrait"/>
          <w:cols w:equalWidth="0" w:num="1">
            <w:col w:w="9860"/>
          </w:cols>
          <w:pgMar w:left="1060" w:top="650" w:right="960" w:bottom="0" w:gutter="0" w:footer="0" w:header="0"/>
        </w:sectPr>
      </w:pPr>
    </w:p>
    <w:bookmarkStart w:id="71" w:name="page72"/>
    <w:bookmarkEnd w:id="71"/>
    <w:p>
      <w:pPr>
        <w:ind w:left="9"/>
        <w:spacing w:after="0"/>
        <w:rPr>
          <w:sz w:val="20"/>
          <w:szCs w:val="20"/>
          <w:color w:val="auto"/>
        </w:rPr>
      </w:pPr>
      <w:r>
        <w:rPr>
          <w:rFonts w:ascii="Arial" w:cs="Arial" w:eastAsia="Arial" w:hAnsi="Arial"/>
          <w:sz w:val="19"/>
          <w:szCs w:val="19"/>
          <w:b w:val="1"/>
          <w:bCs w:val="1"/>
          <w:color w:val="DA2031"/>
        </w:rPr>
        <w:t>Debt and Customer Financing Activities</w:t>
      </w:r>
    </w:p>
    <w:p>
      <w:pPr>
        <w:spacing w:after="0" w:line="13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The following summarizes our total debt:</w:t>
      </w:r>
    </w:p>
    <w:p>
      <w:pPr>
        <w:spacing w:after="0" w:line="200" w:lineRule="exact"/>
        <w:rPr>
          <w:sz w:val="20"/>
          <w:szCs w:val="20"/>
          <w:color w:val="auto"/>
        </w:rPr>
      </w:pPr>
    </w:p>
    <w:p>
      <w:pPr>
        <w:ind w:left="8289"/>
        <w:spacing w:after="0"/>
        <w:rPr>
          <w:sz w:val="20"/>
          <w:szCs w:val="20"/>
          <w:color w:val="auto"/>
        </w:rPr>
      </w:pPr>
      <w:r>
        <w:rPr>
          <w:rFonts w:ascii="Arial" w:cs="Arial" w:eastAsia="Arial" w:hAnsi="Arial"/>
          <w:sz w:val="16"/>
          <w:szCs w:val="16"/>
          <w:b w:val="1"/>
          <w:bCs w:val="1"/>
          <w:color w:val="auto"/>
        </w:rPr>
        <w:t>December 31,</w:t>
      </w:r>
    </w:p>
    <w:p>
      <w:pPr>
        <w:spacing w:after="0" w:line="22" w:lineRule="exact"/>
        <w:rPr>
          <w:sz w:val="20"/>
          <w:szCs w:val="20"/>
          <w:color w:val="auto"/>
        </w:rPr>
      </w:pPr>
    </w:p>
    <w:tbl>
      <w:tblPr>
        <w:tblLayout w:type="fixed"/>
        <w:tblInd w:w="9" w:type="dxa"/>
        <w:tblCellMar>
          <w:top w:w="0" w:type="dxa"/>
          <w:left w:w="0" w:type="dxa"/>
          <w:bottom w:w="0" w:type="dxa"/>
          <w:right w:w="0" w:type="dxa"/>
        </w:tblCellMar>
      </w:tblPr>
      <w:tr>
        <w:trPr>
          <w:trHeight w:val="180"/>
        </w:trPr>
        <w:tc>
          <w:tcPr>
            <w:tcW w:w="752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2024</w:t>
            </w: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69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75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Xerox Holdings Corporation</w:t>
            </w:r>
          </w:p>
        </w:tc>
        <w:tc>
          <w:tcPr>
            <w:tcW w:w="280" w:type="dxa"/>
            <w:vAlign w:val="bottom"/>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2,025</w:t>
            </w:r>
          </w:p>
        </w:tc>
        <w:tc>
          <w:tcPr>
            <w:tcW w:w="360" w:type="dxa"/>
            <w:vAlign w:val="bottom"/>
            <w:gridSpan w:val="2"/>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2,038</w:t>
            </w:r>
          </w:p>
        </w:tc>
      </w:tr>
      <w:tr>
        <w:trPr>
          <w:trHeight w:val="227"/>
        </w:trPr>
        <w:tc>
          <w:tcPr>
            <w:tcW w:w="7520" w:type="dxa"/>
            <w:vAlign w:val="bottom"/>
            <w:gridSpan w:val="3"/>
          </w:tcPr>
          <w:p>
            <w:pPr>
              <w:ind w:left="40"/>
              <w:spacing w:after="0"/>
              <w:rPr>
                <w:sz w:val="20"/>
                <w:szCs w:val="20"/>
                <w:color w:val="auto"/>
              </w:rPr>
            </w:pPr>
            <w:r>
              <w:rPr>
                <w:rFonts w:ascii="Arial" w:cs="Arial" w:eastAsia="Arial" w:hAnsi="Arial"/>
                <w:sz w:val="16"/>
                <w:szCs w:val="16"/>
                <w:b w:val="1"/>
                <w:bCs w:val="1"/>
                <w:color w:val="auto"/>
              </w:rPr>
              <w:t>Xerox Corporation</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2,316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1,343</w:t>
            </w:r>
          </w:p>
        </w:tc>
      </w:tr>
      <w:tr>
        <w:trPr>
          <w:trHeight w:val="248"/>
        </w:trPr>
        <w:tc>
          <w:tcPr>
            <w:tcW w:w="7520" w:type="dxa"/>
            <w:vAlign w:val="bottom"/>
            <w:tcBorders>
              <w:bottom w:val="single" w:sz="8" w:color="E5E5E5"/>
            </w:tcBorders>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Xerox - Other Subsidiaries</w:t>
            </w:r>
            <w:r>
              <w:rPr>
                <w:rFonts w:ascii="Arial" w:cs="Arial" w:eastAsia="Arial" w:hAnsi="Arial"/>
                <w:sz w:val="10"/>
                <w:szCs w:val="10"/>
                <w:b w:val="1"/>
                <w:bCs w:val="1"/>
                <w:color w:val="auto"/>
              </w:rPr>
              <w:t>(1)(2)</w:t>
            </w:r>
          </w:p>
        </w:tc>
        <w:tc>
          <w:tcPr>
            <w:tcW w:w="280" w:type="dxa"/>
            <w:vAlign w:val="bottom"/>
            <w:tcBorders>
              <w:bottom w:val="single" w:sz="8" w:color="auto"/>
            </w:tcBorders>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w:t>
            </w:r>
          </w:p>
        </w:tc>
      </w:tr>
      <w:tr>
        <w:trPr>
          <w:trHeight w:val="202"/>
        </w:trPr>
        <w:tc>
          <w:tcPr>
            <w:tcW w:w="40" w:type="dxa"/>
            <w:vAlign w:val="bottom"/>
          </w:tcPr>
          <w:p>
            <w:pPr>
              <w:spacing w:after="0"/>
              <w:rPr>
                <w:sz w:val="17"/>
                <w:szCs w:val="17"/>
                <w:color w:val="auto"/>
              </w:rPr>
            </w:pPr>
          </w:p>
        </w:tc>
        <w:tc>
          <w:tcPr>
            <w:tcW w:w="7480" w:type="dxa"/>
            <w:vAlign w:val="bottom"/>
            <w:gridSpan w:val="2"/>
          </w:tcPr>
          <w:p>
            <w:pPr>
              <w:ind w:left="240"/>
              <w:spacing w:after="0"/>
              <w:rPr>
                <w:sz w:val="20"/>
                <w:szCs w:val="20"/>
                <w:color w:val="auto"/>
              </w:rPr>
            </w:pPr>
            <w:r>
              <w:rPr>
                <w:rFonts w:ascii="Arial" w:cs="Arial" w:eastAsia="Arial" w:hAnsi="Arial"/>
                <w:sz w:val="16"/>
                <w:szCs w:val="16"/>
                <w:b w:val="1"/>
                <w:bCs w:val="1"/>
                <w:color w:val="auto"/>
              </w:rPr>
              <w:t>Subtotal - Principal debt balance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4,344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3,451</w:t>
            </w:r>
          </w:p>
        </w:tc>
      </w:tr>
      <w:tr>
        <w:trPr>
          <w:trHeight w:val="235"/>
        </w:trPr>
        <w:tc>
          <w:tcPr>
            <w:tcW w:w="40" w:type="dxa"/>
            <w:vAlign w:val="bottom"/>
            <w:shd w:val="clear" w:color="auto" w:fill="E5E5E5"/>
          </w:tcPr>
          <w:p>
            <w:pPr>
              <w:spacing w:after="0"/>
              <w:rPr>
                <w:sz w:val="20"/>
                <w:szCs w:val="20"/>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Debt issuance costs</w:t>
            </w:r>
          </w:p>
        </w:tc>
        <w:tc>
          <w:tcPr>
            <w:tcW w:w="28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Xerox Holdings Corporation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233"/>
        </w:trPr>
        <w:tc>
          <w:tcPr>
            <w:tcW w:w="40" w:type="dxa"/>
            <w:vAlign w:val="bottom"/>
            <w:shd w:val="clear" w:color="auto" w:fill="E5E5E5"/>
          </w:tcPr>
          <w:p>
            <w:pPr>
              <w:spacing w:after="0"/>
              <w:rPr>
                <w:sz w:val="20"/>
                <w:szCs w:val="20"/>
                <w:color w:val="auto"/>
              </w:rPr>
            </w:pPr>
          </w:p>
        </w:tc>
        <w:tc>
          <w:tcPr>
            <w:tcW w:w="748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Xerox Corporation</w:t>
            </w:r>
          </w:p>
        </w:tc>
        <w:tc>
          <w:tcPr>
            <w:tcW w:w="280" w:type="dxa"/>
            <w:vAlign w:val="bottom"/>
            <w:shd w:val="clear" w:color="auto" w:fill="E5E5E5"/>
          </w:tcPr>
          <w:p>
            <w:pPr>
              <w:spacing w:after="0"/>
              <w:rPr>
                <w:sz w:val="20"/>
                <w:szCs w:val="20"/>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r>
      <w:tr>
        <w:trPr>
          <w:trHeight w:val="223"/>
        </w:trPr>
        <w:tc>
          <w:tcPr>
            <w:tcW w:w="40" w:type="dxa"/>
            <w:vAlign w:val="bottom"/>
            <w:tcBorders>
              <w:bottom w:val="single" w:sz="8" w:color="E5E5E5"/>
            </w:tcBorders>
          </w:tcPr>
          <w:p>
            <w:pPr>
              <w:spacing w:after="0"/>
              <w:rPr>
                <w:sz w:val="19"/>
                <w:szCs w:val="19"/>
                <w:color w:val="auto"/>
              </w:rPr>
            </w:pPr>
          </w:p>
        </w:tc>
        <w:tc>
          <w:tcPr>
            <w:tcW w:w="748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Xerox - Other Subsidiaries</w:t>
            </w:r>
            <w:r>
              <w:rPr>
                <w:rFonts w:ascii="Arial" w:cs="Arial" w:eastAsia="Arial" w:hAnsi="Arial"/>
                <w:sz w:val="10"/>
                <w:szCs w:val="10"/>
                <w:b w:val="1"/>
                <w:bCs w:val="1"/>
                <w:color w:val="auto"/>
              </w:rPr>
              <w:t>(1)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23"/>
        </w:trPr>
        <w:tc>
          <w:tcPr>
            <w:tcW w:w="40" w:type="dxa"/>
            <w:vAlign w:val="bottom"/>
            <w:shd w:val="clear" w:color="auto" w:fill="E5E5E5"/>
          </w:tcPr>
          <w:p>
            <w:pPr>
              <w:spacing w:after="0"/>
              <w:rPr>
                <w:sz w:val="19"/>
                <w:szCs w:val="19"/>
                <w:color w:val="auto"/>
              </w:rPr>
            </w:pPr>
          </w:p>
        </w:tc>
        <w:tc>
          <w:tcPr>
            <w:tcW w:w="7480" w:type="dxa"/>
            <w:vAlign w:val="bottom"/>
            <w:gridSpan w:val="2"/>
            <w:shd w:val="clear" w:color="auto" w:fill="E5E5E5"/>
          </w:tcPr>
          <w:p>
            <w:pPr>
              <w:ind w:left="360"/>
              <w:spacing w:after="0"/>
              <w:rPr>
                <w:sz w:val="20"/>
                <w:szCs w:val="20"/>
                <w:color w:val="auto"/>
              </w:rPr>
            </w:pPr>
            <w:r>
              <w:rPr>
                <w:rFonts w:ascii="Arial" w:cs="Arial" w:eastAsia="Arial" w:hAnsi="Arial"/>
                <w:sz w:val="16"/>
                <w:szCs w:val="16"/>
                <w:b w:val="1"/>
                <w:bCs w:val="1"/>
                <w:color w:val="auto"/>
              </w:rPr>
              <w:t>Subtotal - Debt issuance costs</w:t>
            </w:r>
          </w:p>
        </w:tc>
        <w:tc>
          <w:tcPr>
            <w:tcW w:w="28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(59)</w:t>
            </w:r>
          </w:p>
        </w:tc>
        <w:tc>
          <w:tcPr>
            <w:tcW w:w="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r>
      <w:tr>
        <w:trPr>
          <w:trHeight w:val="223"/>
        </w:trPr>
        <w:tc>
          <w:tcPr>
            <w:tcW w:w="40" w:type="dxa"/>
            <w:vAlign w:val="bottom"/>
            <w:tcBorders>
              <w:bottom w:val="single" w:sz="8" w:color="E5E5E5"/>
            </w:tcBorders>
          </w:tcPr>
          <w:p>
            <w:pPr>
              <w:spacing w:after="0"/>
              <w:rPr>
                <w:sz w:val="19"/>
                <w:szCs w:val="19"/>
                <w:color w:val="auto"/>
              </w:rPr>
            </w:pPr>
          </w:p>
        </w:tc>
        <w:tc>
          <w:tcPr>
            <w:tcW w:w="748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Net unamortized (discount)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60" w:type="dxa"/>
            <w:vAlign w:val="bottom"/>
            <w:tcBorders>
              <w:bottom w:val="single" w:sz="8" w:color="E5E5E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r>
      <w:tr>
        <w:trPr>
          <w:trHeight w:val="232"/>
        </w:trPr>
        <w:tc>
          <w:tcPr>
            <w:tcW w:w="40" w:type="dxa"/>
            <w:vAlign w:val="bottom"/>
            <w:tcBorders>
              <w:bottom w:val="single" w:sz="8" w:color="E5E5E5"/>
            </w:tcBorders>
            <w:shd w:val="clear" w:color="auto" w:fill="E5E5E5"/>
          </w:tcPr>
          <w:p>
            <w:pPr>
              <w:spacing w:after="0"/>
              <w:rPr>
                <w:sz w:val="20"/>
                <w:szCs w:val="20"/>
                <w:color w:val="auto"/>
              </w:rPr>
            </w:pPr>
          </w:p>
        </w:tc>
        <w:tc>
          <w:tcPr>
            <w:tcW w:w="74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Total Debt</w:t>
            </w:r>
          </w:p>
        </w:tc>
        <w:tc>
          <w:tcPr>
            <w:tcW w:w="2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4,247</w:t>
            </w:r>
          </w:p>
        </w:tc>
        <w:tc>
          <w:tcPr>
            <w:tcW w:w="6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-55245</wp:posOffset>
            </wp:positionV>
            <wp:extent cx="1649095" cy="75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1649095" cy="7556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jc w:val="both"/>
        <w:ind w:left="349" w:right="180" w:hanging="349"/>
        <w:spacing w:after="0" w:line="242" w:lineRule="auto"/>
        <w:tabs>
          <w:tab w:leader="none" w:pos="349" w:val="left"/>
        </w:tabs>
        <w:numPr>
          <w:ilvl w:val="0"/>
          <w:numId w:val="7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secured debt issued by subsidiaries of Xerox Corporation as part of the securitization of finance receivables. As of December 31, 2025, amount reflects debt acquired as a result of the Lexmark Acquisition. Refer to Note 6 - Acquisition and Divestitures for additional information regarding the Lexmark Acquisition.</w:t>
      </w:r>
    </w:p>
    <w:p>
      <w:pPr>
        <w:spacing w:after="0" w:line="2" w:lineRule="exact"/>
        <w:rPr>
          <w:rFonts w:ascii="Arial" w:cs="Arial" w:eastAsia="Arial" w:hAnsi="Arial"/>
          <w:sz w:val="16"/>
          <w:szCs w:val="16"/>
          <w:b w:val="1"/>
          <w:bCs w:val="1"/>
          <w:i w:val="1"/>
          <w:iCs w:val="1"/>
          <w:color w:val="auto"/>
        </w:rPr>
      </w:pPr>
    </w:p>
    <w:p>
      <w:pPr>
        <w:ind w:left="349" w:right="520" w:hanging="349"/>
        <w:spacing w:after="0" w:line="270" w:lineRule="auto"/>
        <w:tabs>
          <w:tab w:leader="none" w:pos="349" w:val="left"/>
        </w:tabs>
        <w:numPr>
          <w:ilvl w:val="0"/>
          <w:numId w:val="7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2024 reflects secured debt issued by subsidiaries of Xerox Corporation as part of the securitization of Finance Receivables in the prior year. These securitizations were repaid during the first quarter 2025</w:t>
      </w:r>
    </w:p>
    <w:p>
      <w:pPr>
        <w:spacing w:after="0" w:line="63" w:lineRule="exact"/>
        <w:rPr>
          <w:sz w:val="20"/>
          <w:szCs w:val="20"/>
          <w:color w:val="auto"/>
        </w:rPr>
      </w:pPr>
    </w:p>
    <w:p>
      <w:pPr>
        <w:jc w:val="both"/>
        <w:ind w:left="9" w:right="180"/>
        <w:spacing w:after="0" w:line="298" w:lineRule="auto"/>
        <w:rPr>
          <w:sz w:val="20"/>
          <w:szCs w:val="20"/>
          <w:color w:val="auto"/>
        </w:rPr>
      </w:pPr>
      <w:r>
        <w:rPr>
          <w:rFonts w:ascii="Arial" w:cs="Arial" w:eastAsia="Arial" w:hAnsi="Arial"/>
          <w:sz w:val="19"/>
          <w:szCs w:val="19"/>
          <w:b w:val="1"/>
          <w:bCs w:val="1"/>
          <w:color w:val="auto"/>
        </w:rPr>
        <w:t>Refer to Note 15 - Debt in the Consolidated Financial Statements for additional information regarding our debt activity.</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Finance Assets and Related Debt</w:t>
      </w:r>
    </w:p>
    <w:p>
      <w:pPr>
        <w:spacing w:after="0" w:line="131" w:lineRule="exact"/>
        <w:rPr>
          <w:sz w:val="20"/>
          <w:szCs w:val="20"/>
          <w:color w:val="auto"/>
        </w:rPr>
      </w:pPr>
    </w:p>
    <w:p>
      <w:pPr>
        <w:jc w:val="both"/>
        <w:ind w:left="9" w:right="180"/>
        <w:spacing w:after="0" w:line="269" w:lineRule="auto"/>
        <w:rPr>
          <w:sz w:val="20"/>
          <w:szCs w:val="20"/>
          <w:color w:val="auto"/>
        </w:rPr>
      </w:pPr>
      <w:r>
        <w:rPr>
          <w:rFonts w:ascii="Arial" w:cs="Arial" w:eastAsia="Arial" w:hAnsi="Arial"/>
          <w:sz w:val="19"/>
          <w:szCs w:val="19"/>
          <w:b w:val="1"/>
          <w:bCs w:val="1"/>
          <w:color w:val="auto"/>
        </w:rPr>
        <w:t>We provide lease equipment financing to our customers. Our lease contracts permit customers to pay for equipment over time rather than at the date of installation. Our investment in these contracts is reflected in total finance assets, net. We primarily fund our customer financing activity through cash generated from operations, cash on hand, finance receivables sales and proceeds from capital markets offerings.</w:t>
      </w:r>
    </w:p>
    <w:p>
      <w:pPr>
        <w:spacing w:after="0" w:line="68" w:lineRule="exact"/>
        <w:rPr>
          <w:sz w:val="20"/>
          <w:szCs w:val="20"/>
          <w:color w:val="auto"/>
        </w:rPr>
      </w:pPr>
    </w:p>
    <w:p>
      <w:pPr>
        <w:jc w:val="both"/>
        <w:ind w:left="9" w:right="180"/>
        <w:spacing w:after="0" w:line="266" w:lineRule="auto"/>
        <w:rPr>
          <w:sz w:val="20"/>
          <w:szCs w:val="20"/>
          <w:color w:val="auto"/>
        </w:rPr>
      </w:pPr>
      <w:r>
        <w:rPr>
          <w:rFonts w:ascii="Arial" w:cs="Arial" w:eastAsia="Arial" w:hAnsi="Arial"/>
          <w:sz w:val="19"/>
          <w:szCs w:val="19"/>
          <w:b w:val="1"/>
          <w:bCs w:val="1"/>
          <w:color w:val="auto"/>
        </w:rPr>
        <w:t>We have arrangements, in certain international countries where third-party leasing companies or financial institutions independently provide lease financing directly to our customers, on a non-recourse basis to Xerox. In these arrangements, we sell and transfer title of the equipment to these entities. Generally, we have no continuing ownership rights in the equipment subsequent to its sale; therefore, the unrelated third-party finance receivable and debt are not included in our Consolidated Financial Statements.</w:t>
      </w:r>
    </w:p>
    <w:p>
      <w:pPr>
        <w:spacing w:after="0" w:line="70"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The following represents our total finance assets, net associated with our lease and finance operations:</w:t>
      </w:r>
    </w:p>
    <w:p>
      <w:pPr>
        <w:spacing w:after="0" w:line="200" w:lineRule="exact"/>
        <w:rPr>
          <w:sz w:val="20"/>
          <w:szCs w:val="20"/>
          <w:color w:val="auto"/>
        </w:rPr>
      </w:pPr>
    </w:p>
    <w:p>
      <w:pPr>
        <w:ind w:left="8289"/>
        <w:spacing w:after="0"/>
        <w:rPr>
          <w:sz w:val="20"/>
          <w:szCs w:val="20"/>
          <w:color w:val="auto"/>
        </w:rPr>
      </w:pPr>
      <w:r>
        <w:rPr>
          <w:rFonts w:ascii="Arial" w:cs="Arial" w:eastAsia="Arial" w:hAnsi="Arial"/>
          <w:sz w:val="16"/>
          <w:szCs w:val="16"/>
          <w:b w:val="1"/>
          <w:bCs w:val="1"/>
          <w:color w:val="auto"/>
        </w:rPr>
        <w:t>December 31,</w:t>
      </w:r>
    </w:p>
    <w:p>
      <w:pPr>
        <w:spacing w:after="0" w:line="22" w:lineRule="exact"/>
        <w:rPr>
          <w:sz w:val="20"/>
          <w:szCs w:val="20"/>
          <w:color w:val="auto"/>
        </w:rPr>
      </w:pPr>
    </w:p>
    <w:tbl>
      <w:tblPr>
        <w:tblLayout w:type="fixed"/>
        <w:tblInd w:w="9" w:type="dxa"/>
        <w:tblCellMar>
          <w:top w:w="0" w:type="dxa"/>
          <w:left w:w="0" w:type="dxa"/>
          <w:bottom w:w="0" w:type="dxa"/>
          <w:right w:w="0" w:type="dxa"/>
        </w:tblCellMar>
      </w:tblPr>
      <w:tr>
        <w:trPr>
          <w:trHeight w:val="180"/>
        </w:trPr>
        <w:tc>
          <w:tcPr>
            <w:tcW w:w="752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2024</w:t>
            </w: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69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75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Total finance receivables, net</w:t>
            </w:r>
            <w:r>
              <w:rPr>
                <w:rFonts w:ascii="Arial" w:cs="Arial" w:eastAsia="Arial" w:hAnsi="Arial"/>
                <w:sz w:val="10"/>
                <w:szCs w:val="10"/>
                <w:b w:val="1"/>
                <w:bCs w:val="1"/>
                <w:color w:val="auto"/>
              </w:rPr>
              <w:t>(1)</w:t>
            </w:r>
          </w:p>
        </w:tc>
        <w:tc>
          <w:tcPr>
            <w:tcW w:w="280" w:type="dxa"/>
            <w:vAlign w:val="bottom"/>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1,402</w:t>
            </w:r>
          </w:p>
        </w:tc>
        <w:tc>
          <w:tcPr>
            <w:tcW w:w="360" w:type="dxa"/>
            <w:vAlign w:val="bottom"/>
            <w:gridSpan w:val="2"/>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1,745</w:t>
            </w:r>
          </w:p>
        </w:tc>
      </w:tr>
      <w:tr>
        <w:trPr>
          <w:trHeight w:val="223"/>
        </w:trPr>
        <w:tc>
          <w:tcPr>
            <w:tcW w:w="7520" w:type="dxa"/>
            <w:vAlign w:val="bottom"/>
            <w:tcBorders>
              <w:bottom w:val="single" w:sz="8" w:color="E5E5E5"/>
            </w:tcBorders>
            <w:gridSpan w:val="3"/>
          </w:tcPr>
          <w:p>
            <w:pPr>
              <w:ind w:left="40"/>
              <w:spacing w:after="0"/>
              <w:rPr>
                <w:sz w:val="20"/>
                <w:szCs w:val="20"/>
                <w:color w:val="auto"/>
              </w:rPr>
            </w:pPr>
            <w:r>
              <w:rPr>
                <w:rFonts w:ascii="Arial" w:cs="Arial" w:eastAsia="Arial" w:hAnsi="Arial"/>
                <w:sz w:val="16"/>
                <w:szCs w:val="16"/>
                <w:b w:val="1"/>
                <w:bCs w:val="1"/>
                <w:color w:val="auto"/>
              </w:rPr>
              <w:t>Equipment on operating leases,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299</w:t>
            </w:r>
          </w:p>
        </w:tc>
        <w:tc>
          <w:tcPr>
            <w:tcW w:w="60" w:type="dxa"/>
            <w:vAlign w:val="bottom"/>
            <w:tcBorders>
              <w:bottom w:val="single" w:sz="8" w:color="E5E5E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w:t>
            </w:r>
          </w:p>
        </w:tc>
      </w:tr>
      <w:tr>
        <w:trPr>
          <w:trHeight w:val="232"/>
        </w:trPr>
        <w:tc>
          <w:tcPr>
            <w:tcW w:w="7520" w:type="dxa"/>
            <w:vAlign w:val="bottom"/>
            <w:tcBorders>
              <w:bottom w:val="single" w:sz="8" w:color="E5E5E5"/>
            </w:tcBorders>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Total Finance assets, net</w:t>
            </w:r>
          </w:p>
        </w:tc>
        <w:tc>
          <w:tcPr>
            <w:tcW w:w="2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1,701</w:t>
            </w:r>
          </w:p>
        </w:tc>
        <w:tc>
          <w:tcPr>
            <w:tcW w:w="6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-55880</wp:posOffset>
            </wp:positionV>
            <wp:extent cx="1640205" cy="75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1640205" cy="7556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49" w:right="180" w:hanging="349"/>
        <w:spacing w:after="0" w:line="270" w:lineRule="auto"/>
        <w:tabs>
          <w:tab w:leader="none" w:pos="349" w:val="left"/>
        </w:tabs>
        <w:numPr>
          <w:ilvl w:val="0"/>
          <w:numId w:val="7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(i) Billed portion of finance receivables, net, (ii) Finance receivables, net and (iii) Finance receivables due after one year, net as included in our Consolidated Balance Sheets.</w:t>
      </w:r>
    </w:p>
    <w:p>
      <w:pPr>
        <w:spacing w:after="0" w:line="63" w:lineRule="exact"/>
        <w:rPr>
          <w:sz w:val="20"/>
          <w:szCs w:val="20"/>
          <w:color w:val="auto"/>
        </w:rPr>
      </w:pPr>
    </w:p>
    <w:p>
      <w:pPr>
        <w:jc w:val="both"/>
        <w:ind w:left="9" w:right="180"/>
        <w:spacing w:after="0" w:line="262" w:lineRule="auto"/>
        <w:rPr>
          <w:sz w:val="20"/>
          <w:szCs w:val="20"/>
          <w:color w:val="auto"/>
        </w:rPr>
      </w:pPr>
      <w:r>
        <w:rPr>
          <w:rFonts w:ascii="Arial" w:cs="Arial" w:eastAsia="Arial" w:hAnsi="Arial"/>
          <w:sz w:val="19"/>
          <w:szCs w:val="19"/>
          <w:b w:val="1"/>
          <w:bCs w:val="1"/>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 Approximately 35% of our Total Finance assets, net balance at December 31, 2025 includes indirect lease financing primarily provided to end-user customers who purchased Xerox and non-Xerox equipment sold through distributors, resellers and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62</w:t>
      </w:r>
    </w:p>
    <w:p>
      <w:pPr>
        <w:sectPr>
          <w:pgSz w:w="11880" w:h="15480" w:orient="portrait"/>
          <w:cols w:equalWidth="0" w:num="1">
            <w:col w:w="10049"/>
          </w:cols>
          <w:pgMar w:left="1011" w:top="648" w:right="820" w:bottom="0" w:gutter="0" w:footer="0" w:header="0"/>
        </w:sectPr>
      </w:pPr>
    </w:p>
    <w:bookmarkStart w:id="72" w:name="page73"/>
    <w:bookmarkEnd w:id="72"/>
    <w:p>
      <w:pPr>
        <w:ind w:left="9"/>
        <w:spacing w:after="0"/>
        <w:rPr>
          <w:sz w:val="20"/>
          <w:szCs w:val="20"/>
          <w:color w:val="auto"/>
        </w:rPr>
      </w:pPr>
      <w:r>
        <w:rPr>
          <w:rFonts w:ascii="Arial" w:cs="Arial" w:eastAsia="Arial" w:hAnsi="Arial"/>
          <w:sz w:val="18"/>
          <w:szCs w:val="18"/>
          <w:b w:val="1"/>
          <w:bCs w:val="1"/>
          <w:color w:val="auto"/>
        </w:rPr>
        <w:t>Based on this leverage, the following represents the breakdown of total debt between financing debt and core debt:</w:t>
      </w:r>
    </w:p>
    <w:p>
      <w:pPr>
        <w:spacing w:after="0" w:line="211" w:lineRule="exact"/>
        <w:rPr>
          <w:sz w:val="20"/>
          <w:szCs w:val="20"/>
          <w:color w:val="auto"/>
        </w:rPr>
      </w:pPr>
    </w:p>
    <w:p>
      <w:pPr>
        <w:ind w:left="8289"/>
        <w:spacing w:after="0"/>
        <w:rPr>
          <w:sz w:val="20"/>
          <w:szCs w:val="20"/>
          <w:color w:val="auto"/>
        </w:rPr>
      </w:pPr>
      <w:r>
        <w:rPr>
          <w:rFonts w:ascii="Arial" w:cs="Arial" w:eastAsia="Arial" w:hAnsi="Arial"/>
          <w:sz w:val="16"/>
          <w:szCs w:val="16"/>
          <w:b w:val="1"/>
          <w:bCs w:val="1"/>
          <w:color w:val="auto"/>
        </w:rPr>
        <w:t>December 31,</w:t>
      </w:r>
    </w:p>
    <w:p>
      <w:pPr>
        <w:spacing w:after="0" w:line="22" w:lineRule="exact"/>
        <w:rPr>
          <w:sz w:val="20"/>
          <w:szCs w:val="20"/>
          <w:color w:val="auto"/>
        </w:rPr>
      </w:pPr>
    </w:p>
    <w:tbl>
      <w:tblPr>
        <w:tblLayout w:type="fixed"/>
        <w:tblInd w:w="9" w:type="dxa"/>
        <w:tblCellMar>
          <w:top w:w="0" w:type="dxa"/>
          <w:left w:w="0" w:type="dxa"/>
          <w:bottom w:w="0" w:type="dxa"/>
          <w:right w:w="0" w:type="dxa"/>
        </w:tblCellMar>
      </w:tblPr>
      <w:tr>
        <w:trPr>
          <w:trHeight w:val="180"/>
        </w:trPr>
        <w:tc>
          <w:tcPr>
            <w:tcW w:w="752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62"/>
              <w:spacing w:after="0" w:line="181" w:lineRule="exact"/>
              <w:rPr>
                <w:sz w:val="20"/>
                <w:szCs w:val="20"/>
                <w:color w:val="auto"/>
              </w:rPr>
            </w:pPr>
            <w:r>
              <w:rPr>
                <w:rFonts w:ascii="Arial" w:cs="Arial" w:eastAsia="Arial" w:hAnsi="Arial"/>
                <w:sz w:val="16"/>
                <w:szCs w:val="16"/>
                <w:b w:val="1"/>
                <w:bCs w:val="1"/>
                <w:color w:val="auto"/>
              </w:rPr>
              <w:t>2024</w:t>
            </w: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69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75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Finance receivables debt</w:t>
            </w:r>
            <w:r>
              <w:rPr>
                <w:rFonts w:ascii="Arial" w:cs="Arial" w:eastAsia="Arial" w:hAnsi="Arial"/>
                <w:sz w:val="10"/>
                <w:szCs w:val="10"/>
                <w:b w:val="1"/>
                <w:bCs w:val="1"/>
                <w:color w:val="auto"/>
              </w:rPr>
              <w:t>(1)</w:t>
            </w:r>
          </w:p>
        </w:tc>
        <w:tc>
          <w:tcPr>
            <w:tcW w:w="280" w:type="dxa"/>
            <w:vAlign w:val="bottom"/>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1,227</w:t>
            </w:r>
          </w:p>
        </w:tc>
        <w:tc>
          <w:tcPr>
            <w:tcW w:w="360" w:type="dxa"/>
            <w:vAlign w:val="bottom"/>
            <w:gridSpan w:val="2"/>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1,527</w:t>
            </w:r>
          </w:p>
        </w:tc>
      </w:tr>
      <w:tr>
        <w:trPr>
          <w:trHeight w:val="223"/>
        </w:trPr>
        <w:tc>
          <w:tcPr>
            <w:tcW w:w="7520" w:type="dxa"/>
            <w:vAlign w:val="bottom"/>
            <w:tcBorders>
              <w:bottom w:val="single" w:sz="8" w:color="E5E5E5"/>
            </w:tcBorders>
            <w:gridSpan w:val="3"/>
          </w:tcPr>
          <w:p>
            <w:pPr>
              <w:ind w:left="40"/>
              <w:spacing w:after="0"/>
              <w:rPr>
                <w:sz w:val="20"/>
                <w:szCs w:val="20"/>
                <w:color w:val="auto"/>
              </w:rPr>
            </w:pPr>
            <w:r>
              <w:rPr>
                <w:rFonts w:ascii="Arial" w:cs="Arial" w:eastAsia="Arial" w:hAnsi="Arial"/>
                <w:sz w:val="16"/>
                <w:szCs w:val="16"/>
                <w:b w:val="1"/>
                <w:bCs w:val="1"/>
                <w:color w:val="auto"/>
              </w:rPr>
              <w:t>Equipment on operating leases debt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261</w:t>
            </w:r>
          </w:p>
        </w:tc>
        <w:tc>
          <w:tcPr>
            <w:tcW w:w="60" w:type="dxa"/>
            <w:vAlign w:val="bottom"/>
            <w:tcBorders>
              <w:bottom w:val="single" w:sz="8" w:color="E5E5E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r>
      <w:tr>
        <w:trPr>
          <w:trHeight w:val="223"/>
        </w:trPr>
        <w:tc>
          <w:tcPr>
            <w:tcW w:w="752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Financing debt</w:t>
            </w:r>
          </w:p>
        </w:tc>
        <w:tc>
          <w:tcPr>
            <w:tcW w:w="280" w:type="dxa"/>
            <w:vAlign w:val="bottom"/>
            <w:shd w:val="clear" w:color="auto" w:fill="E5E5E5"/>
          </w:tcPr>
          <w:p>
            <w:pPr>
              <w:spacing w:after="0"/>
              <w:rPr>
                <w:sz w:val="19"/>
                <w:szCs w:val="19"/>
                <w:color w:val="auto"/>
              </w:rPr>
            </w:pP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1,488</w:t>
            </w:r>
          </w:p>
        </w:tc>
        <w:tc>
          <w:tcPr>
            <w:tcW w:w="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1,741</w:t>
            </w:r>
          </w:p>
        </w:tc>
      </w:tr>
      <w:tr>
        <w:trPr>
          <w:trHeight w:val="223"/>
        </w:trPr>
        <w:tc>
          <w:tcPr>
            <w:tcW w:w="7520" w:type="dxa"/>
            <w:vAlign w:val="bottom"/>
            <w:tcBorders>
              <w:bottom w:val="single" w:sz="8" w:color="E5E5E5"/>
            </w:tcBorders>
            <w:gridSpan w:val="3"/>
          </w:tcPr>
          <w:p>
            <w:pPr>
              <w:ind w:left="40"/>
              <w:spacing w:after="0"/>
              <w:rPr>
                <w:sz w:val="20"/>
                <w:szCs w:val="20"/>
                <w:color w:val="auto"/>
              </w:rPr>
            </w:pPr>
            <w:r>
              <w:rPr>
                <w:rFonts w:ascii="Arial" w:cs="Arial" w:eastAsia="Arial" w:hAnsi="Arial"/>
                <w:sz w:val="16"/>
                <w:szCs w:val="16"/>
                <w:b w:val="1"/>
                <w:bCs w:val="1"/>
                <w:color w:val="auto"/>
              </w:rPr>
              <w:t>Core debt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2,759</w:t>
            </w:r>
          </w:p>
        </w:tc>
        <w:tc>
          <w:tcPr>
            <w:tcW w:w="60" w:type="dxa"/>
            <w:vAlign w:val="bottom"/>
            <w:tcBorders>
              <w:bottom w:val="single" w:sz="8" w:color="E5E5E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1,658</w:t>
            </w:r>
          </w:p>
        </w:tc>
      </w:tr>
      <w:tr>
        <w:trPr>
          <w:trHeight w:val="232"/>
        </w:trPr>
        <w:tc>
          <w:tcPr>
            <w:tcW w:w="7520" w:type="dxa"/>
            <w:vAlign w:val="bottom"/>
            <w:tcBorders>
              <w:bottom w:val="single" w:sz="8" w:color="E5E5E5"/>
            </w:tcBorders>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4,247</w:t>
            </w:r>
          </w:p>
        </w:tc>
        <w:tc>
          <w:tcPr>
            <w:tcW w:w="6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4751070</wp:posOffset>
            </wp:positionH>
            <wp:positionV relativeFrom="paragraph">
              <wp:posOffset>-55245</wp:posOffset>
            </wp:positionV>
            <wp:extent cx="1640205" cy="75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1640205" cy="75565"/>
                    </a:xfrm>
                    <a:prstGeom prst="rect">
                      <a:avLst/>
                    </a:prstGeom>
                    <a:noFill/>
                  </pic:spPr>
                </pic:pic>
              </a:graphicData>
            </a:graphic>
          </wp:anchor>
        </w:drawing>
      </w:r>
    </w:p>
    <w:p>
      <w:pPr>
        <w:spacing w:after="0" w:line="11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right="160" w:hanging="349"/>
        <w:spacing w:after="0" w:line="270" w:lineRule="auto"/>
        <w:tabs>
          <w:tab w:leader="none" w:pos="349" w:val="left"/>
        </w:tabs>
        <w:numPr>
          <w:ilvl w:val="0"/>
          <w:numId w:val="7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Finance receivables debt is the basis for our calculation of Equipment financing interest expense, which is included in Cost of services, maintenance, rentals and other in the Consolidated Statements of (Loss) Income.</w:t>
      </w:r>
    </w:p>
    <w:p>
      <w:pPr>
        <w:spacing w:after="0" w:line="63" w:lineRule="exact"/>
        <w:rPr>
          <w:sz w:val="20"/>
          <w:szCs w:val="20"/>
          <w:color w:val="auto"/>
        </w:rPr>
      </w:pPr>
    </w:p>
    <w:p>
      <w:pPr>
        <w:jc w:val="both"/>
        <w:ind w:left="9" w:right="160"/>
        <w:spacing w:after="0" w:line="289" w:lineRule="auto"/>
        <w:rPr>
          <w:sz w:val="20"/>
          <w:szCs w:val="20"/>
          <w:color w:val="auto"/>
        </w:rPr>
      </w:pPr>
      <w:r>
        <w:rPr>
          <w:rFonts w:ascii="Arial" w:cs="Arial" w:eastAsia="Arial" w:hAnsi="Arial"/>
          <w:sz w:val="18"/>
          <w:szCs w:val="18"/>
          <w:b w:val="1"/>
          <w:bCs w:val="1"/>
          <w:color w:val="auto"/>
        </w:rPr>
        <w:t>At December 31, 2025, leverage was assessed against the total debt of Xerox Holdings Corporation and Xerox Corporation since the debt held by Xerox Holdings Corporation is guaranteed by Xerox Corporation and the funds from that borrowing were contributed in full by Xerox Holdings Corporation to Xerox Corporation. In 2026, we expect to continue leveraging our finance assets on a total debt basis at an assumed 7:1 ratio of debt to equity.</w:t>
      </w:r>
    </w:p>
    <w:p>
      <w:pPr>
        <w:spacing w:after="0" w:line="50"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Sales of Finance Receivables</w:t>
      </w:r>
    </w:p>
    <w:p>
      <w:pPr>
        <w:spacing w:after="0" w:line="131" w:lineRule="exact"/>
        <w:rPr>
          <w:sz w:val="20"/>
          <w:szCs w:val="20"/>
          <w:color w:val="auto"/>
        </w:rPr>
      </w:pPr>
    </w:p>
    <w:p>
      <w:pPr>
        <w:jc w:val="both"/>
        <w:ind w:left="9" w:right="160"/>
        <w:spacing w:after="0" w:line="298" w:lineRule="auto"/>
        <w:rPr>
          <w:sz w:val="20"/>
          <w:szCs w:val="20"/>
          <w:color w:val="auto"/>
        </w:rPr>
      </w:pPr>
      <w:r>
        <w:rPr>
          <w:rFonts w:ascii="Arial" w:cs="Arial" w:eastAsia="Arial" w:hAnsi="Arial"/>
          <w:sz w:val="19"/>
          <w:szCs w:val="19"/>
          <w:b w:val="1"/>
          <w:bCs w:val="1"/>
          <w:color w:val="auto"/>
        </w:rPr>
        <w:t>Refer to Note 8 - Finance Receivables, Net in the Consolidated Financial Statements for additional information regarding our sales of finance receivables.</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Third Party Leasing Programs</w:t>
      </w:r>
    </w:p>
    <w:p>
      <w:pPr>
        <w:spacing w:after="0" w:line="131" w:lineRule="exact"/>
        <w:rPr>
          <w:sz w:val="20"/>
          <w:szCs w:val="20"/>
          <w:color w:val="auto"/>
        </w:rPr>
      </w:pPr>
    </w:p>
    <w:p>
      <w:pPr>
        <w:jc w:val="both"/>
        <w:ind w:left="9" w:right="160"/>
        <w:spacing w:after="0" w:line="269" w:lineRule="auto"/>
        <w:rPr>
          <w:sz w:val="20"/>
          <w:szCs w:val="20"/>
          <w:color w:val="auto"/>
        </w:rPr>
      </w:pPr>
      <w:r>
        <w:rPr>
          <w:rFonts w:ascii="Arial" w:cs="Arial" w:eastAsia="Arial" w:hAnsi="Arial"/>
          <w:sz w:val="19"/>
          <w:szCs w:val="19"/>
          <w:b w:val="1"/>
          <w:bCs w:val="1"/>
          <w:color w:val="auto"/>
        </w:rPr>
        <w:t>The Company has an agreement with PEAC Solutions (PEAC) to provide leasing and financial services programs for Xerox and non-Xerox equipment sold through our U.S. network of independent dealers and resellers. In a addition, PEAC also provides risk, IT, and operations support related to these programs, and is the Company's preferred financing partner, primary funder, and service provider for XBS leases in the U.S.</w:t>
      </w:r>
    </w:p>
    <w:p>
      <w:pPr>
        <w:spacing w:after="0" w:line="67"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Capital Market/Debt Activity</w:t>
      </w:r>
    </w:p>
    <w:p>
      <w:pPr>
        <w:spacing w:after="0" w:line="131" w:lineRule="exact"/>
        <w:rPr>
          <w:sz w:val="20"/>
          <w:szCs w:val="20"/>
          <w:color w:val="auto"/>
        </w:rPr>
      </w:pPr>
    </w:p>
    <w:p>
      <w:pPr>
        <w:jc w:val="both"/>
        <w:ind w:left="9" w:right="160"/>
        <w:spacing w:after="0" w:line="269" w:lineRule="auto"/>
        <w:rPr>
          <w:sz w:val="20"/>
          <w:szCs w:val="20"/>
          <w:color w:val="auto"/>
        </w:rPr>
      </w:pPr>
      <w:r>
        <w:rPr>
          <w:rFonts w:ascii="Arial" w:cs="Arial" w:eastAsia="Arial" w:hAnsi="Arial"/>
          <w:sz w:val="19"/>
          <w:szCs w:val="19"/>
          <w:b w:val="1"/>
          <w:bCs w:val="1"/>
          <w:color w:val="auto"/>
        </w:rPr>
        <w:t>During 2025, we received proceeds of approximately $375 million from the issuance of Senior Notes, and approximately $904 million of Secured Debt. We made net payments of $388 million on the 5.000% Senior Notes due in August 2025, $144 million on the Term Loan B facility (TLB Facility), $110 million on secured promissory notes and $72 million on secured financing arrangements.</w:t>
      </w:r>
    </w:p>
    <w:p>
      <w:pPr>
        <w:spacing w:after="0" w:line="68" w:lineRule="exact"/>
        <w:rPr>
          <w:sz w:val="20"/>
          <w:szCs w:val="20"/>
          <w:color w:val="auto"/>
        </w:rPr>
      </w:pPr>
    </w:p>
    <w:p>
      <w:pPr>
        <w:jc w:val="both"/>
        <w:ind w:left="9" w:right="160"/>
        <w:spacing w:after="0" w:line="298" w:lineRule="auto"/>
        <w:rPr>
          <w:sz w:val="20"/>
          <w:szCs w:val="20"/>
          <w:color w:val="auto"/>
        </w:rPr>
      </w:pPr>
      <w:r>
        <w:rPr>
          <w:rFonts w:ascii="Arial" w:cs="Arial" w:eastAsia="Arial" w:hAnsi="Arial"/>
          <w:sz w:val="19"/>
          <w:szCs w:val="19"/>
          <w:b w:val="1"/>
          <w:bCs w:val="1"/>
          <w:color w:val="auto"/>
        </w:rPr>
        <w:t>Refer to Note 15 - Debt in the Consolidated Financial Statements for additional information regarding our debt activity, as well as our secured financing arrangements.</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Financial Instruments</w:t>
      </w:r>
    </w:p>
    <w:p>
      <w:pPr>
        <w:spacing w:after="0" w:line="131" w:lineRule="exact"/>
        <w:rPr>
          <w:sz w:val="20"/>
          <w:szCs w:val="20"/>
          <w:color w:val="auto"/>
        </w:rPr>
      </w:pPr>
    </w:p>
    <w:p>
      <w:pPr>
        <w:jc w:val="both"/>
        <w:ind w:left="9" w:right="160"/>
        <w:spacing w:after="0" w:line="259" w:lineRule="auto"/>
        <w:rPr>
          <w:sz w:val="20"/>
          <w:szCs w:val="20"/>
          <w:color w:val="auto"/>
        </w:rPr>
      </w:pPr>
      <w:r>
        <w:rPr>
          <w:rFonts w:ascii="Arial" w:cs="Arial" w:eastAsia="Arial" w:hAnsi="Arial"/>
          <w:sz w:val="19"/>
          <w:szCs w:val="19"/>
          <w:b w:val="1"/>
          <w:bCs w:val="1"/>
          <w:color w:val="auto"/>
        </w:rPr>
        <w:t>In 2024, we entered into two floating-to-fixed interest rate swaps to hedge against interest rate volatility associated with any of our floating rate debt which was primarily under our Term Loan B Credit Agreement (TLB). During the third quarter 2025, the Company voluntarily de-designated certain interest rate swaps with a notional value of $300, which were previously accounted for as cash flow hedges of variable-rate debt. The de-designation was made because the Company may, from time to time, prepay portions of the underlying debt, resulting in forecasted interest payments that are no longer considered highly probable. Following the de-designation, the swaps continue to be carried at fair value on the balance sheet. Changes in fair value are recognized in earnings in interest expense were not material during 2025. Amounts previously recorded in accumulated other comprehensive loss related to the hedged cash flows was immaterial and was reclassified to earnings during 2025. During the fourth quarter, a $125 interest rate swap was terminated. Accordingly, the notional value of the remaining swap at December 31, 2025 was $175.</w:t>
      </w:r>
    </w:p>
    <w:p>
      <w:pPr>
        <w:spacing w:after="0" w:line="84"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Refer to Note 16 - Financial Instruments in the Consolidated Financial Statements for additional information.</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Warrants</w:t>
      </w:r>
    </w:p>
    <w:p>
      <w:pPr>
        <w:spacing w:after="0" w:line="112" w:lineRule="exact"/>
        <w:rPr>
          <w:sz w:val="20"/>
          <w:szCs w:val="20"/>
          <w:color w:val="auto"/>
        </w:rPr>
      </w:pPr>
    </w:p>
    <w:p>
      <w:pPr>
        <w:jc w:val="both"/>
        <w:ind w:left="9" w:right="160"/>
        <w:spacing w:after="0" w:line="262" w:lineRule="auto"/>
        <w:rPr>
          <w:sz w:val="20"/>
          <w:szCs w:val="20"/>
          <w:color w:val="auto"/>
        </w:rPr>
      </w:pPr>
      <w:r>
        <w:rPr>
          <w:rFonts w:ascii="Arial" w:cs="Arial" w:eastAsia="Arial" w:hAnsi="Arial"/>
          <w:sz w:val="19"/>
          <w:szCs w:val="19"/>
          <w:b w:val="1"/>
          <w:bCs w:val="1"/>
          <w:color w:val="auto"/>
        </w:rPr>
        <w:t>In connection with the issuance of the 2030 Note, Xerox Holdings issued a pre-funded warrant (the Warrant), exercisable for 2,160,256 shares of Xerox Holdings Corporation’s common stock (Common Stock), at an exercise price of $1.00 per share, of which $0.99 was prefunded, to one of the purchasers of the 13.00% Senior Notes due July 2030 (the 2030 Note). The exercise price and the number of shares of common stock issuable upon exercise of the Warrant were subject to appropriate adjustment in the event of certain stock dividends, stock splits, stock combinations, or similar events effecting the Common Stock. The Warrant was exercised during the third quarter 2025.</w:t>
      </w:r>
    </w:p>
    <w:p>
      <w:pPr>
        <w:spacing w:after="0" w:line="200" w:lineRule="exact"/>
        <w:rPr>
          <w:sz w:val="20"/>
          <w:szCs w:val="20"/>
          <w:color w:val="auto"/>
        </w:rPr>
      </w:pPr>
    </w:p>
    <w:p>
      <w:pPr>
        <w:spacing w:after="0" w:line="375" w:lineRule="exact"/>
        <w:rPr>
          <w:sz w:val="20"/>
          <w:szCs w:val="20"/>
          <w:color w:val="auto"/>
        </w:rPr>
      </w:pPr>
    </w:p>
    <w:p>
      <w:pPr>
        <w:jc w:val="center"/>
        <w:ind w:right="17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63</w:t>
      </w:r>
    </w:p>
    <w:p>
      <w:pPr>
        <w:sectPr>
          <w:pgSz w:w="11880" w:h="15480" w:orient="portrait"/>
          <w:cols w:equalWidth="0" w:num="1">
            <w:col w:w="10029"/>
          </w:cols>
          <w:pgMar w:left="1011" w:top="649" w:right="840" w:bottom="0" w:gutter="0" w:footer="0" w:header="0"/>
        </w:sectPr>
      </w:pPr>
    </w:p>
    <w:bookmarkStart w:id="73" w:name="page74"/>
    <w:bookmarkEnd w:id="73"/>
    <w:p>
      <w:pPr>
        <w:jc w:val="both"/>
        <w:ind w:left="9" w:right="180"/>
        <w:spacing w:after="0" w:line="276" w:lineRule="auto"/>
        <w:rPr>
          <w:sz w:val="20"/>
          <w:szCs w:val="20"/>
          <w:color w:val="auto"/>
        </w:rPr>
      </w:pPr>
      <w:r>
        <w:rPr>
          <w:rFonts w:ascii="Arial" w:cs="Arial" w:eastAsia="Arial" w:hAnsi="Arial"/>
          <w:sz w:val="19"/>
          <w:szCs w:val="19"/>
          <w:b w:val="1"/>
          <w:bCs w:val="1"/>
          <w:color w:val="auto"/>
        </w:rPr>
        <w:t>In February 2026, the Company issued a pro-rata distribution of warrants to holders of Xerox’s common stock, par value $1.00 per share, Series A Convertible Perpetual Voting Preferred Stock, and 3.75% Convertible Senior Notes due 2030.</w:t>
      </w:r>
    </w:p>
    <w:p>
      <w:pPr>
        <w:spacing w:after="0" w:line="42" w:lineRule="exact"/>
        <w:rPr>
          <w:sz w:val="20"/>
          <w:szCs w:val="20"/>
          <w:color w:val="auto"/>
        </w:rPr>
      </w:pPr>
    </w:p>
    <w:p>
      <w:pPr>
        <w:jc w:val="both"/>
        <w:ind w:left="9" w:right="180"/>
        <w:spacing w:after="0" w:line="266" w:lineRule="auto"/>
        <w:rPr>
          <w:sz w:val="20"/>
          <w:szCs w:val="20"/>
          <w:color w:val="auto"/>
        </w:rPr>
      </w:pPr>
      <w:r>
        <w:rPr>
          <w:rFonts w:ascii="Arial" w:cs="Arial" w:eastAsia="Arial" w:hAnsi="Arial"/>
          <w:sz w:val="19"/>
          <w:szCs w:val="19"/>
          <w:b w:val="1"/>
          <w:bCs w:val="1"/>
          <w:color w:val="auto"/>
        </w:rPr>
        <w:t>Refer to Refer to Note 15 - Debt in the Consolidated Financial Statements for additional information regarding the issuance of the 2030 Note, and Note 17 - Fair Value of Financial Assets and Liabilities in the Consolidated Financial Statements for additional information regarding the warrants that were issued to a shareholder during the third quarter 2025. Refer to Note 26 - Subsequent Events in the Consolidated Financial Statements for additional information related to the pro-rata distribution of warrants in 2026.</w:t>
      </w:r>
    </w:p>
    <w:p>
      <w:pPr>
        <w:spacing w:after="0" w:line="4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Share Repurchase Programs - Treasury Stock</w:t>
      </w:r>
    </w:p>
    <w:p>
      <w:pPr>
        <w:spacing w:after="0" w:line="112" w:lineRule="exact"/>
        <w:rPr>
          <w:sz w:val="20"/>
          <w:szCs w:val="20"/>
          <w:color w:val="auto"/>
        </w:rPr>
      </w:pPr>
    </w:p>
    <w:p>
      <w:pPr>
        <w:jc w:val="both"/>
        <w:ind w:left="9" w:right="180"/>
        <w:spacing w:after="0" w:line="298" w:lineRule="auto"/>
        <w:rPr>
          <w:sz w:val="20"/>
          <w:szCs w:val="20"/>
          <w:color w:val="auto"/>
        </w:rPr>
      </w:pPr>
      <w:r>
        <w:rPr>
          <w:rFonts w:ascii="Arial" w:cs="Arial" w:eastAsia="Arial" w:hAnsi="Arial"/>
          <w:sz w:val="19"/>
          <w:szCs w:val="19"/>
          <w:b w:val="1"/>
          <w:bCs w:val="1"/>
          <w:color w:val="auto"/>
        </w:rPr>
        <w:t>There were no repurchases of Xerox Holdings Corporation's Common Stock for the year ended December 31, 2025.</w:t>
      </w:r>
    </w:p>
    <w:p>
      <w:pPr>
        <w:spacing w:after="0" w:line="20" w:lineRule="exact"/>
        <w:rPr>
          <w:sz w:val="20"/>
          <w:szCs w:val="20"/>
          <w:color w:val="auto"/>
        </w:rPr>
      </w:pPr>
    </w:p>
    <w:p>
      <w:pPr>
        <w:jc w:val="both"/>
        <w:ind w:left="9" w:right="180"/>
        <w:spacing w:after="0" w:line="269" w:lineRule="auto"/>
        <w:rPr>
          <w:sz w:val="20"/>
          <w:szCs w:val="20"/>
          <w:color w:val="auto"/>
        </w:rPr>
      </w:pPr>
      <w:r>
        <w:rPr>
          <w:rFonts w:ascii="Arial" w:cs="Arial" w:eastAsia="Arial" w:hAnsi="Arial"/>
          <w:sz w:val="19"/>
          <w:szCs w:val="19"/>
          <w:b w:val="1"/>
          <w:bCs w:val="1"/>
          <w:color w:val="auto"/>
        </w:rPr>
        <w:t>On September 28, 2023, Xerox Holdings Corporation entered into a share purchase agreement with Carl C. Icahn and certain of his affiliates pursuant to which the Company agreed to purchase an aggregate of approximately 34 million shares of the Company’s common stock for an aggregate purchase price of approximately $542 million, exclusive of fees and expenses.</w:t>
      </w:r>
    </w:p>
    <w:p>
      <w:pPr>
        <w:spacing w:after="0" w:line="49" w:lineRule="exact"/>
        <w:rPr>
          <w:sz w:val="20"/>
          <w:szCs w:val="20"/>
          <w:color w:val="auto"/>
        </w:rPr>
      </w:pPr>
    </w:p>
    <w:p>
      <w:pPr>
        <w:jc w:val="both"/>
        <w:ind w:left="9" w:right="180"/>
        <w:spacing w:after="0" w:line="298" w:lineRule="auto"/>
        <w:rPr>
          <w:sz w:val="20"/>
          <w:szCs w:val="20"/>
          <w:color w:val="auto"/>
        </w:rPr>
      </w:pPr>
      <w:r>
        <w:rPr>
          <w:rFonts w:ascii="Arial" w:cs="Arial" w:eastAsia="Arial" w:hAnsi="Arial"/>
          <w:sz w:val="19"/>
          <w:szCs w:val="19"/>
          <w:b w:val="1"/>
          <w:bCs w:val="1"/>
          <w:color w:val="auto"/>
        </w:rPr>
        <w:t>Refer to Note 22 - Shareholders' Equity in the Consolidated Financial Statements for additional information regarding our share repurchases.</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Dividends</w:t>
      </w:r>
    </w:p>
    <w:p>
      <w:pPr>
        <w:spacing w:after="0" w:line="112" w:lineRule="exact"/>
        <w:rPr>
          <w:sz w:val="20"/>
          <w:szCs w:val="20"/>
          <w:color w:val="auto"/>
        </w:rPr>
      </w:pPr>
    </w:p>
    <w:p>
      <w:pPr>
        <w:jc w:val="both"/>
        <w:ind w:left="9" w:right="180"/>
        <w:spacing w:after="0" w:line="266" w:lineRule="auto"/>
        <w:rPr>
          <w:sz w:val="20"/>
          <w:szCs w:val="20"/>
          <w:color w:val="auto"/>
        </w:rPr>
      </w:pPr>
      <w:r>
        <w:rPr>
          <w:rFonts w:ascii="Arial" w:cs="Arial" w:eastAsia="Arial" w:hAnsi="Arial"/>
          <w:sz w:val="19"/>
          <w:szCs w:val="19"/>
          <w:b w:val="1"/>
          <w:bCs w:val="1"/>
          <w:color w:val="auto"/>
        </w:rPr>
        <w:t>Aggregate dividends of $27 million, $128 million, and $146 million were declared on common stock in 2025, 2024 and 2023, respectively. The decrease in dividends since 2024 primarily reflects the change in the dividend policy to reduce the Xerox annual dividend from $1 per share to 50 cents per share, starting with the dividend declared in the first quarter of 2025, and the subsequent further reduction to 10 cents per share, starting with the dividend declared in the second quarter of 2025.</w:t>
      </w:r>
    </w:p>
    <w:p>
      <w:pPr>
        <w:spacing w:after="0" w:line="50"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Aggregate dividends of $14 million were declared on preferred stock in 2025, 2024 and 2023, respectively.</w:t>
      </w:r>
    </w:p>
    <w:p>
      <w:pPr>
        <w:spacing w:after="0" w:line="111"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Liquidity and Financial Flexibility</w:t>
      </w:r>
    </w:p>
    <w:p>
      <w:pPr>
        <w:spacing w:after="0" w:line="112" w:lineRule="exact"/>
        <w:rPr>
          <w:sz w:val="20"/>
          <w:szCs w:val="20"/>
          <w:color w:val="auto"/>
        </w:rPr>
      </w:pPr>
    </w:p>
    <w:p>
      <w:pPr>
        <w:jc w:val="both"/>
        <w:ind w:left="9" w:right="180"/>
        <w:spacing w:after="0" w:line="266" w:lineRule="auto"/>
        <w:rPr>
          <w:sz w:val="20"/>
          <w:szCs w:val="20"/>
          <w:color w:val="auto"/>
        </w:rPr>
      </w:pPr>
      <w:r>
        <w:rPr>
          <w:rFonts w:ascii="Arial" w:cs="Arial" w:eastAsia="Arial" w:hAnsi="Arial"/>
          <w:sz w:val="19"/>
          <w:szCs w:val="19"/>
          <w:b w:val="1"/>
          <w:bCs w:val="1"/>
          <w:color w:val="auto"/>
        </w:rPr>
        <w:t>We manage our worldwide liquidity using internal cash management practices, which are subject to (i) the statutes, regulations and practices of each of the local jurisdictions in which we operate, (ii) the legal requirements of the agreements to which we are a party and (iii) the policies and cooperation of the financial institutions we utilize to maintain and provide cash management services. Our principal debt maturities are spread over the next five years as follows:</w:t>
      </w:r>
    </w:p>
    <w:p>
      <w:pPr>
        <w:spacing w:after="0" w:line="28"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62"/>
              <w:spacing w:after="0"/>
              <w:rPr>
                <w:sz w:val="20"/>
                <w:szCs w:val="20"/>
                <w:color w:val="auto"/>
              </w:rPr>
            </w:pPr>
            <w:r>
              <w:rPr>
                <w:rFonts w:ascii="Arial" w:cs="Arial" w:eastAsia="Arial" w:hAnsi="Arial"/>
                <w:sz w:val="16"/>
                <w:szCs w:val="16"/>
                <w:b w:val="1"/>
                <w:bCs w:val="1"/>
                <w:color w:val="auto"/>
                <w:w w:val="97"/>
              </w:rPr>
              <w:t>Xerox Holdings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2"/>
              </w:rPr>
              <w:t>Xerox Corporation</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ind w:right="322"/>
              <w:spacing w:after="0"/>
              <w:rPr>
                <w:sz w:val="20"/>
                <w:szCs w:val="20"/>
                <w:color w:val="auto"/>
              </w:rPr>
            </w:pPr>
            <w:r>
              <w:rPr>
                <w:rFonts w:ascii="Arial" w:cs="Arial" w:eastAsia="Arial" w:hAnsi="Arial"/>
                <w:sz w:val="16"/>
                <w:szCs w:val="16"/>
                <w:b w:val="1"/>
                <w:bCs w:val="1"/>
                <w:color w:val="auto"/>
              </w:rPr>
              <w:t>Xerox - Other</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restart"/>
          </w:tcPr>
          <w:p>
            <w:pPr>
              <w:jc w:val="right"/>
              <w:ind w:right="64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3"/>
        </w:trPr>
        <w:tc>
          <w:tcPr>
            <w:tcW w:w="294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5"/>
                <w:szCs w:val="15"/>
                <w:color w:val="auto"/>
              </w:rPr>
            </w:pPr>
          </w:p>
        </w:tc>
        <w:tc>
          <w:tcPr>
            <w:tcW w:w="1500" w:type="dxa"/>
            <w:vAlign w:val="bottom"/>
          </w:tcPr>
          <w:p>
            <w:pPr>
              <w:jc w:val="right"/>
              <w:ind w:right="382"/>
              <w:spacing w:after="0" w:line="173" w:lineRule="exact"/>
              <w:rPr>
                <w:sz w:val="20"/>
                <w:szCs w:val="20"/>
                <w:color w:val="auto"/>
              </w:rPr>
            </w:pPr>
            <w:r>
              <w:rPr>
                <w:rFonts w:ascii="Arial" w:cs="Arial" w:eastAsia="Arial" w:hAnsi="Arial"/>
                <w:sz w:val="16"/>
                <w:szCs w:val="16"/>
                <w:b w:val="1"/>
                <w:bCs w:val="1"/>
                <w:color w:val="auto"/>
              </w:rPr>
              <w:t>Corporation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302"/>
              <w:spacing w:after="0" w:line="173" w:lineRule="exact"/>
              <w:rPr>
                <w:sz w:val="20"/>
                <w:szCs w:val="20"/>
                <w:color w:val="auto"/>
              </w:rPr>
            </w:pPr>
            <w:r>
              <w:rPr>
                <w:rFonts w:ascii="Arial" w:cs="Arial" w:eastAsia="Arial" w:hAnsi="Arial"/>
                <w:sz w:val="16"/>
                <w:szCs w:val="16"/>
                <w:b w:val="1"/>
                <w:bCs w:val="1"/>
                <w:color w:val="auto"/>
              </w:rPr>
              <w:t>Subsidiaries</w:t>
            </w:r>
            <w:r>
              <w:rPr>
                <w:rFonts w:ascii="Arial" w:cs="Arial" w:eastAsia="Arial" w:hAnsi="Arial"/>
                <w:sz w:val="10"/>
                <w:szCs w:val="10"/>
                <w:b w:val="1"/>
                <w:bCs w:val="1"/>
                <w:color w:val="auto"/>
              </w:rPr>
              <w:t>(1)</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232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2026 - Q1</w:t>
            </w:r>
          </w:p>
        </w:tc>
        <w:tc>
          <w:tcPr>
            <w:tcW w:w="220" w:type="dxa"/>
            <w:vAlign w:val="bottom"/>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110</w:t>
            </w:r>
          </w:p>
        </w:tc>
        <w:tc>
          <w:tcPr>
            <w:tcW w:w="3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gridSpan w:val="2"/>
            <w:shd w:val="clear" w:color="auto" w:fill="E5E5E5"/>
          </w:tcPr>
          <w:p>
            <w:pPr>
              <w:jc w:val="right"/>
              <w:ind w:right="280"/>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233"/>
        </w:trPr>
        <w:tc>
          <w:tcPr>
            <w:tcW w:w="2940" w:type="dxa"/>
            <w:vAlign w:val="bottom"/>
            <w:gridSpan w:val="3"/>
          </w:tcPr>
          <w:p>
            <w:pPr>
              <w:ind w:left="40"/>
              <w:spacing w:after="0"/>
              <w:rPr>
                <w:sz w:val="20"/>
                <w:szCs w:val="20"/>
                <w:color w:val="auto"/>
              </w:rPr>
            </w:pPr>
            <w:r>
              <w:rPr>
                <w:rFonts w:ascii="Arial" w:cs="Arial" w:eastAsia="Arial" w:hAnsi="Arial"/>
                <w:sz w:val="16"/>
                <w:szCs w:val="16"/>
                <w:b w:val="1"/>
                <w:bCs w:val="1"/>
                <w:color w:val="auto"/>
              </w:rPr>
              <w:t>2026 - Q2</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233"/>
        </w:trPr>
        <w:tc>
          <w:tcPr>
            <w:tcW w:w="2940" w:type="dxa"/>
            <w:vAlign w:val="bottom"/>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2026 - Q3</w:t>
            </w:r>
          </w:p>
        </w:tc>
        <w:tc>
          <w:tcPr>
            <w:tcW w:w="220" w:type="dxa"/>
            <w:vAlign w:val="bottom"/>
            <w:shd w:val="clear" w:color="auto" w:fill="E5E5E5"/>
          </w:tcPr>
          <w:p>
            <w:pPr>
              <w:spacing w:after="0"/>
              <w:rPr>
                <w:sz w:val="20"/>
                <w:szCs w:val="20"/>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3"/>
        </w:trPr>
        <w:tc>
          <w:tcPr>
            <w:tcW w:w="2940" w:type="dxa"/>
            <w:vAlign w:val="bottom"/>
            <w:gridSpan w:val="3"/>
          </w:tcPr>
          <w:p>
            <w:pPr>
              <w:ind w:left="40"/>
              <w:spacing w:after="0"/>
              <w:rPr>
                <w:sz w:val="20"/>
                <w:szCs w:val="20"/>
                <w:color w:val="auto"/>
              </w:rPr>
            </w:pPr>
            <w:r>
              <w:rPr>
                <w:rFonts w:ascii="Arial" w:cs="Arial" w:eastAsia="Arial" w:hAnsi="Arial"/>
                <w:sz w:val="16"/>
                <w:szCs w:val="16"/>
                <w:b w:val="1"/>
                <w:bCs w:val="1"/>
                <w:color w:val="auto"/>
              </w:rPr>
              <w:t>2026 - Q4</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620" w:type="dxa"/>
            <w:vAlign w:val="bottom"/>
            <w:gridSpan w:val="2"/>
            <w:shd w:val="clear" w:color="auto" w:fill="E5E5E5"/>
          </w:tcPr>
          <w:p>
            <w:pPr>
              <w:ind w:left="40"/>
              <w:spacing w:after="0"/>
              <w:rPr>
                <w:sz w:val="20"/>
                <w:szCs w:val="20"/>
                <w:color w:val="auto"/>
              </w:rPr>
            </w:pPr>
            <w:r>
              <w:rPr>
                <w:rFonts w:ascii="Arial" w:cs="Arial" w:eastAsia="Arial" w:hAnsi="Arial"/>
                <w:sz w:val="16"/>
                <w:szCs w:val="16"/>
                <w:b w:val="1"/>
                <w:bCs w:val="1"/>
                <w:color w:val="auto"/>
              </w:rPr>
              <w:t>2027</w:t>
            </w:r>
          </w:p>
        </w:tc>
        <w:tc>
          <w:tcPr>
            <w:tcW w:w="23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w:t>
            </w: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33"/>
        </w:trPr>
        <w:tc>
          <w:tcPr>
            <w:tcW w:w="620" w:type="dxa"/>
            <w:vAlign w:val="bottom"/>
            <w:gridSpan w:val="2"/>
          </w:tcPr>
          <w:p>
            <w:pPr>
              <w:ind w:left="40"/>
              <w:spacing w:after="0"/>
              <w:rPr>
                <w:sz w:val="20"/>
                <w:szCs w:val="20"/>
                <w:color w:val="auto"/>
              </w:rPr>
            </w:pPr>
            <w:r>
              <w:rPr>
                <w:rFonts w:ascii="Arial" w:cs="Arial" w:eastAsia="Arial" w:hAnsi="Arial"/>
                <w:sz w:val="16"/>
                <w:szCs w:val="16"/>
                <w:b w:val="1"/>
                <w:bCs w:val="1"/>
                <w:color w:val="auto"/>
              </w:rPr>
              <w:t>2028</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b w:val="1"/>
                <w:bCs w:val="1"/>
                <w:color w:val="auto"/>
              </w:rPr>
              <w:t>90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866</w:t>
            </w:r>
          </w:p>
        </w:tc>
        <w:tc>
          <w:tcPr>
            <w:tcW w:w="0" w:type="dxa"/>
            <w:vAlign w:val="bottom"/>
          </w:tcPr>
          <w:p>
            <w:pPr>
              <w:spacing w:after="0"/>
              <w:rPr>
                <w:sz w:val="1"/>
                <w:szCs w:val="1"/>
                <w:color w:val="auto"/>
              </w:rPr>
            </w:pPr>
          </w:p>
        </w:tc>
      </w:tr>
      <w:tr>
        <w:trPr>
          <w:trHeight w:val="233"/>
        </w:trPr>
        <w:tc>
          <w:tcPr>
            <w:tcW w:w="620" w:type="dxa"/>
            <w:vAlign w:val="bottom"/>
            <w:gridSpan w:val="2"/>
            <w:shd w:val="clear" w:color="auto" w:fill="E5E5E5"/>
          </w:tcPr>
          <w:p>
            <w:pPr>
              <w:ind w:left="40"/>
              <w:spacing w:after="0"/>
              <w:rPr>
                <w:sz w:val="20"/>
                <w:szCs w:val="20"/>
                <w:color w:val="auto"/>
              </w:rPr>
            </w:pPr>
            <w:r>
              <w:rPr>
                <w:rFonts w:ascii="Arial" w:cs="Arial" w:eastAsia="Arial" w:hAnsi="Arial"/>
                <w:sz w:val="16"/>
                <w:szCs w:val="16"/>
                <w:b w:val="1"/>
                <w:bCs w:val="1"/>
                <w:color w:val="auto"/>
              </w:rPr>
              <w:t>2029</w:t>
            </w:r>
          </w:p>
        </w:tc>
        <w:tc>
          <w:tcPr>
            <w:tcW w:w="23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531</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565</w:t>
            </w: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1,096</w:t>
            </w:r>
          </w:p>
        </w:tc>
        <w:tc>
          <w:tcPr>
            <w:tcW w:w="0" w:type="dxa"/>
            <w:vAlign w:val="bottom"/>
          </w:tcPr>
          <w:p>
            <w:pPr>
              <w:spacing w:after="0"/>
              <w:rPr>
                <w:sz w:val="1"/>
                <w:szCs w:val="1"/>
                <w:color w:val="auto"/>
              </w:rPr>
            </w:pPr>
          </w:p>
        </w:tc>
      </w:tr>
      <w:tr>
        <w:trPr>
          <w:trHeight w:val="233"/>
        </w:trPr>
        <w:tc>
          <w:tcPr>
            <w:tcW w:w="620" w:type="dxa"/>
            <w:vAlign w:val="bottom"/>
            <w:gridSpan w:val="2"/>
          </w:tcPr>
          <w:p>
            <w:pPr>
              <w:ind w:left="40"/>
              <w:spacing w:after="0"/>
              <w:rPr>
                <w:sz w:val="20"/>
                <w:szCs w:val="20"/>
                <w:color w:val="auto"/>
              </w:rPr>
            </w:pPr>
            <w:r>
              <w:rPr>
                <w:rFonts w:ascii="Arial" w:cs="Arial" w:eastAsia="Arial" w:hAnsi="Arial"/>
                <w:sz w:val="16"/>
                <w:szCs w:val="16"/>
                <w:b w:val="1"/>
                <w:bCs w:val="1"/>
                <w:color w:val="auto"/>
              </w:rPr>
              <w:t>2030</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b w:val="1"/>
                <w:bCs w:val="1"/>
                <w:color w:val="auto"/>
              </w:rPr>
              <w:t>400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969</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E5E5E5"/>
            </w:tcBorders>
            <w:gridSpan w:val="3"/>
            <w:shd w:val="clear" w:color="auto" w:fill="E5E5E5"/>
          </w:tcPr>
          <w:p>
            <w:pPr>
              <w:ind w:left="40"/>
              <w:spacing w:after="0"/>
              <w:rPr>
                <w:sz w:val="20"/>
                <w:szCs w:val="20"/>
                <w:color w:val="auto"/>
              </w:rPr>
            </w:pPr>
            <w:r>
              <w:rPr>
                <w:rFonts w:ascii="Arial" w:cs="Arial" w:eastAsia="Arial" w:hAnsi="Arial"/>
                <w:sz w:val="16"/>
                <w:szCs w:val="16"/>
                <w:b w:val="1"/>
                <w:bCs w:val="1"/>
                <w:color w:val="auto"/>
              </w:rPr>
              <w:t>2031 and thereafter</w:t>
            </w:r>
          </w:p>
        </w:tc>
        <w:tc>
          <w:tcPr>
            <w:tcW w:w="220" w:type="dxa"/>
            <w:vAlign w:val="bottom"/>
            <w:tcBorders>
              <w:bottom w:val="single" w:sz="8" w:color="auto"/>
            </w:tcBorders>
            <w:shd w:val="clear" w:color="auto" w:fill="E5E5E5"/>
          </w:tcPr>
          <w:p>
            <w:pPr>
              <w:spacing w:after="0"/>
              <w:rPr>
                <w:sz w:val="19"/>
                <w:szCs w:val="19"/>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1,100</w:t>
            </w:r>
          </w:p>
        </w:tc>
        <w:tc>
          <w:tcPr>
            <w:tcW w:w="4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spacing w:after="0"/>
              <w:rPr>
                <w:sz w:val="19"/>
                <w:szCs w:val="19"/>
                <w:color w:val="auto"/>
              </w:rPr>
            </w:pP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spacing w:after="0"/>
              <w:rPr>
                <w:sz w:val="19"/>
                <w:szCs w:val="19"/>
                <w:color w:val="auto"/>
              </w:rPr>
            </w:pPr>
          </w:p>
        </w:tc>
        <w:tc>
          <w:tcPr>
            <w:tcW w:w="13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1,100</w:t>
            </w:r>
          </w:p>
        </w:tc>
        <w:tc>
          <w:tcPr>
            <w:tcW w:w="0" w:type="dxa"/>
            <w:vAlign w:val="bottom"/>
          </w:tcPr>
          <w:p>
            <w:pPr>
              <w:spacing w:after="0"/>
              <w:rPr>
                <w:sz w:val="1"/>
                <w:szCs w:val="1"/>
                <w:color w:val="auto"/>
              </w:rPr>
            </w:pPr>
          </w:p>
        </w:tc>
      </w:tr>
      <w:tr>
        <w:trPr>
          <w:trHeight w:val="193"/>
        </w:trPr>
        <w:tc>
          <w:tcPr>
            <w:tcW w:w="294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2"/>
              <w:spacing w:after="0"/>
              <w:rPr>
                <w:sz w:val="20"/>
                <w:szCs w:val="20"/>
                <w:color w:val="auto"/>
              </w:rPr>
            </w:pPr>
            <w:r>
              <w:rPr>
                <w:rFonts w:ascii="Arial" w:cs="Arial" w:eastAsia="Arial" w:hAnsi="Arial"/>
                <w:sz w:val="16"/>
                <w:szCs w:val="16"/>
                <w:b w:val="1"/>
                <w:bCs w:val="1"/>
                <w:color w:val="auto"/>
              </w:rPr>
              <w:t>2,316</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4,344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-55880</wp:posOffset>
            </wp:positionV>
            <wp:extent cx="4559300" cy="75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4559300" cy="7556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w:t>
      </w:r>
    </w:p>
    <w:p>
      <w:pPr>
        <w:spacing w:after="0" w:line="11" w:lineRule="exact"/>
        <w:rPr>
          <w:sz w:val="20"/>
          <w:szCs w:val="20"/>
          <w:color w:val="auto"/>
        </w:rPr>
      </w:pPr>
    </w:p>
    <w:p>
      <w:pPr>
        <w:ind w:left="9" w:right="180" w:hanging="9"/>
        <w:spacing w:after="0" w:line="343" w:lineRule="auto"/>
        <w:tabs>
          <w:tab w:leader="none" w:pos="277" w:val="left"/>
        </w:tabs>
        <w:numPr>
          <w:ilvl w:val="0"/>
          <w:numId w:val="7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Represents subsidiaries of Xerox Corporation. As of December 31, 2025, amount reflects debt acquired as a result of the Lexmark Acquisition. Refer to Note 6 - Acquisitions and Divestitures for additional information regarding the Lexmark Acquisition</w:t>
      </w:r>
    </w:p>
    <w:p>
      <w:pPr>
        <w:spacing w:after="0" w:line="17" w:lineRule="exact"/>
        <w:rPr>
          <w:sz w:val="20"/>
          <w:szCs w:val="20"/>
          <w:color w:val="auto"/>
        </w:rPr>
      </w:pPr>
    </w:p>
    <w:p>
      <w:pPr>
        <w:jc w:val="both"/>
        <w:ind w:left="9" w:right="180"/>
        <w:spacing w:after="0" w:line="328" w:lineRule="auto"/>
        <w:rPr>
          <w:sz w:val="20"/>
          <w:szCs w:val="20"/>
          <w:color w:val="auto"/>
        </w:rPr>
      </w:pPr>
      <w:r>
        <w:rPr>
          <w:rFonts w:ascii="Arial" w:cs="Arial" w:eastAsia="Arial" w:hAnsi="Arial"/>
          <w:sz w:val="18"/>
          <w:szCs w:val="18"/>
          <w:b w:val="1"/>
          <w:bCs w:val="1"/>
          <w:color w:val="auto"/>
        </w:rPr>
        <w:t>We have entered into transactions, and continue to seek opportunities to reduce our borrowings in a cost and cash efficient manner, including strategies to retire debt that has recently traded at significant discounts.</w:t>
      </w:r>
    </w:p>
    <w:p>
      <w:pPr>
        <w:spacing w:after="0" w:line="55" w:lineRule="exact"/>
        <w:rPr>
          <w:sz w:val="20"/>
          <w:szCs w:val="20"/>
          <w:color w:val="auto"/>
        </w:rPr>
      </w:pPr>
    </w:p>
    <w:p>
      <w:pPr>
        <w:jc w:val="both"/>
        <w:ind w:left="9" w:right="180"/>
        <w:spacing w:after="0" w:line="298" w:lineRule="auto"/>
        <w:rPr>
          <w:sz w:val="20"/>
          <w:szCs w:val="20"/>
          <w:color w:val="auto"/>
        </w:rPr>
      </w:pPr>
      <w:r>
        <w:rPr>
          <w:rFonts w:ascii="Arial" w:cs="Arial" w:eastAsia="Arial" w:hAnsi="Arial"/>
          <w:sz w:val="19"/>
          <w:szCs w:val="19"/>
          <w:b w:val="1"/>
          <w:bCs w:val="1"/>
          <w:color w:val="auto"/>
        </w:rPr>
        <w:t>Refer to Note 15 - Debt in the Consolidated Financial Statements and Note 26 - Subsequent Events in our Consolidated Financial Statements for additional information regarding our debt.</w:t>
      </w:r>
    </w:p>
    <w:p>
      <w:pPr>
        <w:spacing w:after="0" w:line="39"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Lexmark Acquisition</w:t>
      </w:r>
    </w:p>
    <w:p>
      <w:pPr>
        <w:spacing w:after="0" w:line="112" w:lineRule="exact"/>
        <w:rPr>
          <w:sz w:val="20"/>
          <w:szCs w:val="20"/>
          <w:color w:val="auto"/>
        </w:rPr>
      </w:pPr>
    </w:p>
    <w:p>
      <w:pPr>
        <w:jc w:val="both"/>
        <w:ind w:left="9" w:right="180"/>
        <w:spacing w:after="0" w:line="299" w:lineRule="auto"/>
        <w:rPr>
          <w:sz w:val="20"/>
          <w:szCs w:val="20"/>
          <w:color w:val="auto"/>
        </w:rPr>
      </w:pPr>
      <w:r>
        <w:rPr>
          <w:rFonts w:ascii="Arial" w:cs="Arial" w:eastAsia="Arial" w:hAnsi="Arial"/>
          <w:sz w:val="18"/>
          <w:szCs w:val="18"/>
          <w:b w:val="1"/>
          <w:bCs w:val="1"/>
          <w:color w:val="auto"/>
        </w:rPr>
        <w:t>During the fourth quarter 2025, adjustments were recorded to correct certain errors in the Lexmark Acquisition preliminary purchase price allocation that existed as of the acquisition date. The errors resulted from misstated balances of accounts receivable, contract assets, and contract liabilities in Lexmark's opening balance sheet as of</w:t>
      </w:r>
    </w:p>
    <w:p>
      <w:pPr>
        <w:spacing w:after="0" w:line="370" w:lineRule="exact"/>
        <w:rPr>
          <w:sz w:val="20"/>
          <w:szCs w:val="20"/>
          <w:color w:val="auto"/>
        </w:rPr>
      </w:pPr>
    </w:p>
    <w:p>
      <w:pPr>
        <w:jc w:val="center"/>
        <w:ind w:right="1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64</w:t>
      </w:r>
    </w:p>
    <w:p>
      <w:pPr>
        <w:sectPr>
          <w:pgSz w:w="11880" w:h="15480" w:orient="portrait"/>
          <w:cols w:equalWidth="0" w:num="1">
            <w:col w:w="10049"/>
          </w:cols>
          <w:pgMar w:left="1011" w:top="649" w:right="820" w:bottom="0" w:gutter="0" w:footer="0" w:header="0"/>
        </w:sectPr>
      </w:pPr>
    </w:p>
    <w:bookmarkStart w:id="74" w:name="page75"/>
    <w:bookmarkEnd w:id="74"/>
    <w:p>
      <w:pPr>
        <w:jc w:val="both"/>
        <w:spacing w:after="0" w:line="279" w:lineRule="auto"/>
        <w:rPr>
          <w:sz w:val="20"/>
          <w:szCs w:val="20"/>
          <w:color w:val="auto"/>
        </w:rPr>
      </w:pPr>
      <w:r>
        <w:rPr>
          <w:rFonts w:ascii="Arial" w:cs="Arial" w:eastAsia="Arial" w:hAnsi="Arial"/>
          <w:sz w:val="18"/>
          <w:szCs w:val="18"/>
          <w:b w:val="1"/>
          <w:bCs w:val="1"/>
          <w:color w:val="auto"/>
        </w:rPr>
        <w:t>July 1, 2025, and were subsequently reflected in the Company's Consolidated Balance Sheet as of September 30, 2025. Accordingly, Accounts receivable, net decreased by $73, Other current assets increased by $20, Deferred tax assets increased by $7, Accrued expenses and other current liabilities decreased by $11, and Other long-term liabilities decreased $7. The identified errors had an immaterial impact on the Lexmark preliminary purchase accounting through September 30, 2025. As a result of the correction, an increase of $28 was recorded to Goodwill. In addition, immaterial measurement period adjustments were also recorded which resulted in a further increase of $11 to Goodwill associated with the Lexmark Acquisition.</w:t>
      </w:r>
    </w:p>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allocation of the purchase price for this acquisition has been prepared on a preliminary basis, and adjustments may continue to be required as additional information becomes available. Additionally, as required by the Lexmark Agreement, Xerox provided its determination of the Closing Statement (as defined in the Lexmark Agreement) to the Lexmark Seller. The final purchase price is subject to a final working capital adjustment, which we are still finalizing.</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Pension and Retiree Health Benefit Plans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sponsor defined benefit pension plans and retiree health plans that require periodic cash contributions. Our 2025 cash contributions for these plans were $140 million for our defined benefit pension plans and $21 million for our retiree health plans.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In 2026, based on current actuarial calculations, we expect to make contributions of approximately $145 million to our worldwide defined benefit pension plans and approximately $20 million to our retiree health benefit plans. Approximately $95 million of estimated contributions for 2026 are for our U.S. tax-qualified defined benefit plans. However, once the next actuarial valuations and projected results are available, actual contributions required to meet minimum funding requirements will be determined and finalized and may change from the current estimate. Contributions to our defined benefit pension plans in subsequent years will depend on multiple factors, including the investment performance of plan assets and discount rates as well as potential legislative and plan changes.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Although all of our major defined benefit plans have been amended to freeze current benefits and eliminate benefit accruals for future service, several plans remain under-funded or unfunded by design. The projected benefit obligations for these benefit plans at December 31, 2025 exceeded the fair value of the assets of those plans by $1,045 million, which is a decrease of $22 million from the balance at December 31, 2024, of $1,067 million. The decrease is largely due to an increase in actual returns on plan assets, partially offset by the impact of lower actuarial gains, higher interest cost, and the Lexmark Acquisition.</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Cash contributions to our retiree health plans are made each year to cover medical premiums and claim costs incurred during the year. Our retiree health benefit plans are unfunded and are primarily related to our U.S. and Canada operations. The unfunded balance of our retiree health plans of $179 million at December 31, 2025 increased by $6 million from the balance at December 31, 2024, primarily due to the adverse impact of currency, higher actuarial losses and the Lexmark Acquisition.</w:t>
      </w:r>
    </w:p>
    <w:p>
      <w:pPr>
        <w:spacing w:after="0" w:line="7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18 - Employee Benefit Plans in the Consolidated Financial Statements for additional information regarding contributions to our defined benefit pension and retiree health plans.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FUJIFILM Business Innovation Corp.</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 purchased products, including parts and supplies, from FUJIFILM Business Innovation Corp. totaling $811 million, $886 million, and $933 million in 2025, 2024 and 2023, respectively. Our product supply agreements with FUJIFILM Business Innovation Corp. are designed to support the entire product lifecycle, end-to-end, including the availability of spare parts, consumables and technical support throughout the time such products are with our customers. Our purchase orders under such agreements are made in the normal course of business and typically have a lead time of three months.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Shared Services and Technology Arrangements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During 2024, Xerox entered into an agreement with HCL Technologies Limited (HCL), to renew and extend shared services arrangements, in which HCL provides certain global administrative and support functions to Xerox. Under these additional shared services arrangements, HCL will support Xerox's Global Business Services (GBS) organization with professional services support, sales efficiency, and remote problem-solving. Effective July 2025, Xerox is able to terminate the arrangement at any time, subject to payment of termination fees that decline over the term, or for cause.</w:t>
      </w:r>
    </w:p>
    <w:p>
      <w:pPr>
        <w:spacing w:after="0" w:line="71"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color w:val="auto"/>
        </w:rPr>
        <w:t>During 2024, Xerox entered into a seven year agreement with Tata Consulting Services (TCS) to assist in consolidating Xerox’s technology services to improve business outcomes, migrate legacy data centers to the cloud, deploy a cloud-based digital ERP platform to transform business processes, and incorporate generative artificial</w:t>
      </w:r>
    </w:p>
    <w:p>
      <w:pPr>
        <w:spacing w:after="0" w:line="346" w:lineRule="exact"/>
        <w:rPr>
          <w:sz w:val="20"/>
          <w:szCs w:val="20"/>
          <w:color w:val="auto"/>
        </w:rPr>
      </w:pPr>
    </w:p>
    <w:p>
      <w:pPr>
        <w:jc w:val="center"/>
        <w:ind w:right="10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65</w:t>
      </w:r>
    </w:p>
    <w:p>
      <w:pPr>
        <w:sectPr>
          <w:pgSz w:w="11880" w:h="15480" w:orient="portrait"/>
          <w:cols w:equalWidth="0" w:num="1">
            <w:col w:w="9860"/>
          </w:cols>
          <w:pgMar w:left="1060" w:top="649" w:right="960" w:bottom="0" w:gutter="0" w:footer="0" w:header="0"/>
        </w:sectPr>
      </w:pPr>
    </w:p>
    <w:bookmarkStart w:id="75" w:name="page76"/>
    <w:bookmarkEnd w:id="75"/>
    <w:p>
      <w:pPr>
        <w:jc w:val="both"/>
        <w:ind w:left="9"/>
        <w:spacing w:after="0" w:line="266" w:lineRule="auto"/>
        <w:rPr>
          <w:sz w:val="20"/>
          <w:szCs w:val="20"/>
          <w:color w:val="auto"/>
        </w:rPr>
      </w:pPr>
      <w:r>
        <w:rPr>
          <w:rFonts w:ascii="Arial" w:cs="Arial" w:eastAsia="Arial" w:hAnsi="Arial"/>
          <w:sz w:val="19"/>
          <w:szCs w:val="19"/>
          <w:b w:val="1"/>
          <w:bCs w:val="1"/>
          <w:color w:val="auto"/>
        </w:rPr>
        <w:t>intelligence (GenAI) into operations to help drive sustainable growth. The agreement expanded Xerox's previous partnership, and TCS will continue to provide business processing outsourcing services in support of our global finance and accounting organization. There were no changes to the terms of the business processing outsourcing services agreement and Xerox can terminate the arrangement with 90 days' notice, subject to payment of a termination fee.</w:t>
      </w:r>
    </w:p>
    <w:p>
      <w:pPr>
        <w:spacing w:after="0" w:line="70" w:lineRule="exact"/>
        <w:rPr>
          <w:sz w:val="20"/>
          <w:szCs w:val="20"/>
          <w:color w:val="auto"/>
        </w:rPr>
      </w:pPr>
    </w:p>
    <w:p>
      <w:pPr>
        <w:jc w:val="both"/>
        <w:ind w:left="9"/>
        <w:spacing w:after="0" w:line="276" w:lineRule="auto"/>
        <w:rPr>
          <w:sz w:val="20"/>
          <w:szCs w:val="20"/>
          <w:color w:val="auto"/>
        </w:rPr>
      </w:pPr>
      <w:r>
        <w:rPr>
          <w:rFonts w:ascii="Arial" w:cs="Arial" w:eastAsia="Arial" w:hAnsi="Arial"/>
          <w:sz w:val="19"/>
          <w:szCs w:val="19"/>
          <w:b w:val="1"/>
          <w:bCs w:val="1"/>
          <w:color w:val="auto"/>
        </w:rPr>
        <w:t>In connection with the technology agreement with TCS, Xerox also entered into seven-year agreements with both SAP Limited (SAP), who will provide Xerox with a cloud-based digital ERP platform, and Microsoft, who will provide their Azure cloud platform services.</w:t>
      </w:r>
    </w:p>
    <w:p>
      <w:pPr>
        <w:spacing w:after="0" w:line="61"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During 2024, Xerox entered into a five-year agreement with Verizon Business Services (Verizon) to provide their Network as a Service (NaaS) solutions framework as part of Xerox's Reinvention. Under the terms of the agreement, Verizon will provide a secure network platform solution delivering network services to Xerox business locations globally.</w:t>
      </w:r>
    </w:p>
    <w:p>
      <w:pPr>
        <w:spacing w:after="0" w:line="68" w:lineRule="exact"/>
        <w:rPr>
          <w:sz w:val="20"/>
          <w:szCs w:val="20"/>
          <w:color w:val="auto"/>
        </w:rPr>
      </w:pPr>
    </w:p>
    <w:p>
      <w:pPr>
        <w:jc w:val="both"/>
        <w:ind w:left="9"/>
        <w:spacing w:after="0" w:line="298" w:lineRule="auto"/>
        <w:rPr>
          <w:sz w:val="20"/>
          <w:szCs w:val="20"/>
          <w:color w:val="auto"/>
        </w:rPr>
      </w:pPr>
      <w:r>
        <w:rPr>
          <w:rFonts w:ascii="Arial" w:cs="Arial" w:eastAsia="Arial" w:hAnsi="Arial"/>
          <w:sz w:val="19"/>
          <w:szCs w:val="19"/>
          <w:b w:val="1"/>
          <w:bCs w:val="1"/>
          <w:color w:val="auto"/>
        </w:rPr>
        <w:t>The remaining approximate aggregate spending commitments related to these shared services and technology arrangements are as follows:</w:t>
      </w:r>
    </w:p>
    <w:p>
      <w:pPr>
        <w:spacing w:after="0" w:line="113"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6860" w:type="dxa"/>
            <w:vAlign w:val="bottom"/>
            <w:gridSpan w:val="3"/>
          </w:tcPr>
          <w:p>
            <w:pPr>
              <w:ind w:left="40"/>
              <w:spacing w:after="0"/>
              <w:rPr>
                <w:sz w:val="20"/>
                <w:szCs w:val="20"/>
                <w:color w:val="auto"/>
              </w:rPr>
            </w:pPr>
            <w:r>
              <w:rPr>
                <w:rFonts w:ascii="Arial" w:cs="Arial" w:eastAsia="Arial" w:hAnsi="Arial"/>
                <w:sz w:val="12"/>
                <w:szCs w:val="12"/>
                <w:b w:val="1"/>
                <w:bCs w:val="1"/>
                <w:color w:val="auto"/>
              </w:rPr>
              <w:t>(in millions)</w:t>
            </w: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95"/>
              </w:rPr>
              <w:t>December 31, 2025</w:t>
            </w:r>
          </w:p>
        </w:tc>
        <w:tc>
          <w:tcPr>
            <w:tcW w:w="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6"/>
                <w:szCs w:val="16"/>
                <w:b w:val="1"/>
                <w:bCs w:val="1"/>
                <w:color w:val="auto"/>
              </w:rPr>
              <w:t>Agreement Term</w:t>
            </w:r>
          </w:p>
        </w:tc>
      </w:tr>
      <w:tr>
        <w:trPr>
          <w:trHeight w:val="20"/>
        </w:trPr>
        <w:tc>
          <w:tcPr>
            <w:tcW w:w="40" w:type="dxa"/>
            <w:vAlign w:val="bottom"/>
            <w:tcBorders>
              <w:bottom w:val="single" w:sz="8" w:color="DBDBDB"/>
            </w:tcBorders>
          </w:tcPr>
          <w:p>
            <w:pPr>
              <w:spacing w:after="0" w:line="20" w:lineRule="exact"/>
              <w:rPr>
                <w:sz w:val="1"/>
                <w:szCs w:val="1"/>
                <w:color w:val="auto"/>
              </w:rPr>
            </w:pPr>
          </w:p>
        </w:tc>
        <w:tc>
          <w:tcPr>
            <w:tcW w:w="580" w:type="dxa"/>
            <w:vAlign w:val="bottom"/>
            <w:tcBorders>
              <w:top w:val="single" w:sz="8" w:color="auto"/>
              <w:bottom w:val="single" w:sz="8" w:color="DBDBDB"/>
            </w:tcBorders>
          </w:tcPr>
          <w:p>
            <w:pPr>
              <w:spacing w:after="0" w:line="20" w:lineRule="exact"/>
              <w:rPr>
                <w:sz w:val="1"/>
                <w:szCs w:val="1"/>
                <w:color w:val="auto"/>
              </w:rPr>
            </w:pPr>
          </w:p>
        </w:tc>
        <w:tc>
          <w:tcPr>
            <w:tcW w:w="624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1"/>
        </w:trPr>
        <w:tc>
          <w:tcPr>
            <w:tcW w:w="6860" w:type="dxa"/>
            <w:vAlign w:val="bottom"/>
            <w:gridSpan w:val="3"/>
            <w:shd w:val="clear" w:color="auto" w:fill="DBDBDB"/>
          </w:tcPr>
          <w:p>
            <w:pPr>
              <w:ind w:left="40"/>
              <w:spacing w:after="0" w:line="231" w:lineRule="exact"/>
              <w:rPr>
                <w:sz w:val="20"/>
                <w:szCs w:val="20"/>
                <w:color w:val="auto"/>
              </w:rPr>
            </w:pPr>
            <w:r>
              <w:rPr>
                <w:rFonts w:ascii="Arial" w:cs="Arial" w:eastAsia="Arial" w:hAnsi="Arial"/>
                <w:sz w:val="26"/>
                <w:szCs w:val="26"/>
                <w:b w:val="1"/>
                <w:bCs w:val="1"/>
                <w:color w:val="auto"/>
                <w:vertAlign w:val="subscript"/>
              </w:rPr>
              <w:t>HCL</w:t>
            </w:r>
            <w:r>
              <w:rPr>
                <w:rFonts w:ascii="Arial" w:cs="Arial" w:eastAsia="Arial" w:hAnsi="Arial"/>
                <w:sz w:val="9"/>
                <w:szCs w:val="9"/>
                <w:b w:val="1"/>
                <w:bCs w:val="1"/>
                <w:color w:val="auto"/>
              </w:rPr>
              <w:t>(1)</w:t>
            </w:r>
          </w:p>
        </w:tc>
        <w:tc>
          <w:tcPr>
            <w:tcW w:w="640" w:type="dxa"/>
            <w:vAlign w:val="bottom"/>
            <w:shd w:val="clear" w:color="auto" w:fill="DBDBDB"/>
          </w:tcPr>
          <w:p>
            <w:pPr>
              <w:ind w:left="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420</w:t>
            </w:r>
          </w:p>
        </w:tc>
        <w:tc>
          <w:tcPr>
            <w:tcW w:w="60" w:type="dxa"/>
            <w:vAlign w:val="bottom"/>
            <w:shd w:val="clear" w:color="auto" w:fill="DBDBDB"/>
          </w:tcPr>
          <w:p>
            <w:pPr>
              <w:spacing w:after="0"/>
              <w:rPr>
                <w:sz w:val="20"/>
                <w:szCs w:val="20"/>
                <w:color w:val="auto"/>
              </w:rPr>
            </w:pPr>
          </w:p>
        </w:tc>
        <w:tc>
          <w:tcPr>
            <w:tcW w:w="1480" w:type="dxa"/>
            <w:vAlign w:val="bottom"/>
            <w:shd w:val="clear" w:color="auto" w:fill="DBDBDB"/>
          </w:tcPr>
          <w:p>
            <w:pPr>
              <w:ind w:left="480"/>
              <w:spacing w:after="0"/>
              <w:rPr>
                <w:sz w:val="20"/>
                <w:szCs w:val="20"/>
                <w:color w:val="auto"/>
              </w:rPr>
            </w:pPr>
            <w:r>
              <w:rPr>
                <w:rFonts w:ascii="Arial" w:cs="Arial" w:eastAsia="Arial" w:hAnsi="Arial"/>
                <w:sz w:val="16"/>
                <w:szCs w:val="16"/>
                <w:b w:val="1"/>
                <w:bCs w:val="1"/>
                <w:color w:val="auto"/>
              </w:rPr>
              <w:t>5 Years</w:t>
            </w:r>
          </w:p>
        </w:tc>
      </w:tr>
      <w:tr>
        <w:trPr>
          <w:trHeight w:val="247"/>
        </w:trPr>
        <w:tc>
          <w:tcPr>
            <w:tcW w:w="6860" w:type="dxa"/>
            <w:vAlign w:val="bottom"/>
            <w:gridSpan w:val="3"/>
          </w:tcPr>
          <w:p>
            <w:pPr>
              <w:ind w:left="40"/>
              <w:spacing w:after="0"/>
              <w:rPr>
                <w:sz w:val="20"/>
                <w:szCs w:val="20"/>
                <w:color w:val="auto"/>
              </w:rPr>
            </w:pPr>
            <w:r>
              <w:rPr>
                <w:rFonts w:ascii="Arial" w:cs="Arial" w:eastAsia="Arial" w:hAnsi="Arial"/>
                <w:sz w:val="16"/>
                <w:szCs w:val="16"/>
                <w:b w:val="1"/>
                <w:bCs w:val="1"/>
                <w:color w:val="auto"/>
              </w:rPr>
              <w:t>TCS</w:t>
            </w:r>
            <w:r>
              <w:rPr>
                <w:rFonts w:ascii="Arial" w:cs="Arial" w:eastAsia="Arial" w:hAnsi="Arial"/>
                <w:sz w:val="20"/>
                <w:szCs w:val="20"/>
                <w:b w:val="1"/>
                <w:bCs w:val="1"/>
                <w:color w:val="auto"/>
                <w:vertAlign w:val="superscript"/>
              </w:rPr>
              <w:t>(1)</w:t>
            </w:r>
          </w:p>
        </w:tc>
        <w:tc>
          <w:tcPr>
            <w:tcW w:w="6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60" w:type="dxa"/>
            <w:vAlign w:val="bottom"/>
          </w:tcPr>
          <w:p>
            <w:pPr>
              <w:spacing w:after="0"/>
              <w:rPr>
                <w:sz w:val="21"/>
                <w:szCs w:val="21"/>
                <w:color w:val="auto"/>
              </w:rPr>
            </w:pPr>
          </w:p>
        </w:tc>
        <w:tc>
          <w:tcPr>
            <w:tcW w:w="1480" w:type="dxa"/>
            <w:vAlign w:val="bottom"/>
          </w:tcPr>
          <w:p>
            <w:pPr>
              <w:ind w:left="480"/>
              <w:spacing w:after="0"/>
              <w:rPr>
                <w:sz w:val="20"/>
                <w:szCs w:val="20"/>
                <w:color w:val="auto"/>
              </w:rPr>
            </w:pPr>
            <w:r>
              <w:rPr>
                <w:rFonts w:ascii="Arial" w:cs="Arial" w:eastAsia="Arial" w:hAnsi="Arial"/>
                <w:sz w:val="16"/>
                <w:szCs w:val="16"/>
                <w:b w:val="1"/>
                <w:bCs w:val="1"/>
                <w:color w:val="auto"/>
              </w:rPr>
              <w:t>7 Years</w:t>
            </w:r>
          </w:p>
        </w:tc>
      </w:tr>
      <w:tr>
        <w:trPr>
          <w:trHeight w:val="247"/>
        </w:trPr>
        <w:tc>
          <w:tcPr>
            <w:tcW w:w="686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Microsoft</w:t>
            </w:r>
          </w:p>
        </w:tc>
        <w:tc>
          <w:tcPr>
            <w:tcW w:w="64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95</w:t>
            </w:r>
          </w:p>
        </w:tc>
        <w:tc>
          <w:tcPr>
            <w:tcW w:w="60" w:type="dxa"/>
            <w:vAlign w:val="bottom"/>
            <w:shd w:val="clear" w:color="auto" w:fill="DBDBDB"/>
          </w:tcPr>
          <w:p>
            <w:pPr>
              <w:spacing w:after="0"/>
              <w:rPr>
                <w:sz w:val="21"/>
                <w:szCs w:val="21"/>
                <w:color w:val="auto"/>
              </w:rPr>
            </w:pPr>
          </w:p>
        </w:tc>
        <w:tc>
          <w:tcPr>
            <w:tcW w:w="1480" w:type="dxa"/>
            <w:vAlign w:val="bottom"/>
            <w:shd w:val="clear" w:color="auto" w:fill="DBDBDB"/>
          </w:tcPr>
          <w:p>
            <w:pPr>
              <w:ind w:left="480"/>
              <w:spacing w:after="0"/>
              <w:rPr>
                <w:sz w:val="20"/>
                <w:szCs w:val="20"/>
                <w:color w:val="auto"/>
              </w:rPr>
            </w:pPr>
            <w:r>
              <w:rPr>
                <w:rFonts w:ascii="Arial" w:cs="Arial" w:eastAsia="Arial" w:hAnsi="Arial"/>
                <w:sz w:val="16"/>
                <w:szCs w:val="16"/>
                <w:b w:val="1"/>
                <w:bCs w:val="1"/>
                <w:color w:val="auto"/>
              </w:rPr>
              <w:t>7 Years</w:t>
            </w:r>
          </w:p>
        </w:tc>
      </w:tr>
      <w:tr>
        <w:trPr>
          <w:trHeight w:val="242"/>
        </w:trPr>
        <w:tc>
          <w:tcPr>
            <w:tcW w:w="6860" w:type="dxa"/>
            <w:vAlign w:val="bottom"/>
            <w:gridSpan w:val="3"/>
          </w:tcPr>
          <w:p>
            <w:pPr>
              <w:ind w:left="40"/>
              <w:spacing w:after="0"/>
              <w:rPr>
                <w:sz w:val="20"/>
                <w:szCs w:val="20"/>
                <w:color w:val="auto"/>
              </w:rPr>
            </w:pPr>
            <w:r>
              <w:rPr>
                <w:rFonts w:ascii="Arial" w:cs="Arial" w:eastAsia="Arial" w:hAnsi="Arial"/>
                <w:sz w:val="16"/>
                <w:szCs w:val="16"/>
                <w:b w:val="1"/>
                <w:bCs w:val="1"/>
                <w:color w:val="auto"/>
              </w:rPr>
              <w:t>SAP</w:t>
            </w:r>
          </w:p>
        </w:tc>
        <w:tc>
          <w:tcPr>
            <w:tcW w:w="6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60" w:type="dxa"/>
            <w:vAlign w:val="bottom"/>
          </w:tcPr>
          <w:p>
            <w:pPr>
              <w:spacing w:after="0"/>
              <w:rPr>
                <w:sz w:val="21"/>
                <w:szCs w:val="21"/>
                <w:color w:val="auto"/>
              </w:rPr>
            </w:pPr>
          </w:p>
        </w:tc>
        <w:tc>
          <w:tcPr>
            <w:tcW w:w="1480" w:type="dxa"/>
            <w:vAlign w:val="bottom"/>
          </w:tcPr>
          <w:p>
            <w:pPr>
              <w:ind w:left="480"/>
              <w:spacing w:after="0"/>
              <w:rPr>
                <w:sz w:val="20"/>
                <w:szCs w:val="20"/>
                <w:color w:val="auto"/>
              </w:rPr>
            </w:pPr>
            <w:r>
              <w:rPr>
                <w:rFonts w:ascii="Arial" w:cs="Arial" w:eastAsia="Arial" w:hAnsi="Arial"/>
                <w:sz w:val="16"/>
                <w:szCs w:val="16"/>
                <w:b w:val="1"/>
                <w:bCs w:val="1"/>
                <w:color w:val="auto"/>
              </w:rPr>
              <w:t>7 Years</w:t>
            </w:r>
          </w:p>
        </w:tc>
      </w:tr>
      <w:tr>
        <w:trPr>
          <w:trHeight w:val="253"/>
        </w:trPr>
        <w:tc>
          <w:tcPr>
            <w:tcW w:w="6860" w:type="dxa"/>
            <w:vAlign w:val="bottom"/>
            <w:gridSpan w:val="3"/>
            <w:shd w:val="clear" w:color="auto" w:fill="DBDBDB"/>
          </w:tcPr>
          <w:p>
            <w:pPr>
              <w:ind w:left="40"/>
              <w:spacing w:after="0"/>
              <w:rPr>
                <w:sz w:val="20"/>
                <w:szCs w:val="20"/>
                <w:color w:val="auto"/>
              </w:rPr>
            </w:pPr>
            <w:r>
              <w:rPr>
                <w:rFonts w:ascii="Arial" w:cs="Arial" w:eastAsia="Arial" w:hAnsi="Arial"/>
                <w:sz w:val="16"/>
                <w:szCs w:val="16"/>
                <w:b w:val="1"/>
                <w:bCs w:val="1"/>
                <w:color w:val="auto"/>
              </w:rPr>
              <w:t>Verizon</w:t>
            </w:r>
          </w:p>
        </w:tc>
        <w:tc>
          <w:tcPr>
            <w:tcW w:w="640" w:type="dxa"/>
            <w:vAlign w:val="bottom"/>
            <w:shd w:val="clear" w:color="auto" w:fill="DBDBDB"/>
          </w:tcPr>
          <w:p>
            <w:pPr>
              <w:spacing w:after="0"/>
              <w:rPr>
                <w:sz w:val="22"/>
                <w:szCs w:val="2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80</w:t>
            </w:r>
          </w:p>
        </w:tc>
        <w:tc>
          <w:tcPr>
            <w:tcW w:w="60" w:type="dxa"/>
            <w:vAlign w:val="bottom"/>
            <w:shd w:val="clear" w:color="auto" w:fill="DBDBDB"/>
          </w:tcPr>
          <w:p>
            <w:pPr>
              <w:spacing w:after="0"/>
              <w:rPr>
                <w:sz w:val="22"/>
                <w:szCs w:val="22"/>
                <w:color w:val="auto"/>
              </w:rPr>
            </w:pPr>
          </w:p>
        </w:tc>
        <w:tc>
          <w:tcPr>
            <w:tcW w:w="1480" w:type="dxa"/>
            <w:vAlign w:val="bottom"/>
            <w:shd w:val="clear" w:color="auto" w:fill="DBDBDB"/>
          </w:tcPr>
          <w:p>
            <w:pPr>
              <w:ind w:left="480"/>
              <w:spacing w:after="0"/>
              <w:rPr>
                <w:sz w:val="20"/>
                <w:szCs w:val="20"/>
                <w:color w:val="auto"/>
              </w:rPr>
            </w:pPr>
            <w:r>
              <w:rPr>
                <w:rFonts w:ascii="Arial" w:cs="Arial" w:eastAsia="Arial" w:hAnsi="Arial"/>
                <w:sz w:val="16"/>
                <w:szCs w:val="16"/>
                <w:b w:val="1"/>
                <w:bCs w:val="1"/>
                <w:color w:val="auto"/>
              </w:rPr>
              <w:t>5 Years</w:t>
            </w:r>
          </w:p>
        </w:tc>
      </w:tr>
    </w:tbl>
    <w:p>
      <w:pPr>
        <w:spacing w:after="0" w:line="16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49" w:hanging="349"/>
        <w:spacing w:after="0"/>
        <w:tabs>
          <w:tab w:leader="none" w:pos="349" w:val="left"/>
        </w:tabs>
        <w:numPr>
          <w:ilvl w:val="0"/>
          <w:numId w:val="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all contractual arrangements between Xerox and the vendor.</w:t>
      </w:r>
    </w:p>
    <w:p>
      <w:pPr>
        <w:spacing w:after="0" w:line="107"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We incurred net charges for these shared service and technology agreements of $349 million, $259 million and $227 million for the three years ended December 31, 2025, 2024, and 2023, respectively. The costs have been allocated to the various functional expense lines in the Consolidated Statements of (Loss) Income based on an estimate of the nature and amount of the costs incurred for the various transferred functions.</w:t>
      </w:r>
    </w:p>
    <w:p>
      <w:pPr>
        <w:spacing w:after="0" w:line="67"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DA2031"/>
        </w:rPr>
        <w:t>Other Contingencies and Commitments</w:t>
      </w:r>
    </w:p>
    <w:p>
      <w:pPr>
        <w:spacing w:after="0" w:line="131" w:lineRule="exact"/>
        <w:rPr>
          <w:sz w:val="20"/>
          <w:szCs w:val="20"/>
          <w:color w:val="auto"/>
        </w:rPr>
      </w:pPr>
    </w:p>
    <w:p>
      <w:pPr>
        <w:jc w:val="both"/>
        <w:ind w:left="9"/>
        <w:spacing w:after="0" w:line="298" w:lineRule="auto"/>
        <w:rPr>
          <w:sz w:val="20"/>
          <w:szCs w:val="20"/>
          <w:color w:val="auto"/>
        </w:rPr>
      </w:pPr>
      <w:r>
        <w:rPr>
          <w:rFonts w:ascii="Arial" w:cs="Arial" w:eastAsia="Arial" w:hAnsi="Arial"/>
          <w:sz w:val="19"/>
          <w:szCs w:val="19"/>
          <w:b w:val="1"/>
          <w:bCs w:val="1"/>
          <w:color w:val="auto"/>
        </w:rPr>
        <w:t>Refer to Note 20 - Contingencies and Litigation in the Consolidated Financial Statements for additional information regarding our other contingencies and commitments.</w:t>
      </w:r>
    </w:p>
    <w:p>
      <w:pPr>
        <w:spacing w:after="0" w:line="86" w:lineRule="exact"/>
        <w:rPr>
          <w:sz w:val="20"/>
          <w:szCs w:val="20"/>
          <w:color w:val="auto"/>
        </w:rPr>
      </w:pPr>
    </w:p>
    <w:p>
      <w:pPr>
        <w:ind w:left="9"/>
        <w:spacing w:after="0"/>
        <w:rPr>
          <w:sz w:val="20"/>
          <w:szCs w:val="20"/>
          <w:color w:val="auto"/>
        </w:rPr>
      </w:pPr>
      <w:r>
        <w:rPr>
          <w:rFonts w:ascii="Arial" w:cs="Arial" w:eastAsia="Arial" w:hAnsi="Arial"/>
          <w:sz w:val="23"/>
          <w:szCs w:val="23"/>
          <w:b w:val="1"/>
          <w:bCs w:val="1"/>
          <w:color w:val="DA2031"/>
        </w:rPr>
        <w:t>Off-Balance Sheet Arrangements</w:t>
      </w:r>
    </w:p>
    <w:p>
      <w:pPr>
        <w:spacing w:after="0" w:line="14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b w:val="1"/>
          <w:bCs w:val="1"/>
          <w:color w:val="auto"/>
        </w:rPr>
        <w:t>We may occasionally utilize off-balance sheet arrangements in our operations (as defined by the SEC Financial Reporting Release 67 (FRR-67), “Disclosure in Management’s Discussion and Analysis about Off-Balance Sheet Arrangements and Aggregate Contractual Obligations”). We enter into the following arrangements that have off-balance sheet elements:</w:t>
      </w:r>
    </w:p>
    <w:p>
      <w:pPr>
        <w:spacing w:after="0" w:line="68" w:lineRule="exact"/>
        <w:rPr>
          <w:sz w:val="20"/>
          <w:szCs w:val="20"/>
          <w:color w:val="auto"/>
        </w:rPr>
      </w:pPr>
    </w:p>
    <w:p>
      <w:pPr>
        <w:jc w:val="both"/>
        <w:ind w:left="349" w:hanging="349"/>
        <w:spacing w:after="0" w:line="276" w:lineRule="auto"/>
        <w:tabs>
          <w:tab w:leader="none" w:pos="349" w:val="left"/>
        </w:tabs>
        <w:numPr>
          <w:ilvl w:val="0"/>
          <w:numId w:val="77"/>
        </w:numPr>
        <w:rPr>
          <w:rFonts w:ascii="Arial" w:cs="Arial" w:eastAsia="Arial" w:hAnsi="Arial"/>
          <w:sz w:val="19"/>
          <w:szCs w:val="19"/>
          <w:b w:val="1"/>
          <w:bCs w:val="1"/>
          <w:color w:val="DA2031"/>
        </w:rPr>
      </w:pPr>
      <w:r>
        <w:rPr>
          <w:rFonts w:ascii="Arial" w:cs="Arial" w:eastAsia="Arial" w:hAnsi="Arial"/>
          <w:sz w:val="19"/>
          <w:szCs w:val="19"/>
          <w:b w:val="1"/>
          <w:bCs w:val="1"/>
          <w:color w:val="auto"/>
        </w:rPr>
        <w:t>We have two facilities in Europe where we sell certain accounts receivables on a recurring basis. Refer to Note 7 - Accounts Receivable, Net in the Consolidated Financial Statements for further information regarding accounts receivable sales.</w:t>
      </w:r>
    </w:p>
    <w:p>
      <w:pPr>
        <w:spacing w:after="0" w:line="2" w:lineRule="exact"/>
        <w:rPr>
          <w:rFonts w:ascii="Arial" w:cs="Arial" w:eastAsia="Arial" w:hAnsi="Arial"/>
          <w:sz w:val="19"/>
          <w:szCs w:val="19"/>
          <w:b w:val="1"/>
          <w:bCs w:val="1"/>
          <w:color w:val="DA2031"/>
        </w:rPr>
      </w:pPr>
    </w:p>
    <w:p>
      <w:pPr>
        <w:jc w:val="both"/>
        <w:ind w:left="349" w:hanging="349"/>
        <w:spacing w:after="0" w:line="278" w:lineRule="auto"/>
        <w:tabs>
          <w:tab w:leader="none" w:pos="349" w:val="left"/>
        </w:tabs>
        <w:numPr>
          <w:ilvl w:val="0"/>
          <w:numId w:val="77"/>
        </w:numPr>
        <w:rPr>
          <w:rFonts w:ascii="Arial" w:cs="Arial" w:eastAsia="Arial" w:hAnsi="Arial"/>
          <w:sz w:val="18"/>
          <w:szCs w:val="18"/>
          <w:b w:val="1"/>
          <w:bCs w:val="1"/>
          <w:color w:val="DA2031"/>
        </w:rPr>
      </w:pPr>
      <w:r>
        <w:rPr>
          <w:rFonts w:ascii="Arial" w:cs="Arial" w:eastAsia="Arial" w:hAnsi="Arial"/>
          <w:sz w:val="18"/>
          <w:szCs w:val="18"/>
          <w:b w:val="1"/>
          <w:bCs w:val="1"/>
          <w:color w:val="auto"/>
        </w:rPr>
        <w:t>Since 2022, the Company has entered into Master Agreements for the sale and assignment of lease receivables with various counterparties that establishes a committed sale and purchase facility pursuant to which the Company agreed to offer for sale certain eligible pools of finance receivables in transactions intended to be true sales. For the three years ended December 31, 2025, 2024, and 2023, the Company sold finance leases under these agreements, and received proceeds of $357 million, $752 million, and $1,102 million, respectively. In some cases we will continue to service a portion of those lease receivables, and we will earn a servicing fee on a portion of those lease receivables serviced. Refer to Note 8 - Finance Receivables, Net in the Consolidated Financial Statements for further information regarding these arrangements.</w:t>
      </w:r>
    </w:p>
    <w:p>
      <w:pPr>
        <w:spacing w:after="0" w:line="61" w:lineRule="exact"/>
        <w:rPr>
          <w:sz w:val="20"/>
          <w:szCs w:val="20"/>
          <w:color w:val="auto"/>
        </w:rPr>
      </w:pPr>
    </w:p>
    <w:p>
      <w:pPr>
        <w:jc w:val="both"/>
        <w:ind w:left="9"/>
        <w:spacing w:after="0" w:line="276" w:lineRule="auto"/>
        <w:rPr>
          <w:sz w:val="20"/>
          <w:szCs w:val="20"/>
          <w:color w:val="auto"/>
        </w:rPr>
      </w:pPr>
      <w:r>
        <w:rPr>
          <w:rFonts w:ascii="Arial" w:cs="Arial" w:eastAsia="Arial" w:hAnsi="Arial"/>
          <w:sz w:val="19"/>
          <w:szCs w:val="19"/>
          <w:b w:val="1"/>
          <w:bCs w:val="1"/>
          <w:color w:val="auto"/>
        </w:rPr>
        <w:t>As of December 31, 2025,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spacing w:after="0" w:line="61" w:lineRule="exact"/>
        <w:rPr>
          <w:sz w:val="20"/>
          <w:szCs w:val="20"/>
          <w:color w:val="auto"/>
        </w:rPr>
      </w:pPr>
    </w:p>
    <w:p>
      <w:pPr>
        <w:jc w:val="both"/>
        <w:ind w:left="9"/>
        <w:spacing w:after="0" w:line="298" w:lineRule="auto"/>
        <w:rPr>
          <w:sz w:val="20"/>
          <w:szCs w:val="20"/>
          <w:color w:val="auto"/>
        </w:rPr>
      </w:pPr>
      <w:r>
        <w:rPr>
          <w:rFonts w:ascii="Arial" w:cs="Arial" w:eastAsia="Arial" w:hAnsi="Arial"/>
          <w:sz w:val="19"/>
          <w:szCs w:val="19"/>
          <w:b w:val="1"/>
          <w:bCs w:val="1"/>
          <w:color w:val="auto"/>
        </w:rPr>
        <w:t>In addition, refer to Note 20 - Contingencies and Litigation in the Consolidated Financial Statements for additional information regarding contingencies, guarantees, indemnifications and warranty liabilities.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1"/>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66</w:t>
      </w:r>
    </w:p>
    <w:p>
      <w:pPr>
        <w:sectPr>
          <w:pgSz w:w="11880" w:h="15480" w:orient="portrait"/>
          <w:cols w:equalWidth="0" w:num="1">
            <w:col w:w="9869"/>
          </w:cols>
          <w:pgMar w:left="1051" w:top="649" w:right="960" w:bottom="0" w:gutter="0" w:footer="0" w:header="0"/>
        </w:sectPr>
      </w:pPr>
    </w:p>
    <w:bookmarkStart w:id="76" w:name="page77"/>
    <w:bookmarkEnd w:id="76"/>
    <w:p>
      <w:pPr>
        <w:spacing w:after="0"/>
        <w:rPr>
          <w:sz w:val="20"/>
          <w:szCs w:val="20"/>
          <w:color w:val="auto"/>
        </w:rPr>
      </w:pPr>
      <w:r>
        <w:rPr>
          <w:rFonts w:ascii="Arial" w:cs="Arial" w:eastAsia="Arial" w:hAnsi="Arial"/>
          <w:sz w:val="23"/>
          <w:szCs w:val="23"/>
          <w:b w:val="1"/>
          <w:bCs w:val="1"/>
          <w:color w:val="DA2031"/>
        </w:rPr>
        <w:t>Non-GAAP Financial Measures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 Accordingly, we believe it is necessary to adjust several reported amounts, determined in accordance with GAAP, to exclude the effects of certain items as well as their related income tax effects.</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Reconciliations of these non-GAAP financial measures to the most directly comparable financial measures calculated and presented in accordance with GAAP are set forth below.</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Adjusted Earnings Measures</w:t>
      </w:r>
    </w:p>
    <w:p>
      <w:pPr>
        <w:spacing w:after="0" w:line="131" w:lineRule="exact"/>
        <w:rPr>
          <w:sz w:val="20"/>
          <w:szCs w:val="20"/>
          <w:color w:val="auto"/>
        </w:rPr>
      </w:pPr>
    </w:p>
    <w:p>
      <w:pPr>
        <w:ind w:left="360" w:hanging="356"/>
        <w:spacing w:after="0"/>
        <w:tabs>
          <w:tab w:leader="none" w:pos="360" w:val="left"/>
        </w:tabs>
        <w:numPr>
          <w:ilvl w:val="0"/>
          <w:numId w:val="78"/>
        </w:numPr>
        <w:rPr>
          <w:rFonts w:ascii="Arial" w:cs="Arial" w:eastAsia="Arial" w:hAnsi="Arial"/>
          <w:sz w:val="19"/>
          <w:szCs w:val="19"/>
          <w:b w:val="1"/>
          <w:bCs w:val="1"/>
          <w:color w:val="DA2031"/>
        </w:rPr>
      </w:pPr>
      <w:r>
        <w:rPr>
          <w:rFonts w:ascii="Arial" w:cs="Arial" w:eastAsia="Arial" w:hAnsi="Arial"/>
          <w:sz w:val="19"/>
          <w:szCs w:val="19"/>
          <w:b w:val="1"/>
          <w:bCs w:val="1"/>
          <w:color w:val="auto"/>
        </w:rPr>
        <w:t>Adjusted Net (Loss) Income and Earnings per share (Adjusted EPS)</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78"/>
        </w:numPr>
        <w:rPr>
          <w:rFonts w:ascii="Arial" w:cs="Arial" w:eastAsia="Arial" w:hAnsi="Arial"/>
          <w:sz w:val="19"/>
          <w:szCs w:val="19"/>
          <w:b w:val="1"/>
          <w:bCs w:val="1"/>
          <w:color w:val="DA2031"/>
        </w:rPr>
      </w:pPr>
      <w:r>
        <w:rPr>
          <w:rFonts w:ascii="Arial" w:cs="Arial" w:eastAsia="Arial" w:hAnsi="Arial"/>
          <w:sz w:val="19"/>
          <w:szCs w:val="19"/>
          <w:b w:val="1"/>
          <w:bCs w:val="1"/>
          <w:color w:val="auto"/>
        </w:rPr>
        <w:t>Adjusted Effective Tax Rate</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above measures were adjusted for the following items: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u w:val="single" w:color="auto"/>
          <w:color w:val="DA2031"/>
        </w:rPr>
        <w:t>Restructuring and related costs, net:</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Restructuring and related costs, net include restructuring and asset impairment</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charges as well as costs 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7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u w:val="single" w:color="auto"/>
          <w:color w:val="DA2031"/>
        </w:rPr>
        <w:t>Amortization of intangible assets: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The amortization of intangible assets is driven by our acquisition activity which can</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vary in size, nature 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u w:val="single" w:color="auto"/>
          <w:color w:val="DA2031"/>
        </w:rPr>
        <w:t>Non-service retirement-related costs: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Our defined benefit pension and retiree health costs include several elements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impacted by 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w:t>
      </w:r>
    </w:p>
    <w:p>
      <w:pPr>
        <w:spacing w:after="0" w:line="3" w:lineRule="exact"/>
        <w:rPr>
          <w:sz w:val="20"/>
          <w:szCs w:val="20"/>
          <w:color w:val="auto"/>
        </w:rPr>
      </w:pPr>
    </w:p>
    <w:p>
      <w:pPr>
        <w:jc w:val="both"/>
        <w:ind w:firstLine="4"/>
        <w:spacing w:after="0" w:line="262" w:lineRule="auto"/>
        <w:tabs>
          <w:tab w:leader="none" w:pos="282"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are related to current employee service as well as the cost of our defined contribution plans.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u w:val="single" w:color="auto"/>
          <w:color w:val="DA2031"/>
        </w:rPr>
        <w:t>Transaction and related costs, net:</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Transaction and related costs, net are costs and expenses primarily associated</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with certain major or significant strategic M&amp;A projects. These costs are primarily for third-party legal, accounting, consulting and other similar types of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w:t>
      </w:r>
    </w:p>
    <w:p>
      <w:pPr>
        <w:spacing w:after="0" w:line="200" w:lineRule="exact"/>
        <w:rPr>
          <w:sz w:val="20"/>
          <w:szCs w:val="20"/>
          <w:color w:val="auto"/>
        </w:rPr>
      </w:pPr>
    </w:p>
    <w:p>
      <w:pPr>
        <w:spacing w:after="0" w:line="377" w:lineRule="exact"/>
        <w:rPr>
          <w:sz w:val="20"/>
          <w:szCs w:val="20"/>
          <w:color w:val="auto"/>
        </w:rPr>
      </w:pPr>
    </w:p>
    <w:p>
      <w:pPr>
        <w:jc w:val="center"/>
        <w:ind w:right="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67</w:t>
      </w:r>
    </w:p>
    <w:p>
      <w:pPr>
        <w:sectPr>
          <w:pgSz w:w="11880" w:h="15480" w:orient="portrait"/>
          <w:cols w:equalWidth="0" w:num="1">
            <w:col w:w="10040"/>
          </w:cols>
          <w:pgMar w:left="960" w:top="681" w:right="880" w:bottom="0" w:gutter="0" w:footer="0" w:header="0"/>
        </w:sectPr>
      </w:pPr>
    </w:p>
    <w:bookmarkStart w:id="77" w:name="page78"/>
    <w:bookmarkEnd w:id="77"/>
    <w:p>
      <w:pPr>
        <w:jc w:val="both"/>
        <w:spacing w:after="0" w:line="298" w:lineRule="auto"/>
        <w:rPr>
          <w:sz w:val="20"/>
          <w:szCs w:val="20"/>
          <w:color w:val="auto"/>
        </w:rPr>
      </w:pPr>
      <w:r>
        <w:rPr>
          <w:rFonts w:ascii="Arial" w:cs="Arial" w:eastAsia="Arial" w:hAnsi="Arial"/>
          <w:sz w:val="19"/>
          <w:szCs w:val="19"/>
          <w:b w:val="1"/>
          <w:bCs w:val="1"/>
          <w:color w:val="auto"/>
        </w:rPr>
        <w:t>exclude these expenses from our Adjusted Earnings Measures in order to evaluate our performance on a comparable basis.</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DA2031"/>
        </w:rPr>
        <w:t>Discrete, unusual or infrequent items: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We excluded the following items, when applicable, given their discrete,</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unusual or infrequent nature and their impact on the comparability of our results for the period to prior periods and future expected trends:</w:t>
      </w:r>
    </w:p>
    <w:p>
      <w:pPr>
        <w:spacing w:after="0" w:line="61" w:lineRule="exact"/>
        <w:rPr>
          <w:sz w:val="20"/>
          <w:szCs w:val="20"/>
          <w:color w:val="auto"/>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Inventory-related impact - exit of certain production print manufacturing operations</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Goodwill impairment</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Divestitures</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PARC donation</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Reinvention-related costs</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Loss (gain) on early extinguishment of debt</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Tax Indemnification - Conduent</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Commitment fee expenses</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80"/>
        </w:numPr>
        <w:rPr>
          <w:rFonts w:ascii="Arial" w:cs="Arial" w:eastAsia="Arial" w:hAnsi="Arial"/>
          <w:sz w:val="19"/>
          <w:szCs w:val="19"/>
          <w:b w:val="1"/>
          <w:bCs w:val="1"/>
          <w:color w:val="EE2724"/>
        </w:rPr>
      </w:pPr>
      <w:r>
        <w:rPr>
          <w:rFonts w:ascii="Arial" w:cs="Arial" w:eastAsia="Arial" w:hAnsi="Arial"/>
          <w:sz w:val="19"/>
          <w:szCs w:val="19"/>
          <w:b w:val="1"/>
          <w:bCs w:val="1"/>
          <w:color w:val="auto"/>
        </w:rPr>
        <w:t>Lexmark - pre-existing employment agreements settled post-acquisition</w:t>
      </w:r>
    </w:p>
    <w:p>
      <w:pPr>
        <w:spacing w:after="0" w:line="14" w:lineRule="exact"/>
        <w:rPr>
          <w:rFonts w:ascii="Arial" w:cs="Arial" w:eastAsia="Arial" w:hAnsi="Arial"/>
          <w:sz w:val="19"/>
          <w:szCs w:val="19"/>
          <w:b w:val="1"/>
          <w:bCs w:val="1"/>
          <w:color w:val="EE2724"/>
        </w:rPr>
      </w:pPr>
    </w:p>
    <w:p>
      <w:pPr>
        <w:ind w:left="340" w:hanging="336"/>
        <w:spacing w:after="0"/>
        <w:tabs>
          <w:tab w:leader="none" w:pos="340" w:val="left"/>
        </w:tabs>
        <w:numPr>
          <w:ilvl w:val="0"/>
          <w:numId w:val="80"/>
        </w:numPr>
        <w:rPr>
          <w:rFonts w:ascii="Arial" w:cs="Arial" w:eastAsia="Arial" w:hAnsi="Arial"/>
          <w:sz w:val="19"/>
          <w:szCs w:val="19"/>
          <w:b w:val="1"/>
          <w:bCs w:val="1"/>
          <w:color w:val="EE2724"/>
        </w:rPr>
      </w:pPr>
      <w:r>
        <w:rPr>
          <w:rFonts w:ascii="Arial" w:cs="Arial" w:eastAsia="Arial" w:hAnsi="Arial"/>
          <w:sz w:val="19"/>
          <w:szCs w:val="19"/>
          <w:b w:val="1"/>
          <w:bCs w:val="1"/>
          <w:color w:val="auto"/>
        </w:rPr>
        <w:t>Lexmark - inventory-related purchase accounting adjustment</w:t>
      </w:r>
    </w:p>
    <w:p>
      <w:pPr>
        <w:spacing w:after="0" w:line="14" w:lineRule="exact"/>
        <w:rPr>
          <w:rFonts w:ascii="Arial" w:cs="Arial" w:eastAsia="Arial" w:hAnsi="Arial"/>
          <w:sz w:val="19"/>
          <w:szCs w:val="19"/>
          <w:b w:val="1"/>
          <w:bCs w:val="1"/>
          <w:color w:val="EE2724"/>
        </w:rPr>
      </w:pPr>
    </w:p>
    <w:p>
      <w:pPr>
        <w:ind w:left="340" w:hanging="336"/>
        <w:spacing w:after="0"/>
        <w:tabs>
          <w:tab w:leader="none" w:pos="340" w:val="left"/>
        </w:tabs>
        <w:numPr>
          <w:ilvl w:val="0"/>
          <w:numId w:val="80"/>
        </w:numPr>
        <w:rPr>
          <w:rFonts w:ascii="Arial" w:cs="Arial" w:eastAsia="Arial" w:hAnsi="Arial"/>
          <w:sz w:val="19"/>
          <w:szCs w:val="19"/>
          <w:b w:val="1"/>
          <w:bCs w:val="1"/>
          <w:color w:val="EE2724"/>
        </w:rPr>
      </w:pPr>
      <w:r>
        <w:rPr>
          <w:rFonts w:ascii="Arial" w:cs="Arial" w:eastAsia="Arial" w:hAnsi="Arial"/>
          <w:sz w:val="19"/>
          <w:szCs w:val="19"/>
          <w:b w:val="1"/>
          <w:bCs w:val="1"/>
          <w:color w:val="auto"/>
        </w:rPr>
        <w:t>Lexmark - fixed asset-related purchase accounting adjustment</w:t>
      </w:r>
    </w:p>
    <w:p>
      <w:pPr>
        <w:spacing w:after="0" w:line="14" w:lineRule="exact"/>
        <w:rPr>
          <w:rFonts w:ascii="Arial" w:cs="Arial" w:eastAsia="Arial" w:hAnsi="Arial"/>
          <w:sz w:val="19"/>
          <w:szCs w:val="19"/>
          <w:b w:val="1"/>
          <w:bCs w:val="1"/>
          <w:color w:val="EE2724"/>
        </w:rPr>
      </w:pPr>
    </w:p>
    <w:p>
      <w:pPr>
        <w:ind w:left="340" w:hanging="336"/>
        <w:spacing w:after="0"/>
        <w:tabs>
          <w:tab w:leader="none" w:pos="340" w:val="left"/>
        </w:tabs>
        <w:numPr>
          <w:ilvl w:val="0"/>
          <w:numId w:val="80"/>
        </w:numPr>
        <w:rPr>
          <w:rFonts w:ascii="Arial" w:cs="Arial" w:eastAsia="Arial" w:hAnsi="Arial"/>
          <w:sz w:val="19"/>
          <w:szCs w:val="19"/>
          <w:b w:val="1"/>
          <w:bCs w:val="1"/>
          <w:color w:val="EE2724"/>
        </w:rPr>
      </w:pPr>
      <w:r>
        <w:rPr>
          <w:rFonts w:ascii="Arial" w:cs="Arial" w:eastAsia="Arial" w:hAnsi="Arial"/>
          <w:sz w:val="19"/>
          <w:szCs w:val="19"/>
          <w:b w:val="1"/>
          <w:bCs w:val="1"/>
          <w:color w:val="auto"/>
        </w:rPr>
        <w:t>Lexmark acquisition financing - escrow interest, net</w:t>
      </w:r>
    </w:p>
    <w:p>
      <w:pPr>
        <w:spacing w:after="0" w:line="14" w:lineRule="exact"/>
        <w:rPr>
          <w:rFonts w:ascii="Arial" w:cs="Arial" w:eastAsia="Arial" w:hAnsi="Arial"/>
          <w:sz w:val="19"/>
          <w:szCs w:val="19"/>
          <w:b w:val="1"/>
          <w:bCs w:val="1"/>
          <w:color w:val="EE2724"/>
        </w:rPr>
      </w:pPr>
    </w:p>
    <w:p>
      <w:pPr>
        <w:ind w:left="340" w:hanging="336"/>
        <w:spacing w:after="0"/>
        <w:tabs>
          <w:tab w:leader="none" w:pos="340" w:val="left"/>
        </w:tabs>
        <w:numPr>
          <w:ilvl w:val="0"/>
          <w:numId w:val="80"/>
        </w:numPr>
        <w:rPr>
          <w:rFonts w:ascii="Arial" w:cs="Arial" w:eastAsia="Arial" w:hAnsi="Arial"/>
          <w:sz w:val="19"/>
          <w:szCs w:val="19"/>
          <w:b w:val="1"/>
          <w:bCs w:val="1"/>
          <w:color w:val="EE2724"/>
        </w:rPr>
      </w:pPr>
      <w:r>
        <w:rPr>
          <w:rFonts w:ascii="Arial" w:cs="Arial" w:eastAsia="Arial" w:hAnsi="Arial"/>
          <w:sz w:val="19"/>
          <w:szCs w:val="19"/>
          <w:b w:val="1"/>
          <w:bCs w:val="1"/>
          <w:color w:val="auto"/>
        </w:rPr>
        <w:t>Goodwill impairment income tax</w:t>
      </w:r>
    </w:p>
    <w:p>
      <w:pPr>
        <w:spacing w:after="0" w:line="14" w:lineRule="exact"/>
        <w:rPr>
          <w:rFonts w:ascii="Arial" w:cs="Arial" w:eastAsia="Arial" w:hAnsi="Arial"/>
          <w:sz w:val="19"/>
          <w:szCs w:val="19"/>
          <w:b w:val="1"/>
          <w:bCs w:val="1"/>
          <w:color w:val="EE2724"/>
        </w:rPr>
      </w:pPr>
    </w:p>
    <w:p>
      <w:pPr>
        <w:ind w:left="340" w:hanging="336"/>
        <w:spacing w:after="0"/>
        <w:tabs>
          <w:tab w:leader="none" w:pos="340" w:val="left"/>
        </w:tabs>
        <w:numPr>
          <w:ilvl w:val="0"/>
          <w:numId w:val="80"/>
        </w:numPr>
        <w:rPr>
          <w:rFonts w:ascii="Arial" w:cs="Arial" w:eastAsia="Arial" w:hAnsi="Arial"/>
          <w:sz w:val="19"/>
          <w:szCs w:val="19"/>
          <w:b w:val="1"/>
          <w:bCs w:val="1"/>
          <w:color w:val="EE2724"/>
        </w:rPr>
      </w:pPr>
      <w:r>
        <w:rPr>
          <w:rFonts w:ascii="Arial" w:cs="Arial" w:eastAsia="Arial" w:hAnsi="Arial"/>
          <w:sz w:val="19"/>
          <w:szCs w:val="19"/>
          <w:b w:val="1"/>
          <w:bCs w:val="1"/>
          <w:color w:val="auto"/>
        </w:rPr>
        <w:t>Income tax on PARC Donation</w:t>
      </w:r>
    </w:p>
    <w:p>
      <w:pPr>
        <w:spacing w:after="0" w:line="14" w:lineRule="exact"/>
        <w:rPr>
          <w:rFonts w:ascii="Arial" w:cs="Arial" w:eastAsia="Arial" w:hAnsi="Arial"/>
          <w:sz w:val="19"/>
          <w:szCs w:val="19"/>
          <w:b w:val="1"/>
          <w:bCs w:val="1"/>
          <w:color w:val="EE2724"/>
        </w:rPr>
      </w:pPr>
    </w:p>
    <w:p>
      <w:pPr>
        <w:ind w:left="360" w:hanging="356"/>
        <w:spacing w:after="0"/>
        <w:tabs>
          <w:tab w:leader="none" w:pos="360" w:val="left"/>
        </w:tabs>
        <w:numPr>
          <w:ilvl w:val="0"/>
          <w:numId w:val="80"/>
        </w:numPr>
        <w:rPr>
          <w:rFonts w:ascii="Arial" w:cs="Arial" w:eastAsia="Arial" w:hAnsi="Arial"/>
          <w:sz w:val="19"/>
          <w:szCs w:val="19"/>
          <w:b w:val="1"/>
          <w:bCs w:val="1"/>
          <w:color w:val="DA2031"/>
        </w:rPr>
      </w:pPr>
      <w:r>
        <w:rPr>
          <w:rFonts w:ascii="Arial" w:cs="Arial" w:eastAsia="Arial" w:hAnsi="Arial"/>
          <w:sz w:val="19"/>
          <w:szCs w:val="19"/>
          <w:b w:val="1"/>
          <w:bCs w:val="1"/>
          <w:color w:val="auto"/>
        </w:rPr>
        <w:t>Deferred tax asset valuation allowance</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Adjusted Operating Income and Margin</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 calculate and utilize adjusted operating income and margin measures by adjusting our reported pre-tax (loss) income and margin amounts. In addition to the costs and expenses noted above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Constant Currency (CC)</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9"/>
          <w:szCs w:val="19"/>
          <w:b w:val="1"/>
          <w:bCs w:val="1"/>
          <w:color w:val="auto"/>
        </w:rPr>
        <w:t xml:space="preserve">Refer to the </w:t>
      </w:r>
      <w:r>
        <w:rPr>
          <w:rFonts w:ascii="Arial" w:cs="Arial" w:eastAsia="Arial" w:hAnsi="Arial"/>
          <w:sz w:val="19"/>
          <w:szCs w:val="19"/>
          <w:b w:val="1"/>
          <w:bCs w:val="1"/>
          <w:color w:val="DA2031"/>
        </w:rPr>
        <w:t>Currency Impact</w:t>
      </w:r>
      <w:r>
        <w:rPr>
          <w:rFonts w:ascii="Arial" w:cs="Arial" w:eastAsia="Arial" w:hAnsi="Arial"/>
          <w:sz w:val="19"/>
          <w:szCs w:val="19"/>
          <w:b w:val="1"/>
          <w:bCs w:val="1"/>
          <w:color w:val="auto"/>
        </w:rPr>
        <w:t xml:space="preserve"> section in the MD&amp;A for a discussion of this measure and its use in our analysis of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68</w:t>
      </w:r>
    </w:p>
    <w:p>
      <w:pPr>
        <w:sectPr>
          <w:pgSz w:w="11880" w:h="15480" w:orient="portrait"/>
          <w:cols w:equalWidth="0" w:num="1">
            <w:col w:w="10040"/>
          </w:cols>
          <w:pgMar w:left="960" w:top="693" w:right="880" w:bottom="0" w:gutter="0" w:footer="0" w:header="0"/>
        </w:sectPr>
      </w:pPr>
    </w:p>
    <w:bookmarkStart w:id="78" w:name="page79"/>
    <w:bookmarkEnd w:id="78"/>
    <w:p>
      <w:pPr>
        <w:spacing w:after="0"/>
        <w:rPr>
          <w:sz w:val="20"/>
          <w:szCs w:val="20"/>
          <w:color w:val="auto"/>
        </w:rPr>
      </w:pPr>
      <w:r>
        <w:rPr>
          <w:rFonts w:ascii="Arial" w:cs="Arial" w:eastAsia="Arial" w:hAnsi="Arial"/>
          <w:sz w:val="19"/>
          <w:szCs w:val="19"/>
          <w:b w:val="1"/>
          <w:bCs w:val="1"/>
          <w:color w:val="DA2031"/>
        </w:rPr>
        <w:t>Adjusted Net (Loss) Income and EPS Reconciliation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5"/>
              </w:rPr>
              <w:t>Year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Net (Loss)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EPS</w:t>
            </w:r>
          </w:p>
        </w:tc>
        <w:tc>
          <w:tcPr>
            <w:tcW w:w="60" w:type="dxa"/>
            <w:vAlign w:val="bottom"/>
          </w:tcPr>
          <w:p>
            <w:pPr>
              <w:spacing w:after="0"/>
              <w:rPr>
                <w:sz w:val="14"/>
                <w:szCs w:val="14"/>
                <w:color w:val="auto"/>
              </w:rPr>
            </w:pPr>
          </w:p>
        </w:tc>
        <w:tc>
          <w:tcPr>
            <w:tcW w:w="960" w:type="dxa"/>
            <w:vAlign w:val="bottom"/>
            <w:gridSpan w:val="2"/>
          </w:tcPr>
          <w:p>
            <w:pPr>
              <w:jc w:val="right"/>
              <w:ind w:right="62"/>
              <w:spacing w:after="0" w:line="166" w:lineRule="exact"/>
              <w:rPr>
                <w:sz w:val="20"/>
                <w:szCs w:val="20"/>
                <w:color w:val="auto"/>
              </w:rPr>
            </w:pPr>
            <w:r>
              <w:rPr>
                <w:rFonts w:ascii="Arial" w:cs="Arial" w:eastAsia="Arial" w:hAnsi="Arial"/>
                <w:sz w:val="16"/>
                <w:szCs w:val="16"/>
                <w:b w:val="1"/>
                <w:bCs w:val="1"/>
                <w:color w:val="auto"/>
              </w:rPr>
              <w:t>Net (Loss)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EPS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02"/>
              <w:spacing w:after="0" w:line="166" w:lineRule="exact"/>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Arial" w:cs="Arial" w:eastAsia="Arial" w:hAnsi="Arial"/>
                <w:sz w:val="12"/>
                <w:szCs w:val="12"/>
                <w:b w:val="1"/>
                <w:bCs w:val="1"/>
                <w:color w:val="auto"/>
              </w:rPr>
              <w:t>(in millions, except per share amounts)</w:t>
            </w: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42"/>
              <w:spacing w:after="0" w:line="173" w:lineRule="exact"/>
              <w:rPr>
                <w:sz w:val="20"/>
                <w:szCs w:val="20"/>
                <w:color w:val="auto"/>
              </w:rPr>
            </w:pPr>
            <w:r>
              <w:rPr>
                <w:rFonts w:ascii="Arial" w:cs="Arial" w:eastAsia="Arial" w:hAnsi="Arial"/>
                <w:sz w:val="16"/>
                <w:szCs w:val="16"/>
                <w:b w:val="1"/>
                <w:bCs w:val="1"/>
                <w:color w:val="auto"/>
                <w:w w:val="96"/>
              </w:rPr>
              <w:t>Income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42"/>
              <w:spacing w:after="0" w:line="173" w:lineRule="exact"/>
              <w:rPr>
                <w:sz w:val="20"/>
                <w:szCs w:val="20"/>
                <w:color w:val="auto"/>
              </w:rPr>
            </w:pPr>
            <w:r>
              <w:rPr>
                <w:rFonts w:ascii="Arial" w:cs="Arial" w:eastAsia="Arial" w:hAnsi="Arial"/>
                <w:sz w:val="16"/>
                <w:szCs w:val="16"/>
                <w:b w:val="1"/>
                <w:bCs w:val="1"/>
                <w:color w:val="auto"/>
                <w:w w:val="96"/>
              </w:rPr>
              <w:t>Income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1980" w:type="dxa"/>
            <w:vAlign w:val="bottom"/>
            <w:tcBorders>
              <w:top w:val="single" w:sz="8" w:color="auto"/>
              <w:bottom w:val="single" w:sz="8" w:color="E5E5E5"/>
            </w:tcBorders>
          </w:tcPr>
          <w:p>
            <w:pPr>
              <w:spacing w:after="0" w:line="20" w:lineRule="exact"/>
              <w:rPr>
                <w:sz w:val="1"/>
                <w:szCs w:val="1"/>
                <w:color w:val="auto"/>
              </w:rPr>
            </w:pPr>
          </w:p>
        </w:tc>
        <w:tc>
          <w:tcPr>
            <w:tcW w:w="19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0"/>
                <w:szCs w:val="10"/>
                <w:b w:val="1"/>
                <w:bCs w:val="1"/>
                <w:color w:val="auto"/>
              </w:rPr>
              <w:t>(1)</w:t>
            </w:r>
          </w:p>
        </w:tc>
        <w:tc>
          <w:tcPr>
            <w:tcW w:w="28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(8.25)</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(10.75)</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(0.09)</w:t>
            </w:r>
          </w:p>
        </w:tc>
        <w:tc>
          <w:tcPr>
            <w:tcW w:w="0" w:type="dxa"/>
            <w:vAlign w:val="bottom"/>
          </w:tcPr>
          <w:p>
            <w:pPr>
              <w:spacing w:after="0"/>
              <w:rPr>
                <w:sz w:val="1"/>
                <w:szCs w:val="1"/>
                <w:color w:val="auto"/>
              </w:rPr>
            </w:pPr>
          </w:p>
        </w:tc>
      </w:tr>
      <w:tr>
        <w:trPr>
          <w:trHeight w:val="231"/>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Adjustments: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8"/>
              </w:rPr>
              <w:t>Inventory-related impact - exit of certain production</w:t>
            </w:r>
          </w:p>
        </w:tc>
        <w:tc>
          <w:tcPr>
            <w:tcW w:w="280" w:type="dxa"/>
            <w:vAlign w:val="bottom"/>
            <w:shd w:val="clear" w:color="auto" w:fill="E5E5E5"/>
          </w:tcPr>
          <w:p>
            <w:pPr>
              <w:spacing w:after="0"/>
              <w:rPr>
                <w:sz w:val="16"/>
                <w:szCs w:val="16"/>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print manufacturing operations</w:t>
            </w:r>
            <w:r>
              <w:rPr>
                <w:rFonts w:ascii="Arial" w:cs="Arial" w:eastAsia="Arial" w:hAnsi="Arial"/>
                <w:sz w:val="10"/>
                <w:szCs w:val="10"/>
                <w:b w:val="1"/>
                <w:bCs w:val="1"/>
                <w:color w:val="auto"/>
              </w:rPr>
              <w:t>(2)</w:t>
            </w:r>
          </w:p>
        </w:tc>
        <w:tc>
          <w:tcPr>
            <w:tcW w:w="28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8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8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Goodwill impairment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1,058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Restructuring and related costs, net</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112</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167</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Divestitures</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47</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PARC donation</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Non-service retirement-related costs</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80</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Reinvention-related costs</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Transaction and related costs, net</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(gain) on early extinguishment of debt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Tax indemnification - Conduent</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Commitment fee expenses</w:t>
            </w:r>
            <w:r>
              <w:rPr>
                <w:rFonts w:ascii="Arial" w:cs="Arial" w:eastAsia="Arial" w:hAnsi="Arial"/>
                <w:sz w:val="10"/>
                <w:szCs w:val="10"/>
                <w:b w:val="1"/>
                <w:bCs w:val="1"/>
                <w:color w:val="auto"/>
              </w:rPr>
              <w:t>(3)</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940" w:type="dxa"/>
            <w:vAlign w:val="bottom"/>
            <w:gridSpan w:val="3"/>
            <w:shd w:val="clear" w:color="auto" w:fill="E5E5E5"/>
          </w:tcPr>
          <w:p>
            <w:pPr>
              <w:ind w:left="60"/>
              <w:spacing w:after="0" w:line="182" w:lineRule="exact"/>
              <w:rPr>
                <w:sz w:val="20"/>
                <w:szCs w:val="20"/>
                <w:color w:val="auto"/>
              </w:rPr>
            </w:pPr>
            <w:r>
              <w:rPr>
                <w:rFonts w:ascii="Arial" w:cs="Arial" w:eastAsia="Arial" w:hAnsi="Arial"/>
                <w:sz w:val="16"/>
                <w:szCs w:val="16"/>
                <w:b w:val="1"/>
                <w:bCs w:val="1"/>
                <w:color w:val="auto"/>
              </w:rPr>
              <w:t>Lexmark - pre-existing employment agreements</w:t>
            </w:r>
          </w:p>
        </w:tc>
        <w:tc>
          <w:tcPr>
            <w:tcW w:w="280" w:type="dxa"/>
            <w:vAlign w:val="bottom"/>
            <w:shd w:val="clear" w:color="auto" w:fill="E5E5E5"/>
          </w:tcPr>
          <w:p>
            <w:pPr>
              <w:spacing w:after="0"/>
              <w:rPr>
                <w:sz w:val="15"/>
                <w:szCs w:val="15"/>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settled post-acquisition</w:t>
            </w:r>
          </w:p>
        </w:tc>
        <w:tc>
          <w:tcPr>
            <w:tcW w:w="28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8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8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4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Lexmark - inventory-related purchase accounting</w:t>
            </w:r>
          </w:p>
        </w:tc>
        <w:tc>
          <w:tcPr>
            <w:tcW w:w="2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adjustment</w:t>
            </w:r>
            <w:r>
              <w:rPr>
                <w:rFonts w:ascii="Arial" w:cs="Arial" w:eastAsia="Arial" w:hAnsi="Arial"/>
                <w:sz w:val="10"/>
                <w:szCs w:val="10"/>
                <w:b w:val="1"/>
                <w:bCs w:val="1"/>
                <w:color w:val="auto"/>
              </w:rPr>
              <w:t>(4)</w:t>
            </w:r>
          </w:p>
        </w:tc>
        <w:tc>
          <w:tcPr>
            <w:tcW w:w="2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940" w:type="dxa"/>
            <w:vAlign w:val="bottom"/>
            <w:gridSpan w:val="3"/>
            <w:shd w:val="clear" w:color="auto" w:fill="E5E5E5"/>
          </w:tcPr>
          <w:p>
            <w:pPr>
              <w:ind w:left="60"/>
              <w:spacing w:after="0" w:line="179" w:lineRule="exact"/>
              <w:rPr>
                <w:sz w:val="20"/>
                <w:szCs w:val="20"/>
                <w:color w:val="auto"/>
              </w:rPr>
            </w:pPr>
            <w:r>
              <w:rPr>
                <w:rFonts w:ascii="Arial" w:cs="Arial" w:eastAsia="Arial" w:hAnsi="Arial"/>
                <w:sz w:val="16"/>
                <w:szCs w:val="16"/>
                <w:b w:val="1"/>
                <w:bCs w:val="1"/>
                <w:color w:val="auto"/>
              </w:rPr>
              <w:t>Lexmark - fixed asset-related purchase accounting</w:t>
            </w:r>
          </w:p>
        </w:tc>
        <w:tc>
          <w:tcPr>
            <w:tcW w:w="280" w:type="dxa"/>
            <w:vAlign w:val="bottom"/>
            <w:shd w:val="clear" w:color="auto" w:fill="E5E5E5"/>
          </w:tcPr>
          <w:p>
            <w:pPr>
              <w:spacing w:after="0"/>
              <w:rPr>
                <w:sz w:val="15"/>
                <w:szCs w:val="15"/>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adjustment</w:t>
            </w:r>
          </w:p>
        </w:tc>
        <w:tc>
          <w:tcPr>
            <w:tcW w:w="28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8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8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Lexmark Acquisition financing - escrow interest, net</w:t>
            </w:r>
            <w:r>
              <w:rPr>
                <w:rFonts w:ascii="Arial" w:cs="Arial" w:eastAsia="Arial" w:hAnsi="Arial"/>
                <w:sz w:val="10"/>
                <w:szCs w:val="10"/>
                <w:b w:val="1"/>
                <w:bCs w:val="1"/>
                <w:color w:val="auto"/>
                <w:w w:val="94"/>
              </w:rPr>
              <w:t>(5)</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Income tax on Goodwill impairment</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(43)</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Income tax on PARC donation</w:t>
            </w:r>
            <w:r>
              <w:rPr>
                <w:rFonts w:ascii="Arial" w:cs="Arial" w:eastAsia="Arial" w:hAnsi="Arial"/>
                <w:sz w:val="10"/>
                <w:szCs w:val="10"/>
                <w:b w:val="1"/>
                <w:bCs w:val="1"/>
                <w:color w:val="auto"/>
              </w:rPr>
              <w:t>(6)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Deferred tax asset valuation allowance</w:t>
            </w:r>
            <w:r>
              <w:rPr>
                <w:rFonts w:ascii="Arial" w:cs="Arial" w:eastAsia="Arial" w:hAnsi="Arial"/>
                <w:sz w:val="10"/>
                <w:szCs w:val="10"/>
                <w:b w:val="1"/>
                <w:bCs w:val="1"/>
                <w:color w:val="auto"/>
              </w:rPr>
              <w:t>(7)</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517</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169</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4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Income tax on adjustments</w:t>
            </w:r>
            <w:r>
              <w:rPr>
                <w:rFonts w:ascii="Arial" w:cs="Arial" w:eastAsia="Arial" w:hAnsi="Arial"/>
                <w:sz w:val="10"/>
                <w:szCs w:val="10"/>
                <w:b w:val="1"/>
                <w:bCs w:val="1"/>
                <w:color w:val="auto"/>
              </w:rPr>
              <w:t>(8)</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E5E5E5"/>
            </w:tcBorders>
          </w:tcPr>
          <w:p>
            <w:pPr>
              <w:spacing w:after="0"/>
              <w:rPr>
                <w:sz w:val="19"/>
                <w:szCs w:val="19"/>
                <w:color w:val="auto"/>
              </w:rPr>
            </w:pPr>
          </w:p>
        </w:tc>
        <w:tc>
          <w:tcPr>
            <w:tcW w:w="72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E5E5E5"/>
            </w:tcBorders>
          </w:tcPr>
          <w:p>
            <w:pPr>
              <w:spacing w:after="0"/>
              <w:rPr>
                <w:sz w:val="19"/>
                <w:szCs w:val="19"/>
                <w:color w:val="auto"/>
              </w:rPr>
            </w:pPr>
          </w:p>
        </w:tc>
        <w:tc>
          <w:tcPr>
            <w:tcW w:w="72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E5E5E5"/>
            </w:tcBorders>
          </w:tcPr>
          <w:p>
            <w:pPr>
              <w:spacing w:after="0"/>
              <w:rPr>
                <w:sz w:val="19"/>
                <w:szCs w:val="19"/>
                <w:color w:val="auto"/>
              </w:rPr>
            </w:pPr>
          </w:p>
        </w:tc>
        <w:tc>
          <w:tcPr>
            <w:tcW w:w="720" w:type="dxa"/>
            <w:vAlign w:val="bottom"/>
            <w:tcBorders>
              <w:bottom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Adjusted</w:t>
            </w:r>
          </w:p>
        </w:tc>
        <w:tc>
          <w:tcPr>
            <w:tcW w:w="28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(62)</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(0.60)</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135</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0.97</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287</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1.82</w:t>
            </w:r>
          </w:p>
        </w:tc>
        <w:tc>
          <w:tcPr>
            <w:tcW w:w="0" w:type="dxa"/>
            <w:vAlign w:val="bottom"/>
          </w:tcPr>
          <w:p>
            <w:pPr>
              <w:spacing w:after="0"/>
              <w:rPr>
                <w:sz w:val="1"/>
                <w:szCs w:val="1"/>
                <w:color w:val="auto"/>
              </w:rPr>
            </w:pPr>
          </w:p>
        </w:tc>
      </w:tr>
      <w:tr>
        <w:trPr>
          <w:trHeight w:val="118"/>
        </w:trPr>
        <w:tc>
          <w:tcPr>
            <w:tcW w:w="3940" w:type="dxa"/>
            <w:vAlign w:val="bottom"/>
            <w:tcBorders>
              <w:top w:val="single" w:sz="8" w:color="E5E5E5"/>
            </w:tcBorders>
            <w:gridSpan w:val="3"/>
          </w:tcPr>
          <w:p>
            <w:pPr>
              <w:ind w:left="60"/>
              <w:spacing w:after="0" w:line="118" w:lineRule="exact"/>
              <w:rPr>
                <w:sz w:val="20"/>
                <w:szCs w:val="20"/>
                <w:color w:val="auto"/>
              </w:rPr>
            </w:pPr>
            <w:r>
              <w:rPr>
                <w:rFonts w:ascii="Arial" w:cs="Arial" w:eastAsia="Arial" w:hAnsi="Arial"/>
                <w:sz w:val="13"/>
                <w:szCs w:val="13"/>
                <w:b w:val="1"/>
                <w:bCs w:val="1"/>
                <w:color w:val="auto"/>
              </w:rPr>
              <w:t>Dividends on preferred stock used in adjusted EPS</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E5E5E5"/>
            </w:tcBorders>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E5E5E5"/>
            </w:tcBorders>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Borders>
              <w:top w:val="single" w:sz="8" w:color="E5E5E5"/>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E5E5E5"/>
            </w:tcBorders>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E5E5E5"/>
            </w:tcBorders>
            <w:vMerge w:val="restart"/>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Borders>
              <w:top w:val="single" w:sz="8" w:color="E5E5E5"/>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E5E5E5"/>
            </w:tcBorders>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E5E5E5"/>
            </w:tcBorders>
            <w:vMerge w:val="restart"/>
          </w:tcPr>
          <w:p>
            <w:pPr>
              <w:jc w:val="right"/>
              <w:ind w:right="2"/>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11"/>
        </w:trPr>
        <w:tc>
          <w:tcPr>
            <w:tcW w:w="3940" w:type="dxa"/>
            <w:vAlign w:val="bottom"/>
            <w:gridSpan w:val="3"/>
          </w:tcPr>
          <w:p>
            <w:pPr>
              <w:ind w:left="60"/>
              <w:spacing w:after="0"/>
              <w:rPr>
                <w:sz w:val="20"/>
                <w:szCs w:val="20"/>
                <w:color w:val="auto"/>
              </w:rPr>
            </w:pPr>
            <w:r>
              <w:rPr>
                <w:rFonts w:ascii="Arial" w:cs="Arial" w:eastAsia="Arial" w:hAnsi="Arial"/>
                <w:sz w:val="16"/>
                <w:szCs w:val="16"/>
                <w:b w:val="1"/>
                <w:bCs w:val="1"/>
                <w:color w:val="auto"/>
              </w:rPr>
              <w:t>calculation</w:t>
            </w:r>
            <w:r>
              <w:rPr>
                <w:rFonts w:ascii="Arial" w:cs="Arial" w:eastAsia="Arial" w:hAnsi="Arial"/>
                <w:sz w:val="10"/>
                <w:szCs w:val="10"/>
                <w:b w:val="1"/>
                <w:bCs w:val="1"/>
                <w:color w:val="auto"/>
              </w:rPr>
              <w:t>(9)</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388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Weighted average shares for adjusted EPS</w:t>
            </w:r>
            <w:r>
              <w:rPr>
                <w:rFonts w:ascii="Arial" w:cs="Arial" w:eastAsia="Arial" w:hAnsi="Arial"/>
                <w:sz w:val="10"/>
                <w:szCs w:val="10"/>
                <w:b w:val="1"/>
                <w:bCs w:val="1"/>
                <w:color w:val="auto"/>
              </w:rPr>
              <w:t>(9)</w:t>
            </w:r>
          </w:p>
        </w:tc>
        <w:tc>
          <w:tcPr>
            <w:tcW w:w="280" w:type="dxa"/>
            <w:vAlign w:val="bottom"/>
            <w:shd w:val="clear" w:color="auto" w:fill="E5E5E5"/>
          </w:tcPr>
          <w:p>
            <w:pPr>
              <w:spacing w:after="0"/>
              <w:rPr>
                <w:sz w:val="20"/>
                <w:szCs w:val="20"/>
                <w:color w:val="auto"/>
              </w:rPr>
            </w:pPr>
          </w:p>
        </w:tc>
        <w:tc>
          <w:tcPr>
            <w:tcW w:w="66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126</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Estimated fully diluted shares at December 31,</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40" w:type="dxa"/>
            <w:vAlign w:val="bottom"/>
            <w:gridSpan w:val="2"/>
          </w:tcPr>
          <w:p>
            <w:pPr>
              <w:ind w:left="60"/>
              <w:spacing w:after="0" w:line="262" w:lineRule="exact"/>
              <w:rPr>
                <w:sz w:val="20"/>
                <w:szCs w:val="20"/>
                <w:color w:val="auto"/>
              </w:rPr>
            </w:pPr>
            <w:r>
              <w:rPr>
                <w:rFonts w:ascii="Arial" w:cs="Arial" w:eastAsia="Arial" w:hAnsi="Arial"/>
                <w:sz w:val="30"/>
                <w:szCs w:val="30"/>
                <w:b w:val="1"/>
                <w:bCs w:val="1"/>
                <w:color w:val="auto"/>
                <w:vertAlign w:val="subscript"/>
              </w:rPr>
              <w:t>2025</w:t>
            </w:r>
            <w:r>
              <w:rPr>
                <w:rFonts w:ascii="Arial" w:cs="Arial" w:eastAsia="Arial" w:hAnsi="Arial"/>
                <w:sz w:val="10"/>
                <w:szCs w:val="10"/>
                <w:b w:val="1"/>
                <w:bCs w:val="1"/>
                <w:color w:val="auto"/>
              </w:rPr>
              <w:t>(10)</w:t>
            </w: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-703580</wp:posOffset>
            </wp:positionV>
            <wp:extent cx="651510" cy="75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-703580</wp:posOffset>
            </wp:positionV>
            <wp:extent cx="651510" cy="75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-703580</wp:posOffset>
            </wp:positionV>
            <wp:extent cx="651510" cy="75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65151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jc w:val="both"/>
        <w:ind w:left="360" w:hanging="356"/>
        <w:spacing w:after="0" w:line="281" w:lineRule="auto"/>
        <w:tabs>
          <w:tab w:leader="none" w:pos="360" w:val="left"/>
        </w:tabs>
        <w:numPr>
          <w:ilvl w:val="0"/>
          <w:numId w:val="8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Full-year 2025 Net (Loss) and Diluted (Loss) per Share include the following: Q1-25 charge to tax expense related to the establishment of $59 million of valuation allowances, or $0.47 per diluted share, and $18 million of after-tax financing-related charges, or $0.14 per diluted share, related to our debt offering; Q2-25 charge of $22 million, net of tax, of interest and financing-related charges, net, or $0.17 per diluted share, related to recently completed borrowings in support of the Lexmark acquisition financing, repayment of existing borrowings, and general corporate purposes, and $28 million of tax expense, or $0.22 per diluted share, related to interest expense that was not deductible according to tax guidelines in place as of June 30, 2025; Q3-25 inventory-related purchase accounting adjustment, related to the recent acquisition of Lexmark, of $85 million ($102 million pre-tax) or $0.67 per diluted share, and a tax expense charge of $467 million, or $3.69 per diluted share, related to the establishment of a valuation allowance against certain deferred tax assets to reflect their realizability. Full-year 2024 Net (Loss) and Diluted (Loss) per Share include the following: Q1-24 $100 million after-tax Reinvention-related charge, or $0.81 per share, primarily related to the exit of certain Production Print manufacturing operations and geographic simplification; Q2-24 $23 million ($17 million after-tax), or $0.14 per share, related to insurance proceeds from a legal settlement for the reimbursement of certain legal and other professional costs, associated with the terminated proposal to acquire HP Inc. in early 2020; Q3-24 an approximately $1.0 billion after-tax (approximately $1.1 billion pre-tax) non-cash goodwill impairment charge, or $8.17 per diluted share, a tax expense charge of $161 million, or $1.30 per diluted share, related to the establishment of a valuation allowance against certain deferred tax assets to reflect their realizability; Q4-24 $37 million pre-tax ($28 million after-tax) write-off of intangibles, or $0.22 per share, and $19 million of pre-tax ($15 million after-tax) Reinvention and transaction-related costs, net or $0.12 per share. The tax expense charges related to the establishment of valuation allowances in the third quarter 2025 and 2024, respectively, were excluded due to their unique nature and significant impacts which are not considered part of our core operations.</w:t>
      </w:r>
    </w:p>
    <w:p>
      <w:pPr>
        <w:spacing w:after="0" w:line="206" w:lineRule="exact"/>
        <w:rPr>
          <w:rFonts w:ascii="Arial" w:cs="Arial" w:eastAsia="Arial" w:hAnsi="Arial"/>
          <w:sz w:val="14"/>
          <w:szCs w:val="14"/>
          <w:b w:val="1"/>
          <w:bCs w:val="1"/>
          <w:i w:val="1"/>
          <w:iCs w:val="1"/>
          <w:color w:val="auto"/>
        </w:rPr>
      </w:pPr>
    </w:p>
    <w:p>
      <w:pPr>
        <w:jc w:val="both"/>
        <w:ind w:left="360" w:hanging="356"/>
        <w:spacing w:after="0" w:line="306" w:lineRule="auto"/>
        <w:tabs>
          <w:tab w:leader="none" w:pos="360" w:val="left"/>
        </w:tabs>
        <w:numPr>
          <w:ilvl w:val="0"/>
          <w:numId w:val="8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 a result of the exit of certain production print manufacturing operations, Cost of sales and Cost of services, maintenance, rentals and other includes inventory-related charges of $24 and $8 for the years ended December 31, 2025 and 2024, respectively, as well as the cancellation of related purchase contracts $— and $43 for the years ended December 31, 2025 and 2024, respectively.</w:t>
      </w:r>
    </w:p>
    <w:p>
      <w:pPr>
        <w:spacing w:after="0" w:line="1" w:lineRule="exact"/>
        <w:rPr>
          <w:rFonts w:ascii="Arial" w:cs="Arial" w:eastAsia="Arial" w:hAnsi="Arial"/>
          <w:sz w:val="14"/>
          <w:szCs w:val="14"/>
          <w:b w:val="1"/>
          <w:bCs w:val="1"/>
          <w:i w:val="1"/>
          <w:iCs w:val="1"/>
          <w:color w:val="auto"/>
        </w:rPr>
      </w:pPr>
    </w:p>
    <w:p>
      <w:pPr>
        <w:jc w:val="both"/>
        <w:ind w:left="360" w:hanging="356"/>
        <w:spacing w:after="0" w:line="249" w:lineRule="auto"/>
        <w:tabs>
          <w:tab w:leader="none" w:pos="360" w:val="left"/>
        </w:tabs>
        <w:numPr>
          <w:ilvl w:val="0"/>
          <w:numId w:val="8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Primarily reflects fees related to financing transactions for the Lexmark Acquisition, repayment of existing borrowings, and general corporate purposes, which includes: the private offering of $400 million in aggregate principal amount of 10.250% Senior Secured First Lien Notes due 2030 and $500 million aggregate principal amount of 13.500% Senior Secured Second Lien Notes Due in 2031; the private offering of $250 million aggregate principal amount of 13.00% Senior Notes due 2030; and an incremental term loan borrowing of $327 million under the First Lien Term Loan Credit Agreement.</w:t>
      </w:r>
    </w:p>
    <w:p>
      <w:pPr>
        <w:spacing w:after="0" w:line="200" w:lineRule="exact"/>
        <w:rPr>
          <w:sz w:val="20"/>
          <w:szCs w:val="20"/>
          <w:color w:val="auto"/>
        </w:rPr>
      </w:pPr>
    </w:p>
    <w:p>
      <w:pPr>
        <w:spacing w:after="0" w:line="324" w:lineRule="exact"/>
        <w:rPr>
          <w:sz w:val="20"/>
          <w:szCs w:val="20"/>
          <w:color w:val="auto"/>
        </w:rPr>
      </w:pPr>
    </w:p>
    <w:p>
      <w:pPr>
        <w:jc w:val="center"/>
        <w:ind w:right="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69</w:t>
      </w:r>
    </w:p>
    <w:p>
      <w:pPr>
        <w:sectPr>
          <w:pgSz w:w="11880" w:h="15480" w:orient="portrait"/>
          <w:cols w:equalWidth="0" w:num="1">
            <w:col w:w="10040"/>
          </w:cols>
          <w:pgMar w:left="960" w:top="692" w:right="880" w:bottom="0" w:gutter="0" w:footer="0" w:header="0"/>
        </w:sectPr>
      </w:pPr>
    </w:p>
    <w:bookmarkStart w:id="79" w:name="page80"/>
    <w:bookmarkEnd w:id="79"/>
    <w:p>
      <w:pPr>
        <w:ind w:left="360" w:hanging="356"/>
        <w:spacing w:after="0"/>
        <w:tabs>
          <w:tab w:leader="none" w:pos="360" w:val="left"/>
        </w:tabs>
        <w:numPr>
          <w:ilvl w:val="0"/>
          <w:numId w:val="8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a purchase accounting adjustment related to the Lexmark Acquisition, for cost associated with a net inventory write up.</w:t>
      </w:r>
    </w:p>
    <w:p>
      <w:pPr>
        <w:spacing w:after="0" w:line="83" w:lineRule="exact"/>
        <w:rPr>
          <w:rFonts w:ascii="Arial" w:cs="Arial" w:eastAsia="Arial" w:hAnsi="Arial"/>
          <w:sz w:val="14"/>
          <w:szCs w:val="14"/>
          <w:b w:val="1"/>
          <w:bCs w:val="1"/>
          <w:i w:val="1"/>
          <w:iCs w:val="1"/>
          <w:color w:val="auto"/>
        </w:rPr>
      </w:pPr>
    </w:p>
    <w:p>
      <w:pPr>
        <w:ind w:left="360" w:hanging="356"/>
        <w:spacing w:after="0" w:line="270" w:lineRule="auto"/>
        <w:tabs>
          <w:tab w:leader="none" w:pos="3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net interest expense on net proceeds received from debt issuances which were placed in escrow prior to the completion of the Lexmark Acquisition.</w:t>
      </w:r>
    </w:p>
    <w:p>
      <w:pPr>
        <w:spacing w:after="0" w:line="16"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change in the realizability of the PARC donation tax benefit recognized in the second quarter of 2023.</w:t>
      </w:r>
    </w:p>
    <w:p>
      <w:pPr>
        <w:spacing w:after="0" w:line="60"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establishment of a valuation allowance against certain deferred tax assets to reflect their realizability.</w:t>
      </w:r>
    </w:p>
    <w:p>
      <w:pPr>
        <w:spacing w:after="0" w:line="60"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Adjusted Effective Tax Rate reconciliation.</w:t>
      </w:r>
    </w:p>
    <w:p>
      <w:pPr>
        <w:spacing w:after="0" w:line="60"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 those periods that include the preferred stock dividend, the average shares for the calculations of diluted EPS exclude 7 million shares associated with our Series A Convertible preferred stock.</w:t>
      </w:r>
    </w:p>
    <w:p>
      <w:pPr>
        <w:spacing w:after="0" w:line="16" w:lineRule="exact"/>
        <w:rPr>
          <w:rFonts w:ascii="Arial" w:cs="Arial" w:eastAsia="Arial" w:hAnsi="Arial"/>
          <w:sz w:val="16"/>
          <w:szCs w:val="16"/>
          <w:b w:val="1"/>
          <w:bCs w:val="1"/>
          <w:i w:val="1"/>
          <w:iCs w:val="1"/>
          <w:color w:val="auto"/>
        </w:rPr>
      </w:pPr>
    </w:p>
    <w:p>
      <w:pPr>
        <w:jc w:val="both"/>
        <w:ind w:left="360" w:hanging="356"/>
        <w:spacing w:after="0" w:line="256" w:lineRule="auto"/>
        <w:tabs>
          <w:tab w:leader="none" w:pos="3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common shares outstanding at December 31, 2025, plus potential dilutive common shares used for the calculation of adjusted diluted earnings per share for the year ended December 31, 2025. Excludes shares associated with our Series A convertible preferred stock, which were anti-dilutive for the year ended December 31, 2025.</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Adjusted Effective Tax Rate Reconciliation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272"/>
              <w:spacing w:after="0"/>
              <w:rPr>
                <w:sz w:val="20"/>
                <w:szCs w:val="20"/>
                <w:color w:val="auto"/>
              </w:rPr>
            </w:pPr>
            <w:r>
              <w:rPr>
                <w:rFonts w:ascii="Arial" w:cs="Arial" w:eastAsia="Arial" w:hAnsi="Arial"/>
                <w:sz w:val="16"/>
                <w:szCs w:val="16"/>
                <w:b w:val="1"/>
                <w:bCs w:val="1"/>
                <w:color w:val="auto"/>
                <w:w w:val="96"/>
              </w:rPr>
              <w:t>Year Ended December 31,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Pre-Tax</w:t>
            </w:r>
          </w:p>
        </w:tc>
        <w:tc>
          <w:tcPr>
            <w:tcW w:w="6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3"/>
              </w:rPr>
              <w:t>Income Tax</w:t>
            </w:r>
          </w:p>
        </w:tc>
        <w:tc>
          <w:tcPr>
            <w:tcW w:w="80" w:type="dxa"/>
            <w:vAlign w:val="bottom"/>
          </w:tcPr>
          <w:p>
            <w:pPr>
              <w:spacing w:after="0"/>
              <w:rPr>
                <w:sz w:val="14"/>
                <w:szCs w:val="14"/>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Pre-Tax</w:t>
            </w:r>
          </w:p>
        </w:tc>
        <w:tc>
          <w:tcPr>
            <w:tcW w:w="6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Income Tax</w:t>
            </w:r>
          </w:p>
        </w:tc>
        <w:tc>
          <w:tcPr>
            <w:tcW w:w="80" w:type="dxa"/>
            <w:vAlign w:val="bottom"/>
          </w:tcPr>
          <w:p>
            <w:pPr>
              <w:spacing w:after="0"/>
              <w:rPr>
                <w:sz w:val="14"/>
                <w:szCs w:val="14"/>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9"/>
              </w:rPr>
              <w:t>Effective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66"/>
              <w:spacing w:after="0"/>
              <w:rPr>
                <w:sz w:val="20"/>
                <w:szCs w:val="20"/>
                <w:color w:val="auto"/>
              </w:rPr>
            </w:pPr>
            <w:r>
              <w:rPr>
                <w:rFonts w:ascii="Arial" w:cs="Arial" w:eastAsia="Arial" w:hAnsi="Arial"/>
                <w:sz w:val="14"/>
                <w:szCs w:val="14"/>
                <w:b w:val="1"/>
                <w:bCs w:val="1"/>
                <w:color w:val="auto"/>
                <w:w w:val="93"/>
              </w:rPr>
              <w:t>Pre-Tax</w:t>
            </w:r>
          </w:p>
        </w:tc>
        <w:tc>
          <w:tcPr>
            <w:tcW w:w="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Income Tax</w:t>
            </w:r>
          </w:p>
        </w:tc>
        <w:tc>
          <w:tcPr>
            <w:tcW w:w="80" w:type="dxa"/>
            <w:vAlign w:val="bottom"/>
          </w:tcPr>
          <w:p>
            <w:pPr>
              <w:spacing w:after="0"/>
              <w:rPr>
                <w:sz w:val="14"/>
                <w:szCs w:val="14"/>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9"/>
              </w:rPr>
              <w:t>Effective</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66"/>
              <w:spacing w:after="0" w:line="136" w:lineRule="exact"/>
              <w:rPr>
                <w:sz w:val="20"/>
                <w:szCs w:val="20"/>
                <w:color w:val="auto"/>
              </w:rPr>
            </w:pPr>
            <w:r>
              <w:rPr>
                <w:rFonts w:ascii="Arial" w:cs="Arial" w:eastAsia="Arial" w:hAnsi="Arial"/>
                <w:sz w:val="14"/>
                <w:szCs w:val="14"/>
                <w:b w:val="1"/>
                <w:bCs w:val="1"/>
                <w:color w:val="auto"/>
                <w:w w:val="90"/>
              </w:rPr>
              <w:t>(Loss)</w:t>
            </w: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65"/>
              <w:spacing w:after="0" w:line="136"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66"/>
              <w:spacing w:after="0" w:line="136"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85"/>
              <w:spacing w:after="0" w:line="136" w:lineRule="exact"/>
              <w:rPr>
                <w:sz w:val="20"/>
                <w:szCs w:val="20"/>
                <w:color w:val="auto"/>
              </w:rPr>
            </w:pPr>
            <w:r>
              <w:rPr>
                <w:rFonts w:ascii="Arial" w:cs="Arial" w:eastAsia="Arial" w:hAnsi="Arial"/>
                <w:sz w:val="14"/>
                <w:szCs w:val="14"/>
                <w:b w:val="1"/>
                <w:bCs w:val="1"/>
                <w:color w:val="auto"/>
                <w:w w:val="87"/>
              </w:rPr>
              <w:t>(Benefit)</w:t>
            </w: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25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2"/>
                <w:szCs w:val="12"/>
                <w:color w:val="auto"/>
              </w:rPr>
            </w:pPr>
          </w:p>
        </w:tc>
        <w:tc>
          <w:tcPr>
            <w:tcW w:w="6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Tax Rate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Tax Rate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5"/>
              <w:spacing w:after="0" w:line="149" w:lineRule="exact"/>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Tax Rate</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19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25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0"/>
                <w:szCs w:val="10"/>
                <w:b w:val="1"/>
                <w:bCs w:val="1"/>
                <w:color w:val="auto"/>
              </w:rPr>
              <w:t>(1)</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(488)</w:t>
            </w:r>
          </w:p>
        </w:tc>
        <w:tc>
          <w:tcPr>
            <w:tcW w:w="200" w:type="dxa"/>
            <w:vAlign w:val="bottom"/>
            <w:gridSpan w:val="2"/>
            <w:shd w:val="clear" w:color="auto" w:fill="E5E5E5"/>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541</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(110.9)%</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(1,216)</w:t>
            </w:r>
          </w:p>
        </w:tc>
        <w:tc>
          <w:tcPr>
            <w:tcW w:w="200" w:type="dxa"/>
            <w:vAlign w:val="bottom"/>
            <w:gridSpan w:val="2"/>
            <w:shd w:val="clear" w:color="auto" w:fill="E5E5E5"/>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105</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(8.6)%</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200" w:type="dxa"/>
            <w:vAlign w:val="bottom"/>
            <w:gridSpan w:val="2"/>
            <w:shd w:val="clear" w:color="auto" w:fill="E5E5E5"/>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103.6 %</w:t>
            </w:r>
          </w:p>
        </w:tc>
        <w:tc>
          <w:tcPr>
            <w:tcW w:w="0" w:type="dxa"/>
            <w:vAlign w:val="bottom"/>
          </w:tcPr>
          <w:p>
            <w:pPr>
              <w:spacing w:after="0"/>
              <w:rPr>
                <w:sz w:val="1"/>
                <w:szCs w:val="1"/>
                <w:color w:val="auto"/>
              </w:rPr>
            </w:pPr>
          </w:p>
        </w:tc>
      </w:tr>
      <w:tr>
        <w:trPr>
          <w:trHeight w:val="227"/>
        </w:trPr>
        <w:tc>
          <w:tcPr>
            <w:tcW w:w="2600" w:type="dxa"/>
            <w:vAlign w:val="bottom"/>
            <w:gridSpan w:val="3"/>
          </w:tcPr>
          <w:p>
            <w:pPr>
              <w:ind w:left="60"/>
              <w:spacing w:after="0"/>
              <w:rPr>
                <w:sz w:val="20"/>
                <w:szCs w:val="20"/>
                <w:color w:val="auto"/>
              </w:rPr>
            </w:pPr>
            <w:r>
              <w:rPr>
                <w:rFonts w:ascii="Arial" w:cs="Arial" w:eastAsia="Arial" w:hAnsi="Arial"/>
                <w:sz w:val="16"/>
                <w:szCs w:val="16"/>
                <w:b w:val="1"/>
                <w:bCs w:val="1"/>
                <w:color w:val="auto"/>
              </w:rPr>
              <w:t>Goodwill impairment</w:t>
            </w:r>
            <w:r>
              <w:rPr>
                <w:rFonts w:ascii="Arial" w:cs="Arial" w:eastAsia="Arial" w:hAnsi="Arial"/>
                <w:sz w:val="10"/>
                <w:szCs w:val="10"/>
                <w:b w:val="1"/>
                <w:bCs w:val="1"/>
                <w:color w:val="auto"/>
              </w:rPr>
              <w:t>(2)</w:t>
            </w:r>
          </w:p>
        </w:tc>
        <w:tc>
          <w:tcPr>
            <w:tcW w:w="140" w:type="dxa"/>
            <w:vAlign w:val="bottom"/>
          </w:tcPr>
          <w:p>
            <w:pPr>
              <w:spacing w:after="0"/>
              <w:rPr>
                <w:sz w:val="19"/>
                <w:szCs w:val="19"/>
                <w:color w:val="auto"/>
              </w:rPr>
            </w:pPr>
          </w:p>
        </w:tc>
        <w:tc>
          <w:tcPr>
            <w:tcW w:w="600" w:type="dxa"/>
            <w:vAlign w:val="bottom"/>
          </w:tcPr>
          <w:p>
            <w:pPr>
              <w:jc w:val="right"/>
              <w:ind w:right="6"/>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
              <w:spacing w:after="0"/>
              <w:rPr>
                <w:sz w:val="20"/>
                <w:szCs w:val="20"/>
                <w:color w:val="auto"/>
              </w:rPr>
            </w:pPr>
            <w:r>
              <w:rPr>
                <w:rFonts w:ascii="Arial" w:cs="Arial" w:eastAsia="Arial" w:hAnsi="Arial"/>
                <w:sz w:val="16"/>
                <w:szCs w:val="16"/>
                <w:b w:val="1"/>
                <w:bCs w:val="1"/>
                <w:color w:val="auto"/>
              </w:rPr>
              <w:t>1,058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6"/>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25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Income Tax on PARC donation</w:t>
            </w:r>
            <w:r>
              <w:rPr>
                <w:rFonts w:ascii="Arial" w:cs="Arial" w:eastAsia="Arial" w:hAnsi="Arial"/>
                <w:sz w:val="10"/>
                <w:szCs w:val="10"/>
                <w:b w:val="1"/>
                <w:bCs w:val="1"/>
                <w:color w:val="auto"/>
              </w:rPr>
              <w:t>(2)</w:t>
            </w:r>
          </w:p>
        </w:tc>
        <w:tc>
          <w:tcPr>
            <w:tcW w:w="140" w:type="dxa"/>
            <w:vAlign w:val="bottom"/>
            <w:shd w:val="clear" w:color="auto" w:fill="E5E5E5"/>
          </w:tcPr>
          <w:p>
            <w:pPr>
              <w:spacing w:after="0"/>
              <w:rPr>
                <w:sz w:val="20"/>
                <w:szCs w:val="20"/>
                <w:color w:val="auto"/>
              </w:rPr>
            </w:pPr>
          </w:p>
        </w:tc>
        <w:tc>
          <w:tcPr>
            <w:tcW w:w="600" w:type="dxa"/>
            <w:vAlign w:val="bottom"/>
            <w:shd w:val="clear" w:color="auto" w:fill="E5E5E5"/>
          </w:tcPr>
          <w:p>
            <w:pPr>
              <w:jc w:val="right"/>
              <w:ind w:right="6"/>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5"/>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6"/>
              <w:spacing w:after="0"/>
              <w:rPr>
                <w:sz w:val="20"/>
                <w:szCs w:val="20"/>
                <w:color w:val="auto"/>
              </w:rPr>
            </w:pPr>
            <w:r>
              <w:rPr>
                <w:rFonts w:ascii="Arial" w:cs="Arial" w:eastAsia="Arial" w:hAnsi="Arial"/>
                <w:sz w:val="16"/>
                <w:szCs w:val="16"/>
                <w:b w:val="1"/>
                <w:bCs w:val="1"/>
                <w:color w:val="auto"/>
              </w:rPr>
              <w:t>132</w:t>
            </w: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w:t>
            </w:r>
          </w:p>
        </w:tc>
        <w:tc>
          <w:tcPr>
            <w:tcW w:w="8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Deferred tax asset valuation</w:t>
            </w:r>
          </w:p>
        </w:tc>
        <w:tc>
          <w:tcPr>
            <w:tcW w:w="140" w:type="dxa"/>
            <w:vAlign w:val="bottom"/>
          </w:tcPr>
          <w:p>
            <w:pPr>
              <w:spacing w:after="0"/>
              <w:rPr>
                <w:sz w:val="16"/>
                <w:szCs w:val="16"/>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5"/>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(169)</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allowance</w:t>
            </w:r>
            <w:r>
              <w:rPr>
                <w:rFonts w:ascii="Arial" w:cs="Arial" w:eastAsia="Arial" w:hAnsi="Arial"/>
                <w:sz w:val="10"/>
                <w:szCs w:val="10"/>
                <w:b w:val="1"/>
                <w:bCs w:val="1"/>
                <w:color w:val="auto"/>
              </w:rPr>
              <w:t>(2)</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 w:type="dxa"/>
            <w:vAlign w:val="bottom"/>
            <w:tcBorders>
              <w:bottom w:val="single" w:sz="8" w:color="E5E5E5"/>
            </w:tcBorders>
            <w:shd w:val="clear" w:color="auto" w:fill="E5E5E5"/>
          </w:tcPr>
          <w:p>
            <w:pPr>
              <w:spacing w:after="0"/>
              <w:rPr>
                <w:sz w:val="19"/>
                <w:szCs w:val="19"/>
                <w:color w:val="auto"/>
              </w:rPr>
            </w:pPr>
          </w:p>
        </w:tc>
        <w:tc>
          <w:tcPr>
            <w:tcW w:w="25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Non-GAAP Adjustments</w:t>
            </w:r>
            <w:r>
              <w:rPr>
                <w:rFonts w:ascii="Arial" w:cs="Arial" w:eastAsia="Arial" w:hAnsi="Arial"/>
                <w:sz w:val="10"/>
                <w:szCs w:val="10"/>
                <w:b w:val="1"/>
                <w:bCs w:val="1"/>
                <w:color w:val="auto"/>
              </w:rPr>
              <w:t>(3)</w:t>
            </w:r>
          </w:p>
        </w:tc>
        <w:tc>
          <w:tcPr>
            <w:tcW w:w="14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6"/>
              <w:spacing w:after="0"/>
              <w:rPr>
                <w:sz w:val="20"/>
                <w:szCs w:val="20"/>
                <w:color w:val="auto"/>
              </w:rPr>
            </w:pPr>
            <w:r>
              <w:rPr>
                <w:rFonts w:ascii="Arial" w:cs="Arial" w:eastAsia="Arial" w:hAnsi="Arial"/>
                <w:sz w:val="16"/>
                <w:szCs w:val="16"/>
                <w:b w:val="1"/>
                <w:bCs w:val="1"/>
                <w:color w:val="auto"/>
              </w:rPr>
              <w:t>493</w:t>
            </w:r>
          </w:p>
        </w:tc>
        <w:tc>
          <w:tcPr>
            <w:tcW w:w="6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63</w:t>
            </w:r>
          </w:p>
        </w:tc>
        <w:tc>
          <w:tcPr>
            <w:tcW w:w="80" w:type="dxa"/>
            <w:vAlign w:val="bottom"/>
            <w:tcBorders>
              <w:bottom w:val="single" w:sz="8" w:color="E5E5E5"/>
            </w:tcBorders>
            <w:shd w:val="clear" w:color="auto" w:fill="E5E5E5"/>
          </w:tcPr>
          <w:p>
            <w:pPr>
              <w:spacing w:after="0"/>
              <w:rPr>
                <w:sz w:val="19"/>
                <w:szCs w:val="19"/>
                <w:color w:val="auto"/>
              </w:rPr>
            </w:pPr>
          </w:p>
        </w:tc>
        <w:tc>
          <w:tcPr>
            <w:tcW w:w="80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5"/>
              <w:spacing w:after="0"/>
              <w:rPr>
                <w:sz w:val="20"/>
                <w:szCs w:val="20"/>
                <w:color w:val="auto"/>
              </w:rPr>
            </w:pPr>
            <w:r>
              <w:rPr>
                <w:rFonts w:ascii="Arial" w:cs="Arial" w:eastAsia="Arial" w:hAnsi="Arial"/>
                <w:sz w:val="16"/>
                <w:szCs w:val="16"/>
                <w:b w:val="1"/>
                <w:bCs w:val="1"/>
                <w:color w:val="auto"/>
              </w:rPr>
              <w:t>342</w:t>
            </w:r>
          </w:p>
        </w:tc>
        <w:tc>
          <w:tcPr>
            <w:tcW w:w="6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70</w:t>
            </w:r>
          </w:p>
        </w:tc>
        <w:tc>
          <w:tcPr>
            <w:tcW w:w="80" w:type="dxa"/>
            <w:vAlign w:val="bottom"/>
            <w:tcBorders>
              <w:bottom w:val="single" w:sz="8" w:color="E5E5E5"/>
            </w:tcBorders>
            <w:shd w:val="clear" w:color="auto" w:fill="E5E5E5"/>
          </w:tcPr>
          <w:p>
            <w:pPr>
              <w:spacing w:after="0"/>
              <w:rPr>
                <w:sz w:val="19"/>
                <w:szCs w:val="19"/>
                <w:color w:val="auto"/>
              </w:rPr>
            </w:pPr>
          </w:p>
        </w:tc>
        <w:tc>
          <w:tcPr>
            <w:tcW w:w="68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6"/>
              <w:spacing w:after="0"/>
              <w:rPr>
                <w:sz w:val="20"/>
                <w:szCs w:val="20"/>
                <w:color w:val="auto"/>
              </w:rPr>
            </w:pPr>
            <w:r>
              <w:rPr>
                <w:rFonts w:ascii="Arial" w:cs="Arial" w:eastAsia="Arial" w:hAnsi="Arial"/>
                <w:sz w:val="16"/>
                <w:szCs w:val="16"/>
                <w:b w:val="1"/>
                <w:bCs w:val="1"/>
                <w:color w:val="auto"/>
              </w:rPr>
              <w:t>232</w:t>
            </w:r>
          </w:p>
        </w:tc>
        <w:tc>
          <w:tcPr>
            <w:tcW w:w="6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tcBorders>
              <w:bottom w:val="single" w:sz="8" w:color="E5E5E5"/>
            </w:tcBorders>
            <w:shd w:val="clear" w:color="auto" w:fill="E5E5E5"/>
          </w:tcPr>
          <w:p>
            <w:pPr>
              <w:spacing w:after="0"/>
              <w:rPr>
                <w:sz w:val="19"/>
                <w:szCs w:val="19"/>
                <w:color w:val="auto"/>
              </w:rPr>
            </w:pPr>
          </w:p>
        </w:tc>
        <w:tc>
          <w:tcPr>
            <w:tcW w:w="680" w:type="dxa"/>
            <w:vAlign w:val="bottom"/>
            <w:tcBorders>
              <w:bottom w:val="single" w:sz="8" w:color="E5E5E5"/>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0"/>
                <w:szCs w:val="10"/>
                <w:b w:val="1"/>
                <w:bCs w:val="1"/>
                <w:color w:val="auto"/>
              </w:rPr>
              <w:t>(4)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6"/>
              <w:spacing w:after="0"/>
              <w:rPr>
                <w:sz w:val="20"/>
                <w:szCs w:val="20"/>
                <w:color w:val="auto"/>
              </w:rPr>
            </w:pPr>
            <w:r>
              <w:rPr>
                <w:rFonts w:ascii="Arial" w:cs="Arial" w:eastAsia="Arial" w:hAnsi="Arial"/>
                <w:sz w:val="16"/>
                <w:szCs w:val="16"/>
                <w:b w:val="1"/>
                <w:bCs w:val="1"/>
                <w:color w:val="auto"/>
              </w:rPr>
              <w:t>5</w:t>
            </w:r>
          </w:p>
        </w:tc>
        <w:tc>
          <w:tcPr>
            <w:tcW w:w="200" w:type="dxa"/>
            <w:vAlign w:val="bottom"/>
            <w:gridSpan w:val="2"/>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1,340.0 %</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5"/>
              <w:spacing w:after="0"/>
              <w:rPr>
                <w:sz w:val="20"/>
                <w:szCs w:val="20"/>
                <w:color w:val="auto"/>
              </w:rPr>
            </w:pPr>
            <w:r>
              <w:rPr>
                <w:rFonts w:ascii="Arial" w:cs="Arial" w:eastAsia="Arial" w:hAnsi="Arial"/>
                <w:sz w:val="16"/>
                <w:szCs w:val="16"/>
                <w:b w:val="1"/>
                <w:bCs w:val="1"/>
                <w:color w:val="auto"/>
              </w:rPr>
              <w:t>184</w:t>
            </w:r>
          </w:p>
        </w:tc>
        <w:tc>
          <w:tcPr>
            <w:tcW w:w="200" w:type="dxa"/>
            <w:vAlign w:val="bottom"/>
            <w:gridSpan w:val="2"/>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(26.6)%</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6"/>
              <w:spacing w:after="0"/>
              <w:rPr>
                <w:sz w:val="20"/>
                <w:szCs w:val="20"/>
                <w:color w:val="auto"/>
              </w:rPr>
            </w:pPr>
            <w:r>
              <w:rPr>
                <w:rFonts w:ascii="Arial" w:cs="Arial" w:eastAsia="Arial" w:hAnsi="Arial"/>
                <w:sz w:val="16"/>
                <w:szCs w:val="16"/>
                <w:b w:val="1"/>
                <w:bCs w:val="1"/>
                <w:color w:val="auto"/>
              </w:rPr>
              <w:t>336</w:t>
            </w:r>
          </w:p>
        </w:tc>
        <w:tc>
          <w:tcPr>
            <w:tcW w:w="200" w:type="dxa"/>
            <w:vAlign w:val="bottom"/>
            <w:gridSpan w:val="2"/>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14.6 %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-55245</wp:posOffset>
            </wp:positionV>
            <wp:extent cx="4282440" cy="75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4282440" cy="7556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Pre-tax (loss) and Income tax expense (benefit).</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Adjusted Net (Loss) Income and EPS reconciliation for details.</w:t>
      </w:r>
    </w:p>
    <w:p>
      <w:pPr>
        <w:spacing w:after="0" w:line="2" w:lineRule="exact"/>
        <w:rPr>
          <w:rFonts w:ascii="Arial" w:cs="Arial" w:eastAsia="Arial" w:hAnsi="Arial"/>
          <w:sz w:val="16"/>
          <w:szCs w:val="16"/>
          <w:b w:val="1"/>
          <w:bCs w:val="1"/>
          <w:i w:val="1"/>
          <w:iCs w:val="1"/>
          <w:color w:val="auto"/>
        </w:rPr>
      </w:pPr>
    </w:p>
    <w:p>
      <w:pPr>
        <w:ind w:left="360" w:hanging="356"/>
        <w:spacing w:after="0" w:line="226" w:lineRule="auto"/>
        <w:tabs>
          <w:tab w:leader="none" w:pos="3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tax impacts of pre-tax adjustments.</w:t>
      </w:r>
    </w:p>
    <w:p>
      <w:pPr>
        <w:ind w:left="360" w:right="100" w:hanging="356"/>
        <w:spacing w:after="0" w:line="270" w:lineRule="auto"/>
        <w:tabs>
          <w:tab w:leader="none" w:pos="359"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 2024 and 2023, the tax impact on the Adjusted Pre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Tax (Loss) Income is calculated under the same accounting principles applied to the As Reported Pre-Tax (Loss) under ASC 740, which employs an annual effective tax rate method to the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70</w:t>
      </w:r>
    </w:p>
    <w:p>
      <w:pPr>
        <w:sectPr>
          <w:pgSz w:w="11880" w:h="15480" w:orient="portrait"/>
          <w:cols w:equalWidth="0" w:num="1">
            <w:col w:w="10040"/>
          </w:cols>
          <w:pgMar w:left="960" w:top="704" w:right="880" w:bottom="0" w:gutter="0" w:footer="0" w:header="0"/>
        </w:sectPr>
      </w:pPr>
    </w:p>
    <w:bookmarkStart w:id="80" w:name="page81"/>
    <w:bookmarkEnd w:id="80"/>
    <w:p>
      <w:pPr>
        <w:spacing w:after="0"/>
        <w:rPr>
          <w:sz w:val="20"/>
          <w:szCs w:val="20"/>
          <w:color w:val="auto"/>
        </w:rPr>
      </w:pPr>
      <w:r>
        <w:rPr>
          <w:rFonts w:ascii="Arial" w:cs="Arial" w:eastAsia="Arial" w:hAnsi="Arial"/>
          <w:sz w:val="19"/>
          <w:szCs w:val="19"/>
          <w:b w:val="1"/>
          <w:bCs w:val="1"/>
          <w:color w:val="DA2031"/>
        </w:rPr>
        <w:t>Adjusted Operating Income and Margin Reconciliation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6"/>
                <w:szCs w:val="16"/>
                <w:b w:val="1"/>
                <w:bCs w:val="1"/>
                <w:color w:val="auto"/>
                <w:w w:val="98"/>
              </w:rPr>
              <w:t>Year Ended December 31,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83"/>
              <w:spacing w:after="0" w:line="137" w:lineRule="exact"/>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Revenue</w:t>
            </w:r>
          </w:p>
        </w:tc>
        <w:tc>
          <w:tcPr>
            <w:tcW w:w="60" w:type="dxa"/>
            <w:vAlign w:val="bottom"/>
          </w:tcPr>
          <w:p>
            <w:pPr>
              <w:spacing w:after="0"/>
              <w:rPr>
                <w:sz w:val="11"/>
                <w:szCs w:val="11"/>
                <w:color w:val="auto"/>
              </w:rPr>
            </w:pPr>
          </w:p>
        </w:tc>
        <w:tc>
          <w:tcPr>
            <w:tcW w:w="7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Margin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03"/>
              <w:spacing w:after="0" w:line="137" w:lineRule="exact"/>
              <w:rPr>
                <w:sz w:val="20"/>
                <w:szCs w:val="20"/>
                <w:color w:val="auto"/>
              </w:rPr>
            </w:pPr>
            <w:r>
              <w:rPr>
                <w:rFonts w:ascii="Arial" w:cs="Arial" w:eastAsia="Arial" w:hAnsi="Arial"/>
                <w:sz w:val="14"/>
                <w:szCs w:val="14"/>
                <w:b w:val="1"/>
                <w:bCs w:val="1"/>
                <w:color w:val="auto"/>
                <w:w w:val="99"/>
              </w:rPr>
              <w:t>(Loss)</w:t>
            </w: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8"/>
              </w:rPr>
              <w:t>Revenue</w:t>
            </w:r>
          </w:p>
        </w:tc>
        <w:tc>
          <w:tcPr>
            <w:tcW w:w="80" w:type="dxa"/>
            <w:vAlign w:val="bottom"/>
          </w:tcPr>
          <w:p>
            <w:pPr>
              <w:spacing w:after="0"/>
              <w:rPr>
                <w:sz w:val="11"/>
                <w:szCs w:val="11"/>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Margin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23"/>
              <w:spacing w:after="0" w:line="137" w:lineRule="exact"/>
              <w:rPr>
                <w:sz w:val="20"/>
                <w:szCs w:val="20"/>
                <w:color w:val="auto"/>
              </w:rPr>
            </w:pPr>
            <w:r>
              <w:rPr>
                <w:rFonts w:ascii="Arial" w:cs="Arial" w:eastAsia="Arial" w:hAnsi="Arial"/>
                <w:sz w:val="14"/>
                <w:szCs w:val="14"/>
                <w:b w:val="1"/>
                <w:bCs w:val="1"/>
                <w:color w:val="auto"/>
              </w:rPr>
              <w:t>Profit</w:t>
            </w: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8"/>
              </w:rPr>
              <w:t>Revenue</w:t>
            </w:r>
          </w:p>
        </w:tc>
        <w:tc>
          <w:tcPr>
            <w:tcW w:w="80" w:type="dxa"/>
            <w:vAlign w:val="bottom"/>
          </w:tcPr>
          <w:p>
            <w:pPr>
              <w:spacing w:after="0"/>
              <w:rPr>
                <w:sz w:val="11"/>
                <w:szCs w:val="11"/>
                <w:color w:val="auto"/>
              </w:rPr>
            </w:pPr>
          </w:p>
        </w:tc>
        <w:tc>
          <w:tcPr>
            <w:tcW w:w="7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Margin</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5"/>
                <w:szCs w:val="15"/>
                <w:color w:val="auto"/>
              </w:rPr>
            </w:pPr>
          </w:p>
        </w:tc>
        <w:tc>
          <w:tcPr>
            <w:tcW w:w="600" w:type="dxa"/>
            <w:vAlign w:val="bottom"/>
          </w:tcPr>
          <w:p>
            <w:pPr>
              <w:jc w:val="right"/>
              <w:ind w:right="123"/>
              <w:spacing w:after="0" w:line="173" w:lineRule="exact"/>
              <w:rPr>
                <w:sz w:val="20"/>
                <w:szCs w:val="20"/>
                <w:color w:val="auto"/>
              </w:rPr>
            </w:pPr>
            <w:r>
              <w:rPr>
                <w:rFonts w:ascii="Arial" w:cs="Arial" w:eastAsia="Arial" w:hAnsi="Arial"/>
                <w:sz w:val="16"/>
                <w:szCs w:val="16"/>
                <w:b w:val="1"/>
                <w:bCs w:val="1"/>
                <w:color w:val="auto"/>
                <w:w w:val="90"/>
              </w:rPr>
              <w:t>Profit</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23"/>
              <w:spacing w:after="0" w:line="173" w:lineRule="exact"/>
              <w:rPr>
                <w:sz w:val="20"/>
                <w:szCs w:val="20"/>
                <w:color w:val="auto"/>
              </w:rPr>
            </w:pPr>
            <w:r>
              <w:rPr>
                <w:rFonts w:ascii="Arial" w:cs="Arial" w:eastAsia="Arial" w:hAnsi="Arial"/>
                <w:sz w:val="16"/>
                <w:szCs w:val="16"/>
                <w:b w:val="1"/>
                <w:bCs w:val="1"/>
                <w:color w:val="auto"/>
                <w:w w:val="95"/>
              </w:rPr>
              <w:t>Profit</w:t>
            </w: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83"/>
              <w:spacing w:after="0" w:line="173" w:lineRule="exact"/>
              <w:rPr>
                <w:sz w:val="20"/>
                <w:szCs w:val="20"/>
                <w:color w:val="auto"/>
              </w:rPr>
            </w:pPr>
            <w:r>
              <w:rPr>
                <w:rFonts w:ascii="Arial" w:cs="Arial" w:eastAsia="Arial" w:hAnsi="Arial"/>
                <w:sz w:val="16"/>
                <w:szCs w:val="16"/>
                <w:b w:val="1"/>
                <w:bCs w:val="1"/>
                <w:color w:val="auto"/>
                <w:w w:val="91"/>
              </w:rPr>
              <w:t>(Loss)</w:t>
            </w: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208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Net (Loss) Income</w:t>
            </w:r>
            <w:r>
              <w:rPr>
                <w:rFonts w:ascii="Arial" w:cs="Arial" w:eastAsia="Arial" w:hAnsi="Arial"/>
                <w:sz w:val="10"/>
                <w:szCs w:val="10"/>
                <w:b w:val="1"/>
                <w:bCs w:val="1"/>
                <w:color w:val="auto"/>
              </w:rPr>
              <w:t>(1)</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240" w:type="dxa"/>
            <w:vAlign w:val="bottom"/>
            <w:gridSpan w:val="2"/>
            <w:shd w:val="clear" w:color="auto" w:fill="E5E5E5"/>
          </w:tcPr>
          <w:p>
            <w:pPr>
              <w:ind w:left="140"/>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7,022</w:t>
            </w:r>
          </w:p>
        </w:tc>
        <w:tc>
          <w:tcPr>
            <w:tcW w:w="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22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6,221</w:t>
            </w:r>
          </w:p>
        </w:tc>
        <w:tc>
          <w:tcPr>
            <w:tcW w:w="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w:t>
            </w:r>
          </w:p>
        </w:tc>
        <w:tc>
          <w:tcPr>
            <w:tcW w:w="22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6,886</w:t>
            </w:r>
          </w:p>
        </w:tc>
        <w:tc>
          <w:tcPr>
            <w:tcW w:w="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E5E5E5"/>
            </w:tcBorders>
            <w:shd w:val="clear" w:color="auto" w:fill="E5E5E5"/>
          </w:tcPr>
          <w:p>
            <w:pPr>
              <w:spacing w:after="0"/>
              <w:rPr>
                <w:sz w:val="21"/>
                <w:szCs w:val="21"/>
                <w:color w:val="auto"/>
              </w:rPr>
            </w:pPr>
          </w:p>
        </w:tc>
        <w:tc>
          <w:tcPr>
            <w:tcW w:w="266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Income tax expense (benefit)</w:t>
            </w:r>
          </w:p>
        </w:tc>
        <w:tc>
          <w:tcPr>
            <w:tcW w:w="14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541</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105</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70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Pre-tax (loss)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(488)</w:t>
            </w:r>
          </w:p>
        </w:tc>
        <w:tc>
          <w:tcPr>
            <w:tcW w:w="240" w:type="dxa"/>
            <w:vAlign w:val="bottom"/>
            <w:gridSpan w:val="2"/>
          </w:tcPr>
          <w:p>
            <w:pPr>
              <w:ind w:left="140"/>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7,022</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(6.9)%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(1,216)</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6,221</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(19.5)%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6,886</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(0.4)%</w:t>
            </w:r>
          </w:p>
        </w:tc>
        <w:tc>
          <w:tcPr>
            <w:tcW w:w="0" w:type="dxa"/>
            <w:vAlign w:val="bottom"/>
          </w:tcPr>
          <w:p>
            <w:pPr>
              <w:spacing w:after="0"/>
              <w:rPr>
                <w:sz w:val="1"/>
                <w:szCs w:val="1"/>
                <w:color w:val="auto"/>
              </w:rPr>
            </w:pPr>
          </w:p>
        </w:tc>
      </w:tr>
      <w:tr>
        <w:trPr>
          <w:trHeight w:val="235"/>
        </w:trPr>
        <w:tc>
          <w:tcPr>
            <w:tcW w:w="60" w:type="dxa"/>
            <w:vAlign w:val="bottom"/>
            <w:shd w:val="clear" w:color="auto" w:fill="E5E5E5"/>
          </w:tcPr>
          <w:p>
            <w:pPr>
              <w:spacing w:after="0"/>
              <w:rPr>
                <w:sz w:val="20"/>
                <w:szCs w:val="20"/>
                <w:color w:val="auto"/>
              </w:rPr>
            </w:pPr>
          </w:p>
        </w:tc>
        <w:tc>
          <w:tcPr>
            <w:tcW w:w="266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Adjustments:</w:t>
            </w:r>
          </w:p>
        </w:tc>
        <w:tc>
          <w:tcPr>
            <w:tcW w:w="14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Goodwill impairment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1,058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E5E5E5"/>
          </w:tcPr>
          <w:p>
            <w:pPr>
              <w:spacing w:after="0"/>
              <w:rPr>
                <w:sz w:val="14"/>
                <w:szCs w:val="14"/>
                <w:color w:val="auto"/>
              </w:rPr>
            </w:pPr>
          </w:p>
        </w:tc>
        <w:tc>
          <w:tcPr>
            <w:tcW w:w="2660" w:type="dxa"/>
            <w:vAlign w:val="bottom"/>
            <w:gridSpan w:val="2"/>
            <w:shd w:val="clear" w:color="auto" w:fill="E5E5E5"/>
          </w:tcPr>
          <w:p>
            <w:pPr>
              <w:spacing w:after="0" w:line="172" w:lineRule="exact"/>
              <w:rPr>
                <w:sz w:val="20"/>
                <w:szCs w:val="20"/>
                <w:color w:val="auto"/>
              </w:rPr>
            </w:pPr>
            <w:r>
              <w:rPr>
                <w:rFonts w:ascii="Arial" w:cs="Arial" w:eastAsia="Arial" w:hAnsi="Arial"/>
                <w:sz w:val="16"/>
                <w:szCs w:val="16"/>
                <w:b w:val="1"/>
                <w:bCs w:val="1"/>
                <w:color w:val="auto"/>
                <w:w w:val="99"/>
              </w:rPr>
              <w:t>Inventory impact related to the exit</w:t>
            </w:r>
          </w:p>
        </w:tc>
        <w:tc>
          <w:tcPr>
            <w:tcW w:w="14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shd w:val="clear" w:color="auto" w:fill="E5E5E5"/>
          </w:tcPr>
          <w:p>
            <w:pPr>
              <w:spacing w:after="0"/>
              <w:rPr>
                <w:sz w:val="13"/>
                <w:szCs w:val="13"/>
                <w:color w:val="auto"/>
              </w:rPr>
            </w:pPr>
          </w:p>
        </w:tc>
        <w:tc>
          <w:tcPr>
            <w:tcW w:w="2660" w:type="dxa"/>
            <w:vAlign w:val="bottom"/>
            <w:gridSpan w:val="2"/>
            <w:shd w:val="clear" w:color="auto" w:fill="E5E5E5"/>
          </w:tcPr>
          <w:p>
            <w:pPr>
              <w:spacing w:after="0" w:line="155" w:lineRule="exact"/>
              <w:rPr>
                <w:sz w:val="20"/>
                <w:szCs w:val="20"/>
                <w:color w:val="auto"/>
              </w:rPr>
            </w:pPr>
            <w:r>
              <w:rPr>
                <w:rFonts w:ascii="Arial" w:cs="Arial" w:eastAsia="Arial" w:hAnsi="Arial"/>
                <w:sz w:val="16"/>
                <w:szCs w:val="16"/>
                <w:b w:val="1"/>
                <w:bCs w:val="1"/>
                <w:color w:val="auto"/>
              </w:rPr>
              <w:t>of certain Production Print</w:t>
            </w:r>
          </w:p>
        </w:tc>
        <w:tc>
          <w:tcPr>
            <w:tcW w:w="140" w:type="dxa"/>
            <w:vAlign w:val="bottom"/>
            <w:shd w:val="clear" w:color="auto" w:fill="E5E5E5"/>
          </w:tcPr>
          <w:p>
            <w:pPr>
              <w:spacing w:after="0"/>
              <w:rPr>
                <w:sz w:val="13"/>
                <w:szCs w:val="13"/>
                <w:color w:val="auto"/>
              </w:rPr>
            </w:pPr>
          </w:p>
        </w:tc>
        <w:tc>
          <w:tcPr>
            <w:tcW w:w="6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20" w:type="dxa"/>
            <w:vAlign w:val="bottom"/>
            <w:vMerge w:val="restart"/>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51</w:t>
            </w: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20" w:type="dxa"/>
            <w:vAlign w:val="bottom"/>
            <w:vMerge w:val="restart"/>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266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manufacturing operations</w:t>
            </w:r>
            <w:r>
              <w:rPr>
                <w:rFonts w:ascii="Arial" w:cs="Arial" w:eastAsia="Arial" w:hAnsi="Arial"/>
                <w:sz w:val="10"/>
                <w:szCs w:val="10"/>
                <w:b w:val="1"/>
                <w:bCs w:val="1"/>
                <w:color w:val="auto"/>
              </w:rPr>
              <w:t>(2)</w:t>
            </w:r>
          </w:p>
        </w:tc>
        <w:tc>
          <w:tcPr>
            <w:tcW w:w="140" w:type="dxa"/>
            <w:vAlign w:val="bottom"/>
            <w:shd w:val="clear" w:color="auto" w:fill="E5E5E5"/>
          </w:tcPr>
          <w:p>
            <w:pPr>
              <w:spacing w:after="0"/>
              <w:rPr>
                <w:sz w:val="18"/>
                <w:szCs w:val="18"/>
                <w:color w:val="auto"/>
              </w:rPr>
            </w:pPr>
          </w:p>
        </w:tc>
        <w:tc>
          <w:tcPr>
            <w:tcW w:w="60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Lexmark - inventory-related</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20" w:type="dxa"/>
            <w:vAlign w:val="bottom"/>
            <w:gridSpan w:val="3"/>
          </w:tcPr>
          <w:p>
            <w:pPr>
              <w:ind w:left="60"/>
              <w:spacing w:after="0"/>
              <w:rPr>
                <w:sz w:val="20"/>
                <w:szCs w:val="20"/>
                <w:color w:val="auto"/>
              </w:rPr>
            </w:pPr>
            <w:r>
              <w:rPr>
                <w:rFonts w:ascii="Arial" w:cs="Arial" w:eastAsia="Arial" w:hAnsi="Arial"/>
                <w:sz w:val="16"/>
                <w:szCs w:val="16"/>
                <w:b w:val="1"/>
                <w:bCs w:val="1"/>
                <w:color w:val="auto"/>
              </w:rPr>
              <w:t>purchase accounting adjustment</w:t>
            </w: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720" w:type="dxa"/>
            <w:vAlign w:val="bottom"/>
            <w:gridSpan w:val="3"/>
            <w:shd w:val="clear" w:color="auto" w:fill="E5E5E5"/>
          </w:tcPr>
          <w:p>
            <w:pPr>
              <w:ind w:left="60"/>
              <w:spacing w:after="0" w:line="181" w:lineRule="exact"/>
              <w:rPr>
                <w:sz w:val="20"/>
                <w:szCs w:val="20"/>
                <w:color w:val="auto"/>
              </w:rPr>
            </w:pPr>
            <w:r>
              <w:rPr>
                <w:rFonts w:ascii="Arial" w:cs="Arial" w:eastAsia="Arial" w:hAnsi="Arial"/>
                <w:sz w:val="16"/>
                <w:szCs w:val="16"/>
                <w:b w:val="1"/>
                <w:bCs w:val="1"/>
                <w:color w:val="auto"/>
              </w:rPr>
              <w:t>Lexmark - fixed asset-related</w:t>
            </w:r>
          </w:p>
        </w:tc>
        <w:tc>
          <w:tcPr>
            <w:tcW w:w="140" w:type="dxa"/>
            <w:vAlign w:val="bottom"/>
            <w:shd w:val="clear" w:color="auto" w:fill="E5E5E5"/>
          </w:tcPr>
          <w:p>
            <w:pPr>
              <w:spacing w:after="0"/>
              <w:rPr>
                <w:sz w:val="15"/>
                <w:szCs w:val="15"/>
                <w:color w:val="auto"/>
              </w:rPr>
            </w:pPr>
          </w:p>
        </w:tc>
        <w:tc>
          <w:tcPr>
            <w:tcW w:w="6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20" w:type="dxa"/>
            <w:vAlign w:val="bottom"/>
            <w:vMerge w:val="restart"/>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20" w:type="dxa"/>
            <w:vAlign w:val="bottom"/>
            <w:vMerge w:val="restart"/>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purchase accounting adjustment</w:t>
            </w:r>
          </w:p>
        </w:tc>
        <w:tc>
          <w:tcPr>
            <w:tcW w:w="140" w:type="dxa"/>
            <w:vAlign w:val="bottom"/>
            <w:shd w:val="clear" w:color="auto" w:fill="E5E5E5"/>
          </w:tcPr>
          <w:p>
            <w:pPr>
              <w:spacing w:after="0"/>
              <w:rPr>
                <w:sz w:val="18"/>
                <w:szCs w:val="18"/>
                <w:color w:val="auto"/>
              </w:rPr>
            </w:pPr>
          </w:p>
        </w:tc>
        <w:tc>
          <w:tcPr>
            <w:tcW w:w="60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w w:val="97"/>
              </w:rPr>
              <w:t>Lexmark - pre-existing employment</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2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agreements settled post-acquisition</w:t>
            </w: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Reinvention-related costs</w:t>
            </w:r>
          </w:p>
        </w:tc>
        <w:tc>
          <w:tcPr>
            <w:tcW w:w="14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72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Restructuring and related costs, net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112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167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Amortization of intangible assets</w:t>
            </w:r>
          </w:p>
        </w:tc>
        <w:tc>
          <w:tcPr>
            <w:tcW w:w="14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73</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43</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720" w:type="dxa"/>
            <w:vAlign w:val="bottom"/>
            <w:gridSpan w:val="3"/>
          </w:tcPr>
          <w:p>
            <w:pPr>
              <w:ind w:left="60"/>
              <w:spacing w:after="0"/>
              <w:rPr>
                <w:sz w:val="20"/>
                <w:szCs w:val="20"/>
                <w:color w:val="auto"/>
              </w:rPr>
            </w:pPr>
            <w:r>
              <w:rPr>
                <w:rFonts w:ascii="Arial" w:cs="Arial" w:eastAsia="Arial" w:hAnsi="Arial"/>
                <w:sz w:val="16"/>
                <w:szCs w:val="16"/>
                <w:b w:val="1"/>
                <w:bCs w:val="1"/>
                <w:color w:val="auto"/>
              </w:rPr>
              <w:t>Divestitures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PARC donation</w:t>
            </w:r>
          </w:p>
        </w:tc>
        <w:tc>
          <w:tcPr>
            <w:tcW w:w="14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132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720" w:type="dxa"/>
            <w:vAlign w:val="bottom"/>
            <w:gridSpan w:val="3"/>
          </w:tcPr>
          <w:p>
            <w:pPr>
              <w:ind w:left="60"/>
              <w:spacing w:after="0"/>
              <w:rPr>
                <w:sz w:val="20"/>
                <w:szCs w:val="20"/>
                <w:color w:val="auto"/>
              </w:rPr>
            </w:pPr>
            <w:r>
              <w:rPr>
                <w:rFonts w:ascii="Arial" w:cs="Arial" w:eastAsia="Arial" w:hAnsi="Arial"/>
                <w:sz w:val="16"/>
                <w:szCs w:val="16"/>
                <w:b w:val="1"/>
                <w:bCs w:val="1"/>
                <w:color w:val="auto"/>
              </w:rPr>
              <w:t>Transaction and related costs, net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2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expenses, net</w:t>
            </w:r>
            <w:r>
              <w:rPr>
                <w:rFonts w:ascii="Arial" w:cs="Arial" w:eastAsia="Arial" w:hAnsi="Arial"/>
                <w:sz w:val="10"/>
                <w:szCs w:val="10"/>
                <w:b w:val="1"/>
                <w:bCs w:val="1"/>
                <w:color w:val="auto"/>
              </w:rPr>
              <w:t>(3)(4)</w:t>
            </w:r>
          </w:p>
        </w:tc>
        <w:tc>
          <w:tcPr>
            <w:tcW w:w="14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360</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158</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70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75</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72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Adjusted</w:t>
            </w:r>
          </w:p>
        </w:tc>
        <w:tc>
          <w:tcPr>
            <w:tcW w:w="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248</w:t>
            </w:r>
          </w:p>
        </w:tc>
        <w:tc>
          <w:tcPr>
            <w:tcW w:w="24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7,022</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3.5 %</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3"/>
              <w:spacing w:after="0" w:line="175" w:lineRule="exact"/>
              <w:rPr>
                <w:sz w:val="20"/>
                <w:szCs w:val="20"/>
                <w:color w:val="auto"/>
              </w:rPr>
            </w:pPr>
            <w:r>
              <w:rPr>
                <w:rFonts w:ascii="Arial" w:cs="Arial" w:eastAsia="Arial" w:hAnsi="Arial"/>
                <w:sz w:val="16"/>
                <w:szCs w:val="16"/>
                <w:b w:val="1"/>
                <w:bCs w:val="1"/>
                <w:color w:val="auto"/>
              </w:rPr>
              <w:t>302</w:t>
            </w:r>
          </w:p>
        </w:tc>
        <w:tc>
          <w:tcPr>
            <w:tcW w:w="22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6,221</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4.9 %</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3"/>
              <w:spacing w:after="0" w:line="175" w:lineRule="exact"/>
              <w:rPr>
                <w:sz w:val="20"/>
                <w:szCs w:val="20"/>
                <w:color w:val="auto"/>
              </w:rPr>
            </w:pPr>
            <w:r>
              <w:rPr>
                <w:rFonts w:ascii="Arial" w:cs="Arial" w:eastAsia="Arial" w:hAnsi="Arial"/>
                <w:sz w:val="16"/>
                <w:szCs w:val="16"/>
                <w:b w:val="1"/>
                <w:bCs w:val="1"/>
                <w:color w:val="auto"/>
              </w:rPr>
              <w:t>389</w:t>
            </w:r>
          </w:p>
        </w:tc>
        <w:tc>
          <w:tcPr>
            <w:tcW w:w="22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6,886</w:t>
            </w:r>
          </w:p>
        </w:tc>
        <w:tc>
          <w:tcPr>
            <w:tcW w:w="80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5.6 %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-55245</wp:posOffset>
            </wp:positionV>
            <wp:extent cx="4162425" cy="75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4162425"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8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Net (Loss) Income and Revenue.</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77" w:lineRule="auto"/>
        <w:tabs>
          <w:tab w:leader="none" w:pos="360" w:val="left"/>
        </w:tabs>
        <w:numPr>
          <w:ilvl w:val="0"/>
          <w:numId w:val="8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 a result of the exit of certain production print manufacturing operations, Cost of sales and Cost of services, maintenance, rentals and other includes inventory-related charges of $24 and $8 for the years ended December 31, 2025 and 2024, respectively, as well as the cancellation of related purchase contracts $— and $43 for the years ended December 31, 2025 and 2024, respectively.</w:t>
      </w:r>
    </w:p>
    <w:p>
      <w:pPr>
        <w:spacing w:after="0" w:line="1" w:lineRule="exact"/>
        <w:rPr>
          <w:rFonts w:ascii="Arial" w:cs="Arial" w:eastAsia="Arial" w:hAnsi="Arial"/>
          <w:sz w:val="14"/>
          <w:szCs w:val="14"/>
          <w:b w:val="1"/>
          <w:bCs w:val="1"/>
          <w:i w:val="1"/>
          <w:iCs w:val="1"/>
          <w:color w:val="auto"/>
        </w:rPr>
      </w:pPr>
    </w:p>
    <w:p>
      <w:pPr>
        <w:ind w:left="360" w:hanging="356"/>
        <w:spacing w:after="0"/>
        <w:tabs>
          <w:tab w:leader="none" w:pos="360" w:val="left"/>
        </w:tabs>
        <w:numPr>
          <w:ilvl w:val="0"/>
          <w:numId w:val="8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non-service retirement-related costs.</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49" w:lineRule="auto"/>
        <w:tabs>
          <w:tab w:leader="none" w:pos="360" w:val="left"/>
        </w:tabs>
        <w:numPr>
          <w:ilvl w:val="0"/>
          <w:numId w:val="8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non-financing interest expense of $248 million $119 million $68 million for the three years ended December 31, 2025, 2024 and 2023, respectively. The increases in non-financing interest expense in 2025 relates to the recently completed borrowings in support of the Lexmark Acquisition financing, repayment of existing borrowings, and general corporate purposes. 2024 includes $38 million of insurance proceeds from a legal settlement for the reimbursement of certain legal and other professional costs, associated with the terminated proposal to acquire HP Inc. in early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71</w:t>
      </w:r>
    </w:p>
    <w:p>
      <w:pPr>
        <w:sectPr>
          <w:pgSz w:w="11880" w:h="15480" w:orient="portrait"/>
          <w:cols w:equalWidth="0" w:num="1">
            <w:col w:w="10040"/>
          </w:cols>
          <w:pgMar w:left="960" w:top="692" w:right="880" w:bottom="0" w:gutter="0" w:footer="0" w:header="0"/>
        </w:sectPr>
      </w:pPr>
    </w:p>
    <w:bookmarkStart w:id="81" w:name="page82"/>
    <w:bookmarkEnd w:id="81"/>
    <w:p>
      <w:pPr>
        <w:spacing w:after="0"/>
        <w:rPr>
          <w:sz w:val="20"/>
          <w:szCs w:val="20"/>
          <w:color w:val="auto"/>
        </w:rPr>
      </w:pPr>
      <w:r>
        <w:rPr>
          <w:rFonts w:ascii="Arial" w:cs="Arial" w:eastAsia="Arial" w:hAnsi="Arial"/>
          <w:sz w:val="19"/>
          <w:szCs w:val="19"/>
          <w:b w:val="1"/>
          <w:bCs w:val="1"/>
          <w:color w:val="EE2724"/>
        </w:rPr>
        <w:t>Pro Forma Basis</w:t>
      </w:r>
    </w:p>
    <w:p>
      <w:pPr>
        <w:spacing w:after="0" w:line="13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To better understand the trends in our business, we discuss our 2025 pro forma operating results by comparing them against 2024 pro forma results. The 2025 pro forma results include estimated results of Lexmark, and the 2024 pro forma results include estimated results for both Lexmark and ITsavvy. ITsavvy is included in our 2025 reported results for the entirety of the year, as the effective date of acquisition was November 20, 2024. Lexmark is included in our 2025 results as of July 1, 2025, the effective date of acquisition.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We refer to comparisons against these adjusted results as “pro forma” basis comparisons. The pro forma information has been prepared in accordance with Article 11 of Regulation S-X, "Pro Forma Financial Information”. The pro forma combined statements of operations for the years ended December 31, 2025 and 2024 combine the Consolidated Statements of Operations of Xerox giving effect to the Lexmark Acquisition and ITsavvy as if they had occurred on January 1, 2024 and 2023, respectively. The pro forma information is presented to facilitate comparisons with our results following these acquisitions. The historical results of Xerox, ITsavvy and Lexmark have been adjusted to reflect the costs of financing the transactions, fair value adjustments related to inventory, real and personal property (equipment and computer hardware and software), and intangible assets. In addition, adjustments were made to conform both ITsavvy and Lexmark's accounting policies to those of Xerox, including deferred revenue and inventory. In accordance with Article 11 of Regulation S-X, these proforma results exclude adjustments associated with transaction related costs which are already included in the historical financial statements.</w:t>
      </w:r>
    </w:p>
    <w:p>
      <w:pPr>
        <w:spacing w:after="0" w:line="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We believe comparisons on a pro forma basis are more meaningful than the actual comparisons given the size and nature of these acquisitions. We believe the pro forma basis comparisons allow investors to have a better understanding and additional perspective of the expected trends in our business as well as the impact of these acquisitions on the Company’s operations. The pro forma financial information is based upon available information and assumptions that we believe are reasonable and is for illustrative purposes only. The financial results may have been different if the transactions described above had been completed sooner. You should not rely on the pro forma financial information as being indicative of the historical results that would have been achieved if these transactions and events had been completed as of January 1, 2024 and 2023. The pro forma combined financial information below should be read in conjunction with the consolidated financial statements and related notes of the Company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72</w:t>
      </w:r>
    </w:p>
    <w:p>
      <w:pPr>
        <w:sectPr>
          <w:pgSz w:w="11880" w:h="15480" w:orient="portrait"/>
          <w:cols w:equalWidth="0" w:num="1">
            <w:col w:w="9960"/>
          </w:cols>
          <w:pgMar w:left="960" w:top="648" w:right="960" w:bottom="0" w:gutter="0" w:footer="0" w:header="0"/>
        </w:sectPr>
      </w:pPr>
    </w:p>
    <w:bookmarkStart w:id="82" w:name="page83"/>
    <w:bookmarkEnd w:id="82"/>
    <w:p>
      <w:pPr>
        <w:spacing w:after="0"/>
        <w:rPr>
          <w:sz w:val="20"/>
          <w:szCs w:val="20"/>
          <w:color w:val="auto"/>
        </w:rPr>
      </w:pPr>
      <w:r>
        <w:rPr>
          <w:rFonts w:ascii="Arial" w:cs="Arial" w:eastAsia="Arial" w:hAnsi="Arial"/>
          <w:sz w:val="23"/>
          <w:szCs w:val="23"/>
          <w:b w:val="1"/>
          <w:bCs w:val="1"/>
          <w:color w:val="DA2031"/>
        </w:rPr>
        <w:t>Pro Forma Adjusted Operating Income and Margin Reconciliation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6"/>
                <w:szCs w:val="16"/>
                <w:b w:val="1"/>
                <w:bCs w:val="1"/>
                <w:color w:val="auto"/>
              </w:rPr>
              <w:t>For the year ended December 31,</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6"/>
                <w:szCs w:val="16"/>
                <w:b w:val="1"/>
                <w:bCs w:val="1"/>
                <w:color w:val="auto"/>
              </w:rPr>
              <w:t>As Reported</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6"/>
                <w:szCs w:val="16"/>
                <w:b w:val="1"/>
                <w:bCs w:val="1"/>
                <w:color w:val="auto"/>
              </w:rPr>
              <w:t>Pro Forma</w:t>
            </w:r>
            <w:r>
              <w:rPr>
                <w:rFonts w:ascii="Arial" w:cs="Arial" w:eastAsia="Arial" w:hAnsi="Arial"/>
                <w:sz w:val="10"/>
                <w:szCs w:val="10"/>
                <w:b w:val="1"/>
                <w:bCs w:val="1"/>
                <w:color w:val="auto"/>
              </w:rPr>
              <w:t>(1)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4"/>
                <w:szCs w:val="14"/>
                <w:color w:val="auto"/>
              </w:rPr>
            </w:pPr>
          </w:p>
        </w:tc>
        <w:tc>
          <w:tcPr>
            <w:tcW w:w="980" w:type="dxa"/>
            <w:vAlign w:val="bottom"/>
            <w:gridSpan w:val="2"/>
          </w:tcPr>
          <w:p>
            <w:pPr>
              <w:ind w:left="60"/>
              <w:spacing w:after="0" w:line="166" w:lineRule="exact"/>
              <w:rPr>
                <w:sz w:val="20"/>
                <w:szCs w:val="20"/>
                <w:color w:val="auto"/>
              </w:rPr>
            </w:pPr>
            <w:r>
              <w:rPr>
                <w:rFonts w:ascii="Arial" w:cs="Arial" w:eastAsia="Arial" w:hAnsi="Arial"/>
                <w:sz w:val="16"/>
                <w:szCs w:val="16"/>
                <w:b w:val="1"/>
                <w:bCs w:val="1"/>
                <w:color w:val="auto"/>
                <w:w w:val="94"/>
              </w:rPr>
              <w:t>As Reported</w:t>
            </w:r>
          </w:p>
        </w:tc>
        <w:tc>
          <w:tcPr>
            <w:tcW w:w="340" w:type="dxa"/>
            <w:vAlign w:val="bottom"/>
          </w:tcPr>
          <w:p>
            <w:pPr>
              <w:spacing w:after="0"/>
              <w:rPr>
                <w:sz w:val="14"/>
                <w:szCs w:val="14"/>
                <w:color w:val="auto"/>
              </w:rPr>
            </w:pPr>
          </w:p>
        </w:tc>
        <w:tc>
          <w:tcPr>
            <w:tcW w:w="1320" w:type="dxa"/>
            <w:vAlign w:val="bottom"/>
            <w:gridSpan w:val="3"/>
          </w:tcPr>
          <w:p>
            <w:pPr>
              <w:ind w:left="60"/>
              <w:spacing w:after="0" w:line="166" w:lineRule="exact"/>
              <w:rPr>
                <w:sz w:val="20"/>
                <w:szCs w:val="20"/>
                <w:color w:val="auto"/>
              </w:rPr>
            </w:pPr>
            <w:r>
              <w:rPr>
                <w:rFonts w:ascii="Arial" w:cs="Arial" w:eastAsia="Arial" w:hAnsi="Arial"/>
                <w:sz w:val="16"/>
                <w:szCs w:val="16"/>
                <w:b w:val="1"/>
                <w:bCs w:val="1"/>
                <w:color w:val="auto"/>
              </w:rPr>
              <w:t>Pro Forma</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7"/>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Change</w:t>
            </w:r>
          </w:p>
        </w:tc>
        <w:tc>
          <w:tcPr>
            <w:tcW w:w="3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Change</w:t>
            </w:r>
          </w:p>
        </w:tc>
        <w:tc>
          <w:tcPr>
            <w:tcW w:w="3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Pre-tax loss</w:t>
            </w:r>
            <w:r>
              <w:rPr>
                <w:rFonts w:ascii="Arial" w:cs="Arial" w:eastAsia="Arial" w:hAnsi="Arial"/>
                <w:sz w:val="10"/>
                <w:szCs w:val="10"/>
                <w:b w:val="1"/>
                <w:bCs w:val="1"/>
                <w:color w:val="auto"/>
              </w:rPr>
              <w:t>(2)</w:t>
            </w:r>
          </w:p>
        </w:tc>
        <w:tc>
          <w:tcPr>
            <w:tcW w:w="2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DBDBDB"/>
          </w:tcPr>
          <w:p>
            <w:pPr>
              <w:jc w:val="right"/>
              <w:ind w:right="82"/>
              <w:spacing w:after="0"/>
              <w:rPr>
                <w:sz w:val="20"/>
                <w:szCs w:val="20"/>
                <w:color w:val="auto"/>
              </w:rPr>
            </w:pPr>
            <w:r>
              <w:rPr>
                <w:rFonts w:ascii="Arial" w:cs="Arial" w:eastAsia="Arial" w:hAnsi="Arial"/>
                <w:sz w:val="16"/>
                <w:szCs w:val="16"/>
                <w:b w:val="1"/>
                <w:bCs w:val="1"/>
                <w:color w:val="auto"/>
              </w:rPr>
              <w:t>(488)</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ind w:right="62"/>
              <w:spacing w:after="0"/>
              <w:rPr>
                <w:sz w:val="20"/>
                <w:szCs w:val="20"/>
                <w:color w:val="auto"/>
              </w:rPr>
            </w:pPr>
            <w:r>
              <w:rPr>
                <w:rFonts w:ascii="Arial" w:cs="Arial" w:eastAsia="Arial" w:hAnsi="Arial"/>
                <w:sz w:val="16"/>
                <w:szCs w:val="16"/>
                <w:b w:val="1"/>
                <w:bCs w:val="1"/>
                <w:color w:val="auto"/>
              </w:rPr>
              <w:t>(1,216)</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DBDBDB"/>
          </w:tcPr>
          <w:p>
            <w:pPr>
              <w:jc w:val="right"/>
              <w:ind w:right="82"/>
              <w:spacing w:after="0"/>
              <w:rPr>
                <w:sz w:val="20"/>
                <w:szCs w:val="20"/>
                <w:color w:val="auto"/>
              </w:rPr>
            </w:pPr>
            <w:r>
              <w:rPr>
                <w:rFonts w:ascii="Arial" w:cs="Arial" w:eastAsia="Arial" w:hAnsi="Arial"/>
                <w:sz w:val="16"/>
                <w:szCs w:val="16"/>
                <w:b w:val="1"/>
                <w:bCs w:val="1"/>
                <w:color w:val="auto"/>
              </w:rPr>
              <w:t>(427)</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DBDBDB"/>
          </w:tcPr>
          <w:p>
            <w:pPr>
              <w:jc w:val="right"/>
              <w:ind w:right="82"/>
              <w:spacing w:after="0"/>
              <w:rPr>
                <w:sz w:val="20"/>
                <w:szCs w:val="20"/>
                <w:color w:val="auto"/>
              </w:rPr>
            </w:pPr>
            <w:r>
              <w:rPr>
                <w:rFonts w:ascii="Arial" w:cs="Arial" w:eastAsia="Arial" w:hAnsi="Arial"/>
                <w:sz w:val="16"/>
                <w:szCs w:val="16"/>
                <w:b w:val="1"/>
                <w:bCs w:val="1"/>
                <w:color w:val="auto"/>
              </w:rPr>
              <w:t>(1,549)</w:t>
            </w:r>
          </w:p>
        </w:tc>
        <w:tc>
          <w:tcPr>
            <w:tcW w:w="24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728</w:t>
            </w:r>
          </w:p>
        </w:tc>
        <w:tc>
          <w:tcPr>
            <w:tcW w:w="340" w:type="dxa"/>
            <w:vAlign w:val="bottom"/>
            <w:shd w:val="clear" w:color="auto" w:fill="DBDBDB"/>
          </w:tcPr>
          <w:p>
            <w:pPr>
              <w:spacing w:after="0"/>
              <w:rPr>
                <w:sz w:val="20"/>
                <w:szCs w:val="20"/>
                <w:color w:val="auto"/>
              </w:rPr>
            </w:pP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1,122</w:t>
            </w:r>
          </w:p>
        </w:tc>
        <w:tc>
          <w:tcPr>
            <w:tcW w:w="3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Goodwill impairment</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1,058</w:t>
            </w:r>
          </w:p>
        </w:tc>
        <w:tc>
          <w:tcPr>
            <w:tcW w:w="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1,058</w:t>
            </w:r>
          </w:p>
        </w:tc>
        <w:tc>
          <w:tcPr>
            <w:tcW w:w="6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(1,058)</w:t>
            </w:r>
          </w:p>
        </w:tc>
        <w:tc>
          <w:tcPr>
            <w:tcW w:w="34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(1,058)</w:t>
            </w:r>
          </w:p>
        </w:tc>
        <w:tc>
          <w:tcPr>
            <w:tcW w:w="3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Inventory-related impact - exit of certain</w:t>
            </w:r>
          </w:p>
        </w:tc>
        <w:tc>
          <w:tcPr>
            <w:tcW w:w="220" w:type="dxa"/>
            <w:vAlign w:val="bottom"/>
          </w:tcPr>
          <w:p>
            <w:pPr>
              <w:spacing w:after="0"/>
              <w:rPr>
                <w:sz w:val="16"/>
                <w:szCs w:val="16"/>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24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51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24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51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production print manufacturing operations</w:t>
            </w:r>
            <w:r>
              <w:rPr>
                <w:rFonts w:ascii="Arial" w:cs="Arial" w:eastAsia="Arial" w:hAnsi="Arial"/>
                <w:sz w:val="10"/>
                <w:szCs w:val="10"/>
                <w:b w:val="1"/>
                <w:bCs w:val="1"/>
                <w:color w:val="auto"/>
                <w:w w:val="91"/>
              </w:rPr>
              <w:t>(3)</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160" w:type="dxa"/>
            <w:vAlign w:val="bottom"/>
            <w:gridSpan w:val="2"/>
            <w:shd w:val="clear" w:color="auto" w:fill="DBDBDB"/>
          </w:tcPr>
          <w:p>
            <w:pPr>
              <w:ind w:left="60"/>
              <w:spacing w:after="0" w:line="181" w:lineRule="exact"/>
              <w:rPr>
                <w:sz w:val="20"/>
                <w:szCs w:val="20"/>
                <w:color w:val="auto"/>
              </w:rPr>
            </w:pPr>
            <w:r>
              <w:rPr>
                <w:rFonts w:ascii="Arial" w:cs="Arial" w:eastAsia="Arial" w:hAnsi="Arial"/>
                <w:sz w:val="16"/>
                <w:szCs w:val="16"/>
                <w:b w:val="1"/>
                <w:bCs w:val="1"/>
                <w:color w:val="auto"/>
              </w:rPr>
              <w:t>Lexmark - inventory-related purchase</w:t>
            </w:r>
          </w:p>
        </w:tc>
        <w:tc>
          <w:tcPr>
            <w:tcW w:w="22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102</w:t>
            </w:r>
          </w:p>
        </w:tc>
        <w:tc>
          <w:tcPr>
            <w:tcW w:w="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74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6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10</w:t>
            </w:r>
          </w:p>
        </w:tc>
        <w:tc>
          <w:tcPr>
            <w:tcW w:w="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2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92</w:t>
            </w:r>
          </w:p>
        </w:tc>
        <w:tc>
          <w:tcPr>
            <w:tcW w:w="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0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102</w:t>
            </w:r>
          </w:p>
        </w:tc>
        <w:tc>
          <w:tcPr>
            <w:tcW w:w="3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(82)</w:t>
            </w:r>
          </w:p>
        </w:tc>
        <w:tc>
          <w:tcPr>
            <w:tcW w:w="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accounting adjustment</w:t>
            </w:r>
            <w:r>
              <w:rPr>
                <w:rFonts w:ascii="Arial" w:cs="Arial" w:eastAsia="Arial" w:hAnsi="Arial"/>
                <w:sz w:val="10"/>
                <w:szCs w:val="10"/>
                <w:b w:val="1"/>
                <w:bCs w:val="1"/>
                <w:color w:val="auto"/>
              </w:rPr>
              <w:t>(4)</w:t>
            </w:r>
          </w:p>
        </w:tc>
        <w:tc>
          <w:tcPr>
            <w:tcW w:w="220" w:type="dxa"/>
            <w:vAlign w:val="bottom"/>
            <w:shd w:val="clear" w:color="auto" w:fill="DBDBDB"/>
          </w:tcPr>
          <w:p>
            <w:pPr>
              <w:spacing w:after="0"/>
              <w:rPr>
                <w:sz w:val="18"/>
                <w:szCs w:val="18"/>
                <w:color w:val="auto"/>
              </w:rPr>
            </w:pPr>
          </w:p>
        </w:tc>
        <w:tc>
          <w:tcPr>
            <w:tcW w:w="76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4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60" w:type="dxa"/>
            <w:vAlign w:val="bottom"/>
            <w:gridSpan w:val="2"/>
          </w:tcPr>
          <w:p>
            <w:pPr>
              <w:ind w:left="60"/>
              <w:spacing w:after="0" w:line="176" w:lineRule="exact"/>
              <w:rPr>
                <w:sz w:val="20"/>
                <w:szCs w:val="20"/>
                <w:color w:val="auto"/>
              </w:rPr>
            </w:pPr>
            <w:r>
              <w:rPr>
                <w:rFonts w:ascii="Arial" w:cs="Arial" w:eastAsia="Arial" w:hAnsi="Arial"/>
                <w:sz w:val="16"/>
                <w:szCs w:val="16"/>
                <w:b w:val="1"/>
                <w:bCs w:val="1"/>
                <w:color w:val="auto"/>
              </w:rPr>
              <w:t>Lexmark - fixed asset-related purchase</w:t>
            </w:r>
          </w:p>
        </w:tc>
        <w:tc>
          <w:tcPr>
            <w:tcW w:w="220" w:type="dxa"/>
            <w:vAlign w:val="bottom"/>
          </w:tcPr>
          <w:p>
            <w:pPr>
              <w:spacing w:after="0"/>
              <w:rPr>
                <w:sz w:val="15"/>
                <w:szCs w:val="15"/>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29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67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61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accounting adjustment</w:t>
            </w:r>
            <w:r>
              <w:rPr>
                <w:rFonts w:ascii="Arial" w:cs="Arial" w:eastAsia="Arial" w:hAnsi="Arial"/>
                <w:sz w:val="10"/>
                <w:szCs w:val="10"/>
                <w:b w:val="1"/>
                <w:bCs w:val="1"/>
                <w:color w:val="auto"/>
              </w:rPr>
              <w:t>(4)</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Lexmark - settlement of pre-existing</w:t>
            </w:r>
          </w:p>
        </w:tc>
        <w:tc>
          <w:tcPr>
            <w:tcW w:w="220" w:type="dxa"/>
            <w:vAlign w:val="bottom"/>
            <w:shd w:val="clear" w:color="auto" w:fill="DBDBDB"/>
          </w:tcPr>
          <w:p>
            <w:pPr>
              <w:spacing w:after="0"/>
              <w:rPr>
                <w:sz w:val="17"/>
                <w:szCs w:val="17"/>
                <w:color w:val="auto"/>
              </w:rPr>
            </w:pPr>
          </w:p>
        </w:tc>
        <w:tc>
          <w:tcPr>
            <w:tcW w:w="76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4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6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2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19</w:t>
            </w:r>
          </w:p>
        </w:tc>
        <w:tc>
          <w:tcPr>
            <w:tcW w:w="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(19)</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employment agreements</w:t>
            </w:r>
          </w:p>
        </w:tc>
        <w:tc>
          <w:tcPr>
            <w:tcW w:w="220" w:type="dxa"/>
            <w:vAlign w:val="bottom"/>
            <w:shd w:val="clear" w:color="auto" w:fill="DBDBDB"/>
          </w:tcPr>
          <w:p>
            <w:pPr>
              <w:spacing w:after="0"/>
              <w:rPr>
                <w:sz w:val="18"/>
                <w:szCs w:val="18"/>
                <w:color w:val="auto"/>
              </w:rPr>
            </w:pPr>
          </w:p>
        </w:tc>
        <w:tc>
          <w:tcPr>
            <w:tcW w:w="76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4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Lexmark - transaction and related costs,</w:t>
            </w:r>
          </w:p>
        </w:tc>
        <w:tc>
          <w:tcPr>
            <w:tcW w:w="220" w:type="dxa"/>
            <w:vAlign w:val="bottom"/>
          </w:tcPr>
          <w:p>
            <w:pPr>
              <w:spacing w:after="0"/>
              <w:rPr>
                <w:sz w:val="16"/>
                <w:szCs w:val="16"/>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Lexmark - pre-existing employment</w:t>
            </w:r>
          </w:p>
        </w:tc>
        <w:tc>
          <w:tcPr>
            <w:tcW w:w="220" w:type="dxa"/>
            <w:vAlign w:val="bottom"/>
            <w:shd w:val="clear" w:color="auto" w:fill="DBDBDB"/>
          </w:tcPr>
          <w:p>
            <w:pPr>
              <w:spacing w:after="0"/>
              <w:rPr>
                <w:sz w:val="17"/>
                <w:szCs w:val="17"/>
                <w:color w:val="auto"/>
              </w:rPr>
            </w:pPr>
          </w:p>
        </w:tc>
        <w:tc>
          <w:tcPr>
            <w:tcW w:w="76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25</w:t>
            </w:r>
          </w:p>
        </w:tc>
        <w:tc>
          <w:tcPr>
            <w:tcW w:w="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4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6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25</w:t>
            </w:r>
          </w:p>
        </w:tc>
        <w:tc>
          <w:tcPr>
            <w:tcW w:w="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2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25</w:t>
            </w:r>
          </w:p>
        </w:tc>
        <w:tc>
          <w:tcPr>
            <w:tcW w:w="3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25</w:t>
            </w:r>
          </w:p>
        </w:tc>
        <w:tc>
          <w:tcPr>
            <w:tcW w:w="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agreements settled post-acquisition</w:t>
            </w:r>
          </w:p>
        </w:tc>
        <w:tc>
          <w:tcPr>
            <w:tcW w:w="220" w:type="dxa"/>
            <w:vAlign w:val="bottom"/>
            <w:shd w:val="clear" w:color="auto" w:fill="DBDBDB"/>
          </w:tcPr>
          <w:p>
            <w:pPr>
              <w:spacing w:after="0"/>
              <w:rPr>
                <w:sz w:val="18"/>
                <w:szCs w:val="18"/>
                <w:color w:val="auto"/>
              </w:rPr>
            </w:pPr>
          </w:p>
        </w:tc>
        <w:tc>
          <w:tcPr>
            <w:tcW w:w="76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4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20" w:type="dxa"/>
            <w:vAlign w:val="bottom"/>
            <w:vMerge w:val="continue"/>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Lexmark - sales of assets</w:t>
            </w:r>
          </w:p>
        </w:tc>
        <w:tc>
          <w:tcPr>
            <w:tcW w:w="220" w:type="dxa"/>
            <w:vAlign w:val="bottom"/>
          </w:tcPr>
          <w:p>
            <w:pPr>
              <w:spacing w:after="0"/>
              <w:rPr>
                <w:sz w:val="21"/>
                <w:szCs w:val="21"/>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2"/>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Reinvention-related costs</w:t>
            </w: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17</w:t>
            </w:r>
          </w:p>
        </w:tc>
        <w:tc>
          <w:tcPr>
            <w:tcW w:w="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7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12</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17</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12</w:t>
            </w:r>
          </w:p>
        </w:tc>
        <w:tc>
          <w:tcPr>
            <w:tcW w:w="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8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5</w:t>
            </w:r>
          </w:p>
        </w:tc>
        <w:tc>
          <w:tcPr>
            <w:tcW w:w="34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w:t>
            </w:r>
          </w:p>
        </w:tc>
        <w:tc>
          <w:tcPr>
            <w:tcW w:w="3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Restructuring and related costs, net</w:t>
            </w:r>
          </w:p>
        </w:tc>
        <w:tc>
          <w:tcPr>
            <w:tcW w:w="220" w:type="dxa"/>
            <w:vAlign w:val="bottom"/>
          </w:tcPr>
          <w:p>
            <w:pPr>
              <w:spacing w:after="0"/>
              <w:rPr>
                <w:sz w:val="21"/>
                <w:szCs w:val="21"/>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b w:val="1"/>
                <w:bCs w:val="1"/>
                <w:color w:val="auto"/>
              </w:rPr>
              <w:t>66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2"/>
              <w:spacing w:after="0"/>
              <w:rPr>
                <w:sz w:val="20"/>
                <w:szCs w:val="20"/>
                <w:color w:val="auto"/>
              </w:rPr>
            </w:pPr>
            <w:r>
              <w:rPr>
                <w:rFonts w:ascii="Arial" w:cs="Arial" w:eastAsia="Arial" w:hAnsi="Arial"/>
                <w:sz w:val="16"/>
                <w:szCs w:val="16"/>
                <w:b w:val="1"/>
                <w:bCs w:val="1"/>
                <w:color w:val="auto"/>
              </w:rPr>
              <w:t>112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22"/>
              <w:spacing w:after="0"/>
              <w:rPr>
                <w:sz w:val="20"/>
                <w:szCs w:val="20"/>
                <w:color w:val="auto"/>
              </w:rPr>
            </w:pPr>
            <w:r>
              <w:rPr>
                <w:rFonts w:ascii="Arial" w:cs="Arial" w:eastAsia="Arial" w:hAnsi="Arial"/>
                <w:sz w:val="16"/>
                <w:szCs w:val="16"/>
                <w:b w:val="1"/>
                <w:bCs w:val="1"/>
                <w:color w:val="auto"/>
              </w:rPr>
              <w:t>65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b w:val="1"/>
                <w:bCs w:val="1"/>
                <w:color w:val="auto"/>
              </w:rPr>
              <w:t>109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83</w:t>
            </w:r>
          </w:p>
        </w:tc>
        <w:tc>
          <w:tcPr>
            <w:tcW w:w="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7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73</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125</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328</w:t>
            </w:r>
          </w:p>
        </w:tc>
        <w:tc>
          <w:tcPr>
            <w:tcW w:w="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8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10</w:t>
            </w:r>
          </w:p>
        </w:tc>
        <w:tc>
          <w:tcPr>
            <w:tcW w:w="34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(203)</w:t>
            </w:r>
          </w:p>
        </w:tc>
        <w:tc>
          <w:tcPr>
            <w:tcW w:w="3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Divestiture</w:t>
            </w:r>
          </w:p>
        </w:tc>
        <w:tc>
          <w:tcPr>
            <w:tcW w:w="220" w:type="dxa"/>
            <w:vAlign w:val="bottom"/>
          </w:tcPr>
          <w:p>
            <w:pPr>
              <w:spacing w:after="0"/>
              <w:rPr>
                <w:sz w:val="21"/>
                <w:szCs w:val="21"/>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2"/>
              <w:spacing w:after="0"/>
              <w:rPr>
                <w:sz w:val="20"/>
                <w:szCs w:val="20"/>
                <w:color w:val="auto"/>
              </w:rPr>
            </w:pPr>
            <w:r>
              <w:rPr>
                <w:rFonts w:ascii="Arial" w:cs="Arial" w:eastAsia="Arial" w:hAnsi="Arial"/>
                <w:sz w:val="16"/>
                <w:szCs w:val="16"/>
                <w:b w:val="1"/>
                <w:bCs w:val="1"/>
                <w:color w:val="auto"/>
              </w:rPr>
              <w:t>47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82"/>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b w:val="1"/>
                <w:bCs w:val="1"/>
                <w:color w:val="auto"/>
              </w:rPr>
              <w:t>47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Transaction and related costs, net</w:t>
            </w: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34</w:t>
            </w:r>
          </w:p>
        </w:tc>
        <w:tc>
          <w:tcPr>
            <w:tcW w:w="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7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34</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w:t>
            </w:r>
          </w:p>
        </w:tc>
        <w:tc>
          <w:tcPr>
            <w:tcW w:w="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8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27</w:t>
            </w:r>
          </w:p>
        </w:tc>
        <w:tc>
          <w:tcPr>
            <w:tcW w:w="34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27</w:t>
            </w:r>
          </w:p>
        </w:tc>
        <w:tc>
          <w:tcPr>
            <w:tcW w:w="3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DBDBDB"/>
            </w:tcBorders>
            <w:gridSpan w:val="2"/>
          </w:tcPr>
          <w:p>
            <w:pPr>
              <w:ind w:left="60"/>
              <w:spacing w:after="0"/>
              <w:rPr>
                <w:sz w:val="20"/>
                <w:szCs w:val="20"/>
                <w:color w:val="auto"/>
              </w:rPr>
            </w:pPr>
            <w:r>
              <w:rPr>
                <w:rFonts w:ascii="Arial" w:cs="Arial" w:eastAsia="Arial" w:hAnsi="Arial"/>
                <w:sz w:val="16"/>
                <w:szCs w:val="16"/>
                <w:b w:val="1"/>
                <w:bCs w:val="1"/>
                <w:color w:val="auto"/>
              </w:rPr>
              <w:t xml:space="preserve">Other expenses, net </w:t>
            </w:r>
            <w:r>
              <w:rPr>
                <w:rFonts w:ascii="Arial" w:cs="Arial" w:eastAsia="Arial" w:hAnsi="Arial"/>
                <w:sz w:val="10"/>
                <w:szCs w:val="10"/>
                <w:b w:val="1"/>
                <w:bCs w:val="1"/>
                <w:color w:val="auto"/>
              </w:rPr>
              <w:t>(5), (6), (7)</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360</w:t>
            </w:r>
          </w:p>
        </w:tc>
        <w:tc>
          <w:tcPr>
            <w:tcW w:w="6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158</w:t>
            </w:r>
          </w:p>
        </w:tc>
        <w:tc>
          <w:tcPr>
            <w:tcW w:w="6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395</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358</w:t>
            </w:r>
          </w:p>
        </w:tc>
        <w:tc>
          <w:tcPr>
            <w:tcW w:w="6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w:t>
            </w:r>
          </w:p>
        </w:tc>
        <w:tc>
          <w:tcPr>
            <w:tcW w:w="34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34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Adjusted</w:t>
            </w:r>
          </w:p>
        </w:tc>
        <w:tc>
          <w:tcPr>
            <w:tcW w:w="2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248</w:t>
            </w:r>
          </w:p>
        </w:tc>
        <w:tc>
          <w:tcPr>
            <w:tcW w:w="3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302</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345</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553</w:t>
            </w:r>
          </w:p>
        </w:tc>
        <w:tc>
          <w:tcPr>
            <w:tcW w:w="24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(54)</w:t>
            </w:r>
          </w:p>
        </w:tc>
        <w:tc>
          <w:tcPr>
            <w:tcW w:w="340" w:type="dxa"/>
            <w:vAlign w:val="bottom"/>
            <w:shd w:val="clear" w:color="auto" w:fill="DBDBDB"/>
          </w:tcPr>
          <w:p>
            <w:pPr>
              <w:spacing w:after="0"/>
              <w:rPr>
                <w:sz w:val="21"/>
                <w:szCs w:val="21"/>
                <w:color w:val="auto"/>
              </w:rPr>
            </w:pP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(208)</w:t>
            </w:r>
          </w:p>
        </w:tc>
        <w:tc>
          <w:tcPr>
            <w:tcW w:w="3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080" w:type="dxa"/>
            <w:vAlign w:val="bottom"/>
            <w:tcBorders>
              <w:top w:val="single" w:sz="8" w:color="DBDBDB"/>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DBDBDB"/>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DBDBDB"/>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DBDBDB"/>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7,022</w:t>
            </w:r>
          </w:p>
        </w:tc>
        <w:tc>
          <w:tcPr>
            <w:tcW w:w="6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6,221</w:t>
            </w:r>
          </w:p>
        </w:tc>
        <w:tc>
          <w:tcPr>
            <w:tcW w:w="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7,962</w:t>
            </w:r>
          </w:p>
        </w:tc>
        <w:tc>
          <w:tcPr>
            <w:tcW w:w="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8,620</w:t>
            </w:r>
          </w:p>
        </w:tc>
        <w:tc>
          <w:tcPr>
            <w:tcW w:w="6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801</w:t>
            </w:r>
          </w:p>
        </w:tc>
        <w:tc>
          <w:tcPr>
            <w:tcW w:w="34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(658)</w:t>
            </w:r>
          </w:p>
        </w:tc>
        <w:tc>
          <w:tcPr>
            <w:tcW w:w="3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160" w:type="dxa"/>
            <w:vAlign w:val="bottom"/>
            <w:gridSpan w:val="2"/>
          </w:tcPr>
          <w:p>
            <w:pPr>
              <w:ind w:left="60"/>
              <w:spacing w:after="0"/>
              <w:rPr>
                <w:sz w:val="20"/>
                <w:szCs w:val="20"/>
                <w:color w:val="auto"/>
              </w:rPr>
            </w:pPr>
            <w:r>
              <w:rPr>
                <w:rFonts w:ascii="Arial" w:cs="Arial" w:eastAsia="Arial" w:hAnsi="Arial"/>
                <w:sz w:val="16"/>
                <w:szCs w:val="16"/>
                <w:b w:val="1"/>
                <w:bCs w:val="1"/>
                <w:color w:val="auto"/>
              </w:rPr>
              <w:t>Pre-tax Loss Margin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12.6</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99"/>
              </w:rPr>
              <w:t>pts</w:t>
            </w: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12.6  pts</w:t>
            </w:r>
          </w:p>
        </w:tc>
        <w:tc>
          <w:tcPr>
            <w:tcW w:w="0" w:type="dxa"/>
            <w:vAlign w:val="bottom"/>
          </w:tcPr>
          <w:p>
            <w:pPr>
              <w:spacing w:after="0"/>
              <w:rPr>
                <w:sz w:val="1"/>
                <w:szCs w:val="1"/>
                <w:color w:val="auto"/>
              </w:rPr>
            </w:pPr>
          </w:p>
        </w:tc>
      </w:tr>
      <w:tr>
        <w:trPr>
          <w:trHeight w:val="253"/>
        </w:trPr>
        <w:tc>
          <w:tcPr>
            <w:tcW w:w="3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Adjusted Operating Income Margin</w:t>
            </w: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3.5 %</w:t>
            </w:r>
          </w:p>
        </w:tc>
        <w:tc>
          <w:tcPr>
            <w:tcW w:w="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4.9 %</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4.3 %</w:t>
            </w:r>
          </w:p>
        </w:tc>
        <w:tc>
          <w:tcPr>
            <w:tcW w:w="6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6.4 %</w:t>
            </w:r>
          </w:p>
        </w:tc>
        <w:tc>
          <w:tcPr>
            <w:tcW w:w="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(1.4) pts</w:t>
            </w:r>
          </w:p>
        </w:tc>
        <w:tc>
          <w:tcPr>
            <w:tcW w:w="180" w:type="dxa"/>
            <w:vAlign w:val="bottom"/>
            <w:shd w:val="clear" w:color="auto" w:fill="DBDBDB"/>
          </w:tcPr>
          <w:p>
            <w:pPr>
              <w:spacing w:after="0"/>
              <w:rPr>
                <w:sz w:val="22"/>
                <w:szCs w:val="22"/>
                <w:color w:val="auto"/>
              </w:rPr>
            </w:pPr>
          </w:p>
        </w:tc>
        <w:tc>
          <w:tcPr>
            <w:tcW w:w="11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b w:val="1"/>
                <w:bCs w:val="1"/>
                <w:color w:val="auto"/>
              </w:rPr>
              <w:t>(2.1) 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-652780</wp:posOffset>
            </wp:positionV>
            <wp:extent cx="4100195" cy="5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4100195" cy="5016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60" w:hanging="356"/>
        <w:spacing w:after="0" w:line="242" w:lineRule="auto"/>
        <w:tabs>
          <w:tab w:leader="none" w:pos="360"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inclusion of Lexmark as if it was acquired on January 1, 2024, and ITSavvy was acquired on January 1, 2023. Refer to the "Pro Forma Basis" section above for an explanation of this measure.</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Pre-tax loss.</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77" w:lineRule="auto"/>
        <w:tabs>
          <w:tab w:leader="none" w:pos="360" w:val="left"/>
        </w:tabs>
        <w:numPr>
          <w:ilvl w:val="0"/>
          <w:numId w:val="8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 a result of the exit of certain production print manufacturing operations, Cost of sales and Cost of services, maintenance, rentals and other includes inventory-related charges of $24 and $8 for the years ended December 31, 2025 and 2024, respectively, as well as the cancellation of related purchase contracts $— and $43 for the years ended December 31, 2025 and 2024, respectively</w:t>
      </w:r>
    </w:p>
    <w:p>
      <w:pPr>
        <w:spacing w:after="0" w:line="1" w:lineRule="exact"/>
        <w:rPr>
          <w:rFonts w:ascii="Arial" w:cs="Arial" w:eastAsia="Arial" w:hAnsi="Arial"/>
          <w:sz w:val="14"/>
          <w:szCs w:val="14"/>
          <w:b w:val="1"/>
          <w:bCs w:val="1"/>
          <w:i w:val="1"/>
          <w:iCs w:val="1"/>
          <w:color w:val="auto"/>
        </w:rPr>
      </w:pPr>
    </w:p>
    <w:p>
      <w:pPr>
        <w:ind w:left="360" w:hanging="356"/>
        <w:spacing w:after="0"/>
        <w:tabs>
          <w:tab w:leader="none" w:pos="360" w:val="left"/>
        </w:tabs>
        <w:numPr>
          <w:ilvl w:val="0"/>
          <w:numId w:val="8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the related impacts to Cost of sales for the purchase accounting adjustments to recognize inventory and fixed assets at fair value.</w:t>
      </w:r>
    </w:p>
    <w:p>
      <w:pPr>
        <w:spacing w:after="0" w:line="25" w:lineRule="exact"/>
        <w:rPr>
          <w:rFonts w:ascii="Arial" w:cs="Arial" w:eastAsia="Arial" w:hAnsi="Arial"/>
          <w:sz w:val="14"/>
          <w:szCs w:val="14"/>
          <w:b w:val="1"/>
          <w:bCs w:val="1"/>
          <w:i w:val="1"/>
          <w:iCs w:val="1"/>
          <w:color w:val="auto"/>
        </w:rPr>
      </w:pPr>
    </w:p>
    <w:p>
      <w:pPr>
        <w:ind w:left="360" w:hanging="356"/>
        <w:spacing w:after="0"/>
        <w:tabs>
          <w:tab w:leader="none" w:pos="360"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non-service retirement-related costs.</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42" w:lineRule="auto"/>
        <w:tabs>
          <w:tab w:leader="none" w:pos="360"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non-financing interest expense of $248 million and $119 million for the years ended December 31, 2025, and 2024 , respectively. The increases in non-financing interest expense in 2025 relates to the recently completed borrowings in support of the Lexmark Acquisition financing, repayment of existing borrowings, and general corporate purposes. 2024 includes $38 million of insurance proceeds from a legal settlement for the reimbursement of certain legal and other professional costs, associated with the terminated proposal to acquire HP Inc. in early 2020.</w:t>
      </w:r>
    </w:p>
    <w:p>
      <w:pPr>
        <w:spacing w:after="0" w:line="3"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pro forma adjustments for interest and amortization of debt issuance costs partially offset by an adjustment related to pension benefits (excluding service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73</w:t>
      </w:r>
    </w:p>
    <w:p>
      <w:pPr>
        <w:sectPr>
          <w:pgSz w:w="11880" w:h="15480" w:orient="portrait"/>
          <w:cols w:equalWidth="0" w:num="1">
            <w:col w:w="9960"/>
          </w:cols>
          <w:pgMar w:left="960" w:top="637" w:right="960" w:bottom="0" w:gutter="0" w:footer="0" w:header="0"/>
        </w:sectPr>
      </w:pPr>
    </w:p>
    <w:bookmarkStart w:id="83" w:name="page84"/>
    <w:bookmarkEnd w:id="83"/>
    <w:p>
      <w:pPr>
        <w:ind w:right="2420"/>
        <w:spacing w:after="0" w:line="364" w:lineRule="auto"/>
        <w:rPr>
          <w:sz w:val="20"/>
          <w:szCs w:val="20"/>
          <w:color w:val="auto"/>
        </w:rPr>
      </w:pPr>
      <w:r>
        <w:rPr>
          <w:rFonts w:ascii="Arial" w:cs="Arial" w:eastAsia="Arial" w:hAnsi="Arial"/>
          <w:sz w:val="23"/>
          <w:szCs w:val="23"/>
          <w:b w:val="1"/>
          <w:bCs w:val="1"/>
          <w:color w:val="DA2031"/>
        </w:rPr>
        <w:t>Item 7A. Quantitative and Qualitative Disclosures About Market Risk Financial Risk Management</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are exposed to market risk from changes in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We utilized derivative financial instruments to hedge economic exposures, as well as reduce earnings and cash flow volatility resulting from shifts in market rates.</w:t>
      </w:r>
    </w:p>
    <w:p>
      <w:pPr>
        <w:spacing w:after="0" w:line="7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Recent market events have not caused us to materially modify or change our financial risk management strategies with respect to our exposures to interest rate and foreign currency risk. Refer to Note 16 - Financial Instruments in the Consolidated Financial Statements for additional discussion on our financial risk management.</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Foreign Exchange Risk Management</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Assuming a 10% appreciation or depreciation in foreign currency exchange rates from the quoted foreign currency exchange rates at December 31, 2025, it would not significantly change the value of foreign currency-denominated assets and liabilities as all material currency asset and liability exposures were economically hedged as of December 31, 2025. A 10% appreciation or depreciation of the U.S. Dollar against all currencies from the quoted foreign currency exchange rates at December 31, 2025 would have an impact on our cumulative translation adjustment portion of equity of approximately $266 million. The net amount invested in foreign subsidiaries and affiliates, primarily Xerox Limited and Xerox Canada Inc. and translated into U.S. Dollars using the year-end exchange rates, was approximately $2.7 billion at December 31, 2025.</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Interest Rate Risk Management</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consolidated average interest rate associated with our total debt for 2025, 2024 and 2023 approximated 7.7%, 6.5%, and 6.0% respectively. Interest expense includes the impact of our interest rate derivatives.</w:t>
      </w:r>
    </w:p>
    <w:p>
      <w:pPr>
        <w:spacing w:after="0" w:line="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Nearly all of our customer-financing assets earn fixed rates of interest. The interest rates on a significant portion of the Company's term debt are fixed.</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As of December 31, 2025, of our total principal debt of $4,344 million, a total of $706 million of secured borrowings carried variable interest rates, of which $706 million Term Loan B (TLB) has a variable interest rate based on SOFR plus a spread.</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fair market values of our fixed-rate financial instruments are sensitive to changes in interest rates. At December 31, 2025, a 10% increase in market interest rates would reduce the fair values of such financial instruments by approximately $133 million.</w:t>
      </w:r>
    </w:p>
    <w:p>
      <w:pPr>
        <w:spacing w:after="0" w:line="6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The principal balance of our secured borrowings with a variable rate was $706 million as of December 31, 2025. These variable rate secured borrowings have fixed interest rate caps and swaps with notional amounts of $175 million. As of December 31, 2025, $175 million include derivatives which were de-designated as cash flow hedges.</w:t>
      </w:r>
    </w:p>
    <w:p>
      <w:pPr>
        <w:spacing w:after="0" w:line="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A 10% change in the yield curve, representing approximately 50 basis points, will increase the derivative mark-to-market by approximately $2 million.</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Refer to Note 15 - Debt in the Consolidated Financial Statements for additional information regarding our interest expense and our secured borrowings and Note 16 - Financial Instruments in the Consolidated Financial Statements for additional information regarding our interest rate caps and swaps.</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DA2031"/>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74</w:t>
      </w:r>
    </w:p>
    <w:p>
      <w:pPr>
        <w:sectPr>
          <w:pgSz w:w="11880" w:h="15480" w:orient="portrait"/>
          <w:cols w:equalWidth="0" w:num="1">
            <w:col w:w="9960"/>
          </w:cols>
          <w:pgMar w:left="960" w:top="724" w:right="960" w:bottom="0" w:gutter="0" w:footer="0" w:header="0"/>
        </w:sectPr>
      </w:pPr>
    </w:p>
    <w:bookmarkStart w:id="84" w:name="page85"/>
    <w:bookmarkEnd w:id="84"/>
    <w:p>
      <w:pPr>
        <w:spacing w:after="0"/>
        <w:rPr>
          <w:sz w:val="20"/>
          <w:szCs w:val="20"/>
          <w:color w:val="auto"/>
        </w:rPr>
      </w:pPr>
      <w:r>
        <w:rPr>
          <w:rFonts w:ascii="Arial" w:cs="Arial" w:eastAsia="Arial" w:hAnsi="Arial"/>
          <w:sz w:val="23"/>
          <w:szCs w:val="23"/>
          <w:b w:val="1"/>
          <w:bCs w:val="1"/>
          <w:i w:val="1"/>
          <w:iCs w:val="1"/>
          <w:color w:val="DA2031"/>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0C0C0C"/>
        </w:rPr>
        <w:t>To the Board of Directors and Shareholders of Xerox Holdings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Opinions on the Financial Statements and Internal Control over Financial Reporting</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0C0C0C"/>
        </w:rPr>
        <w:t>We have audited the accompanying consolidated balance sheets of Xerox Holdings Corporation and its subsidiaries (the "Company") as of December 31, 2025 and 2024, and the related consolidated statements of (loss) income, of comprehensive loss, of shareholders'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0C0C0C"/>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Basis for Opinions</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0C0C0C"/>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0C0C0C"/>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0C0C0C"/>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0C0C0C"/>
        </w:rPr>
        <w:t>As described in Management’s Report on Internal Control over Financial Reporting, management has excluded Lexmark International II, LLC ("Lexmark") from its assessment of internal control over financial reporting as of December 31, 2025, because it was acquired by the Company in a purchase business combination during 2025. We have also excluded Lexmark from our audit of internal control over financial reporting. Lexmark is a wholly owned subsidiary whose total assets and total revenues excluded from management’s assessment and our audit of internal control over financial reporting represent approximately 13% and 14%, respectively, of the related consolidated financial statement amounts as of and for the year ended December 31, 2025.</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Definition and Limitations of Internal Control over Financial Reporting</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0C0C0C"/>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w:t>
      </w:r>
    </w:p>
    <w:p>
      <w:pPr>
        <w:spacing w:after="0" w:line="33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75</w:t>
      </w:r>
    </w:p>
    <w:p>
      <w:pPr>
        <w:sectPr>
          <w:pgSz w:w="11880" w:h="15480" w:orient="portrait"/>
          <w:cols w:equalWidth="0" w:num="1">
            <w:col w:w="9960"/>
          </w:cols>
          <w:pgMar w:left="960" w:top="727" w:right="960" w:bottom="0" w:gutter="0" w:footer="0" w:header="0"/>
        </w:sectPr>
      </w:pPr>
    </w:p>
    <w:bookmarkStart w:id="85" w:name="page86"/>
    <w:bookmarkEnd w:id="85"/>
    <w:p>
      <w:pPr>
        <w:jc w:val="both"/>
        <w:spacing w:after="0" w:line="284" w:lineRule="auto"/>
        <w:rPr>
          <w:sz w:val="20"/>
          <w:szCs w:val="20"/>
          <w:color w:val="auto"/>
        </w:rPr>
      </w:pPr>
      <w:r>
        <w:rPr>
          <w:rFonts w:ascii="Arial" w:cs="Arial" w:eastAsia="Arial" w:hAnsi="Arial"/>
          <w:sz w:val="18"/>
          <w:szCs w:val="18"/>
          <w:b w:val="1"/>
          <w:bCs w:val="1"/>
          <w:color w:val="0C0C0C"/>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0C0C0C"/>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Critical Audit Matters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0C0C0C"/>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Acquisition of Lexmark - Valuation of Customer Relationships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0C0C0C"/>
        </w:rPr>
        <w:t>As described in Note 6 to the consolidated financial statements, on July 1, 2025, the Company completed the acquisition of Lexmark for total consideration paid of $768 million. Of the acquired total identifiable intangible assets, $530 million of customer relationships were recorded. Customer relationships were valued using a multi-period excess earnings method which calculates the present value of the estimated revenues and net cash flows derived from it. The present value of these projected future cash flows included significant judgment and assumptions regarding projected annual revenues derived from estimates of customer attrition, projected operating margins, and the discount rate.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0C0C0C"/>
        </w:rPr>
        <w:t>The principal considerations for our determination that performing procedures relating to the valuation of customer relationships acquired in the acquisition of Lexmark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projected annual revenues derived from estimates of customer attrition, projected operating margins, and the discount rate; and (iii) the audit effort involved the use of professionals with specialized skill and knowledge.</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0C0C0C"/>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projected annual revenues derived from estimates of customer attrition, projected operating margins, and the discount rate. Evaluating management’s assumption related to projected operating margins involved considering (i) the current and past performance of the Lexmark business and (ii) whether the assumption was consistent with evidence obtained in other areas of the audit. Professionals with specialized skill and knowledge were used to assist in evaluating (i) the appropriateness of the multi-period excess earnings method and (ii) the reasonableness of the projected annual revenues derived from estimates of customer attrition and discount rate assumptions.</w:t>
      </w: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20611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3206115" cy="1206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Stamford, Connecticut</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March 16, 2026</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We have served as the Company’s </w:t>
      </w:r>
      <w:r>
        <w:rPr>
          <w:rFonts w:ascii="Arial" w:cs="Arial" w:eastAsia="Arial" w:hAnsi="Arial"/>
          <w:sz w:val="19"/>
          <w:szCs w:val="19"/>
          <w:b w:val="1"/>
          <w:bCs w:val="1"/>
          <w:color w:val="131313"/>
        </w:rPr>
        <w:t>or its predecessor's</w:t>
      </w:r>
      <w:r>
        <w:rPr>
          <w:rFonts w:ascii="Arial" w:cs="Arial" w:eastAsia="Arial" w:hAnsi="Arial"/>
          <w:sz w:val="19"/>
          <w:szCs w:val="19"/>
          <w:b w:val="1"/>
          <w:bCs w:val="1"/>
          <w:color w:val="auto"/>
        </w:rPr>
        <w:t xml:space="preserve"> auditor since 2001.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76</w:t>
      </w:r>
    </w:p>
    <w:p>
      <w:pPr>
        <w:sectPr>
          <w:pgSz w:w="11880" w:h="15480" w:orient="portrait"/>
          <w:cols w:equalWidth="0" w:num="1">
            <w:col w:w="9960"/>
          </w:cols>
          <w:pgMar w:left="960" w:top="736" w:right="960" w:bottom="0" w:gutter="0" w:footer="0" w:header="0"/>
        </w:sectPr>
      </w:pPr>
    </w:p>
    <w:bookmarkStart w:id="86" w:name="page87"/>
    <w:bookmarkEnd w:id="86"/>
    <w:p>
      <w:pPr>
        <w:spacing w:after="0"/>
        <w:rPr>
          <w:sz w:val="20"/>
          <w:szCs w:val="20"/>
          <w:color w:val="auto"/>
        </w:rPr>
      </w:pPr>
      <w:r>
        <w:rPr>
          <w:rFonts w:ascii="Arial" w:cs="Arial" w:eastAsia="Arial" w:hAnsi="Arial"/>
          <w:sz w:val="23"/>
          <w:szCs w:val="23"/>
          <w:b w:val="1"/>
          <w:bCs w:val="1"/>
          <w:i w:val="1"/>
          <w:iCs w:val="1"/>
          <w:color w:val="DA2031"/>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Board of Directors and Shareholder of Xerox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Opinions on the Financial Statements and Internal Control over Financial Reporting</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0C0C0C"/>
        </w:rPr>
        <w:t>We have audited the accompanying consolidated balance sheets of Xerox Corporation and its subsidiaries (the "Company") as of December 31, 2025 and 2024, and the related consolidated statements of (loss) income, of comprehensive loss, of shareholder’s equity and of cash flows for each of the three years in the period ended December 31, 2025, including the related notes and financial statement schedule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0C0C0C"/>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Basis for Opinions</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0C0C0C"/>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0C0C0C"/>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0C0C0C"/>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0C0C0C"/>
        </w:rPr>
        <w:t>As described in Management’s Report on Internal Control over Financial Reporting, management has excluded Lexmark International II, LLC ("Lexmark") from its assessment of internal control over financial reporting as of December 31, 2025, because it was acquired by the Company in a purchase business combination during 2025. We have also excluded Lexmark from our audit of internal control over financial reporting. Lexmark is a wholly owned subsidiary whose total assets and total revenues excluded from management’s assessment and our audit of internal control over financial reporting represent approximately 13% and 14%, respectively, of the related consolidated financial statement amounts as of and for the year ended December 31, 2025.</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Definition and Limitations of Internal Control over Financial Reporting</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0C0C0C"/>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w:t>
      </w:r>
    </w:p>
    <w:p>
      <w:pPr>
        <w:spacing w:after="0" w:line="200" w:lineRule="exact"/>
        <w:rPr>
          <w:sz w:val="20"/>
          <w:szCs w:val="20"/>
          <w:color w:val="auto"/>
        </w:rPr>
      </w:pPr>
    </w:p>
    <w:p>
      <w:pPr>
        <w:spacing w:after="0" w:line="328" w:lineRule="exact"/>
        <w:rPr>
          <w:sz w:val="20"/>
          <w:szCs w:val="20"/>
          <w:color w:val="auto"/>
        </w:rPr>
      </w:pPr>
    </w:p>
    <w:p>
      <w:pPr>
        <w:jc w:val="center"/>
        <w:ind w:right="-9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77</w:t>
      </w:r>
    </w:p>
    <w:p>
      <w:pPr>
        <w:sectPr>
          <w:pgSz w:w="11880" w:h="15480" w:orient="portrait"/>
          <w:cols w:equalWidth="0" w:num="1">
            <w:col w:w="9860"/>
          </w:cols>
          <w:pgMar w:left="960" w:top="727" w:right="1060" w:bottom="0" w:gutter="0" w:footer="0" w:header="0"/>
        </w:sectPr>
      </w:pPr>
    </w:p>
    <w:bookmarkStart w:id="87" w:name="page88"/>
    <w:bookmarkEnd w:id="87"/>
    <w:p>
      <w:pPr>
        <w:jc w:val="both"/>
        <w:spacing w:after="0" w:line="281" w:lineRule="auto"/>
        <w:rPr>
          <w:sz w:val="20"/>
          <w:szCs w:val="20"/>
          <w:color w:val="auto"/>
        </w:rPr>
      </w:pPr>
      <w:r>
        <w:rPr>
          <w:rFonts w:ascii="Arial" w:cs="Arial" w:eastAsia="Arial" w:hAnsi="Arial"/>
          <w:sz w:val="18"/>
          <w:szCs w:val="18"/>
          <w:b w:val="1"/>
          <w:bCs w:val="1"/>
          <w:color w:val="0C0C0C"/>
        </w:rPr>
        <w:t>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0C0C0C"/>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Critical Audit Matters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0C0C0C"/>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Acquisition of Lexmark – Valuation of Customer Relationships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0C0C0C"/>
        </w:rPr>
        <w:t>As described in Note 6 to the consolidated financial statements, on July 1, 2025, the Company completed the acquisition of Lexmark for total consideration paid of $768 million. Of the acquired total identifiable intangible assets, $530 million of customer relationships were recorded. Customer relationships were valued using a multi-period excess earnings method which calculates the present value of the estimated revenues and net cash flows derived from it. The present value of these projected future cash flows included significant judgment and assumptions regarding projected annual revenues derived from estimates of customer attrition, projected operating margins, and the discount rate.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0C0C0C"/>
        </w:rPr>
        <w:t>The principal considerations for our determination that performing procedures relating to the valuation of customer relationships acquired in the acquisition of Lexmark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projected annual revenues derived from estimates of customer attrition, projected operating margins, and the discount rate; and (iii) the audit effort involved the use of professionals with specialized skill and knowledge.</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0C0C0C"/>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projected annual revenues derived from estimates of customer attrition, projected operating margins, and the discount rate. Evaluating management’s assumption related to projected operating margins involved considering (i) the current and past performance of the Lexmark business and (ii) whether the assumption was consistent with evidence obtained in other areas of the audit. Professionals with specialized skill and knowledge were used to assist in evaluating (i) the appropriateness of the multi-period excess earnings method and (ii) the reasonableness of the projected annual revenues derived from estimates of customer attrition and discount rate assumptions.</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20611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3206115" cy="1206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Stamford, Connecticut</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March 16, 2026</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served as the Company’s auditor since 2001.</w:t>
      </w:r>
    </w:p>
    <w:p>
      <w:pPr>
        <w:spacing w:after="0" w:line="200" w:lineRule="exact"/>
        <w:rPr>
          <w:sz w:val="20"/>
          <w:szCs w:val="20"/>
          <w:color w:val="auto"/>
        </w:rPr>
      </w:pPr>
    </w:p>
    <w:p>
      <w:pPr>
        <w:spacing w:after="0" w:line="305" w:lineRule="exact"/>
        <w:rPr>
          <w:sz w:val="20"/>
          <w:szCs w:val="20"/>
          <w:color w:val="auto"/>
        </w:rPr>
      </w:pPr>
    </w:p>
    <w:p>
      <w:pPr>
        <w:jc w:val="center"/>
        <w:ind w:right="-9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78</w:t>
      </w:r>
    </w:p>
    <w:p>
      <w:pPr>
        <w:sectPr>
          <w:pgSz w:w="11880" w:h="15480" w:orient="portrait"/>
          <w:cols w:equalWidth="0" w:num="1">
            <w:col w:w="9860"/>
          </w:cols>
          <w:pgMar w:left="960" w:top="736" w:right="1060" w:bottom="0" w:gutter="0" w:footer="0" w:header="0"/>
        </w:sectPr>
      </w:pPr>
    </w:p>
    <w:bookmarkStart w:id="88" w:name="page89"/>
    <w:bookmarkEnd w:id="88"/>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(Loss) Income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(in millions, except per-share data)</w:t>
            </w:r>
          </w:p>
        </w:tc>
        <w:tc>
          <w:tcPr>
            <w:tcW w:w="34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1780" w:type="dxa"/>
            <w:vAlign w:val="bottom"/>
            <w:tcBorders>
              <w:top w:val="single" w:sz="8" w:color="auto"/>
              <w:bottom w:val="single" w:sz="8" w:color="E5E5E5"/>
            </w:tcBorders>
          </w:tcPr>
          <w:p>
            <w:pPr>
              <w:spacing w:after="0" w:line="20" w:lineRule="exact"/>
              <w:rPr>
                <w:sz w:val="1"/>
                <w:szCs w:val="1"/>
                <w:color w:val="auto"/>
              </w:rPr>
            </w:pPr>
          </w:p>
        </w:tc>
        <w:tc>
          <w:tcPr>
            <w:tcW w:w="344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52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r>
      <w:tr>
        <w:trPr>
          <w:trHeight w:val="242"/>
        </w:trPr>
        <w:tc>
          <w:tcPr>
            <w:tcW w:w="5280" w:type="dxa"/>
            <w:vAlign w:val="bottom"/>
            <w:gridSpan w:val="3"/>
          </w:tcPr>
          <w:p>
            <w:pPr>
              <w:ind w:left="60"/>
              <w:spacing w:after="0"/>
              <w:rPr>
                <w:sz w:val="20"/>
                <w:szCs w:val="20"/>
                <w:color w:val="auto"/>
              </w:rPr>
            </w:pPr>
            <w:r>
              <w:rPr>
                <w:rFonts w:ascii="Arial" w:cs="Arial" w:eastAsia="Arial" w:hAnsi="Arial"/>
                <w:sz w:val="16"/>
                <w:szCs w:val="16"/>
                <w:b w:val="1"/>
                <w:bCs w:val="1"/>
                <w:color w:val="auto"/>
              </w:rPr>
              <w:t>Sales</w:t>
            </w:r>
          </w:p>
        </w:tc>
        <w:tc>
          <w:tcPr>
            <w:tcW w:w="34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3,283</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2,378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2,720</w:t>
            </w:r>
          </w:p>
        </w:tc>
      </w:tr>
      <w:tr>
        <w:trPr>
          <w:trHeight w:val="263"/>
        </w:trPr>
        <w:tc>
          <w:tcPr>
            <w:tcW w:w="60" w:type="dxa"/>
            <w:vAlign w:val="bottom"/>
            <w:tcBorders>
              <w:bottom w:val="single" w:sz="8" w:color="E5E5E5"/>
            </w:tcBorders>
            <w:shd w:val="clear" w:color="auto" w:fill="E5E5E5"/>
          </w:tcPr>
          <w:p>
            <w:pPr>
              <w:spacing w:after="0"/>
              <w:rPr>
                <w:sz w:val="22"/>
                <w:szCs w:val="22"/>
                <w:color w:val="auto"/>
              </w:rPr>
            </w:pPr>
          </w:p>
        </w:tc>
        <w:tc>
          <w:tcPr>
            <w:tcW w:w="52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 xml:space="preserve">Services, maintenance, rentals and other </w:t>
            </w:r>
            <w:r>
              <w:rPr>
                <w:rFonts w:ascii="Arial" w:cs="Arial" w:eastAsia="Arial" w:hAnsi="Arial"/>
                <w:sz w:val="10"/>
                <w:szCs w:val="10"/>
                <w:b w:val="1"/>
                <w:bCs w:val="1"/>
                <w:color w:val="auto"/>
              </w:rPr>
              <w:t>(1)</w:t>
            </w:r>
          </w:p>
        </w:tc>
        <w:tc>
          <w:tcPr>
            <w:tcW w:w="340" w:type="dxa"/>
            <w:vAlign w:val="bottom"/>
            <w:tcBorders>
              <w:bottom w:val="single" w:sz="8" w:color="auto"/>
            </w:tcBorders>
            <w:shd w:val="clear" w:color="auto" w:fill="E5E5E5"/>
          </w:tcPr>
          <w:p>
            <w:pPr>
              <w:spacing w:after="0"/>
              <w:rPr>
                <w:sz w:val="22"/>
                <w:szCs w:val="22"/>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3,739</w:t>
            </w:r>
          </w:p>
        </w:tc>
        <w:tc>
          <w:tcPr>
            <w:tcW w:w="8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3,843</w:t>
            </w:r>
          </w:p>
        </w:tc>
        <w:tc>
          <w:tcPr>
            <w:tcW w:w="6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4,166</w:t>
            </w:r>
          </w:p>
        </w:tc>
      </w:tr>
      <w:tr>
        <w:trPr>
          <w:trHeight w:val="216"/>
        </w:trPr>
        <w:tc>
          <w:tcPr>
            <w:tcW w:w="60" w:type="dxa"/>
            <w:vAlign w:val="bottom"/>
          </w:tcPr>
          <w:p>
            <w:pPr>
              <w:spacing w:after="0"/>
              <w:rPr>
                <w:sz w:val="18"/>
                <w:szCs w:val="18"/>
                <w:color w:val="auto"/>
              </w:rPr>
            </w:pPr>
          </w:p>
        </w:tc>
        <w:tc>
          <w:tcPr>
            <w:tcW w:w="522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6,221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6,886</w:t>
            </w:r>
          </w:p>
        </w:tc>
      </w:tr>
      <w:tr>
        <w:trPr>
          <w:trHeight w:val="249"/>
        </w:trPr>
        <w:tc>
          <w:tcPr>
            <w:tcW w:w="52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42"/>
        </w:trPr>
        <w:tc>
          <w:tcPr>
            <w:tcW w:w="5280" w:type="dxa"/>
            <w:vAlign w:val="bottom"/>
            <w:gridSpan w:val="3"/>
          </w:tcPr>
          <w:p>
            <w:pPr>
              <w:ind w:left="60"/>
              <w:spacing w:after="0"/>
              <w:rPr>
                <w:sz w:val="20"/>
                <w:szCs w:val="20"/>
                <w:color w:val="auto"/>
              </w:rPr>
            </w:pPr>
            <w:r>
              <w:rPr>
                <w:rFonts w:ascii="Arial" w:cs="Arial" w:eastAsia="Arial" w:hAnsi="Arial"/>
                <w:sz w:val="16"/>
                <w:szCs w:val="16"/>
                <w:b w:val="1"/>
                <w:bCs w:val="1"/>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1,562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1,778</w:t>
            </w:r>
          </w:p>
        </w:tc>
      </w:tr>
      <w:tr>
        <w:trPr>
          <w:trHeight w:val="253"/>
        </w:trPr>
        <w:tc>
          <w:tcPr>
            <w:tcW w:w="52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Cost of services, maintenance , rentals and other</w:t>
            </w:r>
            <w:r>
              <w:rPr>
                <w:rFonts w:ascii="Arial" w:cs="Arial" w:eastAsia="Arial" w:hAnsi="Arial"/>
                <w:sz w:val="10"/>
                <w:szCs w:val="10"/>
                <w:b w:val="1"/>
                <w:bCs w:val="1"/>
                <w:color w:val="auto"/>
              </w:rPr>
              <w:t>(1)</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2,754</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2,699</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2,794</w:t>
            </w:r>
          </w:p>
        </w:tc>
      </w:tr>
      <w:tr>
        <w:trPr>
          <w:trHeight w:val="242"/>
        </w:trPr>
        <w:tc>
          <w:tcPr>
            <w:tcW w:w="5280" w:type="dxa"/>
            <w:vAlign w:val="bottom"/>
            <w:gridSpan w:val="3"/>
          </w:tcPr>
          <w:p>
            <w:pPr>
              <w:ind w:left="60"/>
              <w:spacing w:after="0"/>
              <w:rPr>
                <w:sz w:val="20"/>
                <w:szCs w:val="20"/>
                <w:color w:val="auto"/>
              </w:rPr>
            </w:pPr>
            <w:r>
              <w:rPr>
                <w:rFonts w:ascii="Arial" w:cs="Arial" w:eastAsia="Arial" w:hAnsi="Arial"/>
                <w:sz w:val="16"/>
                <w:szCs w:val="16"/>
                <w:b w:val="1"/>
                <w:bCs w:val="1"/>
                <w:color w:val="auto"/>
              </w:rPr>
              <w:t>Research, development and engineering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191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229</w:t>
            </w:r>
          </w:p>
        </w:tc>
      </w:tr>
      <w:tr>
        <w:trPr>
          <w:trHeight w:val="253"/>
        </w:trPr>
        <w:tc>
          <w:tcPr>
            <w:tcW w:w="60" w:type="dxa"/>
            <w:vAlign w:val="bottom"/>
            <w:shd w:val="clear" w:color="auto" w:fill="E5E5E5"/>
          </w:tcPr>
          <w:p>
            <w:pPr>
              <w:spacing w:after="0"/>
              <w:rPr>
                <w:sz w:val="22"/>
                <w:szCs w:val="22"/>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Selling, administrative and general expenses</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1,654</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1,537</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1,696</w:t>
            </w:r>
          </w:p>
        </w:tc>
      </w:tr>
      <w:tr>
        <w:trPr>
          <w:trHeight w:val="242"/>
        </w:trPr>
        <w:tc>
          <w:tcPr>
            <w:tcW w:w="6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Goodwill impairment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1,058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53"/>
        </w:trPr>
        <w:tc>
          <w:tcPr>
            <w:tcW w:w="60" w:type="dxa"/>
            <w:vAlign w:val="bottom"/>
            <w:shd w:val="clear" w:color="auto" w:fill="E5E5E5"/>
          </w:tcPr>
          <w:p>
            <w:pPr>
              <w:spacing w:after="0"/>
              <w:rPr>
                <w:sz w:val="22"/>
                <w:szCs w:val="22"/>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Restructuring and related costs, net</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112</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167</w:t>
            </w:r>
          </w:p>
        </w:tc>
      </w:tr>
      <w:tr>
        <w:trPr>
          <w:trHeight w:val="242"/>
        </w:trPr>
        <w:tc>
          <w:tcPr>
            <w:tcW w:w="6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73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253"/>
        </w:trPr>
        <w:tc>
          <w:tcPr>
            <w:tcW w:w="60" w:type="dxa"/>
            <w:vAlign w:val="bottom"/>
            <w:shd w:val="clear" w:color="auto" w:fill="E5E5E5"/>
          </w:tcPr>
          <w:p>
            <w:pPr>
              <w:spacing w:after="0"/>
              <w:rPr>
                <w:sz w:val="22"/>
                <w:szCs w:val="22"/>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Divestitures</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47</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42"/>
        </w:trPr>
        <w:tc>
          <w:tcPr>
            <w:tcW w:w="6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PARC donation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132</w:t>
            </w:r>
          </w:p>
        </w:tc>
      </w:tr>
      <w:tr>
        <w:trPr>
          <w:trHeight w:val="263"/>
        </w:trPr>
        <w:tc>
          <w:tcPr>
            <w:tcW w:w="60" w:type="dxa"/>
            <w:vAlign w:val="bottom"/>
            <w:tcBorders>
              <w:bottom w:val="single" w:sz="8" w:color="E5E5E5"/>
            </w:tcBorders>
            <w:shd w:val="clear" w:color="auto" w:fill="E5E5E5"/>
          </w:tcPr>
          <w:p>
            <w:pPr>
              <w:spacing w:after="0"/>
              <w:rPr>
                <w:sz w:val="22"/>
                <w:szCs w:val="22"/>
                <w:color w:val="auto"/>
              </w:rPr>
            </w:pPr>
          </w:p>
        </w:tc>
        <w:tc>
          <w:tcPr>
            <w:tcW w:w="52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Other expenses, net</w:t>
            </w:r>
          </w:p>
        </w:tc>
        <w:tc>
          <w:tcPr>
            <w:tcW w:w="340" w:type="dxa"/>
            <w:vAlign w:val="bottom"/>
            <w:tcBorders>
              <w:bottom w:val="single" w:sz="8" w:color="auto"/>
            </w:tcBorders>
            <w:shd w:val="clear" w:color="auto" w:fill="E5E5E5"/>
          </w:tcPr>
          <w:p>
            <w:pPr>
              <w:spacing w:after="0"/>
              <w:rPr>
                <w:sz w:val="22"/>
                <w:szCs w:val="22"/>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360</w:t>
            </w:r>
          </w:p>
        </w:tc>
        <w:tc>
          <w:tcPr>
            <w:tcW w:w="8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158</w:t>
            </w:r>
          </w:p>
        </w:tc>
        <w:tc>
          <w:tcPr>
            <w:tcW w:w="6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75</w:t>
            </w:r>
          </w:p>
        </w:tc>
      </w:tr>
      <w:tr>
        <w:trPr>
          <w:trHeight w:val="208"/>
        </w:trPr>
        <w:tc>
          <w:tcPr>
            <w:tcW w:w="60" w:type="dxa"/>
            <w:vAlign w:val="bottom"/>
            <w:tcBorders>
              <w:bottom w:val="single" w:sz="8" w:color="E5E5E5"/>
            </w:tcBorders>
          </w:tcPr>
          <w:p>
            <w:pPr>
              <w:spacing w:after="0"/>
              <w:rPr>
                <w:sz w:val="18"/>
                <w:szCs w:val="18"/>
                <w:color w:val="auto"/>
              </w:rPr>
            </w:pPr>
          </w:p>
        </w:tc>
        <w:tc>
          <w:tcPr>
            <w:tcW w:w="5220" w:type="dxa"/>
            <w:vAlign w:val="bottom"/>
            <w:tcBorders>
              <w:bottom w:val="single" w:sz="8" w:color="E5E5E5"/>
            </w:tcBorders>
            <w:gridSpan w:val="2"/>
          </w:tcPr>
          <w:p>
            <w:pPr>
              <w:ind w:left="220"/>
              <w:spacing w:after="0"/>
              <w:rPr>
                <w:sz w:val="20"/>
                <w:szCs w:val="20"/>
                <w:color w:val="auto"/>
              </w:rPr>
            </w:pPr>
            <w:r>
              <w:rPr>
                <w:rFonts w:ascii="Arial" w:cs="Arial" w:eastAsia="Arial" w:hAnsi="Arial"/>
                <w:sz w:val="16"/>
                <w:szCs w:val="16"/>
                <w:b w:val="1"/>
                <w:bCs w:val="1"/>
                <w:color w:val="auto"/>
              </w:rPr>
              <w:t>Total Costs and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7,510</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7,437</w:t>
            </w: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6,914</w:t>
            </w:r>
          </w:p>
        </w:tc>
      </w:tr>
      <w:tr>
        <w:trPr>
          <w:trHeight w:val="237"/>
        </w:trPr>
        <w:tc>
          <w:tcPr>
            <w:tcW w:w="60" w:type="dxa"/>
            <w:vAlign w:val="bottom"/>
            <w:shd w:val="clear" w:color="auto" w:fill="E5E5E5"/>
          </w:tcPr>
          <w:p>
            <w:pPr>
              <w:spacing w:after="0"/>
              <w:rPr>
                <w:sz w:val="20"/>
                <w:szCs w:val="20"/>
                <w:color w:val="auto"/>
              </w:rPr>
            </w:pPr>
          </w:p>
        </w:tc>
        <w:tc>
          <w:tcPr>
            <w:tcW w:w="5220" w:type="dxa"/>
            <w:vAlign w:val="bottom"/>
            <w:gridSpan w:val="2"/>
            <w:shd w:val="clear" w:color="auto" w:fill="E5E5E5"/>
          </w:tcPr>
          <w:p>
            <w:pPr>
              <w:ind w:left="220"/>
              <w:spacing w:after="0"/>
              <w:rPr>
                <w:sz w:val="20"/>
                <w:szCs w:val="20"/>
                <w:color w:val="auto"/>
              </w:rPr>
            </w:pPr>
            <w:r>
              <w:rPr>
                <w:rFonts w:ascii="Arial" w:cs="Arial" w:eastAsia="Arial" w:hAnsi="Arial"/>
                <w:sz w:val="16"/>
                <w:szCs w:val="16"/>
                <w:b w:val="1"/>
                <w:bCs w:val="1"/>
                <w:color w:val="auto"/>
              </w:rPr>
              <w:t>Loss before Income Taxes</w:t>
            </w:r>
          </w:p>
        </w:tc>
        <w:tc>
          <w:tcPr>
            <w:tcW w:w="34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(488)</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(1,216)</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r>
      <w:tr>
        <w:trPr>
          <w:trHeight w:val="237"/>
        </w:trPr>
        <w:tc>
          <w:tcPr>
            <w:tcW w:w="60" w:type="dxa"/>
            <w:vAlign w:val="bottom"/>
            <w:tcBorders>
              <w:bottom w:val="single" w:sz="8" w:color="E5E5E5"/>
            </w:tcBorders>
          </w:tcPr>
          <w:p>
            <w:pPr>
              <w:spacing w:after="0"/>
              <w:rPr>
                <w:sz w:val="20"/>
                <w:szCs w:val="20"/>
                <w:color w:val="auto"/>
              </w:rPr>
            </w:pPr>
          </w:p>
        </w:tc>
        <w:tc>
          <w:tcPr>
            <w:tcW w:w="522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Income tax expense (benefit)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w:t>
            </w:r>
          </w:p>
        </w:tc>
        <w:tc>
          <w:tcPr>
            <w:tcW w:w="8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105</w:t>
            </w:r>
          </w:p>
        </w:tc>
        <w:tc>
          <w:tcPr>
            <w:tcW w:w="6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r>
      <w:tr>
        <w:trPr>
          <w:trHeight w:val="238"/>
        </w:trPr>
        <w:tc>
          <w:tcPr>
            <w:tcW w:w="60" w:type="dxa"/>
            <w:vAlign w:val="bottom"/>
            <w:shd w:val="clear" w:color="auto" w:fill="E5E5E5"/>
          </w:tcPr>
          <w:p>
            <w:pPr>
              <w:spacing w:after="0"/>
              <w:rPr>
                <w:sz w:val="20"/>
                <w:szCs w:val="20"/>
                <w:color w:val="auto"/>
              </w:rPr>
            </w:pP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16"/>
                <w:szCs w:val="16"/>
                <w:b w:val="1"/>
                <w:bCs w:val="1"/>
                <w:color w:val="auto"/>
              </w:rPr>
              <w:t>Net (Loss) Income</w:t>
            </w:r>
          </w:p>
        </w:tc>
        <w:tc>
          <w:tcPr>
            <w:tcW w:w="34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37"/>
        </w:trPr>
        <w:tc>
          <w:tcPr>
            <w:tcW w:w="60" w:type="dxa"/>
            <w:vAlign w:val="bottom"/>
            <w:tcBorders>
              <w:bottom w:val="single" w:sz="8" w:color="E5E5E5"/>
            </w:tcBorders>
          </w:tcPr>
          <w:p>
            <w:pPr>
              <w:spacing w:after="0"/>
              <w:rPr>
                <w:sz w:val="20"/>
                <w:szCs w:val="20"/>
                <w:color w:val="auto"/>
              </w:rPr>
            </w:pPr>
          </w:p>
        </w:tc>
        <w:tc>
          <w:tcPr>
            <w:tcW w:w="522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Less: Preferred stock dividends, net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r>
      <w:tr>
        <w:trPr>
          <w:trHeight w:val="247"/>
        </w:trPr>
        <w:tc>
          <w:tcPr>
            <w:tcW w:w="60" w:type="dxa"/>
            <w:vAlign w:val="bottom"/>
            <w:shd w:val="clear" w:color="auto" w:fill="E5E5E5"/>
          </w:tcPr>
          <w:p>
            <w:pPr>
              <w:spacing w:after="0"/>
              <w:rPr>
                <w:sz w:val="21"/>
                <w:szCs w:val="21"/>
                <w:color w:val="auto"/>
              </w:rPr>
            </w:pPr>
          </w:p>
        </w:tc>
        <w:tc>
          <w:tcPr>
            <w:tcW w:w="5220" w:type="dxa"/>
            <w:vAlign w:val="bottom"/>
            <w:gridSpan w:val="2"/>
            <w:shd w:val="clear" w:color="auto" w:fill="E5E5E5"/>
          </w:tcPr>
          <w:p>
            <w:pPr>
              <w:ind w:left="220"/>
              <w:spacing w:after="0"/>
              <w:rPr>
                <w:sz w:val="20"/>
                <w:szCs w:val="20"/>
                <w:color w:val="auto"/>
              </w:rPr>
            </w:pPr>
            <w:r>
              <w:rPr>
                <w:rFonts w:ascii="Arial" w:cs="Arial" w:eastAsia="Arial" w:hAnsi="Arial"/>
                <w:sz w:val="16"/>
                <w:szCs w:val="16"/>
                <w:b w:val="1"/>
                <w:bCs w:val="1"/>
                <w:color w:val="auto"/>
              </w:rPr>
              <w:t>Net Loss Attributable to Common Shareholders</w:t>
            </w:r>
          </w:p>
        </w:tc>
        <w:tc>
          <w:tcPr>
            <w:tcW w:w="34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(1,043)</w:t>
            </w:r>
          </w:p>
        </w:tc>
        <w:tc>
          <w:tcPr>
            <w:tcW w:w="4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(1,335)</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r>
      <w:tr>
        <w:trPr>
          <w:trHeight w:val="218"/>
        </w:trPr>
        <w:tc>
          <w:tcPr>
            <w:tcW w:w="60" w:type="dxa"/>
            <w:vAlign w:val="bottom"/>
            <w:tcBorders>
              <w:top w:val="single" w:sz="8" w:color="E5E5E5"/>
            </w:tcBorders>
          </w:tcPr>
          <w:p>
            <w:pPr>
              <w:spacing w:after="0"/>
              <w:rPr>
                <w:sz w:val="18"/>
                <w:szCs w:val="18"/>
                <w:color w:val="auto"/>
              </w:rPr>
            </w:pPr>
          </w:p>
        </w:tc>
        <w:tc>
          <w:tcPr>
            <w:tcW w:w="1780" w:type="dxa"/>
            <w:vAlign w:val="bottom"/>
            <w:tcBorders>
              <w:top w:val="single" w:sz="8" w:color="E5E5E5"/>
            </w:tcBorders>
          </w:tcPr>
          <w:p>
            <w:pPr>
              <w:spacing w:after="0"/>
              <w:rPr>
                <w:sz w:val="18"/>
                <w:szCs w:val="18"/>
                <w:color w:val="auto"/>
              </w:rPr>
            </w:pPr>
          </w:p>
        </w:tc>
        <w:tc>
          <w:tcPr>
            <w:tcW w:w="3440" w:type="dxa"/>
            <w:vAlign w:val="bottom"/>
            <w:tcBorders>
              <w:top w:val="single" w:sz="8" w:color="E5E5E5"/>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47"/>
        </w:trPr>
        <w:tc>
          <w:tcPr>
            <w:tcW w:w="60" w:type="dxa"/>
            <w:vAlign w:val="bottom"/>
            <w:shd w:val="clear" w:color="auto" w:fill="E5E5E5"/>
          </w:tcPr>
          <w:p>
            <w:pPr>
              <w:spacing w:after="0"/>
              <w:rPr>
                <w:sz w:val="21"/>
                <w:szCs w:val="21"/>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Basic Loss per Share</w:t>
            </w:r>
          </w:p>
        </w:tc>
        <w:tc>
          <w:tcPr>
            <w:tcW w:w="34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(8.25)</w:t>
            </w:r>
          </w:p>
        </w:tc>
        <w:tc>
          <w:tcPr>
            <w:tcW w:w="4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(10.75)</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(0.09)</w:t>
            </w:r>
          </w:p>
        </w:tc>
      </w:tr>
      <w:tr>
        <w:trPr>
          <w:trHeight w:val="244"/>
        </w:trPr>
        <w:tc>
          <w:tcPr>
            <w:tcW w:w="6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Diluted Loss per Share</w:t>
            </w:r>
          </w:p>
        </w:tc>
        <w:tc>
          <w:tcPr>
            <w:tcW w:w="34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(8.25)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(10.75)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-506095</wp:posOffset>
            </wp:positionV>
            <wp:extent cx="2979420" cy="75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2979420" cy="7556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w:t>
      </w:r>
    </w:p>
    <w:p>
      <w:pPr>
        <w:spacing w:after="0" w:line="2" w:lineRule="exact"/>
        <w:rPr>
          <w:sz w:val="20"/>
          <w:szCs w:val="20"/>
          <w:color w:val="auto"/>
        </w:rPr>
      </w:pPr>
    </w:p>
    <w:p>
      <w:pPr>
        <w:ind w:right="100" w:firstLine="4"/>
        <w:spacing w:after="0" w:line="343" w:lineRule="auto"/>
        <w:tabs>
          <w:tab w:leader="none" w:pos="232" w:val="left"/>
        </w:tabs>
        <w:numPr>
          <w:ilvl w:val="0"/>
          <w:numId w:val="8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 2025, certain reclassifications were made within the Consolidated Statements of (Loss) Income to the prior periods in order to conform to the current period reporting. Refer to the Segments section of Note 1 - Basis of Presentation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79</w:t>
      </w:r>
    </w:p>
    <w:p>
      <w:pPr>
        <w:sectPr>
          <w:pgSz w:w="11880" w:h="15480" w:orient="portrait"/>
          <w:cols w:equalWidth="0" w:num="1">
            <w:col w:w="9880"/>
          </w:cols>
          <w:pgMar w:left="960" w:top="724" w:right="1040" w:bottom="0" w:gutter="0" w:footer="0" w:header="0"/>
        </w:sectPr>
      </w:pPr>
    </w:p>
    <w:bookmarkStart w:id="89" w:name="page90"/>
    <w:bookmarkEnd w:id="89"/>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Comprehensive Loss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6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2"/>
        </w:trPr>
        <w:tc>
          <w:tcPr>
            <w:tcW w:w="53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Net (Loss) Income</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81"/>
        </w:trPr>
        <w:tc>
          <w:tcPr>
            <w:tcW w:w="60" w:type="dxa"/>
            <w:vAlign w:val="bottom"/>
            <w:tcBorders>
              <w:top w:val="single" w:sz="8" w:color="E5E5E5"/>
            </w:tcBorders>
          </w:tcPr>
          <w:p>
            <w:pPr>
              <w:spacing w:after="0"/>
              <w:rPr>
                <w:sz w:val="24"/>
                <w:szCs w:val="24"/>
                <w:color w:val="auto"/>
              </w:rPr>
            </w:pPr>
          </w:p>
        </w:tc>
        <w:tc>
          <w:tcPr>
            <w:tcW w:w="580" w:type="dxa"/>
            <w:vAlign w:val="bottom"/>
            <w:tcBorders>
              <w:top w:val="single" w:sz="8" w:color="E5E5E5"/>
            </w:tcBorders>
          </w:tcPr>
          <w:p>
            <w:pPr>
              <w:spacing w:after="0"/>
              <w:rPr>
                <w:sz w:val="24"/>
                <w:szCs w:val="24"/>
                <w:color w:val="auto"/>
              </w:rPr>
            </w:pPr>
          </w:p>
        </w:tc>
        <w:tc>
          <w:tcPr>
            <w:tcW w:w="4660" w:type="dxa"/>
            <w:vAlign w:val="bottom"/>
            <w:tcBorders>
              <w:top w:val="single" w:sz="8" w:color="E5E5E5"/>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E5E5E5"/>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E5E5E5"/>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47"/>
        </w:trPr>
        <w:tc>
          <w:tcPr>
            <w:tcW w:w="53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Comprehensive Income (Loss), Net</w:t>
            </w:r>
            <w:r>
              <w:rPr>
                <w:rFonts w:ascii="Arial" w:cs="Arial" w:eastAsia="Arial" w:hAnsi="Arial"/>
                <w:sz w:val="10"/>
                <w:szCs w:val="10"/>
                <w:b w:val="1"/>
                <w:bCs w:val="1"/>
                <w:color w:val="auto"/>
              </w:rPr>
              <w:t>(1)</w:t>
            </w: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42"/>
        </w:trPr>
        <w:tc>
          <w:tcPr>
            <w:tcW w:w="60" w:type="dxa"/>
            <w:vAlign w:val="bottom"/>
          </w:tcPr>
          <w:p>
            <w:pPr>
              <w:spacing w:after="0"/>
              <w:rPr>
                <w:sz w:val="21"/>
                <w:szCs w:val="21"/>
                <w:color w:val="auto"/>
              </w:rPr>
            </w:pPr>
          </w:p>
        </w:tc>
        <w:tc>
          <w:tcPr>
            <w:tcW w:w="5240" w:type="dxa"/>
            <w:vAlign w:val="bottom"/>
            <w:gridSpan w:val="2"/>
          </w:tcPr>
          <w:p>
            <w:pPr>
              <w:ind w:left="220"/>
              <w:spacing w:after="0"/>
              <w:rPr>
                <w:sz w:val="20"/>
                <w:szCs w:val="20"/>
                <w:color w:val="auto"/>
              </w:rPr>
            </w:pPr>
            <w:r>
              <w:rPr>
                <w:rFonts w:ascii="Arial" w:cs="Arial" w:eastAsia="Arial" w:hAnsi="Arial"/>
                <w:sz w:val="16"/>
                <w:szCs w:val="16"/>
                <w:b w:val="1"/>
                <w:bCs w:val="1"/>
                <w:color w:val="auto"/>
              </w:rPr>
              <w:t>Translation adjustments,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r>
      <w:tr>
        <w:trPr>
          <w:trHeight w:val="253"/>
        </w:trPr>
        <w:tc>
          <w:tcPr>
            <w:tcW w:w="60" w:type="dxa"/>
            <w:vAlign w:val="bottom"/>
            <w:shd w:val="clear" w:color="auto" w:fill="E5E5E5"/>
          </w:tcPr>
          <w:p>
            <w:pPr>
              <w:spacing w:after="0"/>
              <w:rPr>
                <w:sz w:val="22"/>
                <w:szCs w:val="22"/>
                <w:color w:val="auto"/>
              </w:rPr>
            </w:pPr>
          </w:p>
        </w:tc>
        <w:tc>
          <w:tcPr>
            <w:tcW w:w="5240" w:type="dxa"/>
            <w:vAlign w:val="bottom"/>
            <w:gridSpan w:val="2"/>
            <w:shd w:val="clear" w:color="auto" w:fill="E5E5E5"/>
          </w:tcPr>
          <w:p>
            <w:pPr>
              <w:ind w:left="220"/>
              <w:spacing w:after="0"/>
              <w:rPr>
                <w:sz w:val="20"/>
                <w:szCs w:val="20"/>
                <w:color w:val="auto"/>
              </w:rPr>
            </w:pPr>
            <w:r>
              <w:rPr>
                <w:rFonts w:ascii="Arial" w:cs="Arial" w:eastAsia="Arial" w:hAnsi="Arial"/>
                <w:sz w:val="16"/>
                <w:szCs w:val="16"/>
                <w:b w:val="1"/>
                <w:bCs w:val="1"/>
                <w:color w:val="auto"/>
              </w:rPr>
              <w:t>Unrealized (losses) gains, net</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37"/>
        </w:trPr>
        <w:tc>
          <w:tcPr>
            <w:tcW w:w="60" w:type="dxa"/>
            <w:vAlign w:val="bottom"/>
            <w:tcBorders>
              <w:bottom w:val="single" w:sz="8" w:color="E5E5E5"/>
            </w:tcBorders>
          </w:tcPr>
          <w:p>
            <w:pPr>
              <w:spacing w:after="0"/>
              <w:rPr>
                <w:sz w:val="20"/>
                <w:szCs w:val="20"/>
                <w:color w:val="auto"/>
              </w:rPr>
            </w:pPr>
          </w:p>
        </w:tc>
        <w:tc>
          <w:tcPr>
            <w:tcW w:w="5240" w:type="dxa"/>
            <w:vAlign w:val="bottom"/>
            <w:tcBorders>
              <w:bottom w:val="single" w:sz="8" w:color="E5E5E5"/>
            </w:tcBorders>
            <w:gridSpan w:val="2"/>
          </w:tcPr>
          <w:p>
            <w:pPr>
              <w:ind w:left="220"/>
              <w:spacing w:after="0"/>
              <w:rPr>
                <w:sz w:val="20"/>
                <w:szCs w:val="20"/>
                <w:color w:val="auto"/>
              </w:rPr>
            </w:pPr>
            <w:r>
              <w:rPr>
                <w:rFonts w:ascii="Arial" w:cs="Arial" w:eastAsia="Arial" w:hAnsi="Arial"/>
                <w:sz w:val="16"/>
                <w:szCs w:val="16"/>
                <w:b w:val="1"/>
                <w:bCs w:val="1"/>
                <w:color w:val="auto"/>
              </w:rPr>
              <w:t>Changes in defined benefit plans, net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80" w:type="dxa"/>
            <w:vAlign w:val="bottom"/>
            <w:tcBorders>
              <w:bottom w:val="single" w:sz="8" w:color="E5E5E5"/>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88</w:t>
            </w:r>
          </w:p>
        </w:tc>
        <w:tc>
          <w:tcPr>
            <w:tcW w:w="6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w:t>
            </w:r>
          </w:p>
        </w:tc>
      </w:tr>
      <w:tr>
        <w:trPr>
          <w:trHeight w:val="228"/>
        </w:trPr>
        <w:tc>
          <w:tcPr>
            <w:tcW w:w="60" w:type="dxa"/>
            <w:vAlign w:val="bottom"/>
            <w:tcBorders>
              <w:bottom w:val="single" w:sz="8" w:color="E5E5E5"/>
            </w:tcBorders>
            <w:shd w:val="clear" w:color="auto" w:fill="E5E5E5"/>
          </w:tcPr>
          <w:p>
            <w:pPr>
              <w:spacing w:after="0"/>
              <w:rPr>
                <w:sz w:val="19"/>
                <w:szCs w:val="19"/>
                <w:color w:val="auto"/>
              </w:rPr>
            </w:pPr>
          </w:p>
        </w:tc>
        <w:tc>
          <w:tcPr>
            <w:tcW w:w="52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Other Comprehensive Income (Loss), Net</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388</w:t>
            </w:r>
          </w:p>
        </w:tc>
        <w:tc>
          <w:tcPr>
            <w:tcW w:w="8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r>
      <w:tr>
        <w:trPr>
          <w:trHeight w:val="271"/>
        </w:trPr>
        <w:tc>
          <w:tcPr>
            <w:tcW w:w="60" w:type="dxa"/>
            <w:vAlign w:val="bottom"/>
            <w:tcBorders>
              <w:bottom w:val="single" w:sz="8" w:color="E5E5E5"/>
            </w:tcBorders>
          </w:tcPr>
          <w:p>
            <w:pPr>
              <w:spacing w:after="0"/>
              <w:rPr>
                <w:sz w:val="23"/>
                <w:szCs w:val="23"/>
                <w:color w:val="auto"/>
              </w:rPr>
            </w:pPr>
          </w:p>
        </w:tc>
        <w:tc>
          <w:tcPr>
            <w:tcW w:w="580" w:type="dxa"/>
            <w:vAlign w:val="bottom"/>
            <w:tcBorders>
              <w:bottom w:val="single" w:sz="8" w:color="E5E5E5"/>
            </w:tcBorders>
          </w:tcPr>
          <w:p>
            <w:pPr>
              <w:spacing w:after="0"/>
              <w:rPr>
                <w:sz w:val="23"/>
                <w:szCs w:val="23"/>
                <w:color w:val="auto"/>
              </w:rPr>
            </w:pPr>
          </w:p>
        </w:tc>
        <w:tc>
          <w:tcPr>
            <w:tcW w:w="4660" w:type="dxa"/>
            <w:vAlign w:val="bottom"/>
            <w:tcBorders>
              <w:bottom w:val="single" w:sz="8" w:color="E5E5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E5E5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6"/>
        </w:trPr>
        <w:tc>
          <w:tcPr>
            <w:tcW w:w="60" w:type="dxa"/>
            <w:vAlign w:val="bottom"/>
            <w:shd w:val="clear" w:color="auto" w:fill="E5E5E5"/>
          </w:tcPr>
          <w:p>
            <w:pPr>
              <w:spacing w:after="0"/>
              <w:rPr>
                <w:sz w:val="21"/>
                <w:szCs w:val="21"/>
                <w:color w:val="auto"/>
              </w:rPr>
            </w:pPr>
          </w:p>
        </w:tc>
        <w:tc>
          <w:tcPr>
            <w:tcW w:w="52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Comprehensive Loss, Net</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(641)</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(1,344)</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(138)</w:t>
            </w:r>
          </w:p>
        </w:tc>
      </w:tr>
      <w:tr>
        <w:trPr>
          <w:trHeight w:val="222"/>
        </w:trPr>
        <w:tc>
          <w:tcPr>
            <w:tcW w:w="5300" w:type="dxa"/>
            <w:vAlign w:val="bottom"/>
            <w:tcBorders>
              <w:top w:val="single" w:sz="8" w:color="E5E5E5"/>
            </w:tcBorders>
            <w:gridSpan w:val="3"/>
          </w:tcPr>
          <w:p>
            <w:pPr>
              <w:jc w:val="right"/>
              <w:ind w:right="4280"/>
              <w:spacing w:after="0"/>
              <w:rPr>
                <w:sz w:val="20"/>
                <w:szCs w:val="20"/>
                <w:color w:val="auto"/>
              </w:rPr>
            </w:pPr>
            <w:r>
              <w:rPr>
                <w:rFonts w:ascii="Times New Roman" w:cs="Times New Roman" w:eastAsia="Times New Roman" w:hAnsi="Times New Roman"/>
                <w:sz w:val="16"/>
                <w:szCs w:val="16"/>
                <w:b w:val="1"/>
                <w:bCs w:val="1"/>
                <w:i w:val="1"/>
                <w:iCs w:val="1"/>
                <w:color w:val="auto"/>
                <w:w w:val="96"/>
              </w:rPr>
              <w:t>_____________</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-196215</wp:posOffset>
            </wp:positionV>
            <wp:extent cx="2997835" cy="7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2997835" cy="75565"/>
                    </a:xfrm>
                    <a:prstGeom prst="rect">
                      <a:avLst/>
                    </a:prstGeom>
                    <a:noFill/>
                  </pic:spPr>
                </pic:pic>
              </a:graphicData>
            </a:graphic>
          </wp:anchor>
        </w:drawing>
      </w:r>
    </w:p>
    <w:p>
      <w:pPr>
        <w:spacing w:after="0" w:line="29" w:lineRule="exact"/>
        <w:rPr>
          <w:sz w:val="20"/>
          <w:szCs w:val="20"/>
          <w:color w:val="auto"/>
        </w:rPr>
      </w:pPr>
    </w:p>
    <w:p>
      <w:pPr>
        <w:ind w:left="360" w:right="340" w:hanging="356"/>
        <w:spacing w:after="0" w:line="270" w:lineRule="auto"/>
        <w:tabs>
          <w:tab w:leader="none" w:pos="360" w:val="left"/>
        </w:tabs>
        <w:numPr>
          <w:ilvl w:val="0"/>
          <w:numId w:val="8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Note 24 - Other Comprehensive Income (Loss) for gross components of Other Comprehensive Income ( Loss), reclassification adjustments out of Accumulated Other Comprehensive Loss and related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80</w:t>
      </w:r>
    </w:p>
    <w:p>
      <w:pPr>
        <w:sectPr>
          <w:pgSz w:w="11880" w:h="15480" w:orient="portrait"/>
          <w:cols w:equalWidth="0" w:num="1">
            <w:col w:w="9940"/>
          </w:cols>
          <w:pgMar w:left="960" w:top="724" w:right="980" w:bottom="0" w:gutter="0" w:footer="0" w:header="0"/>
        </w:sectPr>
      </w:pPr>
    </w:p>
    <w:bookmarkStart w:id="90" w:name="page91"/>
    <w:bookmarkEnd w:id="90"/>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2"/>
                <w:szCs w:val="12"/>
                <w:b w:val="1"/>
                <w:bCs w:val="1"/>
                <w:color w:val="auto"/>
              </w:rPr>
              <w:t>(in millions, except share data in thousands)</w:t>
            </w: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2260" w:type="dxa"/>
            <w:vAlign w:val="bottom"/>
            <w:tcBorders>
              <w:top w:val="single" w:sz="8" w:color="auto"/>
              <w:bottom w:val="single" w:sz="8" w:color="E5E5E5"/>
            </w:tcBorders>
          </w:tcPr>
          <w:p>
            <w:pPr>
              <w:spacing w:after="0" w:line="20" w:lineRule="exact"/>
              <w:rPr>
                <w:sz w:val="1"/>
                <w:szCs w:val="1"/>
                <w:color w:val="auto"/>
              </w:rPr>
            </w:pPr>
          </w:p>
        </w:tc>
        <w:tc>
          <w:tcPr>
            <w:tcW w:w="45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and cash equivalents</w:t>
            </w: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512</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576</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Accounts receivable (net of allowance of $73 and $69, respectively)</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1,122</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796</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Billed portion of finance receivables (net of allowance of $3 and $2, respectively)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48</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 net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510</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608</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Inventories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1,016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695</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current assets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362</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212</w:t>
            </w:r>
          </w:p>
        </w:tc>
      </w:tr>
      <w:tr>
        <w:trPr>
          <w:trHeight w:val="198"/>
        </w:trPr>
        <w:tc>
          <w:tcPr>
            <w:tcW w:w="60" w:type="dxa"/>
            <w:vAlign w:val="bottom"/>
          </w:tcPr>
          <w:p>
            <w:pPr>
              <w:spacing w:after="0"/>
              <w:rPr>
                <w:sz w:val="17"/>
                <w:szCs w:val="17"/>
                <w:color w:val="auto"/>
              </w:rPr>
            </w:pPr>
          </w:p>
        </w:tc>
        <w:tc>
          <w:tcPr>
            <w:tcW w:w="68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3,568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2,935</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 due after one year (net of allowance of $42 and $55, respectively)</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846</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1,089</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Equipment on operating leases,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245</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Land, buildings and equipment, net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390</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251</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Intangible assets,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236</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Goodwill, net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2,222</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1,937</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Deferred tax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615</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1,479</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1,057</w:t>
            </w:r>
          </w:p>
        </w:tc>
      </w:tr>
      <w:tr>
        <w:trPr>
          <w:trHeight w:val="213"/>
        </w:trPr>
        <w:tc>
          <w:tcPr>
            <w:tcW w:w="60" w:type="dxa"/>
            <w:vAlign w:val="bottom"/>
          </w:tcPr>
          <w:p>
            <w:pPr>
              <w:spacing w:after="0"/>
              <w:rPr>
                <w:sz w:val="18"/>
                <w:szCs w:val="18"/>
                <w:color w:val="auto"/>
              </w:rPr>
            </w:pPr>
          </w:p>
        </w:tc>
        <w:tc>
          <w:tcPr>
            <w:tcW w:w="6820" w:type="dxa"/>
            <w:vAlign w:val="bottom"/>
            <w:gridSpan w:val="2"/>
          </w:tcPr>
          <w:p>
            <w:pPr>
              <w:ind w:left="340"/>
              <w:spacing w:after="0" w:line="175" w:lineRule="exact"/>
              <w:rPr>
                <w:sz w:val="20"/>
                <w:szCs w:val="20"/>
                <w:color w:val="auto"/>
              </w:rPr>
            </w:pPr>
            <w:r>
              <w:rPr>
                <w:rFonts w:ascii="Arial" w:cs="Arial" w:eastAsia="Arial" w:hAnsi="Arial"/>
                <w:sz w:val="16"/>
                <w:szCs w:val="16"/>
                <w:b w:val="1"/>
                <w:bCs w:val="1"/>
                <w:color w:val="auto"/>
              </w:rPr>
              <w:t>Total Assets</w:t>
            </w:r>
          </w:p>
        </w:tc>
        <w:tc>
          <w:tcPr>
            <w:tcW w:w="360" w:type="dxa"/>
            <w:vAlign w:val="bottom"/>
          </w:tcPr>
          <w:p>
            <w:pPr>
              <w:jc w:val="right"/>
              <w:ind w:right="142"/>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9,823</w:t>
            </w:r>
          </w:p>
        </w:tc>
        <w:tc>
          <w:tcPr>
            <w:tcW w:w="600" w:type="dxa"/>
            <w:vAlign w:val="bottom"/>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8,365</w:t>
            </w:r>
          </w:p>
        </w:tc>
      </w:tr>
      <w:tr>
        <w:trPr>
          <w:trHeight w:val="204"/>
        </w:trPr>
        <w:tc>
          <w:tcPr>
            <w:tcW w:w="6880" w:type="dxa"/>
            <w:vAlign w:val="bottom"/>
            <w:tcBorders>
              <w:top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Borders>
              <w:top w:val="single" w:sz="8" w:color="auto"/>
            </w:tcBorders>
            <w:shd w:val="clear" w:color="auto" w:fill="E5E5E5"/>
          </w:tcPr>
          <w:p>
            <w:pPr>
              <w:spacing w:after="0"/>
              <w:rPr>
                <w:sz w:val="17"/>
                <w:szCs w:val="17"/>
                <w:color w:val="auto"/>
              </w:rPr>
            </w:pPr>
          </w:p>
        </w:tc>
        <w:tc>
          <w:tcPr>
            <w:tcW w:w="114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spacing w:after="0"/>
              <w:rPr>
                <w:sz w:val="17"/>
                <w:szCs w:val="17"/>
                <w:color w:val="auto"/>
              </w:rPr>
            </w:pP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Short-term debt and current portion of long-term debt</w:t>
            </w: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585</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Accounts payable</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1,498</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1,023</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Accrued compensation and benefits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227</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1,258</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784</w:t>
            </w:r>
          </w:p>
        </w:tc>
      </w:tr>
      <w:tr>
        <w:trPr>
          <w:trHeight w:val="198"/>
        </w:trPr>
        <w:tc>
          <w:tcPr>
            <w:tcW w:w="60" w:type="dxa"/>
            <w:vAlign w:val="bottom"/>
          </w:tcPr>
          <w:p>
            <w:pPr>
              <w:spacing w:after="0"/>
              <w:rPr>
                <w:sz w:val="17"/>
                <w:szCs w:val="17"/>
                <w:color w:val="auto"/>
              </w:rPr>
            </w:pPr>
          </w:p>
        </w:tc>
        <w:tc>
          <w:tcPr>
            <w:tcW w:w="68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3,222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2,619</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Long-term debt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4,016</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2,814</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Pension and other benefit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1,088</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Post-retirement medical benefits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159</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154</w:t>
            </w:r>
          </w:p>
        </w:tc>
      </w:tr>
      <w:tr>
        <w:trPr>
          <w:trHeight w:val="223"/>
        </w:trPr>
        <w:tc>
          <w:tcPr>
            <w:tcW w:w="688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386</w:t>
            </w:r>
          </w:p>
        </w:tc>
      </w:tr>
      <w:tr>
        <w:trPr>
          <w:trHeight w:val="213"/>
        </w:trPr>
        <w:tc>
          <w:tcPr>
            <w:tcW w:w="60" w:type="dxa"/>
            <w:vAlign w:val="bottom"/>
            <w:tcBorders>
              <w:bottom w:val="single" w:sz="8" w:color="E5E5E5"/>
            </w:tcBorders>
            <w:shd w:val="clear" w:color="auto" w:fill="E5E5E5"/>
          </w:tcPr>
          <w:p>
            <w:pPr>
              <w:spacing w:after="0"/>
              <w:rPr>
                <w:sz w:val="18"/>
                <w:szCs w:val="18"/>
                <w:color w:val="auto"/>
              </w:rPr>
            </w:pPr>
          </w:p>
        </w:tc>
        <w:tc>
          <w:tcPr>
            <w:tcW w:w="682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9,150</w:t>
            </w:r>
          </w:p>
        </w:tc>
        <w:tc>
          <w:tcPr>
            <w:tcW w:w="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7,061</w:t>
            </w:r>
          </w:p>
        </w:tc>
      </w:tr>
      <w:tr>
        <w:trPr>
          <w:trHeight w:val="223"/>
        </w:trPr>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Commitments and Contingencies (See Note 20)</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Noncontrolling Interests</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r>
      <w:tr>
        <w:trPr>
          <w:trHeight w:val="223"/>
        </w:trPr>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Convertible Preferred Stock</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214</w:t>
            </w:r>
          </w:p>
        </w:tc>
        <w:tc>
          <w:tcPr>
            <w:tcW w:w="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214</w:t>
            </w:r>
          </w:p>
        </w:tc>
      </w:tr>
      <w:tr>
        <w:trPr>
          <w:trHeight w:val="222"/>
        </w:trPr>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Common stock</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128</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124</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Additional paid-in capital</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1,137</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Retained earnings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2,444</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3,514</w:t>
            </w:r>
          </w:p>
        </w:tc>
      </w:tr>
      <w:tr>
        <w:trPr>
          <w:trHeight w:val="223"/>
        </w:trPr>
        <w:tc>
          <w:tcPr>
            <w:tcW w:w="688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(3,699)</w:t>
            </w:r>
          </w:p>
        </w:tc>
      </w:tr>
      <w:tr>
        <w:trPr>
          <w:trHeight w:val="223"/>
        </w:trPr>
        <w:tc>
          <w:tcPr>
            <w:tcW w:w="60" w:type="dxa"/>
            <w:vAlign w:val="bottom"/>
            <w:shd w:val="clear" w:color="auto" w:fill="E5E5E5"/>
          </w:tcPr>
          <w:p>
            <w:pPr>
              <w:spacing w:after="0"/>
              <w:rPr>
                <w:sz w:val="19"/>
                <w:szCs w:val="19"/>
                <w:color w:val="auto"/>
              </w:rPr>
            </w:pPr>
          </w:p>
        </w:tc>
        <w:tc>
          <w:tcPr>
            <w:tcW w:w="6820" w:type="dxa"/>
            <w:vAlign w:val="bottom"/>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Xerox Holdings shareholders’ equity</w:t>
            </w: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444</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1,076</w:t>
            </w:r>
          </w:p>
        </w:tc>
      </w:tr>
      <w:tr>
        <w:trPr>
          <w:trHeight w:val="223"/>
        </w:trPr>
        <w:tc>
          <w:tcPr>
            <w:tcW w:w="688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Noncontrolling interests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w:t>
            </w:r>
          </w:p>
        </w:tc>
      </w:tr>
      <w:tr>
        <w:trPr>
          <w:trHeight w:val="233"/>
        </w:trPr>
        <w:tc>
          <w:tcPr>
            <w:tcW w:w="60" w:type="dxa"/>
            <w:vAlign w:val="bottom"/>
            <w:tcBorders>
              <w:bottom w:val="single" w:sz="8" w:color="E5E5E5"/>
            </w:tcBorders>
            <w:shd w:val="clear" w:color="auto" w:fill="E5E5E5"/>
          </w:tcPr>
          <w:p>
            <w:pPr>
              <w:spacing w:after="0"/>
              <w:rPr>
                <w:sz w:val="20"/>
                <w:szCs w:val="20"/>
                <w:color w:val="auto"/>
              </w:rPr>
            </w:pPr>
          </w:p>
        </w:tc>
        <w:tc>
          <w:tcPr>
            <w:tcW w:w="682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Total Equity</w:t>
            </w:r>
          </w:p>
        </w:tc>
        <w:tc>
          <w:tcPr>
            <w:tcW w:w="360" w:type="dxa"/>
            <w:vAlign w:val="bottom"/>
            <w:tcBorders>
              <w:bottom w:val="single" w:sz="8" w:color="auto"/>
            </w:tcBorders>
            <w:shd w:val="clear" w:color="auto" w:fill="E5E5E5"/>
          </w:tcPr>
          <w:p>
            <w:pPr>
              <w:spacing w:after="0"/>
              <w:rPr>
                <w:sz w:val="20"/>
                <w:szCs w:val="20"/>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449</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spacing w:after="0"/>
              <w:rPr>
                <w:sz w:val="20"/>
                <w:szCs w:val="20"/>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1,080</w:t>
            </w:r>
          </w:p>
        </w:tc>
      </w:tr>
      <w:tr>
        <w:trPr>
          <w:trHeight w:val="212"/>
        </w:trPr>
        <w:tc>
          <w:tcPr>
            <w:tcW w:w="60" w:type="dxa"/>
            <w:vAlign w:val="bottom"/>
          </w:tcPr>
          <w:p>
            <w:pPr>
              <w:spacing w:after="0"/>
              <w:rPr>
                <w:sz w:val="18"/>
                <w:szCs w:val="18"/>
                <w:color w:val="auto"/>
              </w:rPr>
            </w:pPr>
          </w:p>
        </w:tc>
        <w:tc>
          <w:tcPr>
            <w:tcW w:w="6820" w:type="dxa"/>
            <w:vAlign w:val="bottom"/>
            <w:gridSpan w:val="2"/>
          </w:tcPr>
          <w:p>
            <w:pPr>
              <w:ind w:left="340"/>
              <w:spacing w:after="0" w:line="174" w:lineRule="exact"/>
              <w:rPr>
                <w:sz w:val="20"/>
                <w:szCs w:val="20"/>
                <w:color w:val="auto"/>
              </w:rPr>
            </w:pPr>
            <w:r>
              <w:rPr>
                <w:rFonts w:ascii="Arial" w:cs="Arial" w:eastAsia="Arial" w:hAnsi="Arial"/>
                <w:sz w:val="16"/>
                <w:szCs w:val="16"/>
                <w:b w:val="1"/>
                <w:bCs w:val="1"/>
                <w:color w:val="auto"/>
              </w:rPr>
              <w:t>Total Liabilities and Equity</w:t>
            </w:r>
          </w:p>
        </w:tc>
        <w:tc>
          <w:tcPr>
            <w:tcW w:w="360" w:type="dxa"/>
            <w:vAlign w:val="bottom"/>
          </w:tcPr>
          <w:p>
            <w:pPr>
              <w:jc w:val="right"/>
              <w:ind w:right="142"/>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9,823</w:t>
            </w:r>
          </w:p>
        </w:tc>
        <w:tc>
          <w:tcPr>
            <w:tcW w:w="600" w:type="dxa"/>
            <w:vAlign w:val="bottom"/>
            <w:gridSpan w:val="2"/>
          </w:tcPr>
          <w:p>
            <w:pPr>
              <w:jc w:val="right"/>
              <w:ind w:right="380"/>
              <w:spacing w:after="0" w:line="174"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8,365</w:t>
            </w:r>
          </w:p>
        </w:tc>
      </w:tr>
      <w:tr>
        <w:trPr>
          <w:trHeight w:val="204"/>
        </w:trPr>
        <w:tc>
          <w:tcPr>
            <w:tcW w:w="60" w:type="dxa"/>
            <w:vAlign w:val="bottom"/>
            <w:tcBorders>
              <w:top w:val="single" w:sz="8" w:color="E5E5E5"/>
            </w:tcBorders>
            <w:shd w:val="clear" w:color="auto" w:fill="E5E5E5"/>
          </w:tcPr>
          <w:p>
            <w:pPr>
              <w:spacing w:after="0"/>
              <w:rPr>
                <w:sz w:val="17"/>
                <w:szCs w:val="17"/>
                <w:color w:val="auto"/>
              </w:rPr>
            </w:pPr>
          </w:p>
        </w:tc>
        <w:tc>
          <w:tcPr>
            <w:tcW w:w="2260" w:type="dxa"/>
            <w:vAlign w:val="bottom"/>
            <w:tcBorders>
              <w:top w:val="single" w:sz="8" w:color="E5E5E5"/>
            </w:tcBorders>
            <w:shd w:val="clear" w:color="auto" w:fill="E5E5E5"/>
          </w:tcPr>
          <w:p>
            <w:pPr>
              <w:spacing w:after="0"/>
              <w:rPr>
                <w:sz w:val="17"/>
                <w:szCs w:val="17"/>
                <w:color w:val="auto"/>
              </w:rPr>
            </w:pPr>
          </w:p>
        </w:tc>
        <w:tc>
          <w:tcPr>
            <w:tcW w:w="4560" w:type="dxa"/>
            <w:vAlign w:val="bottom"/>
            <w:tcBorders>
              <w:top w:val="single" w:sz="8" w:color="E5E5E5"/>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114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spacing w:after="0"/>
              <w:rPr>
                <w:sz w:val="17"/>
                <w:szCs w:val="17"/>
                <w:color w:val="auto"/>
              </w:rPr>
            </w:pPr>
          </w:p>
        </w:tc>
      </w:tr>
      <w:tr>
        <w:trPr>
          <w:trHeight w:val="229"/>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Shares of Common Stock Issued and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128,044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124,435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-4173855</wp:posOffset>
            </wp:positionV>
            <wp:extent cx="2000250" cy="755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2000250" cy="7556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-330200</wp:posOffset>
            </wp:positionV>
            <wp:extent cx="2000250" cy="755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2000250"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81</w:t>
      </w:r>
    </w:p>
    <w:p>
      <w:pPr>
        <w:sectPr>
          <w:pgSz w:w="11880" w:h="15480" w:orient="portrait"/>
          <w:cols w:equalWidth="0" w:num="1">
            <w:col w:w="9960"/>
          </w:cols>
          <w:pgMar w:left="960" w:top="724" w:right="960" w:bottom="0" w:gutter="0" w:footer="0" w:header="0"/>
        </w:sectPr>
      </w:pPr>
    </w:p>
    <w:bookmarkStart w:id="91" w:name="page92"/>
    <w:bookmarkEnd w:id="91"/>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2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96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55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Net (Loss) Income</w:t>
            </w:r>
          </w:p>
        </w:tc>
        <w:tc>
          <w:tcPr>
            <w:tcW w:w="32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(1,029)</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(1,321)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2"/>
        </w:trPr>
        <w:tc>
          <w:tcPr>
            <w:tcW w:w="60" w:type="dxa"/>
            <w:vAlign w:val="bottom"/>
            <w:shd w:val="clear" w:color="auto" w:fill="E5E5E5"/>
          </w:tcPr>
          <w:p>
            <w:pPr>
              <w:spacing w:after="0"/>
              <w:rPr>
                <w:sz w:val="15"/>
                <w:szCs w:val="15"/>
                <w:color w:val="auto"/>
              </w:rPr>
            </w:pPr>
          </w:p>
        </w:tc>
        <w:tc>
          <w:tcPr>
            <w:tcW w:w="5540" w:type="dxa"/>
            <w:vAlign w:val="bottom"/>
            <w:gridSpan w:val="2"/>
            <w:shd w:val="clear" w:color="auto" w:fill="E5E5E5"/>
          </w:tcPr>
          <w:p>
            <w:pPr>
              <w:spacing w:after="0" w:line="182" w:lineRule="exact"/>
              <w:rPr>
                <w:sz w:val="20"/>
                <w:szCs w:val="20"/>
                <w:color w:val="auto"/>
              </w:rPr>
            </w:pPr>
            <w:r>
              <w:rPr>
                <w:rFonts w:ascii="Arial" w:cs="Arial" w:eastAsia="Arial" w:hAnsi="Arial"/>
                <w:sz w:val="16"/>
                <w:szCs w:val="16"/>
                <w:b w:val="1"/>
                <w:bCs w:val="1"/>
                <w:color w:val="auto"/>
              </w:rPr>
              <w:t>Adjustments required to reconcile Net (loss) income to Net Cash</w:t>
            </w:r>
          </w:p>
        </w:tc>
        <w:tc>
          <w:tcPr>
            <w:tcW w:w="32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55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provided by operating activities:</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Provisions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110</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Inventory-related purchase accounting adjustment-noncash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60" w:type="dxa"/>
            <w:vAlign w:val="bottom"/>
            <w:shd w:val="clear" w:color="auto" w:fill="E5E5E5"/>
          </w:tcPr>
          <w:p>
            <w:pPr>
              <w:spacing w:after="0"/>
              <w:rPr>
                <w:sz w:val="17"/>
                <w:szCs w:val="17"/>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98"/>
              </w:rPr>
              <w:t>Effective settlement of a pre-existing relationship between Lexmark and</w:t>
            </w:r>
          </w:p>
        </w:tc>
        <w:tc>
          <w:tcPr>
            <w:tcW w:w="32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(43)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Xerox</w:t>
            </w:r>
          </w:p>
        </w:tc>
        <w:tc>
          <w:tcPr>
            <w:tcW w:w="320" w:type="dxa"/>
            <w:vAlign w:val="bottom"/>
            <w:shd w:val="clear" w:color="auto" w:fill="E5E5E5"/>
          </w:tcPr>
          <w:p>
            <w:pPr>
              <w:spacing w:after="0"/>
              <w:rPr>
                <w:sz w:val="18"/>
                <w:szCs w:val="18"/>
                <w:color w:val="auto"/>
              </w:rPr>
            </w:pPr>
          </w:p>
        </w:tc>
        <w:tc>
          <w:tcPr>
            <w:tcW w:w="10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Deferred tax benefit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Net gain on sales of businesses and assets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Divestitures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PARC donation</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Goodwill impairment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1,058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Restructuring and asset impairment charges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Payments for restructurings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Non-service retirement-related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Contributions to retirement plans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(145)</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5540" w:type="dxa"/>
            <w:vAlign w:val="bottom"/>
            <w:gridSpan w:val="2"/>
          </w:tcPr>
          <w:p>
            <w:pPr>
              <w:ind w:left="120"/>
              <w:spacing w:after="0" w:line="147" w:lineRule="exact"/>
              <w:rPr>
                <w:sz w:val="20"/>
                <w:szCs w:val="20"/>
                <w:color w:val="auto"/>
              </w:rPr>
            </w:pPr>
            <w:r>
              <w:rPr>
                <w:rFonts w:ascii="Arial" w:cs="Arial" w:eastAsia="Arial" w:hAnsi="Arial"/>
                <w:sz w:val="16"/>
                <w:szCs w:val="16"/>
                <w:b w:val="1"/>
                <w:bCs w:val="1"/>
                <w:color w:val="auto"/>
                <w:w w:val="99"/>
              </w:rPr>
              <w:t>(Increase) decrease in accounts receivable and billed portion of finance</w:t>
            </w: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receivables</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(Increase) decrease in inventories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(122)</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Increase in equipment on operating 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Decrease in finance receivables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489</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663</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Decrease (increase) in other current and long-term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Increase (decrease) in accounts payable</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(290)</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(Decrease) increase in accrued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Increase (decrease) in other current and long-term liabilities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 change in income tax assets and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Net change in derivative assets and liabilities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23"/>
        </w:trPr>
        <w:tc>
          <w:tcPr>
            <w:tcW w:w="60" w:type="dxa"/>
            <w:vAlign w:val="bottom"/>
            <w:tcBorders>
              <w:bottom w:val="single" w:sz="8" w:color="E5E5E5"/>
            </w:tcBorders>
          </w:tcPr>
          <w:p>
            <w:pPr>
              <w:spacing w:after="0"/>
              <w:rPr>
                <w:sz w:val="19"/>
                <w:szCs w:val="19"/>
                <w:color w:val="auto"/>
              </w:rPr>
            </w:pPr>
          </w:p>
        </w:tc>
        <w:tc>
          <w:tcPr>
            <w:tcW w:w="5540" w:type="dxa"/>
            <w:vAlign w:val="bottom"/>
            <w:tcBorders>
              <w:bottom w:val="single" w:sz="8" w:color="E5E5E5"/>
            </w:tcBorders>
            <w:gridSpan w:val="2"/>
          </w:tcPr>
          <w:p>
            <w:pPr>
              <w:ind w:left="120"/>
              <w:spacing w:after="0"/>
              <w:rPr>
                <w:sz w:val="20"/>
                <w:szCs w:val="20"/>
                <w:color w:val="auto"/>
              </w:rPr>
            </w:pPr>
            <w:r>
              <w:rPr>
                <w:rFonts w:ascii="Arial" w:cs="Arial" w:eastAsia="Arial" w:hAnsi="Arial"/>
                <w:sz w:val="16"/>
                <w:szCs w:val="16"/>
                <w:b w:val="1"/>
                <w:bCs w:val="1"/>
                <w:color w:val="auto"/>
              </w:rPr>
              <w:t>Other operating,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32"/>
        </w:trPr>
        <w:tc>
          <w:tcPr>
            <w:tcW w:w="60" w:type="dxa"/>
            <w:vAlign w:val="bottom"/>
            <w:tcBorders>
              <w:bottom w:val="single" w:sz="8" w:color="E5E5E5"/>
            </w:tcBorders>
            <w:shd w:val="clear" w:color="auto" w:fill="E5E5E5"/>
          </w:tcPr>
          <w:p>
            <w:pPr>
              <w:spacing w:after="0"/>
              <w:rPr>
                <w:sz w:val="20"/>
                <w:szCs w:val="20"/>
                <w:color w:val="auto"/>
              </w:rPr>
            </w:pPr>
          </w:p>
        </w:tc>
        <w:tc>
          <w:tcPr>
            <w:tcW w:w="554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224</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686</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Cost of additions to land, buildings, equipment and software</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(91)</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Proceeds from sales of businesses and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Acquisitions, net of cash acquired</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(674)</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23"/>
        </w:trPr>
        <w:tc>
          <w:tcPr>
            <w:tcW w:w="60" w:type="dxa"/>
            <w:vAlign w:val="bottom"/>
            <w:tcBorders>
              <w:bottom w:val="single" w:sz="8" w:color="E5E5E5"/>
            </w:tcBorders>
          </w:tcPr>
          <w:p>
            <w:pPr>
              <w:spacing w:after="0"/>
              <w:rPr>
                <w:sz w:val="19"/>
                <w:szCs w:val="19"/>
                <w:color w:val="auto"/>
              </w:rPr>
            </w:pPr>
          </w:p>
        </w:tc>
        <w:tc>
          <w:tcPr>
            <w:tcW w:w="5540" w:type="dxa"/>
            <w:vAlign w:val="bottom"/>
            <w:tcBorders>
              <w:bottom w:val="single" w:sz="8" w:color="E5E5E5"/>
            </w:tcBorders>
            <w:gridSpan w:val="2"/>
          </w:tcPr>
          <w:p>
            <w:pPr>
              <w:ind w:left="120"/>
              <w:spacing w:after="0"/>
              <w:rPr>
                <w:sz w:val="20"/>
                <w:szCs w:val="20"/>
                <w:color w:val="auto"/>
              </w:rPr>
            </w:pPr>
            <w:r>
              <w:rPr>
                <w:rFonts w:ascii="Arial" w:cs="Arial" w:eastAsia="Arial" w:hAnsi="Arial"/>
                <w:sz w:val="16"/>
                <w:szCs w:val="16"/>
                <w:b w:val="1"/>
                <w:bCs w:val="1"/>
                <w:color w:val="auto"/>
              </w:rPr>
              <w:t>Other investing,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9"/>
        </w:trPr>
        <w:tc>
          <w:tcPr>
            <w:tcW w:w="60" w:type="dxa"/>
            <w:vAlign w:val="bottom"/>
            <w:tcBorders>
              <w:bottom w:val="single" w:sz="8" w:color="E5E5E5"/>
            </w:tcBorders>
            <w:shd w:val="clear" w:color="auto" w:fill="E5E5E5"/>
          </w:tcPr>
          <w:p>
            <w:pPr>
              <w:spacing w:after="0"/>
              <w:rPr>
                <w:sz w:val="19"/>
                <w:szCs w:val="19"/>
                <w:color w:val="auto"/>
              </w:rPr>
            </w:pPr>
          </w:p>
        </w:tc>
        <w:tc>
          <w:tcPr>
            <w:tcW w:w="554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E5E5E5"/>
          </w:tcPr>
          <w:p>
            <w:pPr>
              <w:spacing w:after="0"/>
              <w:rPr>
                <w:sz w:val="19"/>
                <w:szCs w:val="19"/>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(698)</w:t>
            </w:r>
          </w:p>
        </w:tc>
        <w:tc>
          <w:tcPr>
            <w:tcW w:w="8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(198)</w:t>
            </w:r>
          </w:p>
        </w:tc>
        <w:tc>
          <w:tcPr>
            <w:tcW w:w="8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Net proceeds on short-term debt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Proceeds from issuance of long-term debt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1,396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Payments on long-term debt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(992)</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(1,874)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Purchases of capped calls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Dividends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(141)</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 to acquire treasury stock, including fees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(544)</w:t>
            </w:r>
          </w:p>
        </w:tc>
        <w:tc>
          <w:tcPr>
            <w:tcW w:w="0" w:type="dxa"/>
            <w:vAlign w:val="bottom"/>
          </w:tcPr>
          <w:p>
            <w:pPr>
              <w:spacing w:after="0"/>
              <w:rPr>
                <w:sz w:val="1"/>
                <w:szCs w:val="1"/>
                <w:color w:val="auto"/>
              </w:rPr>
            </w:pP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5540" w:type="dxa"/>
            <w:vAlign w:val="bottom"/>
            <w:tcBorders>
              <w:bottom w:val="single" w:sz="8" w:color="E5E5E5"/>
            </w:tcBorders>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Other financing, net</w:t>
            </w: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93"/>
        </w:trPr>
        <w:tc>
          <w:tcPr>
            <w:tcW w:w="60" w:type="dxa"/>
            <w:vAlign w:val="bottom"/>
            <w:tcBorders>
              <w:bottom w:val="single" w:sz="8" w:color="E5E5E5"/>
            </w:tcBorders>
          </w:tcPr>
          <w:p>
            <w:pPr>
              <w:spacing w:after="0"/>
              <w:rPr>
                <w:sz w:val="16"/>
                <w:szCs w:val="16"/>
                <w:color w:val="auto"/>
              </w:rPr>
            </w:pPr>
          </w:p>
        </w:tc>
        <w:tc>
          <w:tcPr>
            <w:tcW w:w="5540" w:type="dxa"/>
            <w:vAlign w:val="bottom"/>
            <w:tcBorders>
              <w:bottom w:val="single" w:sz="8" w:color="E5E5E5"/>
            </w:tcBorders>
            <w:gridSpan w:val="2"/>
          </w:tcPr>
          <w:p>
            <w:pPr>
              <w:ind w:left="3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w:t>
            </w:r>
          </w:p>
        </w:tc>
        <w:tc>
          <w:tcPr>
            <w:tcW w:w="8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8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(1,202)</w:t>
            </w:r>
          </w:p>
        </w:tc>
        <w:tc>
          <w:tcPr>
            <w:tcW w:w="0" w:type="dxa"/>
            <w:vAlign w:val="bottom"/>
          </w:tcPr>
          <w:p>
            <w:pPr>
              <w:spacing w:after="0"/>
              <w:rPr>
                <w:sz w:val="1"/>
                <w:szCs w:val="1"/>
                <w:color w:val="auto"/>
              </w:rPr>
            </w:pPr>
          </w:p>
        </w:tc>
      </w:tr>
      <w:tr>
        <w:trPr>
          <w:trHeight w:val="232"/>
        </w:trPr>
        <w:tc>
          <w:tcPr>
            <w:tcW w:w="60" w:type="dxa"/>
            <w:vAlign w:val="bottom"/>
            <w:tcBorders>
              <w:bottom w:val="single" w:sz="8" w:color="E5E5E5"/>
            </w:tcBorders>
            <w:shd w:val="clear" w:color="auto" w:fill="E5E5E5"/>
          </w:tcPr>
          <w:p>
            <w:pPr>
              <w:spacing w:after="0"/>
              <w:rPr>
                <w:sz w:val="20"/>
                <w:szCs w:val="20"/>
                <w:color w:val="auto"/>
              </w:rPr>
            </w:pPr>
          </w:p>
        </w:tc>
        <w:tc>
          <w:tcPr>
            <w:tcW w:w="55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w w:val="92"/>
              </w:rPr>
              <w:t>Effect of exchange rate changes on cash, cash equivalents and restricted cash</w:t>
            </w: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(522)</w:t>
            </w:r>
          </w:p>
        </w:tc>
        <w:tc>
          <w:tcPr>
            <w:tcW w:w="0" w:type="dxa"/>
            <w:vAlign w:val="bottom"/>
          </w:tcPr>
          <w:p>
            <w:pPr>
              <w:spacing w:after="0"/>
              <w:rPr>
                <w:sz w:val="1"/>
                <w:szCs w:val="1"/>
                <w:color w:val="auto"/>
              </w:rPr>
            </w:pP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55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Cash, cash equivalents and restricted cash at beginning of year</w:t>
            </w: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631</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617</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1,139</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55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Cash, Cash Equivalents and Restricted Cash at End of Year</w:t>
            </w:r>
          </w:p>
        </w:tc>
        <w:tc>
          <w:tcPr>
            <w:tcW w:w="320" w:type="dxa"/>
            <w:vAlign w:val="bottom"/>
          </w:tcPr>
          <w:p>
            <w:pPr>
              <w:jc w:val="right"/>
              <w:ind w:right="122"/>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565</w:t>
            </w:r>
          </w:p>
        </w:tc>
        <w:tc>
          <w:tcPr>
            <w:tcW w:w="42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631</w:t>
            </w:r>
          </w:p>
        </w:tc>
        <w:tc>
          <w:tcPr>
            <w:tcW w:w="40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-55880</wp:posOffset>
            </wp:positionV>
            <wp:extent cx="2804160" cy="755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2804160"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82</w:t>
      </w:r>
    </w:p>
    <w:p>
      <w:pPr>
        <w:sectPr>
          <w:pgSz w:w="11880" w:h="15480" w:orient="portrait"/>
          <w:cols w:equalWidth="0" w:num="1">
            <w:col w:w="9920"/>
          </w:cols>
          <w:pgMar w:left="960" w:top="724" w:right="1000" w:bottom="0" w:gutter="0" w:footer="0" w:header="0"/>
        </w:sectPr>
      </w:pPr>
    </w:p>
    <w:bookmarkStart w:id="92" w:name="page93"/>
    <w:bookmarkEnd w:id="92"/>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Shareholders' Equity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1"/>
              </w:rPr>
              <w:t>Additional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Xerox</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8"/>
              </w:rPr>
              <w:t>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8"/>
              </w:rPr>
              <w:t>Common</w:t>
            </w: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7"/>
              </w:rPr>
              <w:t>Treasury</w:t>
            </w:r>
          </w:p>
        </w:tc>
        <w:tc>
          <w:tcPr>
            <w:tcW w:w="80" w:type="dxa"/>
            <w:vAlign w:val="bottom"/>
          </w:tcPr>
          <w:p>
            <w:pPr>
              <w:spacing w:after="0"/>
              <w:rPr>
                <w:sz w:val="13"/>
                <w:szCs w:val="13"/>
                <w:color w:val="auto"/>
              </w:rPr>
            </w:pPr>
          </w:p>
        </w:tc>
        <w:tc>
          <w:tcPr>
            <w:tcW w:w="78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Retained</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02"/>
              <w:spacing w:after="0" w:line="155" w:lineRule="exact"/>
              <w:rPr>
                <w:sz w:val="20"/>
                <w:szCs w:val="20"/>
                <w:color w:val="auto"/>
              </w:rPr>
            </w:pPr>
            <w:r>
              <w:rPr>
                <w:rFonts w:ascii="Arial" w:cs="Arial" w:eastAsia="Arial" w:hAnsi="Arial"/>
                <w:sz w:val="16"/>
                <w:szCs w:val="16"/>
                <w:b w:val="1"/>
                <w:bCs w:val="1"/>
                <w:color w:val="auto"/>
                <w:w w:val="87"/>
              </w:rPr>
              <w:t>Holdings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82"/>
              <w:spacing w:after="0" w:line="155" w:lineRule="exact"/>
              <w:rPr>
                <w:sz w:val="20"/>
                <w:szCs w:val="20"/>
                <w:color w:val="auto"/>
              </w:rPr>
            </w:pPr>
            <w:r>
              <w:rPr>
                <w:rFonts w:ascii="Arial" w:cs="Arial" w:eastAsia="Arial" w:hAnsi="Arial"/>
                <w:sz w:val="16"/>
                <w:szCs w:val="16"/>
                <w:b w:val="1"/>
                <w:bCs w:val="1"/>
                <w:color w:val="auto"/>
                <w:w w:val="89"/>
              </w:rPr>
              <w:t>Paid-in</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AOCL</w:t>
            </w:r>
            <w:r>
              <w:rPr>
                <w:rFonts w:ascii="Arial" w:cs="Arial" w:eastAsia="Arial" w:hAnsi="Arial"/>
                <w:sz w:val="10"/>
                <w:szCs w:val="10"/>
                <w:b w:val="1"/>
                <w:bCs w:val="1"/>
                <w:color w:val="auto"/>
              </w:rPr>
              <w:t>(2)</w:t>
            </w:r>
          </w:p>
        </w:tc>
        <w:tc>
          <w:tcPr>
            <w:tcW w:w="80" w:type="dxa"/>
            <w:vAlign w:val="bottom"/>
          </w:tcPr>
          <w:p>
            <w:pPr>
              <w:spacing w:after="0"/>
              <w:rPr>
                <w:sz w:val="13"/>
                <w:szCs w:val="13"/>
                <w:color w:val="auto"/>
              </w:rPr>
            </w:pPr>
          </w:p>
        </w:tc>
        <w:tc>
          <w:tcPr>
            <w:tcW w:w="10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3"/>
              </w:rPr>
              <w:t>Shareholders’</w:t>
            </w:r>
          </w:p>
        </w:tc>
        <w:tc>
          <w:tcPr>
            <w:tcW w:w="8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89"/>
              </w:rPr>
              <w:t>controlling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760" w:type="dxa"/>
            <w:vAlign w:val="bottom"/>
            <w:gridSpan w:val="2"/>
          </w:tcPr>
          <w:p>
            <w:pPr>
              <w:jc w:val="right"/>
              <w:ind w:right="42"/>
              <w:spacing w:after="0" w:line="173" w:lineRule="exact"/>
              <w:rPr>
                <w:sz w:val="20"/>
                <w:szCs w:val="20"/>
                <w:color w:val="auto"/>
              </w:rPr>
            </w:pPr>
            <w:r>
              <w:rPr>
                <w:rFonts w:ascii="Arial" w:cs="Arial" w:eastAsia="Arial" w:hAnsi="Arial"/>
                <w:sz w:val="16"/>
                <w:szCs w:val="16"/>
                <w:b w:val="1"/>
                <w:bCs w:val="1"/>
                <w:color w:val="auto"/>
              </w:rPr>
              <w:t>Stock</w:t>
            </w:r>
            <w:r>
              <w:rPr>
                <w:rFonts w:ascii="Arial" w:cs="Arial" w:eastAsia="Arial" w:hAnsi="Arial"/>
                <w:sz w:val="10"/>
                <w:szCs w:val="10"/>
                <w:b w:val="1"/>
                <w:bCs w:val="1"/>
                <w:color w:val="auto"/>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82"/>
              <w:spacing w:after="0" w:line="173" w:lineRule="exact"/>
              <w:rPr>
                <w:sz w:val="20"/>
                <w:szCs w:val="20"/>
                <w:color w:val="auto"/>
              </w:rPr>
            </w:pPr>
            <w:r>
              <w:rPr>
                <w:rFonts w:ascii="Arial" w:cs="Arial" w:eastAsia="Arial" w:hAnsi="Arial"/>
                <w:sz w:val="16"/>
                <w:szCs w:val="16"/>
                <w:b w:val="1"/>
                <w:bCs w:val="1"/>
                <w:color w:val="auto"/>
                <w:w w:val="8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02"/>
              <w:spacing w:after="0" w:line="173" w:lineRule="exact"/>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5"/>
                <w:szCs w:val="15"/>
                <w:color w:val="auto"/>
              </w:rPr>
            </w:pPr>
          </w:p>
        </w:tc>
        <w:tc>
          <w:tcPr>
            <w:tcW w:w="780" w:type="dxa"/>
            <w:vAlign w:val="bottom"/>
            <w:gridSpan w:val="2"/>
          </w:tcPr>
          <w:p>
            <w:pPr>
              <w:jc w:val="right"/>
              <w:ind w:right="2"/>
              <w:spacing w:after="0" w:line="173" w:lineRule="exact"/>
              <w:rPr>
                <w:sz w:val="20"/>
                <w:szCs w:val="20"/>
                <w:color w:val="auto"/>
              </w:rPr>
            </w:pPr>
            <w:r>
              <w:rPr>
                <w:rFonts w:ascii="Arial" w:cs="Arial" w:eastAsia="Arial" w:hAnsi="Arial"/>
                <w:sz w:val="16"/>
                <w:szCs w:val="16"/>
                <w:b w:val="1"/>
                <w:bCs w:val="1"/>
                <w:color w:val="auto"/>
                <w:w w:val="99"/>
              </w:rPr>
              <w:t>Earnings</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02"/>
              <w:spacing w:after="0" w:line="173" w:lineRule="exact"/>
              <w:rPr>
                <w:sz w:val="20"/>
                <w:szCs w:val="20"/>
                <w:color w:val="auto"/>
              </w:rPr>
            </w:pPr>
            <w:r>
              <w:rPr>
                <w:rFonts w:ascii="Arial" w:cs="Arial" w:eastAsia="Arial" w:hAnsi="Arial"/>
                <w:sz w:val="16"/>
                <w:szCs w:val="16"/>
                <w:b w:val="1"/>
                <w:bCs w:val="1"/>
                <w:color w:val="auto"/>
                <w:w w:val="89"/>
              </w:rPr>
              <w:t>Equity</w:t>
            </w:r>
          </w:p>
        </w:tc>
        <w:tc>
          <w:tcPr>
            <w:tcW w:w="80" w:type="dxa"/>
            <w:vAlign w:val="bottom"/>
          </w:tcPr>
          <w:p>
            <w:pPr>
              <w:spacing w:after="0"/>
              <w:rPr>
                <w:sz w:val="15"/>
                <w:szCs w:val="15"/>
                <w:color w:val="auto"/>
              </w:rPr>
            </w:pPr>
          </w:p>
        </w:tc>
        <w:tc>
          <w:tcPr>
            <w:tcW w:w="820" w:type="dxa"/>
            <w:vAlign w:val="bottom"/>
            <w:gridSpan w:val="2"/>
          </w:tcPr>
          <w:p>
            <w:pPr>
              <w:jc w:val="right"/>
              <w:ind w:right="22"/>
              <w:spacing w:after="0" w:line="173" w:lineRule="exact"/>
              <w:rPr>
                <w:sz w:val="20"/>
                <w:szCs w:val="20"/>
                <w:color w:val="auto"/>
              </w:rPr>
            </w:pPr>
            <w:r>
              <w:rPr>
                <w:rFonts w:ascii="Arial" w:cs="Arial" w:eastAsia="Arial" w:hAnsi="Arial"/>
                <w:sz w:val="16"/>
                <w:szCs w:val="16"/>
                <w:b w:val="1"/>
                <w:bCs w:val="1"/>
                <w:color w:val="auto"/>
              </w:rPr>
              <w:t>Interests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02"/>
              <w:spacing w:after="0" w:line="173" w:lineRule="exact"/>
              <w:rPr>
                <w:sz w:val="20"/>
                <w:szCs w:val="20"/>
                <w:color w:val="auto"/>
              </w:rPr>
            </w:pPr>
            <w:r>
              <w:rPr>
                <w:rFonts w:ascii="Arial" w:cs="Arial" w:eastAsia="Arial" w:hAnsi="Arial"/>
                <w:sz w:val="16"/>
                <w:szCs w:val="16"/>
                <w:b w:val="1"/>
                <w:bCs w:val="1"/>
                <w:color w:val="auto"/>
                <w:w w:val="85"/>
              </w:rPr>
              <w:t>Equity</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226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shd w:val="clear" w:color="auto" w:fill="E5E5E5"/>
          </w:tcPr>
          <w:p>
            <w:pPr>
              <w:spacing w:after="0"/>
              <w:rPr>
                <w:sz w:val="20"/>
                <w:szCs w:val="20"/>
                <w:color w:val="auto"/>
              </w:rPr>
            </w:pPr>
          </w:p>
        </w:tc>
        <w:tc>
          <w:tcPr>
            <w:tcW w:w="28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Balance at December 31, 2022</w:t>
            </w:r>
          </w:p>
        </w:tc>
        <w:tc>
          <w:tcPr>
            <w:tcW w:w="2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156</w:t>
            </w:r>
          </w:p>
        </w:tc>
        <w:tc>
          <w:tcPr>
            <w:tcW w:w="22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1,588</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5,136</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 (3,537)</w:t>
            </w:r>
          </w:p>
        </w:tc>
        <w:tc>
          <w:tcPr>
            <w:tcW w:w="26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3,343</w:t>
            </w:r>
          </w:p>
        </w:tc>
        <w:tc>
          <w:tcPr>
            <w:tcW w:w="280" w:type="dxa"/>
            <w:vAlign w:val="bottom"/>
            <w:gridSpan w:val="2"/>
            <w:shd w:val="clear" w:color="auto" w:fill="E5E5E5"/>
          </w:tcPr>
          <w:p>
            <w:pPr>
              <w:ind w:left="14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3,353</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(loss), net</w:t>
            </w:r>
          </w:p>
        </w:tc>
        <w:tc>
          <w:tcPr>
            <w:tcW w:w="280" w:type="dxa"/>
            <w:vAlign w:val="bottom"/>
          </w:tcPr>
          <w:p>
            <w:pPr>
              <w:spacing w:after="0"/>
              <w:rPr>
                <w:sz w:val="21"/>
                <w:szCs w:val="21"/>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39"/>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Cash dividends declared-common</w:t>
            </w:r>
            <w:r>
              <w:rPr>
                <w:rFonts w:ascii="Arial" w:cs="Arial" w:eastAsia="Arial" w:hAnsi="Arial"/>
                <w:sz w:val="10"/>
                <w:szCs w:val="10"/>
                <w:b w:val="1"/>
                <w:bCs w:val="1"/>
                <w:color w:val="auto"/>
              </w:rPr>
              <w:t>(3)</w:t>
            </w:r>
          </w:p>
        </w:tc>
        <w:tc>
          <w:tcPr>
            <w:tcW w:w="28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(146)</w:t>
            </w:r>
          </w:p>
        </w:tc>
        <w:tc>
          <w:tcPr>
            <w:tcW w:w="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(146)</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(146)</w:t>
            </w:r>
          </w:p>
        </w:tc>
        <w:tc>
          <w:tcPr>
            <w:tcW w:w="0" w:type="dxa"/>
            <w:vAlign w:val="bottom"/>
          </w:tcPr>
          <w:p>
            <w:pPr>
              <w:spacing w:after="0"/>
              <w:rPr>
                <w:sz w:val="1"/>
                <w:szCs w:val="1"/>
                <w:color w:val="auto"/>
              </w:rPr>
            </w:pPr>
          </w:p>
        </w:tc>
      </w:tr>
      <w:tr>
        <w:trPr>
          <w:trHeight w:val="227"/>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dividends declared-preferred</w:t>
            </w:r>
            <w:r>
              <w:rPr>
                <w:rFonts w:ascii="Arial" w:cs="Arial" w:eastAsia="Arial" w:hAnsi="Arial"/>
                <w:sz w:val="10"/>
                <w:szCs w:val="10"/>
                <w:b w:val="1"/>
                <w:bCs w:val="1"/>
                <w:color w:val="auto"/>
              </w:rPr>
              <w:t>(4)</w:t>
            </w:r>
          </w:p>
        </w:tc>
        <w:tc>
          <w:tcPr>
            <w:tcW w:w="28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53"/>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9"/>
              </w:rPr>
              <w:t>Stock option and incentive plans, net</w:t>
            </w:r>
          </w:p>
        </w:tc>
        <w:tc>
          <w:tcPr>
            <w:tcW w:w="280" w:type="dxa"/>
            <w:vAlign w:val="bottom"/>
            <w:shd w:val="clear" w:color="auto" w:fill="E5E5E5"/>
          </w:tcPr>
          <w:p>
            <w:pPr>
              <w:spacing w:after="0"/>
              <w:rPr>
                <w:sz w:val="22"/>
                <w:szCs w:val="22"/>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2"/>
                <w:szCs w:val="22"/>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42"/>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Common stock repurchased</w:t>
            </w:r>
          </w:p>
        </w:tc>
        <w:tc>
          <w:tcPr>
            <w:tcW w:w="280" w:type="dxa"/>
            <w:vAlign w:val="bottom"/>
          </w:tcPr>
          <w:p>
            <w:pPr>
              <w:spacing w:after="0"/>
              <w:rPr>
                <w:sz w:val="21"/>
                <w:szCs w:val="21"/>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(553)</w:t>
            </w:r>
          </w:p>
        </w:tc>
        <w:tc>
          <w:tcPr>
            <w:tcW w:w="0" w:type="dxa"/>
            <w:vAlign w:val="bottom"/>
          </w:tcPr>
          <w:p>
            <w:pPr>
              <w:spacing w:after="0"/>
              <w:rPr>
                <w:sz w:val="1"/>
                <w:szCs w:val="1"/>
                <w:color w:val="auto"/>
              </w:rPr>
            </w:pPr>
          </w:p>
        </w:tc>
      </w:tr>
      <w:tr>
        <w:trPr>
          <w:trHeight w:val="253"/>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Cancellation of treasury stock</w:t>
            </w:r>
          </w:p>
        </w:tc>
        <w:tc>
          <w:tcPr>
            <w:tcW w:w="280" w:type="dxa"/>
            <w:vAlign w:val="bottom"/>
            <w:shd w:val="clear" w:color="auto" w:fill="E5E5E5"/>
          </w:tcPr>
          <w:p>
            <w:pPr>
              <w:spacing w:after="0"/>
              <w:rPr>
                <w:sz w:val="22"/>
                <w:szCs w:val="22"/>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w:t>
            </w:r>
          </w:p>
        </w:tc>
        <w:tc>
          <w:tcPr>
            <w:tcW w:w="6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(519)</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553</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2"/>
                <w:szCs w:val="22"/>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90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Transactions with noncontrolling</w:t>
            </w:r>
          </w:p>
        </w:tc>
        <w:tc>
          <w:tcPr>
            <w:tcW w:w="280" w:type="dxa"/>
            <w:vAlign w:val="bottom"/>
          </w:tcPr>
          <w:p>
            <w:pPr>
              <w:spacing w:after="0"/>
              <w:rPr>
                <w:sz w:val="15"/>
                <w:szCs w:val="15"/>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1"/>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interests</w:t>
            </w:r>
          </w:p>
        </w:tc>
        <w:tc>
          <w:tcPr>
            <w:tcW w:w="2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90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2"/>
              </w:rPr>
              <w:t>Distributions to noncontrolling interests</w:t>
            </w:r>
          </w:p>
        </w:tc>
        <w:tc>
          <w:tcPr>
            <w:tcW w:w="280" w:type="dxa"/>
            <w:vAlign w:val="bottom"/>
            <w:tcBorders>
              <w:bottom w:val="single" w:sz="8" w:color="auto"/>
            </w:tcBorders>
            <w:shd w:val="clear" w:color="auto" w:fill="E5E5E5"/>
          </w:tcPr>
          <w:p>
            <w:pPr>
              <w:spacing w:after="0"/>
              <w:rPr>
                <w:sz w:val="22"/>
                <w:szCs w:val="22"/>
                <w:color w:val="auto"/>
              </w:rPr>
            </w:pPr>
          </w:p>
        </w:tc>
        <w:tc>
          <w:tcPr>
            <w:tcW w:w="4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2"/>
                <w:szCs w:val="22"/>
                <w:color w:val="auto"/>
              </w:rPr>
            </w:pPr>
          </w:p>
        </w:tc>
        <w:tc>
          <w:tcPr>
            <w:tcW w:w="200" w:type="dxa"/>
            <w:vAlign w:val="bottom"/>
            <w:tcBorders>
              <w:bottom w:val="single" w:sz="8" w:color="auto"/>
            </w:tcBorders>
            <w:shd w:val="clear" w:color="auto" w:fill="E5E5E5"/>
          </w:tcPr>
          <w:p>
            <w:pPr>
              <w:spacing w:after="0"/>
              <w:rPr>
                <w:sz w:val="22"/>
                <w:szCs w:val="22"/>
                <w:color w:val="auto"/>
              </w:rPr>
            </w:pPr>
          </w:p>
        </w:tc>
        <w:tc>
          <w:tcPr>
            <w:tcW w:w="5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2"/>
                <w:szCs w:val="22"/>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2"/>
                <w:szCs w:val="22"/>
                <w:color w:val="auto"/>
              </w:rPr>
            </w:pPr>
          </w:p>
        </w:tc>
        <w:tc>
          <w:tcPr>
            <w:tcW w:w="180" w:type="dxa"/>
            <w:vAlign w:val="bottom"/>
            <w:tcBorders>
              <w:bottom w:val="single" w:sz="8" w:color="auto"/>
            </w:tcBorders>
            <w:shd w:val="clear" w:color="auto" w:fill="E5E5E5"/>
          </w:tcPr>
          <w:p>
            <w:pPr>
              <w:spacing w:after="0"/>
              <w:rPr>
                <w:sz w:val="22"/>
                <w:szCs w:val="22"/>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2"/>
                <w:szCs w:val="22"/>
                <w:color w:val="auto"/>
              </w:rPr>
            </w:pPr>
          </w:p>
        </w:tc>
        <w:tc>
          <w:tcPr>
            <w:tcW w:w="200" w:type="dxa"/>
            <w:vAlign w:val="bottom"/>
            <w:tcBorders>
              <w:bottom w:val="single" w:sz="8" w:color="auto"/>
            </w:tcBorders>
            <w:shd w:val="clear" w:color="auto" w:fill="E5E5E5"/>
          </w:tcPr>
          <w:p>
            <w:pPr>
              <w:spacing w:after="0"/>
              <w:rPr>
                <w:sz w:val="22"/>
                <w:szCs w:val="22"/>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6"/>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Balance at December 31, 2023</w:t>
            </w:r>
          </w:p>
        </w:tc>
        <w:tc>
          <w:tcPr>
            <w:tcW w:w="2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123</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1,114</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b w:val="1"/>
                <w:bCs w:val="1"/>
                <w:color w:val="auto"/>
              </w:rPr>
              <w:t>4,977</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 (3,676)</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2,538</w:t>
            </w:r>
          </w:p>
        </w:tc>
        <w:tc>
          <w:tcPr>
            <w:tcW w:w="28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2,548</w:t>
            </w:r>
          </w:p>
        </w:tc>
        <w:tc>
          <w:tcPr>
            <w:tcW w:w="0" w:type="dxa"/>
            <w:vAlign w:val="bottom"/>
          </w:tcPr>
          <w:p>
            <w:pPr>
              <w:spacing w:after="0"/>
              <w:rPr>
                <w:sz w:val="1"/>
                <w:szCs w:val="1"/>
                <w:color w:val="auto"/>
              </w:rPr>
            </w:pPr>
          </w:p>
        </w:tc>
      </w:tr>
      <w:tr>
        <w:trPr>
          <w:trHeight w:val="249"/>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Comprehensive loss, net</w:t>
            </w:r>
          </w:p>
        </w:tc>
        <w:tc>
          <w:tcPr>
            <w:tcW w:w="280" w:type="dxa"/>
            <w:vAlign w:val="bottom"/>
            <w:shd w:val="clear" w:color="auto" w:fill="E5E5E5"/>
          </w:tcPr>
          <w:p>
            <w:pPr>
              <w:spacing w:after="0"/>
              <w:rPr>
                <w:sz w:val="21"/>
                <w:szCs w:val="21"/>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(1,344)</w:t>
            </w:r>
          </w:p>
        </w:tc>
        <w:tc>
          <w:tcPr>
            <w:tcW w:w="8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(1,344)</w:t>
            </w:r>
          </w:p>
        </w:tc>
        <w:tc>
          <w:tcPr>
            <w:tcW w:w="0" w:type="dxa"/>
            <w:vAlign w:val="bottom"/>
          </w:tcPr>
          <w:p>
            <w:pPr>
              <w:spacing w:after="0"/>
              <w:rPr>
                <w:sz w:val="1"/>
                <w:szCs w:val="1"/>
                <w:color w:val="auto"/>
              </w:rPr>
            </w:pPr>
          </w:p>
        </w:tc>
      </w:tr>
      <w:tr>
        <w:trPr>
          <w:trHeight w:val="227"/>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dividends declared-common</w:t>
            </w:r>
            <w:r>
              <w:rPr>
                <w:rFonts w:ascii="Arial" w:cs="Arial" w:eastAsia="Arial" w:hAnsi="Arial"/>
                <w:sz w:val="10"/>
                <w:szCs w:val="10"/>
                <w:b w:val="1"/>
                <w:bCs w:val="1"/>
                <w:color w:val="auto"/>
              </w:rPr>
              <w:t>(3)</w:t>
            </w:r>
          </w:p>
        </w:tc>
        <w:tc>
          <w:tcPr>
            <w:tcW w:w="28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0" w:type="dxa"/>
            <w:vAlign w:val="bottom"/>
          </w:tcPr>
          <w:p>
            <w:pPr>
              <w:spacing w:after="0"/>
              <w:rPr>
                <w:sz w:val="1"/>
                <w:szCs w:val="1"/>
                <w:color w:val="auto"/>
              </w:rPr>
            </w:pPr>
          </w:p>
        </w:tc>
      </w:tr>
      <w:tr>
        <w:trPr>
          <w:trHeight w:val="239"/>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Cash dividends declared-preferred</w:t>
            </w:r>
            <w:r>
              <w:rPr>
                <w:rFonts w:ascii="Arial" w:cs="Arial" w:eastAsia="Arial" w:hAnsi="Arial"/>
                <w:sz w:val="10"/>
                <w:szCs w:val="10"/>
                <w:b w:val="1"/>
                <w:bCs w:val="1"/>
                <w:color w:val="auto"/>
              </w:rPr>
              <w:t>(4)</w:t>
            </w:r>
          </w:p>
        </w:tc>
        <w:tc>
          <w:tcPr>
            <w:tcW w:w="28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42"/>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 xml:space="preserve">Purchases of capped calls </w:t>
            </w:r>
            <w:r>
              <w:rPr>
                <w:rFonts w:ascii="Arial" w:cs="Arial" w:eastAsia="Arial" w:hAnsi="Arial"/>
                <w:sz w:val="10"/>
                <w:szCs w:val="10"/>
                <w:b w:val="1"/>
                <w:bCs w:val="1"/>
                <w:color w:val="auto"/>
              </w:rPr>
              <w:t>(5)</w:t>
            </w:r>
          </w:p>
        </w:tc>
        <w:tc>
          <w:tcPr>
            <w:tcW w:w="280" w:type="dxa"/>
            <w:vAlign w:val="bottom"/>
          </w:tcPr>
          <w:p>
            <w:pPr>
              <w:spacing w:after="0"/>
              <w:rPr>
                <w:sz w:val="21"/>
                <w:szCs w:val="21"/>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53"/>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9"/>
              </w:rPr>
              <w:t>Stock option and incentive plans, net</w:t>
            </w:r>
          </w:p>
        </w:tc>
        <w:tc>
          <w:tcPr>
            <w:tcW w:w="280" w:type="dxa"/>
            <w:vAlign w:val="bottom"/>
            <w:shd w:val="clear" w:color="auto" w:fill="E5E5E5"/>
          </w:tcPr>
          <w:p>
            <w:pPr>
              <w:spacing w:after="0"/>
              <w:rPr>
                <w:sz w:val="22"/>
                <w:szCs w:val="22"/>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2"/>
                <w:szCs w:val="22"/>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6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176"/>
        </w:trPr>
        <w:tc>
          <w:tcPr>
            <w:tcW w:w="290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Transactions with noncontrolling</w:t>
            </w:r>
          </w:p>
        </w:tc>
        <w:tc>
          <w:tcPr>
            <w:tcW w:w="280" w:type="dxa"/>
            <w:vAlign w:val="bottom"/>
          </w:tcPr>
          <w:p>
            <w:pPr>
              <w:spacing w:after="0"/>
              <w:rPr>
                <w:sz w:val="15"/>
                <w:szCs w:val="15"/>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2"/>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interests</w:t>
            </w:r>
          </w:p>
        </w:tc>
        <w:tc>
          <w:tcPr>
            <w:tcW w:w="2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0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2"/>
              </w:rPr>
              <w:t>Distributions to noncontrolling interests</w:t>
            </w:r>
          </w:p>
        </w:tc>
        <w:tc>
          <w:tcPr>
            <w:tcW w:w="280" w:type="dxa"/>
            <w:vAlign w:val="bottom"/>
            <w:tcBorders>
              <w:bottom w:val="single" w:sz="8" w:color="auto"/>
            </w:tcBorders>
            <w:shd w:val="clear" w:color="auto" w:fill="E5E5E5"/>
          </w:tcPr>
          <w:p>
            <w:pPr>
              <w:spacing w:after="0"/>
              <w:rPr>
                <w:sz w:val="21"/>
                <w:szCs w:val="21"/>
                <w:color w:val="auto"/>
              </w:rPr>
            </w:pPr>
          </w:p>
        </w:tc>
        <w:tc>
          <w:tcPr>
            <w:tcW w:w="4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5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6"/>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Balance at December 31, 2024</w:t>
            </w:r>
          </w:p>
        </w:tc>
        <w:tc>
          <w:tcPr>
            <w:tcW w:w="2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124</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1,137</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2"/>
              <w:spacing w:after="0"/>
              <w:rPr>
                <w:sz w:val="20"/>
                <w:szCs w:val="20"/>
                <w:color w:val="auto"/>
              </w:rPr>
            </w:pPr>
            <w:r>
              <w:rPr>
                <w:rFonts w:ascii="Arial" w:cs="Arial" w:eastAsia="Arial" w:hAnsi="Arial"/>
                <w:sz w:val="16"/>
                <w:szCs w:val="16"/>
                <w:b w:val="1"/>
                <w:bCs w:val="1"/>
                <w:color w:val="auto"/>
              </w:rPr>
              <w:t>3,514</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 (3,699)</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1,076</w:t>
            </w:r>
          </w:p>
        </w:tc>
        <w:tc>
          <w:tcPr>
            <w:tcW w:w="28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1,080</w:t>
            </w:r>
          </w:p>
        </w:tc>
        <w:tc>
          <w:tcPr>
            <w:tcW w:w="0" w:type="dxa"/>
            <w:vAlign w:val="bottom"/>
          </w:tcPr>
          <w:p>
            <w:pPr>
              <w:spacing w:after="0"/>
              <w:rPr>
                <w:sz w:val="1"/>
                <w:szCs w:val="1"/>
                <w:color w:val="auto"/>
              </w:rPr>
            </w:pPr>
          </w:p>
        </w:tc>
      </w:tr>
      <w:tr>
        <w:trPr>
          <w:trHeight w:val="235"/>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Comprehensive (loss) income, net</w:t>
            </w:r>
          </w:p>
        </w:tc>
        <w:tc>
          <w:tcPr>
            <w:tcW w:w="28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388</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(641)</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(641)</w:t>
            </w:r>
          </w:p>
        </w:tc>
        <w:tc>
          <w:tcPr>
            <w:tcW w:w="0" w:type="dxa"/>
            <w:vAlign w:val="bottom"/>
          </w:tcPr>
          <w:p>
            <w:pPr>
              <w:spacing w:after="0"/>
              <w:rPr>
                <w:sz w:val="1"/>
                <w:szCs w:val="1"/>
                <w:color w:val="auto"/>
              </w:rPr>
            </w:pPr>
          </w:p>
        </w:tc>
      </w:tr>
      <w:tr>
        <w:trPr>
          <w:trHeight w:val="227"/>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dividends declared-common</w:t>
            </w:r>
            <w:r>
              <w:rPr>
                <w:rFonts w:ascii="Arial" w:cs="Arial" w:eastAsia="Arial" w:hAnsi="Arial"/>
                <w:sz w:val="10"/>
                <w:szCs w:val="10"/>
                <w:b w:val="1"/>
                <w:bCs w:val="1"/>
                <w:color w:val="auto"/>
              </w:rPr>
              <w:t>(3)</w:t>
            </w:r>
          </w:p>
        </w:tc>
        <w:tc>
          <w:tcPr>
            <w:tcW w:w="28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39"/>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Cash dividends declared-preferred</w:t>
            </w:r>
            <w:r>
              <w:rPr>
                <w:rFonts w:ascii="Arial" w:cs="Arial" w:eastAsia="Arial" w:hAnsi="Arial"/>
                <w:sz w:val="10"/>
                <w:szCs w:val="10"/>
                <w:b w:val="1"/>
                <w:bCs w:val="1"/>
                <w:color w:val="auto"/>
              </w:rPr>
              <w:t>(4)</w:t>
            </w:r>
          </w:p>
        </w:tc>
        <w:tc>
          <w:tcPr>
            <w:tcW w:w="28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27"/>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 xml:space="preserve">Proceeds from issuance of warrants </w:t>
            </w:r>
            <w:r>
              <w:rPr>
                <w:rFonts w:ascii="Arial" w:cs="Arial" w:eastAsia="Arial" w:hAnsi="Arial"/>
                <w:sz w:val="10"/>
                <w:szCs w:val="10"/>
                <w:b w:val="1"/>
                <w:bCs w:val="1"/>
                <w:color w:val="auto"/>
                <w:w w:val="96"/>
              </w:rPr>
              <w:t>(6)</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39"/>
        </w:trPr>
        <w:tc>
          <w:tcPr>
            <w:tcW w:w="29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9"/>
              </w:rPr>
              <w:t>Stock option and incentive plans, net</w:t>
            </w:r>
          </w:p>
        </w:tc>
        <w:tc>
          <w:tcPr>
            <w:tcW w:w="28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76"/>
        </w:trPr>
        <w:tc>
          <w:tcPr>
            <w:tcW w:w="290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Transactions with noncontrolling</w:t>
            </w:r>
          </w:p>
        </w:tc>
        <w:tc>
          <w:tcPr>
            <w:tcW w:w="280" w:type="dxa"/>
            <w:vAlign w:val="bottom"/>
          </w:tcPr>
          <w:p>
            <w:pPr>
              <w:spacing w:after="0"/>
              <w:rPr>
                <w:sz w:val="15"/>
                <w:szCs w:val="15"/>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12"/>
        </w:trPr>
        <w:tc>
          <w:tcPr>
            <w:tcW w:w="2900" w:type="dxa"/>
            <w:vAlign w:val="bottom"/>
            <w:gridSpan w:val="3"/>
          </w:tcPr>
          <w:p>
            <w:pPr>
              <w:ind w:left="60"/>
              <w:spacing w:after="0"/>
              <w:rPr>
                <w:sz w:val="20"/>
                <w:szCs w:val="20"/>
                <w:color w:val="auto"/>
              </w:rPr>
            </w:pPr>
            <w:r>
              <w:rPr>
                <w:rFonts w:ascii="Arial" w:cs="Arial" w:eastAsia="Arial" w:hAnsi="Arial"/>
                <w:sz w:val="16"/>
                <w:szCs w:val="16"/>
                <w:b w:val="1"/>
                <w:bCs w:val="1"/>
                <w:color w:val="auto"/>
              </w:rPr>
              <w:t>interests</w:t>
            </w:r>
          </w:p>
        </w:tc>
        <w:tc>
          <w:tcPr>
            <w:tcW w:w="2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0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w w:val="92"/>
              </w:rPr>
              <w:t>Distributions to noncontrolling interests</w:t>
            </w:r>
          </w:p>
        </w:tc>
        <w:tc>
          <w:tcPr>
            <w:tcW w:w="280" w:type="dxa"/>
            <w:vAlign w:val="bottom"/>
            <w:tcBorders>
              <w:bottom w:val="single" w:sz="8" w:color="auto"/>
            </w:tcBorders>
            <w:shd w:val="clear" w:color="auto" w:fill="E5E5E5"/>
          </w:tcPr>
          <w:p>
            <w:pPr>
              <w:spacing w:after="0"/>
              <w:rPr>
                <w:sz w:val="21"/>
                <w:szCs w:val="21"/>
                <w:color w:val="auto"/>
              </w:rPr>
            </w:pPr>
          </w:p>
        </w:tc>
        <w:tc>
          <w:tcPr>
            <w:tcW w:w="4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5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74"/>
        </w:trPr>
        <w:tc>
          <w:tcPr>
            <w:tcW w:w="290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Balance at December 31, 2025</w:t>
            </w:r>
          </w:p>
        </w:tc>
        <w:tc>
          <w:tcPr>
            <w:tcW w:w="280" w:type="dxa"/>
            <w:vAlign w:val="bottom"/>
          </w:tcPr>
          <w:p>
            <w:pPr>
              <w:ind w:left="40"/>
              <w:spacing w:after="0" w:line="175" w:lineRule="exact"/>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128</w:t>
            </w:r>
          </w:p>
        </w:tc>
        <w:tc>
          <w:tcPr>
            <w:tcW w:w="22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1,183</w:t>
            </w:r>
          </w:p>
        </w:tc>
        <w:tc>
          <w:tcPr>
            <w:tcW w:w="24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2,444</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 (3,311)</w:t>
            </w:r>
          </w:p>
        </w:tc>
        <w:tc>
          <w:tcPr>
            <w:tcW w:w="26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444</w:t>
            </w:r>
          </w:p>
        </w:tc>
        <w:tc>
          <w:tcPr>
            <w:tcW w:w="28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w:t>
            </w:r>
          </w:p>
        </w:tc>
        <w:tc>
          <w:tcPr>
            <w:tcW w:w="24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449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-55245</wp:posOffset>
            </wp:positionV>
            <wp:extent cx="4504055" cy="75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4504055"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70" w:lineRule="exact"/>
        <w:rPr>
          <w:sz w:val="20"/>
          <w:szCs w:val="20"/>
          <w:color w:val="auto"/>
        </w:rPr>
      </w:pPr>
    </w:p>
    <w:p>
      <w:pPr>
        <w:ind w:left="360" w:hanging="356"/>
        <w:spacing w:after="0"/>
        <w:tabs>
          <w:tab w:leader="none" w:pos="3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Common Stock has a par value of $1 per share.</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AOCL - Accumulated other comprehensive loss.</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42" w:lineRule="auto"/>
        <w:tabs>
          <w:tab w:leader="none" w:pos="3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During the first quarter of 2025, the annual cash dividend on common stock was reduced to $0.50 per share from $1.00 per share, and the quarterly cash dividend was reduced from $0.25 per share to $0.125 per share. In the second quarter of 2025, the annual cash dividend on common stock was further reduced to $0.10 per share from $0.50 per share, and the quarterly cash dividend from $0.125 per share to $0.025 per share. Cash dividends declared on common stock for 2024 and 2023 were $1.00 per share on an annual basis and $0.25 per share on a quarterly basis, respectively.</w:t>
      </w:r>
    </w:p>
    <w:p>
      <w:pPr>
        <w:spacing w:after="0" w:line="3" w:lineRule="exact"/>
        <w:rPr>
          <w:rFonts w:ascii="Arial" w:cs="Arial" w:eastAsia="Arial" w:hAnsi="Arial"/>
          <w:sz w:val="16"/>
          <w:szCs w:val="16"/>
          <w:b w:val="1"/>
          <w:bCs w:val="1"/>
          <w:i w:val="1"/>
          <w:iCs w:val="1"/>
          <w:color w:val="auto"/>
        </w:rPr>
      </w:pPr>
    </w:p>
    <w:p>
      <w:pPr>
        <w:ind w:left="360" w:hanging="355"/>
        <w:spacing w:after="0" w:line="242" w:lineRule="auto"/>
        <w:tabs>
          <w:tab w:leader="none" w:pos="3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Cash dividends declared on preferred stock for 2025, 2024 and 2023 were $80 per share on an annual basis and $20 per share on a quarterly basis, respectively.</w:t>
      </w:r>
    </w:p>
    <w:p>
      <w:pPr>
        <w:jc w:val="both"/>
        <w:ind w:left="360" w:hanging="355"/>
        <w:spacing w:after="0" w:line="243" w:lineRule="auto"/>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The purchases of the capped calls in 2024 resulted in a tax benefit of approximately $6. Refer to Note 15 - Debt for additional information related to the purchases of capped calls in connection with the issuance of Xerox Holdings Corporation's $400 of 3.75% Convertible Senior Notes due 2030.</w:t>
      </w:r>
    </w:p>
    <w:p>
      <w:pPr>
        <w:spacing w:after="0" w:line="1" w:lineRule="exact"/>
        <w:rPr>
          <w:rFonts w:ascii="Arial" w:cs="Arial" w:eastAsia="Arial" w:hAnsi="Arial"/>
          <w:sz w:val="16"/>
          <w:szCs w:val="16"/>
          <w:b w:val="1"/>
          <w:bCs w:val="1"/>
          <w:color w:val="auto"/>
        </w:rPr>
      </w:pPr>
    </w:p>
    <w:p>
      <w:pPr>
        <w:ind w:left="360" w:hanging="355"/>
        <w:spacing w:after="0"/>
        <w:tabs>
          <w:tab w:leader="none" w:pos="36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the Unregistered Sales of Equity Securities section in Note 22 - Shareholders' Equity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83</w:t>
      </w:r>
    </w:p>
    <w:p>
      <w:pPr>
        <w:sectPr>
          <w:pgSz w:w="11880" w:h="15480" w:orient="portrait"/>
          <w:cols w:equalWidth="0" w:num="1">
            <w:col w:w="9960"/>
          </w:cols>
          <w:pgMar w:left="960" w:top="724" w:right="960" w:bottom="0" w:gutter="0" w:footer="0" w:header="0"/>
        </w:sectPr>
      </w:pPr>
    </w:p>
    <w:bookmarkStart w:id="93" w:name="page94"/>
    <w:bookmarkEnd w:id="93"/>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(Loss) Income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6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1"/>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r>
      <w:tr>
        <w:trPr>
          <w:trHeight w:val="242"/>
        </w:trPr>
        <w:tc>
          <w:tcPr>
            <w:tcW w:w="5320" w:type="dxa"/>
            <w:vAlign w:val="bottom"/>
            <w:gridSpan w:val="3"/>
          </w:tcPr>
          <w:p>
            <w:pPr>
              <w:ind w:left="60"/>
              <w:spacing w:after="0"/>
              <w:rPr>
                <w:sz w:val="20"/>
                <w:szCs w:val="20"/>
                <w:color w:val="auto"/>
              </w:rPr>
            </w:pPr>
            <w:r>
              <w:rPr>
                <w:rFonts w:ascii="Arial" w:cs="Arial" w:eastAsia="Arial" w:hAnsi="Arial"/>
                <w:sz w:val="16"/>
                <w:szCs w:val="16"/>
                <w:b w:val="1"/>
                <w:bCs w:val="1"/>
                <w:color w:val="auto"/>
              </w:rPr>
              <w:t>Sales</w:t>
            </w: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3,283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2,378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2,720</w:t>
            </w:r>
          </w:p>
        </w:tc>
      </w:tr>
      <w:tr>
        <w:trPr>
          <w:trHeight w:val="263"/>
        </w:trPr>
        <w:tc>
          <w:tcPr>
            <w:tcW w:w="532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Services, maintenance, rentals and other</w:t>
            </w:r>
            <w:r>
              <w:rPr>
                <w:rFonts w:ascii="Arial" w:cs="Arial" w:eastAsia="Arial" w:hAnsi="Arial"/>
                <w:sz w:val="10"/>
                <w:szCs w:val="10"/>
                <w:b w:val="1"/>
                <w:bCs w:val="1"/>
                <w:color w:val="auto"/>
              </w:rPr>
              <w:t>(1)</w:t>
            </w: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3,739</w:t>
            </w:r>
          </w:p>
        </w:tc>
        <w:tc>
          <w:tcPr>
            <w:tcW w:w="6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3,843</w:t>
            </w:r>
          </w:p>
        </w:tc>
        <w:tc>
          <w:tcPr>
            <w:tcW w:w="8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4,166</w:t>
            </w:r>
          </w:p>
        </w:tc>
      </w:tr>
      <w:tr>
        <w:trPr>
          <w:trHeight w:val="216"/>
        </w:trPr>
        <w:tc>
          <w:tcPr>
            <w:tcW w:w="60" w:type="dxa"/>
            <w:vAlign w:val="bottom"/>
          </w:tcPr>
          <w:p>
            <w:pPr>
              <w:spacing w:after="0"/>
              <w:rPr>
                <w:sz w:val="18"/>
                <w:szCs w:val="18"/>
                <w:color w:val="auto"/>
              </w:rPr>
            </w:pPr>
          </w:p>
        </w:tc>
        <w:tc>
          <w:tcPr>
            <w:tcW w:w="52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Revenues</w:t>
            </w:r>
          </w:p>
        </w:tc>
        <w:tc>
          <w:tcPr>
            <w:tcW w:w="3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7,022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6,221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6,886</w:t>
            </w:r>
          </w:p>
        </w:tc>
      </w:tr>
      <w:tr>
        <w:trPr>
          <w:trHeight w:val="249"/>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42"/>
        </w:trPr>
        <w:tc>
          <w:tcPr>
            <w:tcW w:w="5320" w:type="dxa"/>
            <w:vAlign w:val="bottom"/>
            <w:gridSpan w:val="3"/>
          </w:tcPr>
          <w:p>
            <w:pPr>
              <w:ind w:left="60"/>
              <w:spacing w:after="0"/>
              <w:rPr>
                <w:sz w:val="20"/>
                <w:szCs w:val="20"/>
                <w:color w:val="auto"/>
              </w:rPr>
            </w:pPr>
            <w:r>
              <w:rPr>
                <w:rFonts w:ascii="Arial" w:cs="Arial" w:eastAsia="Arial" w:hAnsi="Arial"/>
                <w:sz w:val="16"/>
                <w:szCs w:val="16"/>
                <w:b w:val="1"/>
                <w:bCs w:val="1"/>
                <w:color w:val="auto"/>
              </w:rPr>
              <w:t>Cost of sales</w:t>
            </w: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2,367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1,778</w:t>
            </w:r>
          </w:p>
        </w:tc>
      </w:tr>
      <w:tr>
        <w:trPr>
          <w:trHeight w:val="253"/>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Cost of services, maintenance, rentals and other</w:t>
            </w:r>
            <w:r>
              <w:rPr>
                <w:rFonts w:ascii="Arial" w:cs="Arial" w:eastAsia="Arial" w:hAnsi="Arial"/>
                <w:sz w:val="10"/>
                <w:szCs w:val="10"/>
                <w:b w:val="1"/>
                <w:bCs w:val="1"/>
                <w:color w:val="auto"/>
              </w:rPr>
              <w:t>(1)</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2,754</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2,699</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2,794</w:t>
            </w:r>
          </w:p>
        </w:tc>
      </w:tr>
      <w:tr>
        <w:trPr>
          <w:trHeight w:val="242"/>
        </w:trPr>
        <w:tc>
          <w:tcPr>
            <w:tcW w:w="5320" w:type="dxa"/>
            <w:vAlign w:val="bottom"/>
            <w:gridSpan w:val="3"/>
          </w:tcPr>
          <w:p>
            <w:pPr>
              <w:ind w:left="60"/>
              <w:spacing w:after="0"/>
              <w:rPr>
                <w:sz w:val="20"/>
                <w:szCs w:val="20"/>
                <w:color w:val="auto"/>
              </w:rPr>
            </w:pPr>
            <w:r>
              <w:rPr>
                <w:rFonts w:ascii="Arial" w:cs="Arial" w:eastAsia="Arial" w:hAnsi="Arial"/>
                <w:sz w:val="16"/>
                <w:szCs w:val="16"/>
                <w:b w:val="1"/>
                <w:bCs w:val="1"/>
                <w:color w:val="auto"/>
              </w:rPr>
              <w:t>Research, development and engineering expenses</w:t>
            </w: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230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229</w:t>
            </w:r>
          </w:p>
        </w:tc>
      </w:tr>
      <w:tr>
        <w:trPr>
          <w:trHeight w:val="253"/>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Selling, administrative and general expenses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1,650</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1,535</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1,696</w:t>
            </w:r>
          </w:p>
        </w:tc>
      </w:tr>
      <w:tr>
        <w:trPr>
          <w:trHeight w:val="242"/>
        </w:trPr>
        <w:tc>
          <w:tcPr>
            <w:tcW w:w="5320" w:type="dxa"/>
            <w:vAlign w:val="bottom"/>
            <w:gridSpan w:val="3"/>
          </w:tcPr>
          <w:p>
            <w:pPr>
              <w:ind w:left="60"/>
              <w:spacing w:after="0"/>
              <w:rPr>
                <w:sz w:val="20"/>
                <w:szCs w:val="20"/>
                <w:color w:val="auto"/>
              </w:rPr>
            </w:pPr>
            <w:r>
              <w:rPr>
                <w:rFonts w:ascii="Arial" w:cs="Arial" w:eastAsia="Arial" w:hAnsi="Arial"/>
                <w:sz w:val="16"/>
                <w:szCs w:val="16"/>
                <w:b w:val="1"/>
                <w:bCs w:val="1"/>
                <w:color w:val="auto"/>
              </w:rPr>
              <w:t>Goodwill impairment</w:t>
            </w: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53"/>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Restructuring and related costs, net</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66</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167</w:t>
            </w:r>
          </w:p>
        </w:tc>
      </w:tr>
      <w:tr>
        <w:trPr>
          <w:trHeight w:val="242"/>
        </w:trPr>
        <w:tc>
          <w:tcPr>
            <w:tcW w:w="53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Amortization of intangible assets</w:t>
            </w: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83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253"/>
        </w:trPr>
        <w:tc>
          <w:tcPr>
            <w:tcW w:w="532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Divestitures</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42"/>
        </w:trPr>
        <w:tc>
          <w:tcPr>
            <w:tcW w:w="5320" w:type="dxa"/>
            <w:vAlign w:val="bottom"/>
            <w:gridSpan w:val="3"/>
          </w:tcPr>
          <w:p>
            <w:pPr>
              <w:ind w:left="60"/>
              <w:spacing w:after="0"/>
              <w:rPr>
                <w:sz w:val="20"/>
                <w:szCs w:val="20"/>
                <w:color w:val="auto"/>
              </w:rPr>
            </w:pPr>
            <w:r>
              <w:rPr>
                <w:rFonts w:ascii="Arial" w:cs="Arial" w:eastAsia="Arial" w:hAnsi="Arial"/>
                <w:sz w:val="16"/>
                <w:szCs w:val="16"/>
                <w:b w:val="1"/>
                <w:bCs w:val="1"/>
                <w:color w:val="auto"/>
              </w:rPr>
              <w:t>PARC donation</w:t>
            </w: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132</w:t>
            </w:r>
          </w:p>
        </w:tc>
      </w:tr>
      <w:tr>
        <w:trPr>
          <w:trHeight w:val="263"/>
        </w:trPr>
        <w:tc>
          <w:tcPr>
            <w:tcW w:w="532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expenses, net</w:t>
            </w: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352</w:t>
            </w:r>
          </w:p>
        </w:tc>
        <w:tc>
          <w:tcPr>
            <w:tcW w:w="6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Borders>
              <w:bottom w:val="single" w:sz="8" w:color="E5E5E5"/>
            </w:tcBorders>
            <w:shd w:val="clear" w:color="auto" w:fill="E5E5E5"/>
          </w:tcPr>
          <w:p>
            <w:pPr>
              <w:spacing w:after="0"/>
              <w:rPr>
                <w:sz w:val="22"/>
                <w:szCs w:val="22"/>
                <w:color w:val="auto"/>
              </w:rPr>
            </w:pPr>
          </w:p>
        </w:tc>
        <w:tc>
          <w:tcPr>
            <w:tcW w:w="360" w:type="dxa"/>
            <w:vAlign w:val="bottom"/>
            <w:tcBorders>
              <w:bottom w:val="single" w:sz="8" w:color="auto"/>
            </w:tcBorders>
            <w:shd w:val="clear" w:color="auto" w:fill="E5E5E5"/>
          </w:tcPr>
          <w:p>
            <w:pPr>
              <w:spacing w:after="0"/>
              <w:rPr>
                <w:sz w:val="22"/>
                <w:szCs w:val="22"/>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75</w:t>
            </w:r>
          </w:p>
        </w:tc>
      </w:tr>
      <w:tr>
        <w:trPr>
          <w:trHeight w:val="208"/>
        </w:trPr>
        <w:tc>
          <w:tcPr>
            <w:tcW w:w="60" w:type="dxa"/>
            <w:vAlign w:val="bottom"/>
            <w:tcBorders>
              <w:bottom w:val="single" w:sz="8" w:color="E5E5E5"/>
            </w:tcBorders>
          </w:tcPr>
          <w:p>
            <w:pPr>
              <w:spacing w:after="0"/>
              <w:rPr>
                <w:sz w:val="18"/>
                <w:szCs w:val="18"/>
                <w:color w:val="auto"/>
              </w:rPr>
            </w:pPr>
          </w:p>
        </w:tc>
        <w:tc>
          <w:tcPr>
            <w:tcW w:w="5260" w:type="dxa"/>
            <w:vAlign w:val="bottom"/>
            <w:tcBorders>
              <w:bottom w:val="single" w:sz="8" w:color="E5E5E5"/>
            </w:tcBorders>
            <w:gridSpan w:val="2"/>
          </w:tcPr>
          <w:p>
            <w:pPr>
              <w:ind w:left="220"/>
              <w:spacing w:after="0"/>
              <w:rPr>
                <w:sz w:val="20"/>
                <w:szCs w:val="20"/>
                <w:color w:val="auto"/>
              </w:rPr>
            </w:pPr>
            <w:r>
              <w:rPr>
                <w:rFonts w:ascii="Arial" w:cs="Arial" w:eastAsia="Arial" w:hAnsi="Arial"/>
                <w:sz w:val="16"/>
                <w:szCs w:val="16"/>
                <w:b w:val="1"/>
                <w:bCs w:val="1"/>
                <w:color w:val="auto"/>
              </w:rPr>
              <w:t>Total Costs and Expenses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7,498</w:t>
            </w: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7,432</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6,914</w:t>
            </w:r>
          </w:p>
        </w:tc>
      </w:tr>
      <w:tr>
        <w:trPr>
          <w:trHeight w:val="237"/>
        </w:trPr>
        <w:tc>
          <w:tcPr>
            <w:tcW w:w="60" w:type="dxa"/>
            <w:vAlign w:val="bottom"/>
            <w:shd w:val="clear" w:color="auto" w:fill="E5E5E5"/>
          </w:tcPr>
          <w:p>
            <w:pPr>
              <w:spacing w:after="0"/>
              <w:rPr>
                <w:sz w:val="20"/>
                <w:szCs w:val="20"/>
                <w:color w:val="auto"/>
              </w:rPr>
            </w:pPr>
          </w:p>
        </w:tc>
        <w:tc>
          <w:tcPr>
            <w:tcW w:w="5260" w:type="dxa"/>
            <w:vAlign w:val="bottom"/>
            <w:gridSpan w:val="2"/>
            <w:shd w:val="clear" w:color="auto" w:fill="E5E5E5"/>
          </w:tcPr>
          <w:p>
            <w:pPr>
              <w:ind w:left="220"/>
              <w:spacing w:after="0"/>
              <w:rPr>
                <w:sz w:val="20"/>
                <w:szCs w:val="20"/>
                <w:color w:val="auto"/>
              </w:rPr>
            </w:pPr>
            <w:r>
              <w:rPr>
                <w:rFonts w:ascii="Arial" w:cs="Arial" w:eastAsia="Arial" w:hAnsi="Arial"/>
                <w:sz w:val="16"/>
                <w:szCs w:val="16"/>
                <w:b w:val="1"/>
                <w:bCs w:val="1"/>
                <w:color w:val="auto"/>
              </w:rPr>
              <w:t>Loss before Income Taxes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(476)</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(1,211)</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r>
      <w:tr>
        <w:trPr>
          <w:trHeight w:val="237"/>
        </w:trPr>
        <w:tc>
          <w:tcPr>
            <w:tcW w:w="60" w:type="dxa"/>
            <w:vAlign w:val="bottom"/>
            <w:tcBorders>
              <w:bottom w:val="single" w:sz="8" w:color="E5E5E5"/>
            </w:tcBorders>
          </w:tcPr>
          <w:p>
            <w:pPr>
              <w:spacing w:after="0"/>
              <w:rPr>
                <w:sz w:val="20"/>
                <w:szCs w:val="20"/>
                <w:color w:val="auto"/>
              </w:rPr>
            </w:pPr>
          </w:p>
        </w:tc>
        <w:tc>
          <w:tcPr>
            <w:tcW w:w="526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rPr>
              <w:t>Income tax expense (benefit)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541</w:t>
            </w:r>
          </w:p>
        </w:tc>
        <w:tc>
          <w:tcPr>
            <w:tcW w:w="6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w:t>
            </w:r>
          </w:p>
        </w:tc>
        <w:tc>
          <w:tcPr>
            <w:tcW w:w="8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r>
      <w:tr>
        <w:trPr>
          <w:trHeight w:val="247"/>
        </w:trPr>
        <w:tc>
          <w:tcPr>
            <w:tcW w:w="60" w:type="dxa"/>
            <w:vAlign w:val="bottom"/>
            <w:shd w:val="clear" w:color="auto" w:fill="E5E5E5"/>
          </w:tcPr>
          <w:p>
            <w:pPr>
              <w:spacing w:after="0"/>
              <w:rPr>
                <w:sz w:val="21"/>
                <w:szCs w:val="21"/>
                <w:color w:val="auto"/>
              </w:rPr>
            </w:pPr>
          </w:p>
        </w:tc>
        <w:tc>
          <w:tcPr>
            <w:tcW w:w="5260" w:type="dxa"/>
            <w:vAlign w:val="bottom"/>
            <w:gridSpan w:val="2"/>
            <w:shd w:val="clear" w:color="auto" w:fill="E5E5E5"/>
          </w:tcPr>
          <w:p>
            <w:pPr>
              <w:ind w:left="220"/>
              <w:spacing w:after="0"/>
              <w:rPr>
                <w:sz w:val="20"/>
                <w:szCs w:val="20"/>
                <w:color w:val="auto"/>
              </w:rPr>
            </w:pPr>
            <w:r>
              <w:rPr>
                <w:rFonts w:ascii="Arial" w:cs="Arial" w:eastAsia="Arial" w:hAnsi="Arial"/>
                <w:sz w:val="16"/>
                <w:szCs w:val="16"/>
                <w:b w:val="1"/>
                <w:bCs w:val="1"/>
                <w:color w:val="auto"/>
              </w:rPr>
              <w:t>Net (Loss) Income</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(1,017)</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(1,316)</w:t>
            </w:r>
          </w:p>
        </w:tc>
        <w:tc>
          <w:tcPr>
            <w:tcW w:w="4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5320" w:type="dxa"/>
            <w:vAlign w:val="bottom"/>
            <w:tcBorders>
              <w:top w:val="single" w:sz="8" w:color="E5E5E5"/>
            </w:tcBorders>
            <w:gridSpan w:val="3"/>
          </w:tcPr>
          <w:p>
            <w:pPr>
              <w:spacing w:after="0"/>
              <w:rPr>
                <w:sz w:val="20"/>
                <w:szCs w:val="20"/>
                <w:color w:val="auto"/>
              </w:rPr>
            </w:pPr>
            <w:r>
              <w:rPr>
                <w:rFonts w:ascii="Times New Roman" w:cs="Times New Roman" w:eastAsia="Times New Roman" w:hAnsi="Times New Roman"/>
                <w:sz w:val="19"/>
                <w:szCs w:val="19"/>
                <w:color w:val="auto"/>
              </w:rPr>
              <w:t>_____________</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Borders>
              <w:top w:val="single" w:sz="8" w:color="E5E5E5"/>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80" w:type="dxa"/>
            <w:vAlign w:val="bottom"/>
            <w:tcBorders>
              <w:top w:val="single" w:sz="8" w:color="E5E5E5"/>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-219075</wp:posOffset>
            </wp:positionV>
            <wp:extent cx="2997835" cy="75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2997835" cy="75565"/>
                    </a:xfrm>
                    <a:prstGeom prst="rect">
                      <a:avLst/>
                    </a:prstGeom>
                    <a:noFill/>
                  </pic:spPr>
                </pic:pic>
              </a:graphicData>
            </a:graphic>
          </wp:anchor>
        </w:drawing>
      </w:r>
    </w:p>
    <w:p>
      <w:pPr>
        <w:ind w:right="180" w:firstLine="4"/>
        <w:spacing w:after="0" w:line="344" w:lineRule="auto"/>
        <w:tabs>
          <w:tab w:leader="none" w:pos="232"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In 2025, certain reclassifications were made within the Consolidated Statements of (Loss) Income to the prior periods in order to conform to the current period reporting. Refer to the Segments section of Note 1 - Basis of Presentation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84</w:t>
      </w:r>
    </w:p>
    <w:p>
      <w:pPr>
        <w:sectPr>
          <w:pgSz w:w="11880" w:h="15480" w:orient="portrait"/>
          <w:cols w:equalWidth="0" w:num="1">
            <w:col w:w="9960"/>
          </w:cols>
          <w:pgMar w:left="960" w:top="724" w:right="960" w:bottom="0" w:gutter="0" w:footer="0" w:header="0"/>
        </w:sectPr>
      </w:pPr>
    </w:p>
    <w:bookmarkStart w:id="94" w:name="page95"/>
    <w:bookmarkEnd w:id="94"/>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Comprehensive Loss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6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2"/>
        </w:trPr>
        <w:tc>
          <w:tcPr>
            <w:tcW w:w="53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Net (Loss) Income</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(1,017)</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(1,316)</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81"/>
        </w:trPr>
        <w:tc>
          <w:tcPr>
            <w:tcW w:w="60" w:type="dxa"/>
            <w:vAlign w:val="bottom"/>
            <w:tcBorders>
              <w:top w:val="single" w:sz="8" w:color="E5E5E5"/>
            </w:tcBorders>
          </w:tcPr>
          <w:p>
            <w:pPr>
              <w:spacing w:after="0"/>
              <w:rPr>
                <w:sz w:val="24"/>
                <w:szCs w:val="24"/>
                <w:color w:val="auto"/>
              </w:rPr>
            </w:pPr>
          </w:p>
        </w:tc>
        <w:tc>
          <w:tcPr>
            <w:tcW w:w="580" w:type="dxa"/>
            <w:vAlign w:val="bottom"/>
            <w:tcBorders>
              <w:top w:val="single" w:sz="8" w:color="E5E5E5"/>
            </w:tcBorders>
          </w:tcPr>
          <w:p>
            <w:pPr>
              <w:spacing w:after="0"/>
              <w:rPr>
                <w:sz w:val="24"/>
                <w:szCs w:val="24"/>
                <w:color w:val="auto"/>
              </w:rPr>
            </w:pPr>
          </w:p>
        </w:tc>
        <w:tc>
          <w:tcPr>
            <w:tcW w:w="4660" w:type="dxa"/>
            <w:vAlign w:val="bottom"/>
            <w:tcBorders>
              <w:top w:val="single" w:sz="8" w:color="E5E5E5"/>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E5E5E5"/>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E5E5E5"/>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47"/>
        </w:trPr>
        <w:tc>
          <w:tcPr>
            <w:tcW w:w="530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Comprehensive Income (Loss), Net</w:t>
            </w:r>
            <w:r>
              <w:rPr>
                <w:rFonts w:ascii="Arial" w:cs="Arial" w:eastAsia="Arial" w:hAnsi="Arial"/>
                <w:sz w:val="10"/>
                <w:szCs w:val="10"/>
                <w:b w:val="1"/>
                <w:bCs w:val="1"/>
                <w:color w:val="auto"/>
              </w:rPr>
              <w:t>(1)</w:t>
            </w: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42"/>
        </w:trPr>
        <w:tc>
          <w:tcPr>
            <w:tcW w:w="60" w:type="dxa"/>
            <w:vAlign w:val="bottom"/>
          </w:tcPr>
          <w:p>
            <w:pPr>
              <w:spacing w:after="0"/>
              <w:rPr>
                <w:sz w:val="21"/>
                <w:szCs w:val="21"/>
                <w:color w:val="auto"/>
              </w:rPr>
            </w:pPr>
          </w:p>
        </w:tc>
        <w:tc>
          <w:tcPr>
            <w:tcW w:w="5240" w:type="dxa"/>
            <w:vAlign w:val="bottom"/>
            <w:gridSpan w:val="2"/>
          </w:tcPr>
          <w:p>
            <w:pPr>
              <w:ind w:left="220"/>
              <w:spacing w:after="0"/>
              <w:rPr>
                <w:sz w:val="20"/>
                <w:szCs w:val="20"/>
                <w:color w:val="auto"/>
              </w:rPr>
            </w:pPr>
            <w:r>
              <w:rPr>
                <w:rFonts w:ascii="Arial" w:cs="Arial" w:eastAsia="Arial" w:hAnsi="Arial"/>
                <w:sz w:val="16"/>
                <w:szCs w:val="16"/>
                <w:b w:val="1"/>
                <w:bCs w:val="1"/>
                <w:color w:val="auto"/>
              </w:rPr>
              <w:t>Translation adjustments,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r>
      <w:tr>
        <w:trPr>
          <w:trHeight w:val="253"/>
        </w:trPr>
        <w:tc>
          <w:tcPr>
            <w:tcW w:w="60" w:type="dxa"/>
            <w:vAlign w:val="bottom"/>
            <w:shd w:val="clear" w:color="auto" w:fill="E5E5E5"/>
          </w:tcPr>
          <w:p>
            <w:pPr>
              <w:spacing w:after="0"/>
              <w:rPr>
                <w:sz w:val="22"/>
                <w:szCs w:val="22"/>
                <w:color w:val="auto"/>
              </w:rPr>
            </w:pPr>
          </w:p>
        </w:tc>
        <w:tc>
          <w:tcPr>
            <w:tcW w:w="5240" w:type="dxa"/>
            <w:vAlign w:val="bottom"/>
            <w:gridSpan w:val="2"/>
            <w:shd w:val="clear" w:color="auto" w:fill="E5E5E5"/>
          </w:tcPr>
          <w:p>
            <w:pPr>
              <w:ind w:left="220"/>
              <w:spacing w:after="0"/>
              <w:rPr>
                <w:sz w:val="20"/>
                <w:szCs w:val="20"/>
                <w:color w:val="auto"/>
              </w:rPr>
            </w:pPr>
            <w:r>
              <w:rPr>
                <w:rFonts w:ascii="Arial" w:cs="Arial" w:eastAsia="Arial" w:hAnsi="Arial"/>
                <w:sz w:val="16"/>
                <w:szCs w:val="16"/>
                <w:b w:val="1"/>
                <w:bCs w:val="1"/>
                <w:color w:val="auto"/>
              </w:rPr>
              <w:t>Unrealized (losses) gains, net</w:t>
            </w: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37"/>
        </w:trPr>
        <w:tc>
          <w:tcPr>
            <w:tcW w:w="60" w:type="dxa"/>
            <w:vAlign w:val="bottom"/>
            <w:tcBorders>
              <w:bottom w:val="single" w:sz="8" w:color="E5E5E5"/>
            </w:tcBorders>
          </w:tcPr>
          <w:p>
            <w:pPr>
              <w:spacing w:after="0"/>
              <w:rPr>
                <w:sz w:val="20"/>
                <w:szCs w:val="20"/>
                <w:color w:val="auto"/>
              </w:rPr>
            </w:pPr>
          </w:p>
        </w:tc>
        <w:tc>
          <w:tcPr>
            <w:tcW w:w="5240" w:type="dxa"/>
            <w:vAlign w:val="bottom"/>
            <w:tcBorders>
              <w:bottom w:val="single" w:sz="8" w:color="E5E5E5"/>
            </w:tcBorders>
            <w:gridSpan w:val="2"/>
          </w:tcPr>
          <w:p>
            <w:pPr>
              <w:ind w:left="220"/>
              <w:spacing w:after="0"/>
              <w:rPr>
                <w:sz w:val="20"/>
                <w:szCs w:val="20"/>
                <w:color w:val="auto"/>
              </w:rPr>
            </w:pPr>
            <w:r>
              <w:rPr>
                <w:rFonts w:ascii="Arial" w:cs="Arial" w:eastAsia="Arial" w:hAnsi="Arial"/>
                <w:sz w:val="16"/>
                <w:szCs w:val="16"/>
                <w:b w:val="1"/>
                <w:bCs w:val="1"/>
                <w:color w:val="auto"/>
              </w:rPr>
              <w:t>Changes in defined benefit plans, net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80" w:type="dxa"/>
            <w:vAlign w:val="bottom"/>
            <w:tcBorders>
              <w:bottom w:val="single" w:sz="8" w:color="E5E5E5"/>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88</w:t>
            </w:r>
          </w:p>
        </w:tc>
        <w:tc>
          <w:tcPr>
            <w:tcW w:w="60" w:type="dxa"/>
            <w:vAlign w:val="bottom"/>
            <w:tcBorders>
              <w:bottom w:val="single" w:sz="8" w:color="E5E5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w:t>
            </w:r>
          </w:p>
        </w:tc>
      </w:tr>
      <w:tr>
        <w:trPr>
          <w:trHeight w:val="228"/>
        </w:trPr>
        <w:tc>
          <w:tcPr>
            <w:tcW w:w="60" w:type="dxa"/>
            <w:vAlign w:val="bottom"/>
            <w:tcBorders>
              <w:bottom w:val="single" w:sz="8" w:color="E5E5E5"/>
            </w:tcBorders>
            <w:shd w:val="clear" w:color="auto" w:fill="E5E5E5"/>
          </w:tcPr>
          <w:p>
            <w:pPr>
              <w:spacing w:after="0"/>
              <w:rPr>
                <w:sz w:val="19"/>
                <w:szCs w:val="19"/>
                <w:color w:val="auto"/>
              </w:rPr>
            </w:pPr>
          </w:p>
        </w:tc>
        <w:tc>
          <w:tcPr>
            <w:tcW w:w="52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Other Comprehensive Income (Loss), Net</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388</w:t>
            </w:r>
          </w:p>
        </w:tc>
        <w:tc>
          <w:tcPr>
            <w:tcW w:w="8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r>
      <w:tr>
        <w:trPr>
          <w:trHeight w:val="271"/>
        </w:trPr>
        <w:tc>
          <w:tcPr>
            <w:tcW w:w="60" w:type="dxa"/>
            <w:vAlign w:val="bottom"/>
            <w:tcBorders>
              <w:bottom w:val="single" w:sz="8" w:color="E5E5E5"/>
            </w:tcBorders>
          </w:tcPr>
          <w:p>
            <w:pPr>
              <w:spacing w:after="0"/>
              <w:rPr>
                <w:sz w:val="23"/>
                <w:szCs w:val="23"/>
                <w:color w:val="auto"/>
              </w:rPr>
            </w:pPr>
          </w:p>
        </w:tc>
        <w:tc>
          <w:tcPr>
            <w:tcW w:w="580" w:type="dxa"/>
            <w:vAlign w:val="bottom"/>
            <w:tcBorders>
              <w:bottom w:val="single" w:sz="8" w:color="E5E5E5"/>
            </w:tcBorders>
          </w:tcPr>
          <w:p>
            <w:pPr>
              <w:spacing w:after="0"/>
              <w:rPr>
                <w:sz w:val="23"/>
                <w:szCs w:val="23"/>
                <w:color w:val="auto"/>
              </w:rPr>
            </w:pPr>
          </w:p>
        </w:tc>
        <w:tc>
          <w:tcPr>
            <w:tcW w:w="4660" w:type="dxa"/>
            <w:vAlign w:val="bottom"/>
            <w:tcBorders>
              <w:bottom w:val="single" w:sz="8" w:color="E5E5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E5E5E5"/>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6"/>
        </w:trPr>
        <w:tc>
          <w:tcPr>
            <w:tcW w:w="60" w:type="dxa"/>
            <w:vAlign w:val="bottom"/>
            <w:shd w:val="clear" w:color="auto" w:fill="E5E5E5"/>
          </w:tcPr>
          <w:p>
            <w:pPr>
              <w:spacing w:after="0"/>
              <w:rPr>
                <w:sz w:val="21"/>
                <w:szCs w:val="21"/>
                <w:color w:val="auto"/>
              </w:rPr>
            </w:pPr>
          </w:p>
        </w:tc>
        <w:tc>
          <w:tcPr>
            <w:tcW w:w="52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Comprehensive Loss, Net</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(629)</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(1,339)</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(138)</w:t>
            </w:r>
          </w:p>
        </w:tc>
      </w:tr>
      <w:tr>
        <w:trPr>
          <w:trHeight w:val="222"/>
        </w:trPr>
        <w:tc>
          <w:tcPr>
            <w:tcW w:w="5300" w:type="dxa"/>
            <w:vAlign w:val="bottom"/>
            <w:tcBorders>
              <w:top w:val="single" w:sz="8" w:color="E5E5E5"/>
            </w:tcBorders>
            <w:gridSpan w:val="3"/>
          </w:tcPr>
          <w:p>
            <w:pPr>
              <w:jc w:val="right"/>
              <w:ind w:right="4280"/>
              <w:spacing w:after="0"/>
              <w:rPr>
                <w:sz w:val="20"/>
                <w:szCs w:val="20"/>
                <w:color w:val="auto"/>
              </w:rPr>
            </w:pPr>
            <w:r>
              <w:rPr>
                <w:rFonts w:ascii="Times New Roman" w:cs="Times New Roman" w:eastAsia="Times New Roman" w:hAnsi="Times New Roman"/>
                <w:sz w:val="16"/>
                <w:szCs w:val="16"/>
                <w:b w:val="1"/>
                <w:bCs w:val="1"/>
                <w:i w:val="1"/>
                <w:iCs w:val="1"/>
                <w:color w:val="auto"/>
                <w:w w:val="96"/>
              </w:rPr>
              <w:t>_____________</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-196215</wp:posOffset>
            </wp:positionV>
            <wp:extent cx="2997835" cy="75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2997835" cy="75565"/>
                    </a:xfrm>
                    <a:prstGeom prst="rect">
                      <a:avLst/>
                    </a:prstGeom>
                    <a:noFill/>
                  </pic:spPr>
                </pic:pic>
              </a:graphicData>
            </a:graphic>
          </wp:anchor>
        </w:drawing>
      </w:r>
    </w:p>
    <w:p>
      <w:pPr>
        <w:spacing w:after="0" w:line="29" w:lineRule="exact"/>
        <w:rPr>
          <w:sz w:val="20"/>
          <w:szCs w:val="20"/>
          <w:color w:val="auto"/>
        </w:rPr>
      </w:pPr>
    </w:p>
    <w:p>
      <w:pPr>
        <w:ind w:left="360" w:right="380" w:hanging="356"/>
        <w:spacing w:after="0" w:line="270" w:lineRule="auto"/>
        <w:tabs>
          <w:tab w:leader="none" w:pos="360"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Note 24 - Other Comprehensive Income (Loss) for gross components of Other Comprehensive Income (Loss), reclassification adjustments out of Accumulated Other Comprehensive Loss and related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85</w:t>
      </w:r>
    </w:p>
    <w:p>
      <w:pPr>
        <w:sectPr>
          <w:pgSz w:w="11880" w:h="15480" w:orient="portrait"/>
          <w:cols w:equalWidth="0" w:num="1">
            <w:col w:w="9940"/>
          </w:cols>
          <w:pgMar w:left="960" w:top="724" w:right="980" w:bottom="0" w:gutter="0" w:footer="0" w:header="0"/>
        </w:sectPr>
      </w:pPr>
    </w:p>
    <w:bookmarkStart w:id="95" w:name="page96"/>
    <w:bookmarkEnd w:id="95"/>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194"/>
        </w:trPr>
        <w:tc>
          <w:tcPr>
            <w:tcW w:w="6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624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and cash equivalents</w:t>
            </w: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511</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575</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Accounts receivable (net of allowance of $73 and $69, respectively)</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1,122</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796</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Billed portion of finance receivables (net of allowance of $3 and $2, respectively)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48</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 net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510</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608</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Inventories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1,016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695</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current assets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362</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212</w:t>
            </w:r>
          </w:p>
        </w:tc>
      </w:tr>
      <w:tr>
        <w:trPr>
          <w:trHeight w:val="198"/>
        </w:trPr>
        <w:tc>
          <w:tcPr>
            <w:tcW w:w="60" w:type="dxa"/>
            <w:vAlign w:val="bottom"/>
          </w:tcPr>
          <w:p>
            <w:pPr>
              <w:spacing w:after="0"/>
              <w:rPr>
                <w:sz w:val="17"/>
                <w:szCs w:val="17"/>
                <w:color w:val="auto"/>
              </w:rPr>
            </w:pPr>
          </w:p>
        </w:tc>
        <w:tc>
          <w:tcPr>
            <w:tcW w:w="68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3,567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2,934</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 due after one year (net of allowance of $42 and $55, respectively)</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846</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1,089</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Equipment on operating leases,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245</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Land, buildings and equipment, net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390</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251</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Intangible assets,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236</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Goodwill, net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2,222</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1,937</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Deferred tax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615</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1,438</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1,017</w:t>
            </w:r>
          </w:p>
        </w:tc>
      </w:tr>
      <w:tr>
        <w:trPr>
          <w:trHeight w:val="213"/>
        </w:trPr>
        <w:tc>
          <w:tcPr>
            <w:tcW w:w="60" w:type="dxa"/>
            <w:vAlign w:val="bottom"/>
          </w:tcPr>
          <w:p>
            <w:pPr>
              <w:spacing w:after="0"/>
              <w:rPr>
                <w:sz w:val="18"/>
                <w:szCs w:val="18"/>
                <w:color w:val="auto"/>
              </w:rPr>
            </w:pPr>
          </w:p>
        </w:tc>
        <w:tc>
          <w:tcPr>
            <w:tcW w:w="6820" w:type="dxa"/>
            <w:vAlign w:val="bottom"/>
            <w:gridSpan w:val="2"/>
          </w:tcPr>
          <w:p>
            <w:pPr>
              <w:ind w:left="340"/>
              <w:spacing w:after="0" w:line="175" w:lineRule="exact"/>
              <w:rPr>
                <w:sz w:val="20"/>
                <w:szCs w:val="20"/>
                <w:color w:val="auto"/>
              </w:rPr>
            </w:pPr>
            <w:r>
              <w:rPr>
                <w:rFonts w:ascii="Arial" w:cs="Arial" w:eastAsia="Arial" w:hAnsi="Arial"/>
                <w:sz w:val="16"/>
                <w:szCs w:val="16"/>
                <w:b w:val="1"/>
                <w:bCs w:val="1"/>
                <w:color w:val="auto"/>
              </w:rPr>
              <w:t>Total Assets</w:t>
            </w:r>
          </w:p>
        </w:tc>
        <w:tc>
          <w:tcPr>
            <w:tcW w:w="360" w:type="dxa"/>
            <w:vAlign w:val="bottom"/>
          </w:tcPr>
          <w:p>
            <w:pPr>
              <w:jc w:val="right"/>
              <w:ind w:right="142"/>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9,781</w:t>
            </w:r>
          </w:p>
        </w:tc>
        <w:tc>
          <w:tcPr>
            <w:tcW w:w="600" w:type="dxa"/>
            <w:vAlign w:val="bottom"/>
            <w:gridSpan w:val="2"/>
          </w:tcPr>
          <w:p>
            <w:pPr>
              <w:jc w:val="right"/>
              <w:ind w:right="302"/>
              <w:spacing w:after="0" w:line="17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8,324</w:t>
            </w:r>
          </w:p>
        </w:tc>
      </w:tr>
      <w:tr>
        <w:trPr>
          <w:trHeight w:val="204"/>
        </w:trPr>
        <w:tc>
          <w:tcPr>
            <w:tcW w:w="6880" w:type="dxa"/>
            <w:vAlign w:val="bottom"/>
            <w:tcBorders>
              <w:top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Borders>
              <w:top w:val="single" w:sz="8" w:color="auto"/>
            </w:tcBorders>
            <w:shd w:val="clear" w:color="auto" w:fill="E5E5E5"/>
          </w:tcPr>
          <w:p>
            <w:pPr>
              <w:spacing w:after="0"/>
              <w:rPr>
                <w:sz w:val="17"/>
                <w:szCs w:val="17"/>
                <w:color w:val="auto"/>
              </w:rPr>
            </w:pPr>
          </w:p>
        </w:tc>
        <w:tc>
          <w:tcPr>
            <w:tcW w:w="114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spacing w:after="0"/>
              <w:rPr>
                <w:sz w:val="17"/>
                <w:szCs w:val="17"/>
                <w:color w:val="auto"/>
              </w:rPr>
            </w:pP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Short-term debt and current portion of long-term debt</w:t>
            </w: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197</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Short-term related party debt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121</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388</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Accounts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1,498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1,023</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Accrued compensation and benefits costs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235</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227</w:t>
            </w:r>
          </w:p>
        </w:tc>
      </w:tr>
      <w:tr>
        <w:trPr>
          <w:trHeight w:val="223"/>
        </w:trPr>
        <w:tc>
          <w:tcPr>
            <w:tcW w:w="688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741</w:t>
            </w:r>
          </w:p>
        </w:tc>
      </w:tr>
      <w:tr>
        <w:trPr>
          <w:trHeight w:val="223"/>
        </w:trPr>
        <w:tc>
          <w:tcPr>
            <w:tcW w:w="60" w:type="dxa"/>
            <w:vAlign w:val="bottom"/>
            <w:shd w:val="clear" w:color="auto" w:fill="E5E5E5"/>
          </w:tcPr>
          <w:p>
            <w:pPr>
              <w:spacing w:after="0"/>
              <w:rPr>
                <w:sz w:val="19"/>
                <w:szCs w:val="19"/>
                <w:color w:val="auto"/>
              </w:rPr>
            </w:pPr>
          </w:p>
        </w:tc>
        <w:tc>
          <w:tcPr>
            <w:tcW w:w="6820" w:type="dxa"/>
            <w:vAlign w:val="bottom"/>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3,209</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2,576</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Long-term debt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1,180</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Long-term related party debt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1,872</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1,634</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Pension and other benefit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1,088</w:t>
            </w:r>
          </w:p>
        </w:tc>
      </w:tr>
      <w:tr>
        <w:trPr>
          <w:trHeight w:val="239"/>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Post-retirement medical benefits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159</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154</w:t>
            </w:r>
          </w:p>
        </w:tc>
      </w:tr>
      <w:tr>
        <w:trPr>
          <w:trHeight w:val="223"/>
        </w:trPr>
        <w:tc>
          <w:tcPr>
            <w:tcW w:w="688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386</w:t>
            </w:r>
          </w:p>
        </w:tc>
      </w:tr>
      <w:tr>
        <w:trPr>
          <w:trHeight w:val="213"/>
        </w:trPr>
        <w:tc>
          <w:tcPr>
            <w:tcW w:w="60" w:type="dxa"/>
            <w:vAlign w:val="bottom"/>
            <w:tcBorders>
              <w:bottom w:val="single" w:sz="8" w:color="E5E5E5"/>
            </w:tcBorders>
            <w:shd w:val="clear" w:color="auto" w:fill="E5E5E5"/>
          </w:tcPr>
          <w:p>
            <w:pPr>
              <w:spacing w:after="0"/>
              <w:rPr>
                <w:sz w:val="18"/>
                <w:szCs w:val="18"/>
                <w:color w:val="auto"/>
              </w:rPr>
            </w:pPr>
          </w:p>
        </w:tc>
        <w:tc>
          <w:tcPr>
            <w:tcW w:w="682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9,137</w:t>
            </w:r>
          </w:p>
        </w:tc>
        <w:tc>
          <w:tcPr>
            <w:tcW w:w="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7,018</w:t>
            </w:r>
          </w:p>
        </w:tc>
      </w:tr>
      <w:tr>
        <w:trPr>
          <w:trHeight w:val="223"/>
        </w:trPr>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Commitments and Contingencies (See Note 20)</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Noncontrolling Interests</w:t>
            </w:r>
          </w:p>
        </w:tc>
        <w:tc>
          <w:tcPr>
            <w:tcW w:w="36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r>
      <w:tr>
        <w:trPr>
          <w:trHeight w:val="222"/>
        </w:trPr>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3"/>
        </w:trPr>
        <w:tc>
          <w:tcPr>
            <w:tcW w:w="6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Additional paid-in capital</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3,492</w:t>
            </w:r>
          </w:p>
        </w:tc>
        <w:tc>
          <w:tcPr>
            <w:tcW w:w="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3,487</w:t>
            </w:r>
          </w:p>
        </w:tc>
      </w:tr>
      <w:tr>
        <w:trPr>
          <w:trHeight w:val="227"/>
        </w:trPr>
        <w:tc>
          <w:tcPr>
            <w:tcW w:w="6880" w:type="dxa"/>
            <w:vAlign w:val="bottom"/>
            <w:gridSpan w:val="3"/>
          </w:tcPr>
          <w:p>
            <w:pPr>
              <w:ind w:left="60"/>
              <w:spacing w:after="0"/>
              <w:rPr>
                <w:sz w:val="20"/>
                <w:szCs w:val="20"/>
                <w:color w:val="auto"/>
              </w:rPr>
            </w:pPr>
            <w:r>
              <w:rPr>
                <w:rFonts w:ascii="Arial" w:cs="Arial" w:eastAsia="Arial" w:hAnsi="Arial"/>
                <w:sz w:val="16"/>
                <w:szCs w:val="16"/>
                <w:b w:val="1"/>
                <w:bCs w:val="1"/>
                <w:color w:val="auto"/>
              </w:rPr>
              <w:t>Retained earnings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1,504</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Accumulated other comprehensive loss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(3,311)</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(3,699)</w:t>
            </w:r>
          </w:p>
        </w:tc>
      </w:tr>
      <w:tr>
        <w:trPr>
          <w:trHeight w:val="198"/>
        </w:trPr>
        <w:tc>
          <w:tcPr>
            <w:tcW w:w="60" w:type="dxa"/>
            <w:vAlign w:val="bottom"/>
          </w:tcPr>
          <w:p>
            <w:pPr>
              <w:spacing w:after="0"/>
              <w:rPr>
                <w:sz w:val="17"/>
                <w:szCs w:val="17"/>
                <w:color w:val="auto"/>
              </w:rPr>
            </w:pPr>
          </w:p>
        </w:tc>
        <w:tc>
          <w:tcPr>
            <w:tcW w:w="6820" w:type="dxa"/>
            <w:vAlign w:val="bottom"/>
            <w:gridSpan w:val="2"/>
          </w:tcPr>
          <w:p>
            <w:pPr>
              <w:ind w:left="340"/>
              <w:spacing w:after="0"/>
              <w:rPr>
                <w:sz w:val="20"/>
                <w:szCs w:val="20"/>
                <w:color w:val="auto"/>
              </w:rPr>
            </w:pPr>
            <w:r>
              <w:rPr>
                <w:rFonts w:ascii="Arial" w:cs="Arial" w:eastAsia="Arial" w:hAnsi="Arial"/>
                <w:sz w:val="16"/>
                <w:szCs w:val="16"/>
                <w:b w:val="1"/>
                <w:bCs w:val="1"/>
                <w:color w:val="auto"/>
              </w:rPr>
              <w:t>Xerox shareholder's equity</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629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1,292</w:t>
            </w:r>
          </w:p>
        </w:tc>
      </w:tr>
      <w:tr>
        <w:trPr>
          <w:trHeight w:val="248"/>
        </w:trPr>
        <w:tc>
          <w:tcPr>
            <w:tcW w:w="68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Noncontrolling interests</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r>
      <w:tr>
        <w:trPr>
          <w:trHeight w:val="194"/>
        </w:trPr>
        <w:tc>
          <w:tcPr>
            <w:tcW w:w="60" w:type="dxa"/>
            <w:vAlign w:val="bottom"/>
            <w:tcBorders>
              <w:bottom w:val="single" w:sz="8" w:color="E5E5E5"/>
            </w:tcBorders>
          </w:tcPr>
          <w:p>
            <w:pPr>
              <w:spacing w:after="0"/>
              <w:rPr>
                <w:sz w:val="16"/>
                <w:szCs w:val="16"/>
                <w:color w:val="auto"/>
              </w:rPr>
            </w:pPr>
          </w:p>
        </w:tc>
        <w:tc>
          <w:tcPr>
            <w:tcW w:w="6820" w:type="dxa"/>
            <w:vAlign w:val="bottom"/>
            <w:tcBorders>
              <w:bottom w:val="single" w:sz="8" w:color="E5E5E5"/>
            </w:tcBorders>
            <w:gridSpan w:val="2"/>
          </w:tcPr>
          <w:p>
            <w:pPr>
              <w:ind w:left="340"/>
              <w:spacing w:after="0"/>
              <w:rPr>
                <w:sz w:val="20"/>
                <w:szCs w:val="20"/>
                <w:color w:val="auto"/>
              </w:rPr>
            </w:pPr>
            <w:r>
              <w:rPr>
                <w:rFonts w:ascii="Arial" w:cs="Arial" w:eastAsia="Arial" w:hAnsi="Arial"/>
                <w:sz w:val="16"/>
                <w:szCs w:val="16"/>
                <w:b w:val="1"/>
                <w:bCs w:val="1"/>
                <w:color w:val="auto"/>
              </w:rPr>
              <w:t>Total Equity</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634</w:t>
            </w:r>
          </w:p>
        </w:tc>
        <w:tc>
          <w:tcPr>
            <w:tcW w:w="80" w:type="dxa"/>
            <w:vAlign w:val="bottom"/>
            <w:tcBorders>
              <w:bottom w:val="single" w:sz="8" w:color="E5E5E5"/>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1,296</w:t>
            </w:r>
          </w:p>
        </w:tc>
      </w:tr>
      <w:tr>
        <w:trPr>
          <w:trHeight w:val="232"/>
        </w:trPr>
        <w:tc>
          <w:tcPr>
            <w:tcW w:w="60" w:type="dxa"/>
            <w:vAlign w:val="bottom"/>
            <w:tcBorders>
              <w:bottom w:val="single" w:sz="8" w:color="E5E5E5"/>
            </w:tcBorders>
            <w:shd w:val="clear" w:color="auto" w:fill="E5E5E5"/>
          </w:tcPr>
          <w:p>
            <w:pPr>
              <w:spacing w:after="0"/>
              <w:rPr>
                <w:sz w:val="20"/>
                <w:szCs w:val="20"/>
                <w:color w:val="auto"/>
              </w:rPr>
            </w:pPr>
          </w:p>
        </w:tc>
        <w:tc>
          <w:tcPr>
            <w:tcW w:w="682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Total Liabilities and Equity</w:t>
            </w: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9,781</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-3750945</wp:posOffset>
            </wp:positionV>
            <wp:extent cx="2000250" cy="75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2000250" cy="7556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-55880</wp:posOffset>
            </wp:positionV>
            <wp:extent cx="2000250" cy="75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2000250"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86</w:t>
      </w:r>
    </w:p>
    <w:p>
      <w:pPr>
        <w:sectPr>
          <w:pgSz w:w="11880" w:h="15480" w:orient="portrait"/>
          <w:cols w:equalWidth="0" w:num="1">
            <w:col w:w="9960"/>
          </w:cols>
          <w:pgMar w:left="960" w:top="724" w:right="960" w:bottom="0" w:gutter="0" w:footer="0" w:header="0"/>
        </w:sectPr>
      </w:pPr>
    </w:p>
    <w:bookmarkStart w:id="96" w:name="page97"/>
    <w:bookmarkEnd w:id="96"/>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554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32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42"/>
              <w:spacing w:after="0" w:line="179"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496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55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Net (Loss) Income</w:t>
            </w:r>
          </w:p>
        </w:tc>
        <w:tc>
          <w:tcPr>
            <w:tcW w:w="32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(1,017)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(1,316)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53"/>
        </w:trPr>
        <w:tc>
          <w:tcPr>
            <w:tcW w:w="60" w:type="dxa"/>
            <w:vAlign w:val="bottom"/>
            <w:shd w:val="clear" w:color="auto" w:fill="E5E5E5"/>
          </w:tcPr>
          <w:p>
            <w:pPr>
              <w:spacing w:after="0"/>
              <w:rPr>
                <w:sz w:val="13"/>
                <w:szCs w:val="13"/>
                <w:color w:val="auto"/>
              </w:rPr>
            </w:pPr>
          </w:p>
        </w:tc>
        <w:tc>
          <w:tcPr>
            <w:tcW w:w="5540" w:type="dxa"/>
            <w:vAlign w:val="bottom"/>
            <w:gridSpan w:val="2"/>
            <w:shd w:val="clear" w:color="auto" w:fill="E5E5E5"/>
          </w:tcPr>
          <w:p>
            <w:pPr>
              <w:spacing w:after="0" w:line="153" w:lineRule="exact"/>
              <w:rPr>
                <w:sz w:val="20"/>
                <w:szCs w:val="20"/>
                <w:color w:val="auto"/>
              </w:rPr>
            </w:pPr>
            <w:r>
              <w:rPr>
                <w:rFonts w:ascii="Arial" w:cs="Arial" w:eastAsia="Arial" w:hAnsi="Arial"/>
                <w:sz w:val="16"/>
                <w:szCs w:val="16"/>
                <w:b w:val="1"/>
                <w:bCs w:val="1"/>
                <w:color w:val="auto"/>
              </w:rPr>
              <w:t>Adjustments required to reconcile Net (loss) income to Net Cash</w:t>
            </w:r>
          </w:p>
        </w:tc>
        <w:tc>
          <w:tcPr>
            <w:tcW w:w="32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554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provided by operating activities:</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Provisions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110</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Inventory-related purchase accounting adjustment-noncash</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60" w:type="dxa"/>
            <w:vAlign w:val="bottom"/>
            <w:shd w:val="clear" w:color="auto" w:fill="E5E5E5"/>
          </w:tcPr>
          <w:p>
            <w:pPr>
              <w:spacing w:after="0"/>
              <w:rPr>
                <w:sz w:val="17"/>
                <w:szCs w:val="17"/>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98"/>
              </w:rPr>
              <w:t>Effective settlement of a pre-existing relationship between Lexmark and</w:t>
            </w:r>
          </w:p>
        </w:tc>
        <w:tc>
          <w:tcPr>
            <w:tcW w:w="32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(43)</w:t>
            </w: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Xerox</w:t>
            </w:r>
          </w:p>
        </w:tc>
        <w:tc>
          <w:tcPr>
            <w:tcW w:w="320" w:type="dxa"/>
            <w:vAlign w:val="bottom"/>
            <w:shd w:val="clear" w:color="auto" w:fill="E5E5E5"/>
          </w:tcPr>
          <w:p>
            <w:pPr>
              <w:spacing w:after="0"/>
              <w:rPr>
                <w:sz w:val="18"/>
                <w:szCs w:val="18"/>
                <w:color w:val="auto"/>
              </w:rPr>
            </w:pPr>
          </w:p>
        </w:tc>
        <w:tc>
          <w:tcPr>
            <w:tcW w:w="10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Deferred tax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Net gain on sales of businesses and assets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Divestitures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PARC donation</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Goodwill impairment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1,058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Restructuring and asset impairment charges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Payments for restructurings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Non-service retirement-related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Contributions to retirement plans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(145)</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5540" w:type="dxa"/>
            <w:vAlign w:val="bottom"/>
            <w:gridSpan w:val="2"/>
          </w:tcPr>
          <w:p>
            <w:pPr>
              <w:ind w:left="120"/>
              <w:spacing w:after="0" w:line="147" w:lineRule="exact"/>
              <w:rPr>
                <w:sz w:val="20"/>
                <w:szCs w:val="20"/>
                <w:color w:val="auto"/>
              </w:rPr>
            </w:pPr>
            <w:r>
              <w:rPr>
                <w:rFonts w:ascii="Arial" w:cs="Arial" w:eastAsia="Arial" w:hAnsi="Arial"/>
                <w:sz w:val="16"/>
                <w:szCs w:val="16"/>
                <w:b w:val="1"/>
                <w:bCs w:val="1"/>
                <w:color w:val="auto"/>
                <w:w w:val="99"/>
              </w:rPr>
              <w:t>(Increase) decrease in accounts receivable and billed portion of finance</w:t>
            </w: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receivables</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(Increase) decrease in inventories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(122)</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Increase in equipment on operating 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Decrease in finance receivables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489</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663</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(Increase) decrease in other current and long-term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Increase (decrease) in accounts payable</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(290)</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Decrease (increase) in accrued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Increase (decrease) in other current and long-term liabilities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 change in income tax assets and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Net change in derivative assets and liabilities</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23"/>
        </w:trPr>
        <w:tc>
          <w:tcPr>
            <w:tcW w:w="60" w:type="dxa"/>
            <w:vAlign w:val="bottom"/>
            <w:tcBorders>
              <w:bottom w:val="single" w:sz="8" w:color="E5E5E5"/>
            </w:tcBorders>
          </w:tcPr>
          <w:p>
            <w:pPr>
              <w:spacing w:after="0"/>
              <w:rPr>
                <w:sz w:val="19"/>
                <w:szCs w:val="19"/>
                <w:color w:val="auto"/>
              </w:rPr>
            </w:pPr>
          </w:p>
        </w:tc>
        <w:tc>
          <w:tcPr>
            <w:tcW w:w="5540" w:type="dxa"/>
            <w:vAlign w:val="bottom"/>
            <w:tcBorders>
              <w:bottom w:val="single" w:sz="8" w:color="E5E5E5"/>
            </w:tcBorders>
            <w:gridSpan w:val="2"/>
          </w:tcPr>
          <w:p>
            <w:pPr>
              <w:ind w:left="120"/>
              <w:spacing w:after="0"/>
              <w:rPr>
                <w:sz w:val="20"/>
                <w:szCs w:val="20"/>
                <w:color w:val="auto"/>
              </w:rPr>
            </w:pPr>
            <w:r>
              <w:rPr>
                <w:rFonts w:ascii="Arial" w:cs="Arial" w:eastAsia="Arial" w:hAnsi="Arial"/>
                <w:sz w:val="16"/>
                <w:szCs w:val="16"/>
                <w:b w:val="1"/>
                <w:bCs w:val="1"/>
                <w:color w:val="auto"/>
              </w:rPr>
              <w:t>Other operating,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32"/>
        </w:trPr>
        <w:tc>
          <w:tcPr>
            <w:tcW w:w="60" w:type="dxa"/>
            <w:vAlign w:val="bottom"/>
            <w:tcBorders>
              <w:bottom w:val="single" w:sz="8" w:color="E5E5E5"/>
            </w:tcBorders>
            <w:shd w:val="clear" w:color="auto" w:fill="E5E5E5"/>
          </w:tcPr>
          <w:p>
            <w:pPr>
              <w:spacing w:after="0"/>
              <w:rPr>
                <w:sz w:val="20"/>
                <w:szCs w:val="20"/>
                <w:color w:val="auto"/>
              </w:rPr>
            </w:pPr>
          </w:p>
        </w:tc>
        <w:tc>
          <w:tcPr>
            <w:tcW w:w="554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224</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686</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Cost of additions to land, buildings, equipment and software</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(91)</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Proceeds from sales of businesses and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Acquisitions, net of cash acquired</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(674)</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22"/>
        </w:trPr>
        <w:tc>
          <w:tcPr>
            <w:tcW w:w="60" w:type="dxa"/>
            <w:vAlign w:val="bottom"/>
            <w:tcBorders>
              <w:bottom w:val="single" w:sz="8" w:color="E5E5E5"/>
            </w:tcBorders>
          </w:tcPr>
          <w:p>
            <w:pPr>
              <w:spacing w:after="0"/>
              <w:rPr>
                <w:sz w:val="19"/>
                <w:szCs w:val="19"/>
                <w:color w:val="auto"/>
              </w:rPr>
            </w:pPr>
          </w:p>
        </w:tc>
        <w:tc>
          <w:tcPr>
            <w:tcW w:w="5540" w:type="dxa"/>
            <w:vAlign w:val="bottom"/>
            <w:tcBorders>
              <w:bottom w:val="single" w:sz="8" w:color="E5E5E5"/>
            </w:tcBorders>
            <w:gridSpan w:val="2"/>
          </w:tcPr>
          <w:p>
            <w:pPr>
              <w:ind w:left="120"/>
              <w:spacing w:after="0"/>
              <w:rPr>
                <w:sz w:val="20"/>
                <w:szCs w:val="20"/>
                <w:color w:val="auto"/>
              </w:rPr>
            </w:pPr>
            <w:r>
              <w:rPr>
                <w:rFonts w:ascii="Arial" w:cs="Arial" w:eastAsia="Arial" w:hAnsi="Arial"/>
                <w:sz w:val="16"/>
                <w:szCs w:val="16"/>
                <w:b w:val="1"/>
                <w:bCs w:val="1"/>
                <w:color w:val="auto"/>
              </w:rPr>
              <w:t>Other investing,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2"/>
        </w:trPr>
        <w:tc>
          <w:tcPr>
            <w:tcW w:w="60" w:type="dxa"/>
            <w:vAlign w:val="bottom"/>
            <w:tcBorders>
              <w:bottom w:val="single" w:sz="8" w:color="E5E5E5"/>
            </w:tcBorders>
            <w:shd w:val="clear" w:color="auto" w:fill="E5E5E5"/>
          </w:tcPr>
          <w:p>
            <w:pPr>
              <w:spacing w:after="0"/>
              <w:rPr>
                <w:sz w:val="20"/>
                <w:szCs w:val="20"/>
                <w:color w:val="auto"/>
              </w:rPr>
            </w:pPr>
          </w:p>
        </w:tc>
        <w:tc>
          <w:tcPr>
            <w:tcW w:w="554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(685)</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(179)</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Net proceeds on short-term debt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Proceeds from issuance of long-term debt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1,396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5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Payments on long-term debt</w:t>
            </w: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(992)</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(1,874)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Distributions to parent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(722)</w:t>
            </w:r>
          </w:p>
        </w:tc>
        <w:tc>
          <w:tcPr>
            <w:tcW w:w="0" w:type="dxa"/>
            <w:vAlign w:val="bottom"/>
          </w:tcPr>
          <w:p>
            <w:pPr>
              <w:spacing w:after="0"/>
              <w:rPr>
                <w:sz w:val="1"/>
                <w:szCs w:val="1"/>
                <w:color w:val="auto"/>
              </w:rPr>
            </w:pP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5540" w:type="dxa"/>
            <w:vAlign w:val="bottom"/>
            <w:tcBorders>
              <w:bottom w:val="single" w:sz="8" w:color="E5E5E5"/>
            </w:tcBorders>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Other financing, net</w:t>
            </w: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(34)</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193"/>
        </w:trPr>
        <w:tc>
          <w:tcPr>
            <w:tcW w:w="60" w:type="dxa"/>
            <w:vAlign w:val="bottom"/>
            <w:tcBorders>
              <w:bottom w:val="single" w:sz="8" w:color="E5E5E5"/>
            </w:tcBorders>
          </w:tcPr>
          <w:p>
            <w:pPr>
              <w:spacing w:after="0"/>
              <w:rPr>
                <w:sz w:val="16"/>
                <w:szCs w:val="16"/>
                <w:color w:val="auto"/>
              </w:rPr>
            </w:pPr>
          </w:p>
        </w:tc>
        <w:tc>
          <w:tcPr>
            <w:tcW w:w="5540" w:type="dxa"/>
            <w:vAlign w:val="bottom"/>
            <w:tcBorders>
              <w:bottom w:val="single" w:sz="8" w:color="E5E5E5"/>
            </w:tcBorders>
            <w:gridSpan w:val="2"/>
          </w:tcPr>
          <w:p>
            <w:pPr>
              <w:ind w:left="3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w:t>
            </w:r>
          </w:p>
        </w:tc>
        <w:tc>
          <w:tcPr>
            <w:tcW w:w="8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w:t>
            </w:r>
          </w:p>
        </w:tc>
        <w:tc>
          <w:tcPr>
            <w:tcW w:w="8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(1,207)</w:t>
            </w:r>
          </w:p>
        </w:tc>
        <w:tc>
          <w:tcPr>
            <w:tcW w:w="0" w:type="dxa"/>
            <w:vAlign w:val="bottom"/>
          </w:tcPr>
          <w:p>
            <w:pPr>
              <w:spacing w:after="0"/>
              <w:rPr>
                <w:sz w:val="1"/>
                <w:szCs w:val="1"/>
                <w:color w:val="auto"/>
              </w:rPr>
            </w:pPr>
          </w:p>
        </w:tc>
      </w:tr>
      <w:tr>
        <w:trPr>
          <w:trHeight w:val="232"/>
        </w:trPr>
        <w:tc>
          <w:tcPr>
            <w:tcW w:w="60" w:type="dxa"/>
            <w:vAlign w:val="bottom"/>
            <w:tcBorders>
              <w:bottom w:val="single" w:sz="8" w:color="E5E5E5"/>
            </w:tcBorders>
            <w:shd w:val="clear" w:color="auto" w:fill="E5E5E5"/>
          </w:tcPr>
          <w:p>
            <w:pPr>
              <w:spacing w:after="0"/>
              <w:rPr>
                <w:sz w:val="20"/>
                <w:szCs w:val="20"/>
                <w:color w:val="auto"/>
              </w:rPr>
            </w:pPr>
          </w:p>
        </w:tc>
        <w:tc>
          <w:tcPr>
            <w:tcW w:w="55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w w:val="92"/>
              </w:rPr>
              <w:t>Effect of exchange rate changes on cash, cash equivalents and restricted cash</w:t>
            </w: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(522)</w:t>
            </w:r>
          </w:p>
        </w:tc>
        <w:tc>
          <w:tcPr>
            <w:tcW w:w="0" w:type="dxa"/>
            <w:vAlign w:val="bottom"/>
          </w:tcPr>
          <w:p>
            <w:pPr>
              <w:spacing w:after="0"/>
              <w:rPr>
                <w:sz w:val="1"/>
                <w:szCs w:val="1"/>
                <w:color w:val="auto"/>
              </w:rPr>
            </w:pP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554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Cash, cash equivalents and restricted cash at beginning of year</w:t>
            </w: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630</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617</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1,139</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55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Cash, Cash Equivalents and Restricted Cash at End of Year</w:t>
            </w:r>
          </w:p>
        </w:tc>
        <w:tc>
          <w:tcPr>
            <w:tcW w:w="320" w:type="dxa"/>
            <w:vAlign w:val="bottom"/>
          </w:tcPr>
          <w:p>
            <w:pPr>
              <w:jc w:val="right"/>
              <w:ind w:right="122"/>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564</w:t>
            </w:r>
          </w:p>
        </w:tc>
        <w:tc>
          <w:tcPr>
            <w:tcW w:w="42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630</w:t>
            </w:r>
          </w:p>
        </w:tc>
        <w:tc>
          <w:tcPr>
            <w:tcW w:w="40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-55880</wp:posOffset>
            </wp:positionV>
            <wp:extent cx="2804160" cy="755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2804160"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87</w:t>
      </w:r>
    </w:p>
    <w:p>
      <w:pPr>
        <w:sectPr>
          <w:pgSz w:w="11880" w:h="15480" w:orient="portrait"/>
          <w:cols w:equalWidth="0" w:num="1">
            <w:col w:w="9920"/>
          </w:cols>
          <w:pgMar w:left="960" w:top="724" w:right="1000" w:bottom="0" w:gutter="0" w:footer="0" w:header="0"/>
        </w:sectPr>
      </w:pPr>
    </w:p>
    <w:bookmarkStart w:id="97" w:name="page98"/>
    <w:bookmarkEnd w:id="97"/>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Consolidated Statements of Shareholder's Equity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Additional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7"/>
              </w:rPr>
              <w:t>Retained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right="182"/>
              <w:spacing w:after="0"/>
              <w:rPr>
                <w:sz w:val="20"/>
                <w:szCs w:val="20"/>
                <w:color w:val="auto"/>
              </w:rPr>
            </w:pPr>
            <w:r>
              <w:rPr>
                <w:rFonts w:ascii="Arial" w:cs="Arial" w:eastAsia="Arial" w:hAnsi="Arial"/>
                <w:sz w:val="16"/>
                <w:szCs w:val="16"/>
                <w:b w:val="1"/>
                <w:bCs w:val="1"/>
                <w:color w:val="auto"/>
                <w:w w:val="89"/>
              </w:rPr>
              <w:t>Xerox</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82"/>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22"/>
              <w:spacing w:after="0" w:line="155"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AOCL</w:t>
            </w:r>
            <w:r>
              <w:rPr>
                <w:rFonts w:ascii="Arial" w:cs="Arial" w:eastAsia="Arial" w:hAnsi="Arial"/>
                <w:sz w:val="10"/>
                <w:szCs w:val="10"/>
                <w:b w:val="1"/>
                <w:bCs w:val="1"/>
                <w:color w:val="auto"/>
              </w:rPr>
              <w:t>(1)</w:t>
            </w:r>
          </w:p>
        </w:tc>
        <w:tc>
          <w:tcPr>
            <w:tcW w:w="80" w:type="dxa"/>
            <w:vAlign w:val="bottom"/>
          </w:tcPr>
          <w:p>
            <w:pPr>
              <w:spacing w:after="0"/>
              <w:rPr>
                <w:sz w:val="13"/>
                <w:szCs w:val="13"/>
                <w:color w:val="auto"/>
              </w:rPr>
            </w:pPr>
          </w:p>
        </w:tc>
        <w:tc>
          <w:tcPr>
            <w:tcW w:w="110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8"/>
              </w:rPr>
              <w:t>Shareholder's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84"/>
              </w:rPr>
              <w:t>controlling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5"/>
                <w:szCs w:val="15"/>
                <w:color w:val="auto"/>
              </w:rPr>
            </w:pPr>
          </w:p>
        </w:tc>
        <w:tc>
          <w:tcPr>
            <w:tcW w:w="920" w:type="dxa"/>
            <w:vAlign w:val="bottom"/>
          </w:tcPr>
          <w:p>
            <w:pPr>
              <w:jc w:val="right"/>
              <w:ind w:right="222"/>
              <w:spacing w:after="0" w:line="173" w:lineRule="exact"/>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62"/>
              <w:spacing w:after="0" w:line="173" w:lineRule="exact"/>
              <w:rPr>
                <w:sz w:val="20"/>
                <w:szCs w:val="20"/>
                <w:color w:val="auto"/>
              </w:rPr>
            </w:pPr>
            <w:r>
              <w:rPr>
                <w:rFonts w:ascii="Arial" w:cs="Arial" w:eastAsia="Arial" w:hAnsi="Arial"/>
                <w:sz w:val="16"/>
                <w:szCs w:val="16"/>
                <w:b w:val="1"/>
                <w:bCs w:val="1"/>
                <w:color w:val="auto"/>
                <w:w w:val="96"/>
              </w:rPr>
              <w:t>Earnings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right="162"/>
              <w:spacing w:after="0" w:line="173" w:lineRule="exact"/>
              <w:rPr>
                <w:sz w:val="20"/>
                <w:szCs w:val="20"/>
                <w:color w:val="auto"/>
              </w:rPr>
            </w:pPr>
            <w:r>
              <w:rPr>
                <w:rFonts w:ascii="Arial" w:cs="Arial" w:eastAsia="Arial" w:hAnsi="Arial"/>
                <w:sz w:val="16"/>
                <w:szCs w:val="16"/>
                <w:b w:val="1"/>
                <w:bCs w:val="1"/>
                <w:color w:val="auto"/>
                <w:w w:val="85"/>
              </w:rPr>
              <w:t>Equity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02"/>
              <w:spacing w:after="0" w:line="173" w:lineRule="exact"/>
              <w:rPr>
                <w:sz w:val="20"/>
                <w:szCs w:val="20"/>
                <w:color w:val="auto"/>
              </w:rPr>
            </w:pPr>
            <w:r>
              <w:rPr>
                <w:rFonts w:ascii="Arial" w:cs="Arial" w:eastAsia="Arial" w:hAnsi="Arial"/>
                <w:sz w:val="16"/>
                <w:szCs w:val="16"/>
                <w:b w:val="1"/>
                <w:bCs w:val="1"/>
                <w:color w:val="auto"/>
                <w:w w:val="89"/>
              </w:rPr>
              <w:t>Interests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62"/>
              <w:spacing w:after="0" w:line="173"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23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shd w:val="clear" w:color="auto" w:fill="E5E5E5"/>
          </w:tcPr>
          <w:p>
            <w:pPr>
              <w:spacing w:after="0"/>
              <w:rPr>
                <w:sz w:val="20"/>
                <w:szCs w:val="20"/>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Balance at December 31, 2022</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3,693</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3,427</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(3,537)</w:t>
            </w:r>
          </w:p>
        </w:tc>
        <w:tc>
          <w:tcPr>
            <w:tcW w:w="32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3,583</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3,593</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Comprehensive income (loss), net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50"/>
        </w:trPr>
        <w:tc>
          <w:tcPr>
            <w:tcW w:w="60" w:type="dxa"/>
            <w:vAlign w:val="bottom"/>
            <w:shd w:val="clear" w:color="auto" w:fill="E5E5E5"/>
          </w:tcPr>
          <w:p>
            <w:pPr>
              <w:spacing w:after="0"/>
              <w:rPr>
                <w:sz w:val="21"/>
                <w:szCs w:val="21"/>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Dividends declared to parent</w:t>
            </w:r>
          </w:p>
        </w:tc>
        <w:tc>
          <w:tcPr>
            <w:tcW w:w="18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(469)</w:t>
            </w:r>
          </w:p>
        </w:tc>
        <w:tc>
          <w:tcPr>
            <w:tcW w:w="8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(469)</w:t>
            </w: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(469)</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Transfers to parent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0" w:type="dxa"/>
            <w:vAlign w:val="bottom"/>
          </w:tcPr>
          <w:p>
            <w:pPr>
              <w:spacing w:after="0"/>
              <w:rPr>
                <w:sz w:val="1"/>
                <w:szCs w:val="1"/>
                <w:color w:val="auto"/>
              </w:rPr>
            </w:pPr>
          </w:p>
        </w:tc>
      </w:tr>
      <w:tr>
        <w:trPr>
          <w:trHeight w:val="253"/>
        </w:trPr>
        <w:tc>
          <w:tcPr>
            <w:tcW w:w="60" w:type="dxa"/>
            <w:vAlign w:val="bottom"/>
            <w:shd w:val="clear" w:color="auto" w:fill="E5E5E5"/>
          </w:tcPr>
          <w:p>
            <w:pPr>
              <w:spacing w:after="0"/>
              <w:rPr>
                <w:sz w:val="22"/>
                <w:szCs w:val="22"/>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w w:val="88"/>
              </w:rPr>
              <w:t>Transactions with noncontrolling interests</w:t>
            </w:r>
          </w:p>
        </w:tc>
        <w:tc>
          <w:tcPr>
            <w:tcW w:w="180" w:type="dxa"/>
            <w:vAlign w:val="bottom"/>
            <w:shd w:val="clear" w:color="auto" w:fill="E5E5E5"/>
          </w:tcPr>
          <w:p>
            <w:pPr>
              <w:spacing w:after="0"/>
              <w:rPr>
                <w:sz w:val="22"/>
                <w:szCs w:val="22"/>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37"/>
        </w:trPr>
        <w:tc>
          <w:tcPr>
            <w:tcW w:w="60" w:type="dxa"/>
            <w:vAlign w:val="bottom"/>
            <w:tcBorders>
              <w:bottom w:val="single" w:sz="8" w:color="E5E5E5"/>
            </w:tcBorders>
          </w:tcPr>
          <w:p>
            <w:pPr>
              <w:spacing w:after="0"/>
              <w:rPr>
                <w:sz w:val="20"/>
                <w:szCs w:val="20"/>
                <w:color w:val="auto"/>
              </w:rPr>
            </w:pPr>
          </w:p>
        </w:tc>
        <w:tc>
          <w:tcPr>
            <w:tcW w:w="290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w w:val="94"/>
              </w:rPr>
              <w:t>Distributions to noncontrolling interests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Balance at December 31, 2023</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3,485</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2,959</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(3,676)</w:t>
            </w:r>
          </w:p>
        </w:tc>
        <w:tc>
          <w:tcPr>
            <w:tcW w:w="32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2,768</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2,778</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Comprehensive loss, net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(1,339)</w:t>
            </w: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Dividends declared to parent</w:t>
            </w:r>
          </w:p>
        </w:tc>
        <w:tc>
          <w:tcPr>
            <w:tcW w:w="18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Transfers from parent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53"/>
        </w:trPr>
        <w:tc>
          <w:tcPr>
            <w:tcW w:w="60" w:type="dxa"/>
            <w:vAlign w:val="bottom"/>
            <w:shd w:val="clear" w:color="auto" w:fill="E5E5E5"/>
          </w:tcPr>
          <w:p>
            <w:pPr>
              <w:spacing w:after="0"/>
              <w:rPr>
                <w:sz w:val="22"/>
                <w:szCs w:val="22"/>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w w:val="88"/>
              </w:rPr>
              <w:t>Transactions with noncontrolling interests</w:t>
            </w:r>
          </w:p>
        </w:tc>
        <w:tc>
          <w:tcPr>
            <w:tcW w:w="180" w:type="dxa"/>
            <w:vAlign w:val="bottom"/>
            <w:shd w:val="clear" w:color="auto" w:fill="E5E5E5"/>
          </w:tcPr>
          <w:p>
            <w:pPr>
              <w:spacing w:after="0"/>
              <w:rPr>
                <w:sz w:val="22"/>
                <w:szCs w:val="22"/>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2"/>
        </w:trPr>
        <w:tc>
          <w:tcPr>
            <w:tcW w:w="60" w:type="dxa"/>
            <w:vAlign w:val="bottom"/>
            <w:tcBorders>
              <w:bottom w:val="single" w:sz="8" w:color="E5E5E5"/>
            </w:tcBorders>
          </w:tcPr>
          <w:p>
            <w:pPr>
              <w:spacing w:after="0"/>
              <w:rPr>
                <w:sz w:val="19"/>
                <w:szCs w:val="19"/>
                <w:color w:val="auto"/>
              </w:rPr>
            </w:pPr>
          </w:p>
        </w:tc>
        <w:tc>
          <w:tcPr>
            <w:tcW w:w="290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w w:val="94"/>
              </w:rPr>
              <w:t>Distributions to noncontrolling interests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Balance at December 31, 2024</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3,487</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1,504</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(3,699)</w:t>
            </w:r>
          </w:p>
        </w:tc>
        <w:tc>
          <w:tcPr>
            <w:tcW w:w="32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1,292</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1,296</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Comprehensive (loss) income, net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(629)</w:t>
            </w:r>
          </w:p>
        </w:tc>
        <w:tc>
          <w:tcPr>
            <w:tcW w:w="0" w:type="dxa"/>
            <w:vAlign w:val="bottom"/>
          </w:tcPr>
          <w:p>
            <w:pPr>
              <w:spacing w:after="0"/>
              <w:rPr>
                <w:sz w:val="1"/>
                <w:szCs w:val="1"/>
                <w:color w:val="auto"/>
              </w:rPr>
            </w:pPr>
          </w:p>
        </w:tc>
      </w:tr>
      <w:tr>
        <w:trPr>
          <w:trHeight w:val="253"/>
        </w:trPr>
        <w:tc>
          <w:tcPr>
            <w:tcW w:w="60" w:type="dxa"/>
            <w:vAlign w:val="bottom"/>
            <w:shd w:val="clear" w:color="auto" w:fill="E5E5E5"/>
          </w:tcPr>
          <w:p>
            <w:pPr>
              <w:spacing w:after="0"/>
              <w:rPr>
                <w:sz w:val="21"/>
                <w:szCs w:val="21"/>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Dividends declared to parent</w:t>
            </w:r>
          </w:p>
        </w:tc>
        <w:tc>
          <w:tcPr>
            <w:tcW w:w="18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Transfers from parent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53"/>
        </w:trPr>
        <w:tc>
          <w:tcPr>
            <w:tcW w:w="60" w:type="dxa"/>
            <w:vAlign w:val="bottom"/>
            <w:shd w:val="clear" w:color="auto" w:fill="E5E5E5"/>
          </w:tcPr>
          <w:p>
            <w:pPr>
              <w:spacing w:after="0"/>
              <w:rPr>
                <w:sz w:val="21"/>
                <w:szCs w:val="21"/>
                <w:color w:val="auto"/>
              </w:rPr>
            </w:pPr>
          </w:p>
        </w:tc>
        <w:tc>
          <w:tcPr>
            <w:tcW w:w="290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w w:val="88"/>
              </w:rPr>
              <w:t>Transactions with noncontrolling interests</w:t>
            </w:r>
          </w:p>
        </w:tc>
        <w:tc>
          <w:tcPr>
            <w:tcW w:w="18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37"/>
        </w:trPr>
        <w:tc>
          <w:tcPr>
            <w:tcW w:w="60" w:type="dxa"/>
            <w:vAlign w:val="bottom"/>
            <w:tcBorders>
              <w:bottom w:val="single" w:sz="8" w:color="E5E5E5"/>
            </w:tcBorders>
          </w:tcPr>
          <w:p>
            <w:pPr>
              <w:spacing w:after="0"/>
              <w:rPr>
                <w:sz w:val="20"/>
                <w:szCs w:val="20"/>
                <w:color w:val="auto"/>
              </w:rPr>
            </w:pPr>
          </w:p>
        </w:tc>
        <w:tc>
          <w:tcPr>
            <w:tcW w:w="2900" w:type="dxa"/>
            <w:vAlign w:val="bottom"/>
            <w:tcBorders>
              <w:bottom w:val="single" w:sz="8" w:color="E5E5E5"/>
            </w:tcBorders>
            <w:gridSpan w:val="2"/>
          </w:tcPr>
          <w:p>
            <w:pPr>
              <w:spacing w:after="0"/>
              <w:rPr>
                <w:sz w:val="20"/>
                <w:szCs w:val="20"/>
                <w:color w:val="auto"/>
              </w:rPr>
            </w:pPr>
            <w:r>
              <w:rPr>
                <w:rFonts w:ascii="Arial" w:cs="Arial" w:eastAsia="Arial" w:hAnsi="Arial"/>
                <w:sz w:val="16"/>
                <w:szCs w:val="16"/>
                <w:b w:val="1"/>
                <w:bCs w:val="1"/>
                <w:color w:val="auto"/>
                <w:w w:val="94"/>
              </w:rPr>
              <w:t>Distributions to noncontrolling interests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47"/>
        </w:trPr>
        <w:tc>
          <w:tcPr>
            <w:tcW w:w="60" w:type="dxa"/>
            <w:vAlign w:val="bottom"/>
            <w:tcBorders>
              <w:bottom w:val="single" w:sz="8" w:color="E5E5E5"/>
            </w:tcBorders>
            <w:shd w:val="clear" w:color="auto" w:fill="E5E5E5"/>
          </w:tcPr>
          <w:p>
            <w:pPr>
              <w:spacing w:after="0"/>
              <w:rPr>
                <w:sz w:val="21"/>
                <w:szCs w:val="21"/>
                <w:color w:val="auto"/>
              </w:rPr>
            </w:pPr>
          </w:p>
        </w:tc>
        <w:tc>
          <w:tcPr>
            <w:tcW w:w="29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6"/>
                <w:szCs w:val="16"/>
                <w:b w:val="1"/>
                <w:bCs w:val="1"/>
                <w:color w:val="auto"/>
              </w:rPr>
              <w:t>Balance at December 31, 2025</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3,492</w:t>
            </w: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448</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(3,311)</w:t>
            </w:r>
          </w:p>
        </w:tc>
        <w:tc>
          <w:tcPr>
            <w:tcW w:w="8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629</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-55245</wp:posOffset>
            </wp:positionV>
            <wp:extent cx="4495165" cy="75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4495165"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70" w:lineRule="exact"/>
        <w:rPr>
          <w:sz w:val="20"/>
          <w:szCs w:val="20"/>
          <w:color w:val="auto"/>
        </w:rPr>
      </w:pPr>
    </w:p>
    <w:p>
      <w:pPr>
        <w:ind w:left="360" w:hanging="356"/>
        <w:spacing w:after="0"/>
        <w:tabs>
          <w:tab w:leader="none" w:pos="360" w:val="left"/>
        </w:tabs>
        <w:numPr>
          <w:ilvl w:val="0"/>
          <w:numId w:val="9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AOCL -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88</w:t>
      </w:r>
    </w:p>
    <w:p>
      <w:pPr>
        <w:sectPr>
          <w:pgSz w:w="11880" w:h="15480" w:orient="portrait"/>
          <w:cols w:equalWidth="0" w:num="1">
            <w:col w:w="9960"/>
          </w:cols>
          <w:pgMar w:left="960" w:top="724" w:right="960" w:bottom="0" w:gutter="0" w:footer="0" w:header="0"/>
        </w:sectPr>
      </w:pPr>
    </w:p>
    <w:bookmarkStart w:id="98" w:name="page99"/>
    <w:bookmarkEnd w:id="98"/>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DA2031"/>
        </w:rPr>
        <w:t>(in millions, except per-share data and where otherwise noted)</w:t>
      </w:r>
    </w:p>
    <w:p>
      <w:pPr>
        <w:spacing w:after="0" w:line="114"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 1 – Basis of Presentation</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References to “Xerox Holdings” refer to Xerox Holdings Corporation and its consolidated subsidiaries while references to “Xerox” refer to Xerox Corporation and its consolidated subsidiaries or Xerox Holdings Corporation and its consolidated subsidiaries, as determined by the context. References herein to “we,” “us,” “our,” and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its subsidiaries.</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accompanying Consolidated Financial Statements and footnotes represent the respective consolidated results and financial results of Xerox Holdings and Xerox and all respective companies that each registrant directly or indirectly controls, either through majority ownership or otherwise. This is a combined report of Xerox Holdings and Xerox, which includes separate Consolidated Financial Statements for each registrant.</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accompanying Consolidated Financial Statements of both Xerox Holdings and Xerox have been prepared in accordance with accounting principles generally accepted in the United States of America (GAAP).</w:t>
      </w:r>
    </w:p>
    <w:p>
      <w:pPr>
        <w:spacing w:after="0" w:line="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For convenience and ease of reference, we refer to the financial statement caption “Loss before Income Taxes” as “pre-tax loss”.</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Notes to the Consolidated Financial Statements reflect the activity for both Xerox Holdings and Xerox for all periods presented, unless otherwise noted.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Description of Business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Currently, Xerox Holdings' primary direct operating subsidiary is Xerox and therefore Xerox represents nearly all of Xerox Holdings' operations. Xerox is a workplace technology company, building and integrating services-led, software-enabled, workplace solutions for enterprises large and small. As customers seek to manage information and document workflows across digital and physical platforms, we deliver a seamless, secure, and sustainable experience. We provide advanced document technology, services, software, and integrated IT infrastructure solutions for a range of customers including small and mid-sized businesses, large enterprises, governments and graphic communications providers, and for our partners who serve them. Xerox serves customers globally in North America, Europe, Latin America, Brazil, Asia Pacific (APAC), the Middle East, Africa, and India.</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Xerox Holdings' other direct subsidiary, Xerox Ventures LLC, which was established solely to invest in startups and early/mid-stage growth companies aligned with the Company’s innovation focus areas and targeted adjacencies. In January 2024, Myriad Ventures Fund I LP (Myriad) was established, and the investments held by Xerox Ventures LLC were transferred to Myriad, which will continue to be fully consolidated by Xerox Holdings. The investments are primarily equity or equity-linked and for less than 20% ownership. Since the investments normally do not have readily determinable fair values, they are accounted for under the measurement alternative per ASC Topic 321-10-35-2. At December 31, 2025 and 2024, Xerox's investment in Myriad was $41 and $40,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Basis of Consolidation</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All significant intercompany accounts and transactions have been eliminated. Investments in business entities in which we do not have control, but we have the ability to exercise significant influence over operating and financial policies (generally 20% to 50% ownership) are accounted for using the equity method of accounting. Operating results of acquired businesses are included in the Consolidated Statements of (Loss) Income from the date of acquisition.</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consolidate variable interest entities if we are deemed to be the primary beneficiary of the entity. Operating results for variable interest entities in which we are determined to be the primary beneficiary are included in the Consolidated Statements of (Loss) Income from the date such determination is made.</w:t>
      </w:r>
    </w:p>
    <w:p>
      <w:pPr>
        <w:spacing w:after="0" w:line="6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Consolidated Financial Statements have been prepared on a going concern basis, which contemplates the realization of assets and the settlement of liabilities in the normal course of business.</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Currently, we are not aware of any other trends or demands, commitments, events or uncertainties that will result in or that are reasonably likely to result in our liquidity increasing or decreasing in any material way that will impact our capital needs during or beyond the next 12 months.</w:t>
      </w:r>
    </w:p>
    <w:p>
      <w:pPr>
        <w:spacing w:after="0" w:line="200" w:lineRule="exact"/>
        <w:rPr>
          <w:sz w:val="20"/>
          <w:szCs w:val="20"/>
          <w:color w:val="auto"/>
        </w:rPr>
      </w:pPr>
    </w:p>
    <w:p>
      <w:pPr>
        <w:spacing w:after="0" w:line="28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89</w:t>
      </w:r>
    </w:p>
    <w:p>
      <w:pPr>
        <w:sectPr>
          <w:pgSz w:w="11880" w:h="15480" w:orient="portrait"/>
          <w:cols w:equalWidth="0" w:num="1">
            <w:col w:w="9960"/>
          </w:cols>
          <w:pgMar w:left="960" w:top="724" w:right="960" w:bottom="0" w:gutter="0" w:footer="0" w:header="0"/>
        </w:sectPr>
      </w:pPr>
    </w:p>
    <w:bookmarkStart w:id="99" w:name="page100"/>
    <w:bookmarkEnd w:id="99"/>
    <w:p>
      <w:pPr>
        <w:jc w:val="both"/>
        <w:spacing w:after="0" w:line="278" w:lineRule="auto"/>
        <w:rPr>
          <w:sz w:val="20"/>
          <w:szCs w:val="20"/>
          <w:color w:val="auto"/>
        </w:rPr>
      </w:pPr>
      <w:r>
        <w:rPr>
          <w:rFonts w:ascii="Arial" w:cs="Arial" w:eastAsia="Arial" w:hAnsi="Arial"/>
          <w:sz w:val="18"/>
          <w:szCs w:val="18"/>
          <w:b w:val="1"/>
          <w:bCs w:val="1"/>
          <w:color w:val="auto"/>
        </w:rPr>
        <w:t>Our liquidity is primarily dependent on our ability to generate positive cash flows from operations. Additional liquidity is also provided through access to the financial capital markets and a committed asset-based revolving credit agreement (the ABL Facility), as well as the sales and assignment of finance lease receivables. Our access to financial capital markets may be limited from time to time due to a number of factors, including our credit ratings, the level of our outstanding indebtedness, and prevailing market conditions, including the trading levels of our existing debt securities. Based on our current level of operations, we do not expect our near term liquidity needs to be dependent on access to the financial capital markets and we believe that our available sources will be adequate to meet our liquidity needs for at least the next 12 months.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Use of Estimates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The preparation of our Consolidated Financial Statements requires that we make estimates and assumptions that affect the reported amounts of assets and liabilities, as well as the disclosure of contingent assets and liabilities at the date of the financial statements, and the reported amounts of revenues and expenses during the reporting period. Future events and their effects cannot be predicted with certainty; accordingly, our accounting estimates require the exercise of judgment. The accounting estimates used in the preparation of our Consolidated Financial Statements will change as new events occur, as more experience is acquired, as additional information is obtained and as our operating environment changes. Our estimates are based on management's best available information including current events, historical experience, actions that the Company may undertake in the future and on various other assumptions that are believed to be reasonable under the circumstances. As a result, actual results may be different from these estimates.</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In the ordinary course of accounting for the items discussed above, we make changes in estimates as appropriate and as we become aware of new or revised circumstances surrounding those estimates. Such changes and refinements in estimation methodologies are reflected in reported results of operations in the period in which the changes are made and, if material, their effects are disclosed in the Notes to the Consolidated Financial Statements and in Management's Discussion and Analysis of Financial Condition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Lexmark Acquisition</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On July 1, 2025, Xerox Corporation completed its previously announced acquisition of all of the issued and outstanding equity of Lexmark International II, LLC (Lexmark) from Ninestar Group Company Limited (the Seller) (the Lexmark Acquisition). Refer to Note 6 - Acquisition and Divestitures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Segments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During the first quarter of 2025, the Company updated its determination of reportable segments to align with a change in how the Chief Operating Decision Maker (CODM), our Chief Executive Officer (CEO), allocates resources and assesses performance against the Company’s key growth strategies. As such, it was determined that there are two reportable segments - Print and Other, and IT Solutions. Prior to this change, the Company had two reportable segments - Print and Other, and Xerox Financial Services (XFS). As a result of this change, prior period reportable segment results and related disclosures have been conformed to reflect the Company’s current reportable segments. Refer to Note 4 - Segment and Geographic Area Reporting for additional information regarding this change.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connection  with  these  changes  to  our  reportable  segments,  certain  reclassifications  were  made  to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(Loss) Income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7"/>
          </w:tcPr>
          <w:p>
            <w:pPr>
              <w:jc w:val="right"/>
              <w:ind w:right="622"/>
              <w:spacing w:after="0"/>
              <w:rPr>
                <w:sz w:val="20"/>
                <w:szCs w:val="20"/>
                <w:color w:val="auto"/>
              </w:rPr>
            </w:pPr>
            <w:r>
              <w:rPr>
                <w:rFonts w:ascii="Arial" w:cs="Arial" w:eastAsia="Arial" w:hAnsi="Arial"/>
                <w:sz w:val="16"/>
                <w:szCs w:val="16"/>
                <w:b w:val="1"/>
                <w:bCs w:val="1"/>
                <w:color w:val="auto"/>
              </w:rPr>
              <w:t>Year Ended December 31, 2024</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642"/>
              <w:spacing w:after="0"/>
              <w:rPr>
                <w:sz w:val="20"/>
                <w:szCs w:val="20"/>
                <w:color w:val="auto"/>
              </w:rPr>
            </w:pPr>
            <w:r>
              <w:rPr>
                <w:rFonts w:ascii="Arial" w:cs="Arial" w:eastAsia="Arial" w:hAnsi="Arial"/>
                <w:sz w:val="16"/>
                <w:szCs w:val="16"/>
                <w:b w:val="1"/>
                <w:bCs w:val="1"/>
                <w:color w:val="auto"/>
              </w:rPr>
              <w:t>Year Ended December 31, 2023</w:t>
            </w:r>
          </w:p>
        </w:tc>
        <w:tc>
          <w:tcPr>
            <w:tcW w:w="0" w:type="dxa"/>
            <w:vAlign w:val="bottom"/>
          </w:tcPr>
          <w:p>
            <w:pPr>
              <w:spacing w:after="0"/>
              <w:rPr>
                <w:sz w:val="1"/>
                <w:szCs w:val="1"/>
                <w:color w:val="auto"/>
              </w:rPr>
            </w:pPr>
          </w:p>
        </w:tc>
      </w:tr>
      <w:tr>
        <w:trPr>
          <w:trHeight w:val="166"/>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42"/>
              <w:spacing w:after="0" w:line="166" w:lineRule="exact"/>
              <w:rPr>
                <w:sz w:val="20"/>
                <w:szCs w:val="20"/>
                <w:color w:val="auto"/>
              </w:rPr>
            </w:pPr>
            <w:r>
              <w:rPr>
                <w:rFonts w:ascii="Arial" w:cs="Arial" w:eastAsia="Arial" w:hAnsi="Arial"/>
                <w:sz w:val="16"/>
                <w:szCs w:val="16"/>
                <w:b w:val="1"/>
                <w:bCs w:val="1"/>
                <w:color w:val="auto"/>
                <w:w w:val="91"/>
              </w:rPr>
              <w:t>Previously</w:t>
            </w:r>
          </w:p>
        </w:tc>
        <w:tc>
          <w:tcPr>
            <w:tcW w:w="4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0"/>
              </w:rPr>
              <w:t>Reclassification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0"/>
              </w:rPr>
              <w:t>As Reported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42"/>
              <w:spacing w:after="0" w:line="166" w:lineRule="exact"/>
              <w:rPr>
                <w:sz w:val="20"/>
                <w:szCs w:val="20"/>
                <w:color w:val="auto"/>
              </w:rPr>
            </w:pPr>
            <w:r>
              <w:rPr>
                <w:rFonts w:ascii="Arial" w:cs="Arial" w:eastAsia="Arial" w:hAnsi="Arial"/>
                <w:sz w:val="16"/>
                <w:szCs w:val="16"/>
                <w:b w:val="1"/>
                <w:bCs w:val="1"/>
                <w:color w:val="auto"/>
                <w:w w:val="88"/>
              </w:rPr>
              <w:t>Previously</w:t>
            </w:r>
          </w:p>
        </w:tc>
        <w:tc>
          <w:tcPr>
            <w:tcW w:w="8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1"/>
              </w:rPr>
              <w:t>Reclassification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0"/>
              </w:rPr>
              <w:t>As Reported</w:t>
            </w:r>
          </w:p>
        </w:tc>
        <w:tc>
          <w:tcPr>
            <w:tcW w:w="0" w:type="dxa"/>
            <w:vAlign w:val="bottom"/>
          </w:tcPr>
          <w:p>
            <w:pPr>
              <w:spacing w:after="0"/>
              <w:rPr>
                <w:sz w:val="1"/>
                <w:szCs w:val="1"/>
                <w:color w:val="auto"/>
              </w:rPr>
            </w:pPr>
          </w:p>
        </w:tc>
      </w:tr>
      <w:tr>
        <w:trPr>
          <w:trHeight w:val="207"/>
        </w:trPr>
        <w:tc>
          <w:tcPr>
            <w:tcW w:w="26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9"/>
              </w:rPr>
              <w:t>Reported</w:t>
            </w:r>
          </w:p>
        </w:tc>
        <w:tc>
          <w:tcPr>
            <w:tcW w:w="40" w:type="dxa"/>
            <w:vAlign w:val="bottom"/>
            <w:tcBorders>
              <w:bottom w:val="single" w:sz="8" w:color="DBDBDB"/>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6"/>
              </w:rPr>
              <w:t>Reported</w:t>
            </w:r>
          </w:p>
        </w:tc>
        <w:tc>
          <w:tcPr>
            <w:tcW w:w="80" w:type="dxa"/>
            <w:vAlign w:val="bottom"/>
            <w:tcBorders>
              <w:bottom w:val="single" w:sz="8" w:color="DBDBDB"/>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80" w:type="dxa"/>
            <w:vAlign w:val="bottom"/>
            <w:shd w:val="clear" w:color="auto" w:fill="DBDBDB"/>
          </w:tcPr>
          <w:p>
            <w:pPr>
              <w:ind w:left="60"/>
              <w:spacing w:after="0" w:line="181" w:lineRule="exact"/>
              <w:rPr>
                <w:sz w:val="20"/>
                <w:szCs w:val="20"/>
                <w:color w:val="auto"/>
              </w:rPr>
            </w:pPr>
            <w:r>
              <w:rPr>
                <w:rFonts w:ascii="Arial" w:cs="Arial" w:eastAsia="Arial" w:hAnsi="Arial"/>
                <w:sz w:val="16"/>
                <w:szCs w:val="16"/>
                <w:b w:val="1"/>
                <w:bCs w:val="1"/>
                <w:color w:val="auto"/>
                <w:w w:val="97"/>
              </w:rPr>
              <w:t>Services, maintenance, rentals and</w:t>
            </w: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3,692</w:t>
            </w:r>
          </w:p>
        </w:tc>
        <w:tc>
          <w:tcPr>
            <w:tcW w:w="520" w:type="dxa"/>
            <w:vAlign w:val="bottom"/>
            <w:gridSpan w:val="2"/>
            <w:vMerge w:val="restart"/>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151</w:t>
            </w:r>
          </w:p>
        </w:tc>
        <w:tc>
          <w:tcPr>
            <w:tcW w:w="20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3,843</w:t>
            </w:r>
          </w:p>
        </w:tc>
        <w:tc>
          <w:tcPr>
            <w:tcW w:w="240" w:type="dxa"/>
            <w:vAlign w:val="bottom"/>
            <w:gridSpan w:val="2"/>
            <w:vMerge w:val="restart"/>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3,975</w:t>
            </w:r>
          </w:p>
        </w:tc>
        <w:tc>
          <w:tcPr>
            <w:tcW w:w="540" w:type="dxa"/>
            <w:vAlign w:val="bottom"/>
            <w:gridSpan w:val="2"/>
            <w:vMerge w:val="restart"/>
            <w:shd w:val="clear" w:color="auto" w:fill="DBDBDB"/>
          </w:tcPr>
          <w:p>
            <w:pPr>
              <w:ind w:left="120"/>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191</w:t>
            </w:r>
          </w:p>
        </w:tc>
        <w:tc>
          <w:tcPr>
            <w:tcW w:w="20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4,166</w:t>
            </w:r>
          </w:p>
        </w:tc>
        <w:tc>
          <w:tcPr>
            <w:tcW w:w="0" w:type="dxa"/>
            <w:vAlign w:val="bottom"/>
          </w:tcPr>
          <w:p>
            <w:pPr>
              <w:spacing w:after="0"/>
              <w:rPr>
                <w:sz w:val="1"/>
                <w:szCs w:val="1"/>
                <w:color w:val="auto"/>
              </w:rPr>
            </w:pPr>
          </w:p>
        </w:tc>
      </w:tr>
      <w:tr>
        <w:trPr>
          <w:trHeight w:val="217"/>
        </w:trPr>
        <w:tc>
          <w:tcPr>
            <w:tcW w:w="268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other</w:t>
            </w:r>
          </w:p>
        </w:tc>
        <w:tc>
          <w:tcPr>
            <w:tcW w:w="180" w:type="dxa"/>
            <w:vAlign w:val="bottom"/>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520" w:type="dxa"/>
            <w:vAlign w:val="bottom"/>
            <w:gridSpan w:val="2"/>
            <w:vMerge w:val="continue"/>
            <w:shd w:val="clear" w:color="auto" w:fill="DBDBDB"/>
          </w:tcPr>
          <w:p>
            <w:pPr>
              <w:spacing w:after="0"/>
              <w:rPr>
                <w:sz w:val="18"/>
                <w:szCs w:val="18"/>
                <w:color w:val="auto"/>
              </w:rPr>
            </w:pPr>
          </w:p>
        </w:tc>
        <w:tc>
          <w:tcPr>
            <w:tcW w:w="700" w:type="dxa"/>
            <w:vAlign w:val="bottom"/>
            <w:vMerge w:val="continue"/>
            <w:shd w:val="clear" w:color="auto" w:fill="DBDBDB"/>
          </w:tcPr>
          <w:p>
            <w:pPr>
              <w:spacing w:after="0"/>
              <w:rPr>
                <w:sz w:val="18"/>
                <w:szCs w:val="18"/>
                <w:color w:val="auto"/>
              </w:rPr>
            </w:pPr>
          </w:p>
        </w:tc>
        <w:tc>
          <w:tcPr>
            <w:tcW w:w="200" w:type="dxa"/>
            <w:vAlign w:val="bottom"/>
            <w:gridSpan w:val="2"/>
            <w:vMerge w:val="continue"/>
            <w:shd w:val="clear" w:color="auto" w:fill="DBDBDB"/>
          </w:tcPr>
          <w:p>
            <w:pPr>
              <w:spacing w:after="0"/>
              <w:rPr>
                <w:sz w:val="18"/>
                <w:szCs w:val="18"/>
                <w:color w:val="auto"/>
              </w:rPr>
            </w:pPr>
          </w:p>
        </w:tc>
        <w:tc>
          <w:tcPr>
            <w:tcW w:w="1020" w:type="dxa"/>
            <w:vAlign w:val="bottom"/>
            <w:vMerge w:val="continue"/>
            <w:shd w:val="clear" w:color="auto" w:fill="DBDBDB"/>
          </w:tcPr>
          <w:p>
            <w:pPr>
              <w:spacing w:after="0"/>
              <w:rPr>
                <w:sz w:val="18"/>
                <w:szCs w:val="18"/>
                <w:color w:val="auto"/>
              </w:rPr>
            </w:pPr>
          </w:p>
        </w:tc>
        <w:tc>
          <w:tcPr>
            <w:tcW w:w="240" w:type="dxa"/>
            <w:vAlign w:val="bottom"/>
            <w:gridSpan w:val="2"/>
            <w:vMerge w:val="continue"/>
            <w:shd w:val="clear" w:color="auto" w:fill="DBDBDB"/>
          </w:tcPr>
          <w:p>
            <w:pPr>
              <w:spacing w:after="0"/>
              <w:rPr>
                <w:sz w:val="18"/>
                <w:szCs w:val="18"/>
                <w:color w:val="auto"/>
              </w:rPr>
            </w:pPr>
          </w:p>
        </w:tc>
        <w:tc>
          <w:tcPr>
            <w:tcW w:w="960" w:type="dxa"/>
            <w:vAlign w:val="bottom"/>
            <w:vMerge w:val="continue"/>
            <w:shd w:val="clear" w:color="auto" w:fill="DBDBDB"/>
          </w:tcPr>
          <w:p>
            <w:pPr>
              <w:spacing w:after="0"/>
              <w:rPr>
                <w:sz w:val="18"/>
                <w:szCs w:val="18"/>
                <w:color w:val="auto"/>
              </w:rPr>
            </w:pPr>
          </w:p>
        </w:tc>
        <w:tc>
          <w:tcPr>
            <w:tcW w:w="540" w:type="dxa"/>
            <w:vAlign w:val="bottom"/>
            <w:gridSpan w:val="2"/>
            <w:vMerge w:val="continue"/>
            <w:shd w:val="clear" w:color="auto" w:fill="DBDBDB"/>
          </w:tcPr>
          <w:p>
            <w:pPr>
              <w:spacing w:after="0"/>
              <w:rPr>
                <w:sz w:val="18"/>
                <w:szCs w:val="18"/>
                <w:color w:val="auto"/>
              </w:rPr>
            </w:pPr>
          </w:p>
        </w:tc>
        <w:tc>
          <w:tcPr>
            <w:tcW w:w="720" w:type="dxa"/>
            <w:vAlign w:val="bottom"/>
            <w:vMerge w:val="continue"/>
            <w:shd w:val="clear" w:color="auto" w:fill="DBDBDB"/>
          </w:tcPr>
          <w:p>
            <w:pPr>
              <w:spacing w:after="0"/>
              <w:rPr>
                <w:sz w:val="18"/>
                <w:szCs w:val="18"/>
                <w:color w:val="auto"/>
              </w:rPr>
            </w:pPr>
          </w:p>
        </w:tc>
        <w:tc>
          <w:tcPr>
            <w:tcW w:w="200" w:type="dxa"/>
            <w:vAlign w:val="bottom"/>
            <w:gridSpan w:val="2"/>
            <w:vMerge w:val="continue"/>
            <w:shd w:val="clear" w:color="auto" w:fill="DBDBDB"/>
          </w:tcPr>
          <w:p>
            <w:pPr>
              <w:spacing w:after="0"/>
              <w:rPr>
                <w:sz w:val="18"/>
                <w:szCs w:val="18"/>
                <w:color w:val="auto"/>
              </w:rPr>
            </w:pPr>
          </w:p>
        </w:tc>
        <w:tc>
          <w:tcPr>
            <w:tcW w:w="102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Financing</w:t>
            </w:r>
          </w:p>
        </w:tc>
        <w:tc>
          <w:tcPr>
            <w:tcW w:w="18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151</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3"/>
        </w:trPr>
        <w:tc>
          <w:tcPr>
            <w:tcW w:w="26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98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70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460" w:type="dxa"/>
            <w:vAlign w:val="bottom"/>
            <w:shd w:val="clear" w:color="auto" w:fill="DBDBDB"/>
          </w:tcPr>
          <w:p>
            <w:pPr>
              <w:spacing w:after="0"/>
              <w:rPr>
                <w:sz w:val="22"/>
                <w:szCs w:val="22"/>
                <w:color w:val="auto"/>
              </w:rPr>
            </w:pPr>
          </w:p>
        </w:tc>
        <w:tc>
          <w:tcPr>
            <w:tcW w:w="72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Cost of services, maintenance,</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2,593</w:t>
            </w:r>
          </w:p>
        </w:tc>
        <w:tc>
          <w:tcPr>
            <w:tcW w:w="5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2,699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2,664</w:t>
            </w:r>
          </w:p>
        </w:tc>
        <w:tc>
          <w:tcPr>
            <w:tcW w:w="5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130</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2,794</w:t>
            </w:r>
          </w:p>
        </w:tc>
        <w:tc>
          <w:tcPr>
            <w:tcW w:w="0" w:type="dxa"/>
            <w:vAlign w:val="bottom"/>
          </w:tcPr>
          <w:p>
            <w:pPr>
              <w:spacing w:after="0"/>
              <w:rPr>
                <w:sz w:val="1"/>
                <w:szCs w:val="1"/>
                <w:color w:val="auto"/>
              </w:rPr>
            </w:pPr>
          </w:p>
        </w:tc>
      </w:tr>
      <w:tr>
        <w:trPr>
          <w:trHeight w:val="211"/>
        </w:trPr>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rentals and other</w:t>
            </w: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8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Cost of financing</w:t>
            </w:r>
          </w:p>
        </w:tc>
        <w:tc>
          <w:tcPr>
            <w:tcW w:w="180" w:type="dxa"/>
            <w:vAlign w:val="bottom"/>
            <w:shd w:val="clear" w:color="auto" w:fill="DBDBDB"/>
          </w:tcPr>
          <w:p>
            <w:pPr>
              <w:spacing w:after="0"/>
              <w:rPr>
                <w:sz w:val="21"/>
                <w:szCs w:val="21"/>
                <w:color w:val="auto"/>
              </w:rPr>
            </w:pPr>
          </w:p>
        </w:tc>
        <w:tc>
          <w:tcPr>
            <w:tcW w:w="98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106</w:t>
            </w:r>
          </w:p>
        </w:tc>
        <w:tc>
          <w:tcPr>
            <w:tcW w:w="4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(106)</w:t>
            </w:r>
          </w:p>
        </w:tc>
        <w:tc>
          <w:tcPr>
            <w:tcW w:w="6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c>
          <w:tcPr>
            <w:tcW w:w="6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90</w:t>
      </w:r>
    </w:p>
    <w:p>
      <w:pPr>
        <w:sectPr>
          <w:pgSz w:w="11880" w:h="15480" w:orient="portrait"/>
          <w:cols w:equalWidth="0" w:num="1">
            <w:col w:w="9960"/>
          </w:cols>
          <w:pgMar w:left="960" w:top="736" w:right="960" w:bottom="0" w:gutter="0" w:footer="0" w:header="0"/>
        </w:sectPr>
      </w:pPr>
    </w:p>
    <w:bookmarkStart w:id="100" w:name="page101"/>
    <w:bookmarkEnd w:id="100"/>
    <w:p>
      <w:pPr>
        <w:ind w:right="420"/>
        <w:spacing w:after="0" w:line="304" w:lineRule="auto"/>
        <w:rPr>
          <w:sz w:val="20"/>
          <w:szCs w:val="20"/>
          <w:color w:val="auto"/>
        </w:rPr>
      </w:pPr>
      <w:r>
        <w:rPr>
          <w:rFonts w:ascii="Arial" w:cs="Arial" w:eastAsia="Arial" w:hAnsi="Arial"/>
          <w:sz w:val="23"/>
          <w:szCs w:val="23"/>
          <w:b w:val="1"/>
          <w:bCs w:val="1"/>
          <w:color w:val="DA2031"/>
        </w:rPr>
        <w:t>Note 2 – Recent Accounting Pronouncements and Summary of Significant Accounting Policies</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New Accounting Standards and Accounting Changes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Xerox Holdings and Xerox consider the applicability and impact of all Accounting Standards Updates (ASUs) issued by the Financial Accounting Standards Board (FASB). The ASUs listed below apply to both registrants. Except for the Accounting Standard Updates (ASUs) discussed below, the new ASUs issued by the FASB during the last two years did not have any significant impact on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DA2031"/>
        </w:rPr>
        <w:t>Accounting Standard Updates to be Adopted: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Interim Reporting - Narrow-Scope Improvements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In December 2025, the FASB issued </w:t>
      </w:r>
      <w:r>
        <w:rPr>
          <w:rFonts w:ascii="Arial" w:cs="Arial" w:eastAsia="Arial" w:hAnsi="Arial"/>
          <w:sz w:val="18"/>
          <w:szCs w:val="18"/>
          <w:b w:val="1"/>
          <w:bCs w:val="1"/>
          <w:u w:val="single" w:color="auto"/>
          <w:color w:val="auto"/>
        </w:rPr>
        <w:t>ASU 2025-11</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Interim Reporting (Topic 270): Narrow-Scope Improvements,</w:t>
      </w:r>
      <w:r>
        <w:rPr>
          <w:rFonts w:ascii="Arial" w:cs="Arial" w:eastAsia="Arial" w:hAnsi="Arial"/>
          <w:sz w:val="18"/>
          <w:szCs w:val="18"/>
          <w:b w:val="1"/>
          <w:bCs w:val="1"/>
          <w:color w:val="auto"/>
        </w:rPr>
        <w:t xml:space="preserve"> which amends existing guidance to clarify and improve certain interim reporting requirements, including disclosures and the application of interim period accounting principles in specific circumstances. The amendments in this update also include a disclosure principle that requires entities to disclose events since the end of the last annual reporting period that have a material impact on the entity. The amendments are effective for interim reporting periods beginning after December 15, 2027. Early adoption is permitted. The Company is currently evaluating the impact of this ASU on its interim disclosures and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Derivatives and Hedging (Topic 815): Hedge Accounting Improvements</w:t>
      </w:r>
    </w:p>
    <w:p>
      <w:pPr>
        <w:spacing w:after="0" w:line="13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 xml:space="preserve">In November 2025, the FASB issued </w:t>
      </w:r>
      <w:r>
        <w:rPr>
          <w:rFonts w:ascii="Arial" w:cs="Arial" w:eastAsia="Arial" w:hAnsi="Arial"/>
          <w:sz w:val="18"/>
          <w:szCs w:val="18"/>
          <w:b w:val="1"/>
          <w:bCs w:val="1"/>
          <w:u w:val="single" w:color="auto"/>
          <w:color w:val="auto"/>
        </w:rPr>
        <w:t>ASU 2025-09</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Derivatives and Hedging (Topic 815): Hedge Accounting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Improvements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which provides targeted improvements intended to simplify the application of hedge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reduce complexity and cost, and enhance the transparency of hedge-related disclosures. The amendments in this update address certain hedge designation requirements and related documentation, provides targeted relief and clarity regarding methods and timing for assessing effectiveness, improves guidance related to accounting for modifications, and refines and eliminates certain disclosure requirements. The ASU is effective for fiscal years beginning after December 15, 2026, and interim periods therein. Early adoption is permitted. The Company is currently evaluating the impact of this ASU on its hedge accounting policies and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Intangibles - Goodwill and Other - Internal Use Software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In September 2025, the FASB issued </w:t>
      </w:r>
      <w:r>
        <w:rPr>
          <w:rFonts w:ascii="Arial" w:cs="Arial" w:eastAsia="Arial" w:hAnsi="Arial"/>
          <w:sz w:val="19"/>
          <w:szCs w:val="19"/>
          <w:b w:val="1"/>
          <w:bCs w:val="1"/>
          <w:u w:val="single" w:color="auto"/>
          <w:color w:val="auto"/>
        </w:rPr>
        <w:t xml:space="preserve">ASU </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2025-06</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Intangibles—Goodwill and Other—Internal-Use Software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(Topic</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350-40): Targeted Improvements to the Accounting for Internal-Use Software</w:t>
      </w:r>
      <w:r>
        <w:rPr>
          <w:rFonts w:ascii="Arial" w:cs="Arial" w:eastAsia="Arial" w:hAnsi="Arial"/>
          <w:sz w:val="19"/>
          <w:szCs w:val="19"/>
          <w:b w:val="1"/>
          <w:bCs w:val="1"/>
          <w:color w:val="auto"/>
        </w:rPr>
        <w:t>. The amendments are intended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to modernize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ASU permits companies to elect one of the following adoption methods to apply its amendments: a prospective transition approach, a retrospective transition approach, or a modified transition approach that is based on the status of the project and whether software costs were capitalized before the date of adoption. The ASU is effective for annual periods beginning after December 15, 2027, and interim periods within those annual periods. Early adoption is permitted as of the beginning of an annual reporting period. We are currently evaluating the adoption of this standard and its impact to the Company's consolidated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Financial Instruments - Credit Losses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 xml:space="preserve">In July 2025, the FASB issued </w:t>
      </w:r>
      <w:r>
        <w:rPr>
          <w:rFonts w:ascii="Arial" w:cs="Arial" w:eastAsia="Arial" w:hAnsi="Arial"/>
          <w:sz w:val="19"/>
          <w:szCs w:val="19"/>
          <w:b w:val="1"/>
          <w:bCs w:val="1"/>
          <w:u w:val="single" w:color="auto"/>
          <w:color w:val="auto"/>
        </w:rPr>
        <w:t xml:space="preserve">ASU </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2025-05</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Financial Instruments—Credit Losses (Topic</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326): Measurement of</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Credit Losses for Accounts Receivable and Contract Assets</w:t>
      </w:r>
      <w:r>
        <w:rPr>
          <w:rFonts w:ascii="Arial" w:cs="Arial" w:eastAsia="Arial" w:hAnsi="Arial"/>
          <w:sz w:val="19"/>
          <w:szCs w:val="19"/>
          <w:b w:val="1"/>
          <w:bCs w:val="1"/>
          <w:color w:val="auto"/>
        </w:rPr>
        <w:t>, which provides new optional guidance relating to the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estimation of expected credit losses on current accounts receivable and current contract assets under Accounting Standards Codification 326. This ASU permits entities to apply a practical expedient when estimating credit losses and is effective for annual reporting periods beginning after December 15, 2025, and interim reporting periods within those annual reporting periods, with early adoption permitted, and should be applied prospectively. We are currently evaluating the adoption of this standard and its impact to the Company's consolidated financial statements and related disclosures.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Income Statement</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 xml:space="preserve">In November 2024, the FASB issued </w:t>
      </w:r>
      <w:r>
        <w:rPr>
          <w:rFonts w:ascii="Arial" w:cs="Arial" w:eastAsia="Arial" w:hAnsi="Arial"/>
          <w:sz w:val="18"/>
          <w:szCs w:val="18"/>
          <w:b w:val="1"/>
          <w:bCs w:val="1"/>
          <w:u w:val="single" w:color="auto"/>
          <w:color w:val="auto"/>
        </w:rPr>
        <w:t>ASU 2024-03</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Reporting Comprehensive Income—Expense Disaggregation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Disclosures (Subtopic 220-40): Disaggregation of Income Statement Expenses</w:t>
      </w:r>
      <w:r>
        <w:rPr>
          <w:rFonts w:ascii="Arial" w:cs="Arial" w:eastAsia="Arial" w:hAnsi="Arial"/>
          <w:sz w:val="18"/>
          <w:szCs w:val="18"/>
          <w:b w:val="1"/>
          <w:bCs w:val="1"/>
          <w:color w:val="auto"/>
        </w:rPr>
        <w:t>, which is intended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disclosures related to certain income statement expenses of the Company. This ASU is effective for fiscal years</w:t>
      </w:r>
    </w:p>
    <w:p>
      <w:pPr>
        <w:spacing w:after="0" w:line="38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91</w:t>
      </w:r>
    </w:p>
    <w:p>
      <w:pPr>
        <w:sectPr>
          <w:pgSz w:w="11880" w:h="15480" w:orient="portrait"/>
          <w:cols w:equalWidth="0" w:num="1">
            <w:col w:w="9960"/>
          </w:cols>
          <w:pgMar w:left="960" w:top="637" w:right="960" w:bottom="0" w:gutter="0" w:footer="0" w:header="0"/>
        </w:sectPr>
      </w:pPr>
    </w:p>
    <w:bookmarkStart w:id="101" w:name="page102"/>
    <w:bookmarkEnd w:id="101"/>
    <w:p>
      <w:pPr>
        <w:jc w:val="both"/>
        <w:spacing w:after="0" w:line="276" w:lineRule="auto"/>
        <w:rPr>
          <w:sz w:val="20"/>
          <w:szCs w:val="20"/>
          <w:color w:val="auto"/>
        </w:rPr>
      </w:pPr>
      <w:r>
        <w:rPr>
          <w:rFonts w:ascii="Arial" w:cs="Arial" w:eastAsia="Arial" w:hAnsi="Arial"/>
          <w:sz w:val="19"/>
          <w:szCs w:val="19"/>
          <w:b w:val="1"/>
          <w:bCs w:val="1"/>
          <w:color w:val="auto"/>
        </w:rPr>
        <w:t>beginning after December 15, 2026, and interim periods within fiscal years beginning after December 15, 2027, with early adoption permitted and may be applied either prospectively or retrospectively. We are currently evaluating the impact of the adoption of this standard to determine its impact on the Company's disclosures.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Debt</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In November 2024, the FASB issued </w:t>
      </w:r>
      <w:r>
        <w:rPr>
          <w:rFonts w:ascii="Arial" w:cs="Arial" w:eastAsia="Arial" w:hAnsi="Arial"/>
          <w:sz w:val="18"/>
          <w:szCs w:val="18"/>
          <w:b w:val="1"/>
          <w:bCs w:val="1"/>
          <w:u w:val="single" w:color="auto"/>
          <w:color w:val="auto"/>
        </w:rPr>
        <w:t>ASU 2024-04</w:t>
      </w:r>
      <w:r>
        <w:rPr>
          <w:rFonts w:ascii="Arial" w:cs="Arial" w:eastAsia="Arial" w:hAnsi="Arial"/>
          <w:sz w:val="18"/>
          <w:szCs w:val="18"/>
          <w:b w:val="1"/>
          <w:bCs w:val="1"/>
          <w:i w:val="1"/>
          <w:iCs w:val="1"/>
          <w:color w:val="auto"/>
        </w:rPr>
        <w:t>, Debt with Conversion and Other Options (Subtopic 470-20):</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Induced Conversions of Convertible Debt Instruments, </w:t>
      </w:r>
      <w:r>
        <w:rPr>
          <w:rFonts w:ascii="Arial" w:cs="Arial" w:eastAsia="Arial" w:hAnsi="Arial"/>
          <w:sz w:val="18"/>
          <w:szCs w:val="18"/>
          <w:b w:val="1"/>
          <w:bCs w:val="1"/>
          <w:color w:val="auto"/>
        </w:rPr>
        <w:t>which is intended to clarify requirements for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whether certain settlements of convertible debt instruments, including convertible debt instruments with cash conversion features or convertible debt instruments that are not currently convertible, should be accounted for as an induced conversion. This ASU is effective for annual reporting periods beginning after December 15, 2025, and interim reporting periods within those annual reporting periods, with early adoption permitted. We are currently evaluating the impact of the adoption of this standard to determine its impact on the Company's disclosures.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DA2031"/>
        </w:rPr>
        <w:t>Accounting Standard Updates Recently Adopted:</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Income Tax Disclosures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In December 2023, the FASB issued </w:t>
      </w:r>
      <w:r>
        <w:rPr>
          <w:rFonts w:ascii="Arial" w:cs="Arial" w:eastAsia="Arial" w:hAnsi="Arial"/>
          <w:sz w:val="18"/>
          <w:szCs w:val="18"/>
          <w:b w:val="1"/>
          <w:bCs w:val="1"/>
          <w:u w:val="single" w:color="auto"/>
          <w:color w:val="auto"/>
        </w:rPr>
        <w:t>ASU 2023-09</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Income Taxes (Topic 740): Improvements to Income Tax</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Disclosures</w:t>
      </w:r>
      <w:r>
        <w:rPr>
          <w:rFonts w:ascii="Arial" w:cs="Arial" w:eastAsia="Arial" w:hAnsi="Arial"/>
          <w:sz w:val="18"/>
          <w:szCs w:val="18"/>
          <w:b w:val="1"/>
          <w:bCs w:val="1"/>
          <w:color w:val="auto"/>
        </w:rPr>
        <w:t>, which includes amendments that further enhance income tax disclosures, primarily through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standardization and disaggregation of rate reconciliation categories and income taxes paid by jurisdiction. The amendments are effective for the Company’s annual periods beginning January 1, 2025 and should be applied either prospectively or retrospectively. The Company has adopted this standard on a prospective basis for the year ended December 31, 2025. Refer to Note 19 - Income and Other Taxes for additional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Reference Rate Reform</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In March 2020, the FASB issued </w:t>
      </w:r>
      <w:r>
        <w:rPr>
          <w:rFonts w:ascii="Arial" w:cs="Arial" w:eastAsia="Arial" w:hAnsi="Arial"/>
          <w:sz w:val="18"/>
          <w:szCs w:val="18"/>
          <w:b w:val="1"/>
          <w:bCs w:val="1"/>
          <w:u w:val="single" w:color="auto"/>
          <w:color w:val="auto"/>
        </w:rPr>
        <w:t>ASU 2020-04</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Reference Rate Reform (Topic 848), Facilitation of the Effects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Reference Rate Reform on Financial Reporting, </w:t>
      </w:r>
      <w:r>
        <w:rPr>
          <w:rFonts w:ascii="Arial" w:cs="Arial" w:eastAsia="Arial" w:hAnsi="Arial"/>
          <w:sz w:val="18"/>
          <w:szCs w:val="18"/>
          <w:b w:val="1"/>
          <w:bCs w:val="1"/>
          <w:color w:val="auto"/>
        </w:rPr>
        <w:t>which provides optional expedients and exceptions for applying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U.S. GAAP to contracts, hedging relationships, and other transactions affected by the discontinuation of the London Interbank Offered Rate (LIBOR) or by another reference rate expected to be discontinued. In January 2021, the FASB issued </w:t>
      </w:r>
      <w:r>
        <w:rPr>
          <w:rFonts w:ascii="Arial" w:cs="Arial" w:eastAsia="Arial" w:hAnsi="Arial"/>
          <w:sz w:val="18"/>
          <w:szCs w:val="18"/>
          <w:b w:val="1"/>
          <w:bCs w:val="1"/>
          <w:u w:val="single" w:color="auto"/>
          <w:color w:val="auto"/>
        </w:rPr>
        <w:t>ASU 2021-01</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Reference Rate Reform (Topic 848), Scope,</w:t>
      </w:r>
      <w:r>
        <w:rPr>
          <w:rFonts w:ascii="Arial" w:cs="Arial" w:eastAsia="Arial" w:hAnsi="Arial"/>
          <w:sz w:val="18"/>
          <w:szCs w:val="18"/>
          <w:b w:val="1"/>
          <w:bCs w:val="1"/>
          <w:color w:val="auto"/>
        </w:rPr>
        <w:t xml:space="preserve"> which provided clarification to ASU 2020-04. These ASUs were effective commencing with our quarter ended March 31, 2020 through December 31, 2022. In December 2022, the FASB issued </w:t>
      </w:r>
      <w:r>
        <w:rPr>
          <w:rFonts w:ascii="Arial" w:cs="Arial" w:eastAsia="Arial" w:hAnsi="Arial"/>
          <w:sz w:val="18"/>
          <w:szCs w:val="18"/>
          <w:b w:val="1"/>
          <w:bCs w:val="1"/>
          <w:u w:val="single" w:color="auto"/>
          <w:color w:val="auto"/>
        </w:rPr>
        <w:t>ASU 2022-06</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Reference Rate Reform (Topic 848), Deferral of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Sunset Date of Topic 848, </w:t>
      </w:r>
      <w:r>
        <w:rPr>
          <w:rFonts w:ascii="Arial" w:cs="Arial" w:eastAsia="Arial" w:hAnsi="Arial"/>
          <w:sz w:val="18"/>
          <w:szCs w:val="18"/>
          <w:b w:val="1"/>
          <w:bCs w:val="1"/>
          <w:color w:val="auto"/>
        </w:rPr>
        <w:t>which deferred the sunset date of Topic 848 from December 31, 2022, to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2024, after which entities will no longer be permitted to apply the relief in Topic 848. This ASU did not have an impact on our financial condition,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Segment Disclosures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In November 2023, the FASB issued </w:t>
      </w:r>
      <w:r>
        <w:rPr>
          <w:rFonts w:ascii="Arial" w:cs="Arial" w:eastAsia="Arial" w:hAnsi="Arial"/>
          <w:sz w:val="18"/>
          <w:szCs w:val="18"/>
          <w:b w:val="1"/>
          <w:bCs w:val="1"/>
          <w:u w:val="single" w:color="auto"/>
          <w:color w:val="auto"/>
        </w:rPr>
        <w:t>ASU 2023-07</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Segment Reporting (Topic 280): Improvements to Reportable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Segment Disclosures</w:t>
      </w:r>
      <w:r>
        <w:rPr>
          <w:rFonts w:ascii="Arial" w:cs="Arial" w:eastAsia="Arial" w:hAnsi="Arial"/>
          <w:sz w:val="18"/>
          <w:szCs w:val="18"/>
          <w:b w:val="1"/>
          <w:bCs w:val="1"/>
          <w:color w:val="auto"/>
        </w:rPr>
        <w:t>, which is intended to improve reportable segment disclosure requirements, primarily through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enhanced disclosures about significant expenses. The update requires public entities to disclose significant segment expenses that are regularly provided to the chief operating decision maker (CODM) and included within segment profit and loss. The amendment was effective for the Company's annual periods beginning January 1, 2024, and interim periods beginning January 1, 2025, with early adoption permitted, and are applied retrospectively to all prior periods presented in the financial statements. This ASU only requires additional disclosures, and did not have an impact on the Company’s financial condition, results of operations or cash flows. Refer to Note 4 - Segment and Geographic Area Reporting for the required disclosures effective January 1, 2024.</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Liabilities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In September 2022, the FASB issued </w:t>
      </w:r>
      <w:r>
        <w:rPr>
          <w:rFonts w:ascii="Arial" w:cs="Arial" w:eastAsia="Arial" w:hAnsi="Arial"/>
          <w:sz w:val="18"/>
          <w:szCs w:val="18"/>
          <w:b w:val="1"/>
          <w:bCs w:val="1"/>
          <w:u w:val="single" w:color="auto"/>
          <w:color w:val="auto"/>
        </w:rPr>
        <w:t>ASU 2022-04</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Liabilities - Supplier Finance Programs (Subtopic 405-50):</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Disclosure of Supplier Finance Program Obligations </w:t>
      </w:r>
      <w:r>
        <w:rPr>
          <w:rFonts w:ascii="Arial" w:cs="Arial" w:eastAsia="Arial" w:hAnsi="Arial"/>
          <w:sz w:val="18"/>
          <w:szCs w:val="18"/>
          <w:b w:val="1"/>
          <w:bCs w:val="1"/>
          <w:color w:val="auto"/>
        </w:rPr>
        <w:t>that requires entities that use supplier finance programs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connection with the purchase of goods and services to disclose the key terms of the programs and information about obligations outstanding at the end of the reporting period, including a roll forward of those obligations. The guidance does not affect the recognition, measurement or financial statement presentation of supplier finance program obligations. The new standard’s requirements to disclose the key terms of the programs and information about obligations outstanding was effective for our fiscal year beginning on January 1, 2023. The new standard’s requirement to disclose a roll forward of obligations outstanding was effective for our fiscal year beginning on January 1, 2024. Refer to Note 14 - Supplementary Financial Information for the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92</w:t>
      </w:r>
    </w:p>
    <w:p>
      <w:pPr>
        <w:sectPr>
          <w:pgSz w:w="11880" w:h="15480" w:orient="portrait"/>
          <w:cols w:equalWidth="0" w:num="1">
            <w:col w:w="9960"/>
          </w:cols>
          <w:pgMar w:left="960" w:top="649" w:right="960" w:bottom="0" w:gutter="0" w:footer="0" w:header="0"/>
        </w:sectPr>
      </w:pPr>
    </w:p>
    <w:bookmarkStart w:id="102" w:name="page103"/>
    <w:bookmarkEnd w:id="102"/>
    <w:p>
      <w:pPr>
        <w:spacing w:after="0"/>
        <w:rPr>
          <w:sz w:val="20"/>
          <w:szCs w:val="20"/>
          <w:color w:val="auto"/>
        </w:rPr>
      </w:pPr>
      <w:r>
        <w:rPr>
          <w:rFonts w:ascii="Arial" w:cs="Arial" w:eastAsia="Arial" w:hAnsi="Arial"/>
          <w:sz w:val="19"/>
          <w:szCs w:val="19"/>
          <w:b w:val="1"/>
          <w:bCs w:val="1"/>
          <w:color w:val="DA2031"/>
        </w:rPr>
        <w:t>Other Updates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In 2025</w:t>
      </w:r>
      <w:r>
        <w:rPr>
          <w:rFonts w:ascii="Times New Roman" w:cs="Times New Roman" w:eastAsia="Times New Roman" w:hAnsi="Times New Roman"/>
          <w:sz w:val="19"/>
          <w:szCs w:val="19"/>
          <w:color w:val="auto"/>
        </w:rPr>
        <w:t>,</w:t>
      </w:r>
      <w:r>
        <w:rPr>
          <w:rFonts w:ascii="Arial" w:cs="Arial" w:eastAsia="Arial" w:hAnsi="Arial"/>
          <w:sz w:val="19"/>
          <w:szCs w:val="19"/>
          <w:b w:val="1"/>
          <w:bCs w:val="1"/>
          <w:color w:val="auto"/>
        </w:rPr>
        <w:t xml:space="preserve"> 2024 and 2023 the FASB also issued the following ASUs, which could impact the Company in the future but currently did not have, nor are expected to have, a material impact on our financial condition, results of operations, cash flows or related disclosures upon adoption. Those updates are as follows:</w:t>
      </w:r>
    </w:p>
    <w:p>
      <w:pPr>
        <w:spacing w:after="0" w:line="1" w:lineRule="exact"/>
        <w:rPr>
          <w:sz w:val="20"/>
          <w:szCs w:val="20"/>
          <w:color w:val="auto"/>
        </w:rPr>
      </w:pPr>
    </w:p>
    <w:p>
      <w:pPr>
        <w:jc w:val="both"/>
        <w:ind w:left="360" w:hanging="356"/>
        <w:spacing w:after="0" w:line="269"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Codification Improvements: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2025-12</w:t>
      </w:r>
      <w:r>
        <w:rPr>
          <w:rFonts w:ascii="Arial" w:cs="Arial" w:eastAsia="Arial" w:hAnsi="Arial"/>
          <w:sz w:val="19"/>
          <w:szCs w:val="19"/>
          <w:b w:val="1"/>
          <w:bCs w:val="1"/>
          <w:color w:val="000000"/>
        </w:rPr>
        <w:t>,</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Codification Improvements.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This update is effective for our fiscal</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year beginning after December 15, 2026, as well as interim periods within that period. Early adoption is permitted.</w:t>
      </w:r>
    </w:p>
    <w:p>
      <w:pPr>
        <w:spacing w:after="0" w:line="2" w:lineRule="exact"/>
        <w:rPr>
          <w:rFonts w:ascii="Arial" w:cs="Arial" w:eastAsia="Arial" w:hAnsi="Arial"/>
          <w:sz w:val="19"/>
          <w:szCs w:val="19"/>
          <w:b w:val="1"/>
          <w:bCs w:val="1"/>
          <w:i w:val="1"/>
          <w:iCs w:val="1"/>
          <w:color w:val="DA2031"/>
        </w:rPr>
      </w:pPr>
    </w:p>
    <w:p>
      <w:pPr>
        <w:jc w:val="both"/>
        <w:ind w:left="360" w:hanging="356"/>
        <w:spacing w:after="0" w:line="269"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Government Grants: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2025-10</w:t>
      </w:r>
      <w:r>
        <w:rPr>
          <w:rFonts w:ascii="Arial" w:cs="Arial" w:eastAsia="Arial" w:hAnsi="Arial"/>
          <w:sz w:val="19"/>
          <w:szCs w:val="19"/>
          <w:b w:val="1"/>
          <w:bCs w:val="1"/>
          <w:color w:val="000000"/>
        </w:rPr>
        <w:t>,</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Accounting for Government Grants Received by Business Entities.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This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update is effective for our fiscal year beginning after December 15, 2028, as well as interim periods within that period. Early adoption is permitted.</w:t>
      </w:r>
    </w:p>
    <w:p>
      <w:pPr>
        <w:spacing w:after="0" w:line="2" w:lineRule="exact"/>
        <w:rPr>
          <w:rFonts w:ascii="Arial" w:cs="Arial" w:eastAsia="Arial" w:hAnsi="Arial"/>
          <w:sz w:val="19"/>
          <w:szCs w:val="19"/>
          <w:b w:val="1"/>
          <w:bCs w:val="1"/>
          <w:i w:val="1"/>
          <w:iCs w:val="1"/>
          <w:color w:val="DA2031"/>
        </w:rPr>
      </w:pPr>
    </w:p>
    <w:p>
      <w:pPr>
        <w:jc w:val="both"/>
        <w:ind w:left="360" w:hanging="356"/>
        <w:spacing w:after="0" w:line="264"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Derivatives and Hedging and Revenue from Contracts with Customers: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2025-07</w:t>
      </w:r>
      <w:r>
        <w:rPr>
          <w:rFonts w:ascii="Arial" w:cs="Arial" w:eastAsia="Arial" w:hAnsi="Arial"/>
          <w:sz w:val="19"/>
          <w:szCs w:val="19"/>
          <w:b w:val="1"/>
          <w:bCs w:val="1"/>
          <w:i w:val="1"/>
          <w:iCs w:val="1"/>
          <w:color w:val="000000"/>
        </w:rPr>
        <w:t>, Derivatives and</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 xml:space="preserve">Hedging (Topic 815) and Revenue from Contracts with Customers (Topic 606) - Derivative Scope Refinements and Scope Clarifications for Share-Based Consideration from a Customer in a Revenue Contract. </w:t>
      </w:r>
      <w:r>
        <w:rPr>
          <w:rFonts w:ascii="Arial" w:cs="Arial" w:eastAsia="Arial" w:hAnsi="Arial"/>
          <w:sz w:val="19"/>
          <w:szCs w:val="19"/>
          <w:b w:val="1"/>
          <w:bCs w:val="1"/>
          <w:color w:val="000000"/>
        </w:rPr>
        <w:t>This update is</w:t>
      </w:r>
      <w:r>
        <w:rPr>
          <w:rFonts w:ascii="Arial" w:cs="Arial" w:eastAsia="Arial" w:hAnsi="Arial"/>
          <w:sz w:val="19"/>
          <w:szCs w:val="19"/>
          <w:b w:val="1"/>
          <w:bCs w:val="1"/>
          <w:i w:val="1"/>
          <w:iCs w:val="1"/>
          <w:color w:val="000000"/>
        </w:rPr>
        <w:t xml:space="preserve"> </w:t>
      </w:r>
      <w:r>
        <w:rPr>
          <w:rFonts w:ascii="Arial" w:cs="Arial" w:eastAsia="Arial" w:hAnsi="Arial"/>
          <w:sz w:val="19"/>
          <w:szCs w:val="19"/>
          <w:b w:val="1"/>
          <w:bCs w:val="1"/>
          <w:color w:val="000000"/>
        </w:rPr>
        <w:t>effective for the annual period beginning after December 15, 2026, as well as interim periods within that period. Early adoption is permitted.</w:t>
      </w:r>
    </w:p>
    <w:p>
      <w:pPr>
        <w:spacing w:after="0" w:line="1" w:lineRule="exact"/>
        <w:rPr>
          <w:rFonts w:ascii="Arial" w:cs="Arial" w:eastAsia="Arial" w:hAnsi="Arial"/>
          <w:sz w:val="19"/>
          <w:szCs w:val="19"/>
          <w:b w:val="1"/>
          <w:bCs w:val="1"/>
          <w:i w:val="1"/>
          <w:iCs w:val="1"/>
          <w:color w:val="DA2031"/>
        </w:rPr>
      </w:pPr>
    </w:p>
    <w:p>
      <w:pPr>
        <w:jc w:val="both"/>
        <w:ind w:left="360" w:hanging="356"/>
        <w:spacing w:after="0" w:line="266"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Compensation — Stock Compensation and Revenue from Contracts with Customers: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2025-04</w:t>
      </w:r>
      <w:r>
        <w:rPr>
          <w:rFonts w:ascii="Arial" w:cs="Arial" w:eastAsia="Arial" w:hAnsi="Arial"/>
          <w:sz w:val="19"/>
          <w:szCs w:val="19"/>
          <w:b w:val="1"/>
          <w:bCs w:val="1"/>
          <w:i w:val="1"/>
          <w:iCs w:val="1"/>
          <w:color w:val="000000"/>
        </w:rPr>
        <w:t>,</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 xml:space="preserve">Compensation (Topic 718) and Revenue (Topic 606) - Amendments to SEC Paragraphs Pursuant to Clarifications to Share-Based Consideration Payable to a Customer. </w:t>
      </w:r>
      <w:r>
        <w:rPr>
          <w:rFonts w:ascii="Arial" w:cs="Arial" w:eastAsia="Arial" w:hAnsi="Arial"/>
          <w:sz w:val="19"/>
          <w:szCs w:val="19"/>
          <w:b w:val="1"/>
          <w:bCs w:val="1"/>
          <w:color w:val="000000"/>
        </w:rPr>
        <w:t>This update is effective for the annual</w:t>
      </w:r>
      <w:r>
        <w:rPr>
          <w:rFonts w:ascii="Arial" w:cs="Arial" w:eastAsia="Arial" w:hAnsi="Arial"/>
          <w:sz w:val="19"/>
          <w:szCs w:val="19"/>
          <w:b w:val="1"/>
          <w:bCs w:val="1"/>
          <w:i w:val="1"/>
          <w:iCs w:val="1"/>
          <w:color w:val="000000"/>
        </w:rPr>
        <w:t xml:space="preserve"> </w:t>
      </w:r>
      <w:r>
        <w:rPr>
          <w:rFonts w:ascii="Arial" w:cs="Arial" w:eastAsia="Arial" w:hAnsi="Arial"/>
          <w:sz w:val="19"/>
          <w:szCs w:val="19"/>
          <w:b w:val="1"/>
          <w:bCs w:val="1"/>
          <w:color w:val="000000"/>
        </w:rPr>
        <w:t>period beginning after December 15, 2026, as well as interim periods within that period.</w:t>
      </w:r>
    </w:p>
    <w:p>
      <w:pPr>
        <w:spacing w:after="0" w:line="1" w:lineRule="exact"/>
        <w:rPr>
          <w:rFonts w:ascii="Arial" w:cs="Arial" w:eastAsia="Arial" w:hAnsi="Arial"/>
          <w:sz w:val="19"/>
          <w:szCs w:val="19"/>
          <w:b w:val="1"/>
          <w:bCs w:val="1"/>
          <w:i w:val="1"/>
          <w:iCs w:val="1"/>
          <w:color w:val="DA2031"/>
        </w:rPr>
      </w:pPr>
    </w:p>
    <w:p>
      <w:pPr>
        <w:jc w:val="both"/>
        <w:ind w:left="360" w:hanging="356"/>
        <w:spacing w:after="0" w:line="266"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Business Combinations and Consolidation:</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2025-03</w:t>
      </w:r>
      <w:r>
        <w:rPr>
          <w:rFonts w:ascii="Arial" w:cs="Arial" w:eastAsia="Arial" w:hAnsi="Arial"/>
          <w:sz w:val="19"/>
          <w:szCs w:val="19"/>
          <w:b w:val="1"/>
          <w:bCs w:val="1"/>
          <w:i w:val="1"/>
          <w:iCs w:val="1"/>
          <w:color w:val="000000"/>
        </w:rPr>
        <w:t>, Business Combinations (Topic 805) and</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 xml:space="preserve">Consolidation (Topic 810) - Amendments to SEC Paragraphs Pursuant to Determining the Accounting Acquirer in the Acquisition of a Variable Interest Entity. </w:t>
      </w:r>
      <w:r>
        <w:rPr>
          <w:rFonts w:ascii="Arial" w:cs="Arial" w:eastAsia="Arial" w:hAnsi="Arial"/>
          <w:sz w:val="19"/>
          <w:szCs w:val="19"/>
          <w:b w:val="1"/>
          <w:bCs w:val="1"/>
          <w:color w:val="000000"/>
        </w:rPr>
        <w:t>This update is effective for the annual period beginning after</w:t>
      </w:r>
      <w:r>
        <w:rPr>
          <w:rFonts w:ascii="Arial" w:cs="Arial" w:eastAsia="Arial" w:hAnsi="Arial"/>
          <w:sz w:val="19"/>
          <w:szCs w:val="19"/>
          <w:b w:val="1"/>
          <w:bCs w:val="1"/>
          <w:i w:val="1"/>
          <w:iCs w:val="1"/>
          <w:color w:val="000000"/>
        </w:rPr>
        <w:t xml:space="preserve"> </w:t>
      </w:r>
      <w:r>
        <w:rPr>
          <w:rFonts w:ascii="Arial" w:cs="Arial" w:eastAsia="Arial" w:hAnsi="Arial"/>
          <w:sz w:val="19"/>
          <w:szCs w:val="19"/>
          <w:b w:val="1"/>
          <w:bCs w:val="1"/>
          <w:color w:val="000000"/>
        </w:rPr>
        <w:t>December 15, 2026, as well as interim periods within that period.</w:t>
      </w:r>
    </w:p>
    <w:p>
      <w:pPr>
        <w:spacing w:after="0" w:line="1" w:lineRule="exact"/>
        <w:rPr>
          <w:rFonts w:ascii="Arial" w:cs="Arial" w:eastAsia="Arial" w:hAnsi="Arial"/>
          <w:sz w:val="19"/>
          <w:szCs w:val="19"/>
          <w:b w:val="1"/>
          <w:bCs w:val="1"/>
          <w:i w:val="1"/>
          <w:iCs w:val="1"/>
          <w:color w:val="DA2031"/>
        </w:rPr>
      </w:pPr>
    </w:p>
    <w:p>
      <w:pPr>
        <w:ind w:left="360" w:hanging="356"/>
        <w:spacing w:after="0" w:line="292" w:lineRule="auto"/>
        <w:tabs>
          <w:tab w:leader="none" w:pos="360" w:val="left"/>
        </w:tabs>
        <w:numPr>
          <w:ilvl w:val="0"/>
          <w:numId w:val="92"/>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Codification Improvements: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2024-02</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i w:val="1"/>
          <w:iCs w:val="1"/>
          <w:color w:val="000000"/>
        </w:rPr>
        <w:t>Codification Improvements - Amendments to Remove References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i w:val="1"/>
          <w:iCs w:val="1"/>
          <w:color w:val="000000"/>
        </w:rPr>
        <w:t xml:space="preserve">to the Concepts Statements. </w:t>
      </w:r>
      <w:r>
        <w:rPr>
          <w:rFonts w:ascii="Arial" w:cs="Arial" w:eastAsia="Arial" w:hAnsi="Arial"/>
          <w:sz w:val="18"/>
          <w:szCs w:val="18"/>
          <w:b w:val="1"/>
          <w:bCs w:val="1"/>
          <w:color w:val="000000"/>
        </w:rPr>
        <w:t>This update is effective for our fiscal year beginning after December 15, 2024.</w:t>
      </w:r>
    </w:p>
    <w:p>
      <w:pPr>
        <w:ind w:left="360" w:hanging="356"/>
        <w:spacing w:after="0" w:line="299" w:lineRule="auto"/>
        <w:tabs>
          <w:tab w:leader="none" w:pos="360" w:val="left"/>
        </w:tabs>
        <w:numPr>
          <w:ilvl w:val="0"/>
          <w:numId w:val="92"/>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Compensation - Stock Compensation:</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2024-01</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i w:val="1"/>
          <w:iCs w:val="1"/>
          <w:color w:val="000000"/>
        </w:rPr>
        <w:t>Compensation - Stock Compensation (Topic 718) -</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i w:val="1"/>
          <w:iCs w:val="1"/>
          <w:color w:val="000000"/>
        </w:rPr>
        <w:t xml:space="preserve">Scope Applications of Profits Interest and Similar Awards. </w:t>
      </w:r>
      <w:r>
        <w:rPr>
          <w:rFonts w:ascii="Arial" w:cs="Arial" w:eastAsia="Arial" w:hAnsi="Arial"/>
          <w:sz w:val="18"/>
          <w:szCs w:val="18"/>
          <w:b w:val="1"/>
          <w:bCs w:val="1"/>
          <w:color w:val="000000"/>
        </w:rPr>
        <w:t>This update is effective for the annual period</w:t>
      </w:r>
      <w:r>
        <w:rPr>
          <w:rFonts w:ascii="Arial" w:cs="Arial" w:eastAsia="Arial" w:hAnsi="Arial"/>
          <w:sz w:val="18"/>
          <w:szCs w:val="18"/>
          <w:b w:val="1"/>
          <w:bCs w:val="1"/>
          <w:i w:val="1"/>
          <w:iCs w:val="1"/>
          <w:color w:val="000000"/>
        </w:rPr>
        <w:t xml:space="preserve"> </w:t>
      </w:r>
      <w:r>
        <w:rPr>
          <w:rFonts w:ascii="Arial" w:cs="Arial" w:eastAsia="Arial" w:hAnsi="Arial"/>
          <w:sz w:val="18"/>
          <w:szCs w:val="18"/>
          <w:b w:val="1"/>
          <w:bCs w:val="1"/>
          <w:color w:val="000000"/>
        </w:rPr>
        <w:t>beginning after December 15, 2024, as well as interim periods within that period, with early adoption permitted.</w:t>
      </w:r>
    </w:p>
    <w:p>
      <w:pPr>
        <w:spacing w:after="0" w:line="2" w:lineRule="exact"/>
        <w:rPr>
          <w:rFonts w:ascii="Arial" w:cs="Arial" w:eastAsia="Arial" w:hAnsi="Arial"/>
          <w:sz w:val="18"/>
          <w:szCs w:val="18"/>
          <w:b w:val="1"/>
          <w:bCs w:val="1"/>
          <w:i w:val="1"/>
          <w:iCs w:val="1"/>
          <w:color w:val="DA2031"/>
        </w:rPr>
      </w:pPr>
    </w:p>
    <w:p>
      <w:pPr>
        <w:jc w:val="both"/>
        <w:ind w:left="360" w:hanging="356"/>
        <w:spacing w:after="0" w:line="269"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Disclosure Improvements: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2023-06</w:t>
      </w:r>
      <w:r>
        <w:rPr>
          <w:rFonts w:ascii="Arial" w:cs="Arial" w:eastAsia="Arial" w:hAnsi="Arial"/>
          <w:sz w:val="19"/>
          <w:szCs w:val="19"/>
          <w:b w:val="1"/>
          <w:bCs w:val="1"/>
          <w:i w:val="1"/>
          <w:iCs w:val="1"/>
          <w:color w:val="000000"/>
        </w:rPr>
        <w:t>, Codification Amendments in Response to the SEC’s Disclosure</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 xml:space="preserve">Update and Simplification Initiative. </w:t>
      </w:r>
      <w:r>
        <w:rPr>
          <w:rFonts w:ascii="Arial" w:cs="Arial" w:eastAsia="Arial" w:hAnsi="Arial"/>
          <w:sz w:val="19"/>
          <w:szCs w:val="19"/>
          <w:b w:val="1"/>
          <w:bCs w:val="1"/>
          <w:color w:val="000000"/>
        </w:rPr>
        <w:t>Since the Company is already subject to SEC disclosure requirements, this</w:t>
      </w:r>
      <w:r>
        <w:rPr>
          <w:rFonts w:ascii="Arial" w:cs="Arial" w:eastAsia="Arial" w:hAnsi="Arial"/>
          <w:sz w:val="19"/>
          <w:szCs w:val="19"/>
          <w:b w:val="1"/>
          <w:bCs w:val="1"/>
          <w:i w:val="1"/>
          <w:iCs w:val="1"/>
          <w:color w:val="000000"/>
        </w:rPr>
        <w:t xml:space="preserve"> </w:t>
      </w:r>
      <w:r>
        <w:rPr>
          <w:rFonts w:ascii="Arial" w:cs="Arial" w:eastAsia="Arial" w:hAnsi="Arial"/>
          <w:sz w:val="19"/>
          <w:szCs w:val="19"/>
          <w:b w:val="1"/>
          <w:bCs w:val="1"/>
          <w:color w:val="000000"/>
        </w:rPr>
        <w:t>update was effective upon issuance.</w:t>
      </w:r>
    </w:p>
    <w:p>
      <w:pPr>
        <w:spacing w:after="0" w:line="2" w:lineRule="exact"/>
        <w:rPr>
          <w:rFonts w:ascii="Arial" w:cs="Arial" w:eastAsia="Arial" w:hAnsi="Arial"/>
          <w:sz w:val="19"/>
          <w:szCs w:val="19"/>
          <w:b w:val="1"/>
          <w:bCs w:val="1"/>
          <w:i w:val="1"/>
          <w:iCs w:val="1"/>
          <w:color w:val="DA2031"/>
        </w:rPr>
      </w:pPr>
    </w:p>
    <w:p>
      <w:pPr>
        <w:ind w:left="360" w:hanging="356"/>
        <w:spacing w:after="0" w:line="292" w:lineRule="auto"/>
        <w:tabs>
          <w:tab w:leader="none" w:pos="360" w:val="left"/>
        </w:tabs>
        <w:numPr>
          <w:ilvl w:val="0"/>
          <w:numId w:val="92"/>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Business Combinations: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2023-05</w:t>
      </w:r>
      <w:r>
        <w:rPr>
          <w:rFonts w:ascii="Arial" w:cs="Arial" w:eastAsia="Arial" w:hAnsi="Arial"/>
          <w:sz w:val="18"/>
          <w:szCs w:val="18"/>
          <w:b w:val="1"/>
          <w:bCs w:val="1"/>
          <w:i w:val="1"/>
          <w:iCs w:val="1"/>
          <w:color w:val="000000"/>
        </w:rPr>
        <w:t>, Business Combinations - Joint Venture Formation (Topic 805-60):</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i w:val="1"/>
          <w:iCs w:val="1"/>
          <w:color w:val="000000"/>
        </w:rPr>
        <w:t xml:space="preserve">Recognition and Initial Measurement. </w:t>
      </w:r>
      <w:r>
        <w:rPr>
          <w:rFonts w:ascii="Arial" w:cs="Arial" w:eastAsia="Arial" w:hAnsi="Arial"/>
          <w:sz w:val="18"/>
          <w:szCs w:val="18"/>
          <w:b w:val="1"/>
          <w:bCs w:val="1"/>
          <w:color w:val="000000"/>
        </w:rPr>
        <w:t>This update is effective for our fiscal year beginning January 1, 2025.</w:t>
      </w:r>
    </w:p>
    <w:p>
      <w:pPr>
        <w:ind w:left="360" w:hanging="356"/>
        <w:spacing w:after="0" w:line="292" w:lineRule="auto"/>
        <w:tabs>
          <w:tab w:leader="none" w:pos="360" w:val="left"/>
        </w:tabs>
        <w:numPr>
          <w:ilvl w:val="0"/>
          <w:numId w:val="92"/>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Liabilities: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2023-04</w:t>
      </w:r>
      <w:r>
        <w:rPr>
          <w:rFonts w:ascii="Arial" w:cs="Arial" w:eastAsia="Arial" w:hAnsi="Arial"/>
          <w:sz w:val="18"/>
          <w:szCs w:val="18"/>
          <w:b w:val="1"/>
          <w:bCs w:val="1"/>
          <w:i w:val="1"/>
          <w:iCs w:val="1"/>
          <w:color w:val="000000"/>
        </w:rPr>
        <w:t>, Liabilities (Topic 405): Amendments to SEC Paragraphs Pursuant to SEC Staff</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i w:val="1"/>
          <w:iCs w:val="1"/>
          <w:color w:val="000000"/>
        </w:rPr>
        <w:t xml:space="preserve">Accounting Bulletin No. 121. </w:t>
      </w:r>
      <w:r>
        <w:rPr>
          <w:rFonts w:ascii="Arial" w:cs="Arial" w:eastAsia="Arial" w:hAnsi="Arial"/>
          <w:sz w:val="18"/>
          <w:szCs w:val="18"/>
          <w:b w:val="1"/>
          <w:bCs w:val="1"/>
          <w:color w:val="000000"/>
        </w:rPr>
        <w:t>The Company adopted this conforming guidance upon issuance in August 2023.</w:t>
      </w:r>
    </w:p>
    <w:p>
      <w:pPr>
        <w:jc w:val="both"/>
        <w:ind w:left="360" w:hanging="356"/>
        <w:spacing w:after="0" w:line="269"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Investments: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2023-02</w:t>
      </w:r>
      <w:r>
        <w:rPr>
          <w:rFonts w:ascii="Arial" w:cs="Arial" w:eastAsia="Arial" w:hAnsi="Arial"/>
          <w:sz w:val="19"/>
          <w:szCs w:val="19"/>
          <w:b w:val="1"/>
          <w:bCs w:val="1"/>
          <w:i w:val="1"/>
          <w:iCs w:val="1"/>
          <w:color w:val="000000"/>
        </w:rPr>
        <w:t>, Investments - Equity Method and Joint Ventures (Topic 323): Accounting for</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i w:val="1"/>
          <w:iCs w:val="1"/>
          <w:color w:val="000000"/>
        </w:rPr>
        <w:t xml:space="preserve">Investments in Tax Credit Structures Using the Proportional Amortization Method (a consensus of the Emerging Issues Task Force). </w:t>
      </w:r>
      <w:r>
        <w:rPr>
          <w:rFonts w:ascii="Arial" w:cs="Arial" w:eastAsia="Arial" w:hAnsi="Arial"/>
          <w:sz w:val="19"/>
          <w:szCs w:val="19"/>
          <w:b w:val="1"/>
          <w:bCs w:val="1"/>
          <w:color w:val="000000"/>
        </w:rPr>
        <w:t>This update is effective for our fiscal year beginning January 1, 2024.</w:t>
      </w:r>
    </w:p>
    <w:p>
      <w:pPr>
        <w:spacing w:after="0" w:line="2" w:lineRule="exact"/>
        <w:rPr>
          <w:rFonts w:ascii="Arial" w:cs="Arial" w:eastAsia="Arial" w:hAnsi="Arial"/>
          <w:sz w:val="19"/>
          <w:szCs w:val="19"/>
          <w:b w:val="1"/>
          <w:bCs w:val="1"/>
          <w:i w:val="1"/>
          <w:iCs w:val="1"/>
          <w:color w:val="DA2031"/>
        </w:rPr>
      </w:pPr>
    </w:p>
    <w:p>
      <w:pPr>
        <w:ind w:left="360" w:hanging="356"/>
        <w:spacing w:after="0" w:line="299" w:lineRule="auto"/>
        <w:tabs>
          <w:tab w:leader="none" w:pos="360" w:val="left"/>
        </w:tabs>
        <w:numPr>
          <w:ilvl w:val="0"/>
          <w:numId w:val="92"/>
        </w:numPr>
        <w:rPr>
          <w:rFonts w:ascii="Arial" w:cs="Arial" w:eastAsia="Arial" w:hAnsi="Arial"/>
          <w:sz w:val="19"/>
          <w:szCs w:val="19"/>
          <w:b w:val="1"/>
          <w:bCs w:val="1"/>
          <w:i w:val="1"/>
          <w:iCs w:val="1"/>
          <w:color w:val="DA2031"/>
        </w:rPr>
      </w:pPr>
      <w:r>
        <w:rPr>
          <w:rFonts w:ascii="Arial" w:cs="Arial" w:eastAsia="Arial" w:hAnsi="Arial"/>
          <w:sz w:val="19"/>
          <w:szCs w:val="19"/>
          <w:b w:val="1"/>
          <w:bCs w:val="1"/>
          <w:i w:val="1"/>
          <w:iCs w:val="1"/>
          <w:u w:val="single" w:color="auto"/>
          <w:color w:val="DA2031"/>
        </w:rPr>
        <w:t>Leases: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u w:val="single" w:color="auto"/>
          <w:color w:val="000000"/>
        </w:rPr>
        <w:t>ASU 2023-01</w:t>
      </w:r>
      <w:r>
        <w:rPr>
          <w:rFonts w:ascii="Arial" w:cs="Arial" w:eastAsia="Arial" w:hAnsi="Arial"/>
          <w:sz w:val="19"/>
          <w:szCs w:val="19"/>
          <w:b w:val="1"/>
          <w:bCs w:val="1"/>
          <w:i w:val="1"/>
          <w:iCs w:val="1"/>
          <w:color w:val="000000"/>
        </w:rPr>
        <w:t>, Leases (Topic 842): Common Control Arrangements.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This update is effective for our</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fiscal year beginning January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93</w:t>
      </w:r>
    </w:p>
    <w:p>
      <w:pPr>
        <w:sectPr>
          <w:pgSz w:w="11880" w:h="15480" w:orient="portrait"/>
          <w:cols w:equalWidth="0" w:num="1">
            <w:col w:w="9960"/>
          </w:cols>
          <w:pgMar w:left="960" w:top="648" w:right="960" w:bottom="0" w:gutter="0" w:footer="0" w:header="0"/>
        </w:sectPr>
      </w:pPr>
    </w:p>
    <w:bookmarkStart w:id="103" w:name="page104"/>
    <w:bookmarkEnd w:id="103"/>
    <w:p>
      <w:pPr>
        <w:spacing w:after="0"/>
        <w:rPr>
          <w:sz w:val="20"/>
          <w:szCs w:val="20"/>
          <w:color w:val="auto"/>
        </w:rPr>
      </w:pPr>
      <w:r>
        <w:rPr>
          <w:rFonts w:ascii="Arial" w:cs="Arial" w:eastAsia="Arial" w:hAnsi="Arial"/>
          <w:sz w:val="21"/>
          <w:szCs w:val="21"/>
          <w:b w:val="1"/>
          <w:bCs w:val="1"/>
          <w:color w:val="DA2031"/>
        </w:rPr>
        <w:t>Summary of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Revenue Recognition</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Certain disclosures within the Company’s revenue recognition policies have been expanded in the current year to reflect the broader mix of customer arrangements following recent business combinations. These updates primarily relate to variations in bundled service arrangements where certain components may be separately contracted or billed. The underlying revenue recognition principles applied by the Company remain unchanged, and prior period disclosures appropriately reflected the structure of arrangements existing at that time.</w:t>
      </w:r>
    </w:p>
    <w:p>
      <w:pPr>
        <w:spacing w:after="0" w:line="3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generate revenue through the sale of Print equipment, IT hardware, software and supplies and from providing maintenance, managed Print, Digital, and IT services. Revenue is measured based on the consideration specified in a contract with a customer and is recognized when we satisfy a performance obligation by transferring control of a product to a customer or in the period the customer benefits from the service. With the exception of our sales-type lease arrangements and service-type warranties, our invoices to the customer, which normally have short-term payment terms, are typically aligned to the transfer of goods or as services are rendered to our customers and therefore in most cases, we recognize revenue based on our right to invoice customers. As a result of the application of this practical expedient, historically, our revenue was not included in the disclosures of unsatisfied performance obligations other than the amounts recorded as contract liabilities. Certain service arrangements do not qualify for the right-to-invoice practical expedient and therefore require disclosure of unsatisfied performance obligations. These obligations primarily relate to multi-year managed services arrangements and extended warranty contracts where revenue is recognized over time. Unsatisfied performance obligations related to MPS contracts and multi-year service-type warranties are disclosed in Note 3 - Revenue.</w:t>
      </w:r>
    </w:p>
    <w:p>
      <w:pPr>
        <w:spacing w:after="0" w:line="5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Significant judgments primarily include the identification of performance obligations in our Document management services arrangements as well as the pattern of delivery for those services.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More specifically, revenue related to our products and services is generally recognized as follows: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DA2031"/>
        </w:rPr>
        <w:t xml:space="preserve">Equipment and Hardware: </w:t>
      </w:r>
      <w:r>
        <w:rPr>
          <w:rFonts w:ascii="Arial" w:cs="Arial" w:eastAsia="Arial" w:hAnsi="Arial"/>
          <w:sz w:val="18"/>
          <w:szCs w:val="18"/>
          <w:b w:val="1"/>
          <w:bCs w:val="1"/>
          <w:color w:val="000000"/>
        </w:rPr>
        <w:t>Revenues from the sale of equipment and IT hardware directly to end-user customers,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including those from sales-type leases (see below), are recognized when obligations under the terms of a contract with our customer are satisfied and control has been transferred to the customer. For equipment placements that require us to install the product at the customer location, revenue is normally recognized when the equipment has been delivered and installed at the customer location. Sales of customer installable products and hardware are recognized upon shipment or receipt by the customer according to the customer's shipping terms. Revenue from the equipment performance obligation also includes certain analyst training services performed in connection with the installation or delivery of the equipment. When training is essential to the functionality of the related equipment the equipment revenue is recorded when the obligation is satisfied.</w:t>
      </w:r>
    </w:p>
    <w:p>
      <w:pPr>
        <w:spacing w:after="0" w:line="4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DA2031"/>
        </w:rPr>
        <w:t xml:space="preserve">Maintenance services: </w:t>
      </w:r>
      <w:r>
        <w:rPr>
          <w:rFonts w:ascii="Arial" w:cs="Arial" w:eastAsia="Arial" w:hAnsi="Arial"/>
          <w:sz w:val="18"/>
          <w:szCs w:val="18"/>
          <w:b w:val="1"/>
          <w:bCs w:val="1"/>
          <w:color w:val="000000"/>
        </w:rPr>
        <w:t>We provide maintenance agreements on our equipment that include service and supplies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for which the customer may pay a base minimum plus a price-per-page charge for usage. In arrangements that include minimums, those minimums are normally set below the customer’s estimated page volumes and are not considered substantive. These agreements are normally sold as part of a bundled lease arrangement, either sales-type or operating lease or through distributors and resellers. In certain managed print services (MPS) arrangements, some components such as supplies may be separately contracted and billed, while the remaining components are billed through a negotiated fixed monthly payment. Revenue allocations between the various deliverables in these MPS contracts are based upon standalone sales prices (SSP). When appropriate, we account for these maintenance agreements as a single performance obligation for maintenance services being delivered in a series with delivery being measured by usage as billed to the customer. Accordingly, revenue on these types of agreements is normally recognized as billed to the customer over the term of the agreements based on page volumes. Maintenance and support associated with our IT Solutions are recorded as our performance obligations are satisfied, or the fixed monthly payment. A substantial portion of our products are sold with full-service maintenance agreements. Accordingly, other than the product warranty obligations associated with certain of our entry level products, we do not have any significant assurance-type warranty obligations, including any obligations under customer satisfaction programs. Historically, service type warranties have not been significant for the Company. Service type warranties, typically extended warranty agreements, provide customer protection beyond the latent defects existing at the time of the equipment sale. Most service-type warranties involve fixed consideration and are often paid up front resulting in a contract liability, with revenue recognized on a straight-line basis over the service period, which is typically one to four years.</w:t>
      </w:r>
    </w:p>
    <w:p>
      <w:pPr>
        <w:spacing w:after="0" w:line="4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DA2031"/>
        </w:rPr>
        <w:t xml:space="preserve">Service offerings: </w:t>
      </w:r>
      <w:r>
        <w:rPr>
          <w:rFonts w:ascii="Arial" w:cs="Arial" w:eastAsia="Arial" w:hAnsi="Arial"/>
          <w:sz w:val="18"/>
          <w:szCs w:val="18"/>
          <w:b w:val="1"/>
          <w:bCs w:val="1"/>
          <w:color w:val="000000"/>
        </w:rPr>
        <w:t>The Company’s primary service offerings include Managed Print Services, Digital Services and</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IT Solutions. In our services arrangements, the Company typically satisfies the performance obligations and recognizes revenue over time as the services are rendered. We generally account for these service arrangements</w:t>
      </w:r>
    </w:p>
    <w:p>
      <w:pPr>
        <w:spacing w:after="0" w:line="200" w:lineRule="exact"/>
        <w:rPr>
          <w:sz w:val="20"/>
          <w:szCs w:val="20"/>
          <w:color w:val="auto"/>
        </w:rPr>
      </w:pPr>
    </w:p>
    <w:p>
      <w:pPr>
        <w:spacing w:after="0" w:line="23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94</w:t>
      </w:r>
    </w:p>
    <w:p>
      <w:pPr>
        <w:sectPr>
          <w:pgSz w:w="11880" w:h="15480" w:orient="portrait"/>
          <w:cols w:equalWidth="0" w:num="1">
            <w:col w:w="9960"/>
          </w:cols>
          <w:pgMar w:left="960" w:top="642" w:right="960" w:bottom="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9"/>
          <w:szCs w:val="19"/>
          <w:b w:val="1"/>
          <w:bCs w:val="1"/>
          <w:color w:val="auto"/>
        </w:rPr>
        <w:t>as single performance obligations since they primarily involve the delivery of an integrated service to the customer with services being delivered in a series. Delivery is measured on an output basis such as usage or on a fixed monthly amount and is normally consistent with the billing or invoicing to the customer. Revenues on unit-price or time-based contracts are recognized as services are performed.</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DA2031"/>
        </w:rPr>
        <w:t xml:space="preserve">Sales to distributors and resellers: </w:t>
      </w:r>
      <w:r>
        <w:rPr>
          <w:rFonts w:ascii="Arial" w:cs="Arial" w:eastAsia="Arial" w:hAnsi="Arial"/>
          <w:sz w:val="19"/>
          <w:szCs w:val="19"/>
          <w:b w:val="1"/>
          <w:bCs w:val="1"/>
          <w:color w:val="000000"/>
        </w:rPr>
        <w:t>We utilize distributors and resellers to sell our equipment, supplies, parts, and</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maintenance services to end-user customers. We refer to our distributor and reseller network as our two-tier distribution model. Revenues on sales to distributors and resellers are generally recognized when products are shipped to such distributors and resellers. However, revenue is only recognized when the distributor or reseller has economic substance apart from the Company such that collectability is probable and we have no further obligations related to bringing about the resale, delivery or installation of the product that would impact transfer of control. Revenues associated with maintenance agreements sold through distributors and resellers to end-user customers are recognized in a consistent manner for maintenance services. Revenue that may be subject to a reversal of revenue due to contractual terms or uncertainties is not recorded as revenue until the contractual provisions lapse or the uncertainties are resolved.</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Distributors and resellers participate in various rebate, price-protection, cooperative marketing and other programs. We estimate the variable consideration associated with these programs and record those amounts as a reduction to revenue when sales occur. Similarly, we account for our estimates of sales returns and other allowances when sales occur based on our historical experience.</w:t>
      </w:r>
    </w:p>
    <w:p>
      <w:pPr>
        <w:spacing w:after="0" w:line="49"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In certain instances, we may provide lease financing to end-user customers who purchased equipment that we sold to distributors or resellers. We are not obligated to provide financing and we compete with other third-party leasing companies with respect to the lease financing provided to these end-user customers. These financing arrangements are separate from the original equipment sale, and revenue on the sale to the distributor or reseller is recognized when control transfers and is not affected by any subsequent financing provided to the end-user customer.</w:t>
      </w:r>
    </w:p>
    <w:p>
      <w:pPr>
        <w:spacing w:after="0" w:line="2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DA2031"/>
        </w:rPr>
        <w:t xml:space="preserve">Software: </w:t>
      </w:r>
      <w:r>
        <w:rPr>
          <w:rFonts w:ascii="Arial" w:cs="Arial" w:eastAsia="Arial" w:hAnsi="Arial"/>
          <w:sz w:val="18"/>
          <w:szCs w:val="18"/>
          <w:b w:val="1"/>
          <w:bCs w:val="1"/>
          <w:color w:val="000000"/>
        </w:rPr>
        <w:t>Most of our equipment within our Print and Other segment has both software and non-software</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components that function together to deliver the equipment's essential functionality and are therefore accounted for together as part of Equipment sales revenues. Software accessories sold in connection with our Equipment sales, as well as free-standing software sales, are accounted for as separate performance obligations if determined to be material in relation to the overall arrangement, which are recognized as our obligations are fulfilled.</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Software related revenue within our IT Solutions segment is recognized on a gross basis when we control the software prior to transfer to the customer and act as principal in the arrangement. In certain arrangements, including SaaS, cloud, security software, and software support provided directly by third-party suppliers, we do not control the software or service before it is transferred or provided to the customer and therefore act as an agent. In such arrangements, revenue is recognized on a net basis.</w:t>
      </w:r>
    </w:p>
    <w:p>
      <w:pPr>
        <w:spacing w:after="0" w:line="49" w:lineRule="exact"/>
        <w:rPr>
          <w:sz w:val="20"/>
          <w:szCs w:val="20"/>
          <w:color w:val="auto"/>
        </w:rPr>
      </w:pPr>
    </w:p>
    <w:p>
      <w:pPr>
        <w:jc w:val="both"/>
        <w:spacing w:after="0" w:line="299" w:lineRule="auto"/>
        <w:rPr>
          <w:sz w:val="20"/>
          <w:szCs w:val="20"/>
          <w:color w:val="auto"/>
        </w:rPr>
      </w:pPr>
      <w:r>
        <w:rPr>
          <w:rFonts w:ascii="Arial" w:cs="Arial" w:eastAsia="Arial" w:hAnsi="Arial"/>
          <w:sz w:val="19"/>
          <w:szCs w:val="19"/>
          <w:b w:val="1"/>
          <w:bCs w:val="1"/>
          <w:color w:val="DA2031"/>
        </w:rPr>
        <w:t xml:space="preserve">Supplies: </w:t>
      </w:r>
      <w:r>
        <w:rPr>
          <w:rFonts w:ascii="Arial" w:cs="Arial" w:eastAsia="Arial" w:hAnsi="Arial"/>
          <w:sz w:val="19"/>
          <w:szCs w:val="19"/>
          <w:b w:val="1"/>
          <w:bCs w:val="1"/>
          <w:color w:val="000000"/>
        </w:rPr>
        <w:t>Supplies revenue is recognized upon transfer of control to the customer, generally upon utilization or</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shipment to the customer in accordance with the sales contract terms.</w:t>
      </w:r>
    </w:p>
    <w:p>
      <w:pPr>
        <w:spacing w:after="0" w:line="18" w:lineRule="exact"/>
        <w:rPr>
          <w:sz w:val="20"/>
          <w:szCs w:val="20"/>
          <w:color w:val="auto"/>
        </w:rPr>
      </w:pPr>
    </w:p>
    <w:p>
      <w:pPr>
        <w:jc w:val="both"/>
        <w:spacing w:after="0" w:line="299" w:lineRule="auto"/>
        <w:rPr>
          <w:sz w:val="20"/>
          <w:szCs w:val="20"/>
          <w:color w:val="auto"/>
        </w:rPr>
      </w:pPr>
      <w:r>
        <w:rPr>
          <w:rFonts w:ascii="Arial" w:cs="Arial" w:eastAsia="Arial" w:hAnsi="Arial"/>
          <w:sz w:val="19"/>
          <w:szCs w:val="19"/>
          <w:b w:val="1"/>
          <w:bCs w:val="1"/>
          <w:color w:val="DA2031"/>
        </w:rPr>
        <w:t xml:space="preserve">Financing: </w:t>
      </w:r>
      <w:r>
        <w:rPr>
          <w:rFonts w:ascii="Arial" w:cs="Arial" w:eastAsia="Arial" w:hAnsi="Arial"/>
          <w:sz w:val="19"/>
          <w:szCs w:val="19"/>
          <w:b w:val="1"/>
          <w:bCs w:val="1"/>
          <w:color w:val="000000"/>
        </w:rPr>
        <w:t>Finance income attributable to sales-type leases, direct financing leases and installment loans is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recognized on the accrual basis using the effective interest method.</w:t>
      </w:r>
    </w:p>
    <w:p>
      <w:pPr>
        <w:spacing w:after="0" w:line="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DA2031"/>
        </w:rPr>
        <w:t xml:space="preserve">Bundled Lease Arrangements: </w:t>
      </w:r>
      <w:r>
        <w:rPr>
          <w:rFonts w:ascii="Arial" w:cs="Arial" w:eastAsia="Arial" w:hAnsi="Arial"/>
          <w:sz w:val="18"/>
          <w:szCs w:val="18"/>
          <w:b w:val="1"/>
          <w:bCs w:val="1"/>
          <w:color w:val="000000"/>
        </w:rPr>
        <w:t>A portion of our direct sales of equipment to end-user customers are made through</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bundled lease arrangements which typically include equipment, services (maintenance and managed services) and financing components, where the customer pays a single negotiated fixed minimum monthly payment for all elements over the contractual lease term. These arrangements also typically include an incremental, variable component for page volumes in excess of the contractual page volume minimums, which are often expressed in terms of price-per-image or page. In certain arrangements, some components such as supplies may be separately contracted and billed, while the remaining components are billed through a negotiated fixed monthly payment. Consistent with the guidance in ASC 842 and ASC 606, the transaction price is allocated between the lease and non-lease deliverables based on SSP. In certain managed print services (MPS) arrangements, some components such as supplies may be separately contracted and billed, while the remaining components are billed at a negotiated fixed monthly payment. Revenue allocations between the various deliverables in these contracts are based upon SSP. Lease deliverables include the equipment and financing, while the non-lease deliverables generally consist of supplies and services. With respect to the allocation of fixed and variable consideration, we only consider the fixed payments for purposes of allocation to the lease elements of the contract.</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The revenue associated with the lease element is typically recognized at a point-in-time upon transfer of control as a sales-type lease, unless the lease is accounted for as an operating lease, which will normally result in recognition over the term of the lease. The revenue associated with the non-lease elements are normally accounted for as a single performance obligation being delivered in a series, with delivery being measured as the usage is billed to the</w:t>
      </w:r>
    </w:p>
    <w:p>
      <w:pPr>
        <w:spacing w:after="0" w:line="200" w:lineRule="exact"/>
        <w:rPr>
          <w:sz w:val="20"/>
          <w:szCs w:val="20"/>
          <w:color w:val="auto"/>
        </w:rPr>
      </w:pPr>
    </w:p>
    <w:p>
      <w:pPr>
        <w:spacing w:after="0" w:line="210"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95</w:t>
      </w:r>
    </w:p>
    <w:p>
      <w:pPr>
        <w:sectPr>
          <w:pgSz w:w="11880" w:h="15480" w:orient="portrait"/>
          <w:cols w:equalWidth="0" w:num="1">
            <w:col w:w="9960"/>
          </w:cols>
          <w:pgMar w:left="960" w:top="649" w:right="960" w:bottom="0" w:gutter="0" w:footer="0" w:header="0"/>
        </w:sectPr>
      </w:pPr>
    </w:p>
    <w:bookmarkStart w:id="105" w:name="page106"/>
    <w:bookmarkEnd w:id="105"/>
    <w:p>
      <w:pPr>
        <w:jc w:val="both"/>
        <w:spacing w:after="0" w:line="298" w:lineRule="auto"/>
        <w:rPr>
          <w:sz w:val="20"/>
          <w:szCs w:val="20"/>
          <w:color w:val="auto"/>
        </w:rPr>
      </w:pPr>
      <w:r>
        <w:rPr>
          <w:rFonts w:ascii="Arial" w:cs="Arial" w:eastAsia="Arial" w:hAnsi="Arial"/>
          <w:sz w:val="19"/>
          <w:szCs w:val="19"/>
          <w:b w:val="1"/>
          <w:bCs w:val="1"/>
          <w:color w:val="auto"/>
        </w:rPr>
        <w:t>customer. Accordingly, revenue from these agreements is recognized in a manner consistent with the guidance for Maintenance or Managed Print services agreements.</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We establish SSP using observable inputs from standalone sales of products and services as well as observable market information, including pricing for similar transactions. Based on historical sales practices and policies together with a periodic analysis, we have determined that there is not a material difference between standalone selling price and recorded sales price.</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DA2031"/>
        </w:rPr>
        <w:t xml:space="preserve">Leases: </w:t>
      </w:r>
      <w:r>
        <w:rPr>
          <w:rFonts w:ascii="Arial" w:cs="Arial" w:eastAsia="Arial" w:hAnsi="Arial"/>
          <w:sz w:val="19"/>
          <w:szCs w:val="19"/>
          <w:b w:val="1"/>
          <w:bCs w:val="1"/>
          <w:color w:val="000000"/>
        </w:rPr>
        <w:t>The two primary accounting provisions we use to classify transactions as sales-type or operating leases</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are: (i) a review of the lease term to determine if it is for the major part of the economic life of the underlying equipment (defined as greater than 75%); and (ii) a review of the present value of the lease payments to determine if they are equal to or greater than substantially all of the fair market value of the equipment at the inception of the lease (defined as greater than 90%). Equipment placements included in arrangements meeting these conditions are accounted for as sales-type leases and revenue is recognized in a manner consistent with Equipment sales. Equipment placements included in arrangements that do not meet these conditions are accounted for as operating leases and revenue is recognized over the term of the lease.</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consider the economic life of most of our products to be five years, since this represents the most frequent contractual lease term for our principal products and only a small percentage of our leases are for original terms longer than five years. There is no significant after-market for our used equipment. We believe five years is representative of the period during which the equipment is expected to be economically usable, with normal service, for the purpose for which it is intended.</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Our lease pricing interest rates, which are used in determining customer payments in a bundled lease arrangement, are developed based upon a variety of factors including local prevailing rates in the marketplace, cost of funds and the customer’s credit history, industry and credit class. We reassess our pricing interest rates quarterly based on changes in the local prevailing rates in the marketplace. The pricing interest rates generally equal the implicit rates within the leases, as corroborated by our comparisons of cash to lease selling prices and other analyses as noted above.</w:t>
      </w:r>
    </w:p>
    <w:p>
      <w:pPr>
        <w:spacing w:after="0" w:line="5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DA2031"/>
        </w:rPr>
        <w:t xml:space="preserve">Additional Lease Payments: </w:t>
      </w:r>
      <w:r>
        <w:rPr>
          <w:rFonts w:ascii="Arial" w:cs="Arial" w:eastAsia="Arial" w:hAnsi="Arial"/>
          <w:sz w:val="18"/>
          <w:szCs w:val="18"/>
          <w:b w:val="1"/>
          <w:bCs w:val="1"/>
          <w:color w:val="000000"/>
        </w:rPr>
        <w:t>Certain leases may require the customer to pay property taxes and insurance on the</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equipment. In these instances, the amounts for property taxes and insurance that we invoice to customers and pay to third parties are considered variable payments and are recorded as other revenues and other cost of revenues, respectively. Amounts related to property taxes and insurance are not material. We exclude from variable payments all lessor costs that are explicitly required to be paid directly by a lessee on behalf of the lessor to a third party.</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Other Revenue Recognition Policies</w:t>
      </w:r>
    </w:p>
    <w:p>
      <w:pPr>
        <w:spacing w:after="0" w:line="117"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DA2031"/>
        </w:rPr>
        <w:t xml:space="preserve">Revenue-based Taxes: </w:t>
      </w:r>
      <w:r>
        <w:rPr>
          <w:rFonts w:ascii="Arial" w:cs="Arial" w:eastAsia="Arial" w:hAnsi="Arial"/>
          <w:sz w:val="18"/>
          <w:szCs w:val="18"/>
          <w:b w:val="1"/>
          <w:bCs w:val="1"/>
          <w:color w:val="000000"/>
        </w:rPr>
        <w:t>Revenue-based taxes assessed by governmental authorities that are both imposed on and</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concurrent with specific revenue-producing transactions, and that are collected by the Company from a customer, are excluded from revenue. The primary revenue-based taxes are sales tax and value-added tax (VAT).</w:t>
      </w:r>
    </w:p>
    <w:p>
      <w:pPr>
        <w:spacing w:after="0" w:line="22" w:lineRule="exact"/>
        <w:rPr>
          <w:sz w:val="20"/>
          <w:szCs w:val="20"/>
          <w:color w:val="auto"/>
        </w:rPr>
      </w:pPr>
    </w:p>
    <w:p>
      <w:pPr>
        <w:jc w:val="both"/>
        <w:spacing w:after="0" w:line="299" w:lineRule="auto"/>
        <w:rPr>
          <w:sz w:val="20"/>
          <w:szCs w:val="20"/>
          <w:color w:val="auto"/>
        </w:rPr>
      </w:pPr>
      <w:r>
        <w:rPr>
          <w:rFonts w:ascii="Arial" w:cs="Arial" w:eastAsia="Arial" w:hAnsi="Arial"/>
          <w:sz w:val="19"/>
          <w:szCs w:val="19"/>
          <w:b w:val="1"/>
          <w:bCs w:val="1"/>
          <w:color w:val="DA2031"/>
        </w:rPr>
        <w:t xml:space="preserve">Shipping and Handling: </w:t>
      </w:r>
      <w:r>
        <w:rPr>
          <w:rFonts w:ascii="Arial" w:cs="Arial" w:eastAsia="Arial" w:hAnsi="Arial"/>
          <w:sz w:val="19"/>
          <w:szCs w:val="19"/>
          <w:b w:val="1"/>
          <w:bCs w:val="1"/>
          <w:color w:val="000000"/>
        </w:rPr>
        <w:t>Shipping and handling costs are accounted for as a fulfillment cost and are included in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Cost of sales in the Consolidated Statements of (Loss) Income.</w:t>
      </w:r>
    </w:p>
    <w:p>
      <w:pPr>
        <w:spacing w:after="0" w:line="1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3 - Revenue for additional information regarding revenue recognition policies with respect to contract assets and liabilities as well as contract costs.</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Other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Cash and Cash Equivalents</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Cash and cash equivalents consist of cash on hand, including money market funds, and investments with original maturities of three months or less.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Allowance for Doubtful Accounts and Credit Losses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allowance for doubtful accounts and provision for credit losses represents an estimate of the losses expected to be incurred from the Company's trade and finance receivable portfolio. The measurement and recognition of expected credit losses is based on an expected loss model and incorporates an assessment of past collection experience as well as consideration of current and future economic conditions and changes in our customer collection trends.</w:t>
      </w:r>
    </w:p>
    <w:p>
      <w:pPr>
        <w:spacing w:after="0" w:line="5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The allowance for finance receivables is determined on a collective basis by year of origination through the application of projected loss rates to our different portfolios by geography, which represent our portfolio segments. This is the level at which we develop and document our methodology to determine the allowance for credit losses. These projected loss rates are primarily based upon historical experience adjusted for judgments about the probable effects of relevant observable data including current and future economic conditions as well as</w:t>
      </w:r>
    </w:p>
    <w:p>
      <w:pPr>
        <w:spacing w:after="0" w:line="252"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96</w:t>
      </w:r>
    </w:p>
    <w:p>
      <w:pPr>
        <w:sectPr>
          <w:pgSz w:w="11880" w:h="15480" w:orient="portrait"/>
          <w:cols w:equalWidth="0" w:num="1">
            <w:col w:w="9960"/>
          </w:cols>
          <w:pgMar w:left="960" w:top="649" w:right="960" w:bottom="0" w:gutter="0" w:footer="0" w:header="0"/>
        </w:sectPr>
      </w:pPr>
    </w:p>
    <w:bookmarkStart w:id="106" w:name="page107"/>
    <w:bookmarkEnd w:id="106"/>
    <w:p>
      <w:pPr>
        <w:jc w:val="both"/>
        <w:spacing w:after="0" w:line="298" w:lineRule="auto"/>
        <w:rPr>
          <w:sz w:val="20"/>
          <w:szCs w:val="20"/>
          <w:color w:val="auto"/>
        </w:rPr>
      </w:pPr>
      <w:r>
        <w:rPr>
          <w:rFonts w:ascii="Arial" w:cs="Arial" w:eastAsia="Arial" w:hAnsi="Arial"/>
          <w:sz w:val="19"/>
          <w:szCs w:val="19"/>
          <w:b w:val="1"/>
          <w:bCs w:val="1"/>
          <w:color w:val="auto"/>
        </w:rPr>
        <w:t>delinquency trends, resolution rates, the aging of receivables, credit quality indicators and the financial health of specific customer classes or groups.</w:t>
      </w:r>
    </w:p>
    <w:p>
      <w:pPr>
        <w:spacing w:after="0" w:line="2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allowance for finance receivables is inherently more difficult to estimate than the allowance for trade accounts receivable because the underlying lease portfolio has an average maturity, at any time, of approximately two to three years and contains past due billed amounts, as well as unbilled amounts. We consider all available information in our quarterly assessments of the adequacy of the allowance for doubtful accounts. We believe our estimates, including any qualitative adjustments, are reasonable and have considered all reasonably available information about past events, current conditions, and reasonable and supportable forecasts of future events and economic conditions. The identification of account-specific exposure is not a significant factor in establishing the allowance for doubtful finance receivables.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Receivable Sales and Securitization</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Company securitizes certain finance lease receivables by transferring them to Special Purpose Entities (SPEs) that meet the definition of a Variable Interest Entity (VIE) and are consolidated into our financial statements. These SPEs are bankruptcy-remote legal entities with separate assets and liabilities. The purpose of the SPEs is to facilitate the funding of customer loan and lease payments and associated equipment in the capital markets. These securitizations qualify as collateral for secured borrowings and no gains or losses are recognized at the time of securitization. The receivables remain on the balance sheet and are classified as Finance receivables, net. The Company continues to recognize finance income over the lives of these receivables.</w:t>
      </w:r>
    </w:p>
    <w:p>
      <w:pPr>
        <w:spacing w:after="0" w:line="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also transfer certain portions of our finance receivable portfolios to third parties and account for those transfers of financial assets as sales when we have surrendered control over the related assets. Whether control has been relinquished requires, among other things, an evaluation of relevant legal considerations and an assessment of the nature and extent of the Company’s continuing involvement with the assets transferred. Gains and losses stemming from transfers reported as sales are normally included in revenue in the accompanying Statements of (Loss) Income. Gains or losses on the sale of finance receivables depend, in part, on both (a) the cash proceeds and (b) the net non-cash proceeds received or paid. Assets obtained and liabilities incurred in connection with transfers reported as sales are initially recognized in the balance sheet at fair value. Refer to Note 8 – Finance Receivables, Net for additional information on our finance receivable sales.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Inventories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Inventories are carried at the lower of average cost or net realizable value. Inventories also include equipment that is returned at the end of the lease term. Returned equipment is recorded at the lower of remaining net book value or salvage value, which is normally not significant. We regularly review inventory quantities and record a provision for excess and/or obsolete inventory based primarily on our estimated forecast of product demand, production requirements and servicing commitments. Several factors may influence the realizability of our inventories, including our decision to exit a product line, technological changes and new product development. The provision for excess and/or obsolete raw materials and equipment inventories is based primarily on near-term forecasts of product demand and include consideration of new product introductions, as well as changes in remanufacturing strategies. The provision for excess and/or obsolete service parts inventory is based primarily on projected servicing requirements over the life of the related equipment populations. Refer to Note 9 - Inventories and Equipment on Operating Leases, Net for further discussion.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Land, Buildings and Equipment on Operating Leases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Land, buildings and equipment are recorded at cost. Buildings and equipment are depreciated over their estimated useful lives. Leasehold improvements are depreciated over the shorter of the lease term or the estimated useful life. Equipment on operating leases is depreciated to estimated salvage value over the lease term. Depreciation is computed using the straight-line method. Significant leasehold improvements are capitalized, and maintenance and repairs are expensed. Refer to Note 9 - Inventories and Equipment on Operating Leases, Net and Note 10 - Land, Buildings, Equipment and Software, Net for further discussion.</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Leased Assets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We determine at inception whether an arrangement is a lease. Our leases do not include assets of a specialized nature, or the transfer of ownership at the end of the lease, and the exercise of end-of-lease purchase options, which are primarily in our equipment leases, is not reasonably assured at lease inception. Accordingly, the two primary criteria we use to classify transactions as operating leases or finance leases are: (i) a review of the lease term to determine if it is equal to or greater than 75% of the economic life of the asset, and (ii) a review of the present value of the minimum lease payments to determine if they are equal to or greater than 90% of the fair market value of the asset at the inception of the lease. Right-of-use (ROU) assets represent our right to use an underlying asset for the lease term and lease liabilities represent our obligation to make lease payments arising</w:t>
      </w:r>
    </w:p>
    <w:p>
      <w:pPr>
        <w:spacing w:after="0" w:line="323"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97</w:t>
      </w:r>
    </w:p>
    <w:p>
      <w:pPr>
        <w:sectPr>
          <w:pgSz w:w="11880" w:h="15480" w:orient="portrait"/>
          <w:cols w:equalWidth="0" w:num="1">
            <w:col w:w="9960"/>
          </w:cols>
          <w:pgMar w:left="960" w:top="649" w:right="960" w:bottom="0" w:gutter="0" w:footer="0" w:header="0"/>
        </w:sectPr>
      </w:pPr>
    </w:p>
    <w:bookmarkStart w:id="107" w:name="page108"/>
    <w:bookmarkEnd w:id="107"/>
    <w:p>
      <w:pPr>
        <w:jc w:val="both"/>
        <w:spacing w:after="0" w:line="266" w:lineRule="auto"/>
        <w:rPr>
          <w:sz w:val="20"/>
          <w:szCs w:val="20"/>
          <w:color w:val="auto"/>
        </w:rPr>
      </w:pPr>
      <w:r>
        <w:rPr>
          <w:rFonts w:ascii="Arial" w:cs="Arial" w:eastAsia="Arial" w:hAnsi="Arial"/>
          <w:sz w:val="19"/>
          <w:szCs w:val="19"/>
          <w:b w:val="1"/>
          <w:bCs w:val="1"/>
          <w:color w:val="auto"/>
        </w:rPr>
        <w:t>from the lease. We also assess arrangements for goods or services to determine if the arrangement contains a lease at its inception. This assessment first considers whether there is an implicitly or explicitly identified asset in the arrangement and then whether there is a right to control the use of the asset. If there is an embedded lease within a contract, the Company determines the classification of the lease at the lease inception date consistent with standalone leases of assets.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Operating leases are included in Other long-term assets, Accrued expenses and other current liabilities, and Other long-term liabilities in our Consolidated Balance Sheets. Finance leases are included in Land, buildings and equipment, net, Accrued expenses and other current liabilities, and Other long-term liabilities in our Consolidated Balance Sheets.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Operating lease ROU assets and liabilities are recognized at the commencement date based on the present value of lease payments over the lease term. Since the implicit rate for almost all of our leases is not readily determinable, we use our incremental borrowing rate based on the information available at the commencement date in determining the present value of lease payments. The incremental borrowing rate is the rate of interest that we would have to pay to borrow, on a collateralized basis, an amount equal to the lease payments, in a similar economic environment and over a similar term. The rate is dependent on several factors, including the lease term and currency of the lease payments.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Lease terms used to calculate the present value of lease payments generally do not include any options to extend, renew, or terminate the lease, as we do not have reasonable certainty at lease inception that these options will be exercised. We generally consider the economic life of our operating lease ROU assets to be comparable to the useful life of similar owned assets. We have elected the short-term lease exception, therefore operating lease ROU assets and liabilities do not include leases with a lease term of twelve months or less. Our leases generally do not provide a residual guarantee. The operating lease ROU asset also excludes lease incentives.</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Lease expense is recognized on a straight-line basis over the lease term. We have lease agreements with lease and non-lease components. These components are accounted for separately for vehicle and equipment leases. We account for the lease and non-lease components as a single lease component for real estate leases of offices and warehouses.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We review the potential impairment of our ROU assets consistent with the approach applied for our other long-lived assets. We review the recoverability of our long-lived assets when events or changes in circumstances occur that indicate that the carrying value of the asset may not be recoverable. The assessment of possible impairment is based on our ability to recover the carrying value of the asset from the expected undiscounted future pre-tax cash flows of the related operations. We have elected to include the carrying amount of operating lease liabilities in any tested asset group and include the associated operating lease payments in the undiscounted future pre-tax cash flows.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Software - Internal Use and Product</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capitalize direct costs associated with developing, purchasing or otherwise acquiring software for internal use and amortize these costs on a straight-line basis over the expected useful life of the software, beginning when the software is implemented (Internal Use Software). Costs incurred for upgrades and enhancements that will not result in additional functionality are expensed as incurred. Amounts expended for Internal Use Software are included in Cash Flows from Investing activities.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We also capitalize certain costs related to the development of software solutions to be sold to our customers upon reaching technological feasibility (Product Software). These costs are amortized on a straight-line basis over the estimated economic life of the software. Amounts expended for Product Software are included in Cash Flows from Operations. We perform periodic reviews to ensure that unamortized Product Software costs remain recoverable from estimated future operating profits (net realizable value or NRV). Costs to support or service licensed software are charged to Costs of services as incurred. Refer to Note 10 - Land, Buildings, Equipment and Software, Net for further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Goodwill and Other Intangible Assets</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Goodwill represents the excess of the purchase price over the fair value of acquired net assets in a business combination, including the amount assigned to identifiable intangible assets. The primary drivers that generate Goodwill are the value of synergies between the acquired entities and the Company and the acquired assembled workforce, neither of which qualifies as an identifiable intangible asset. Goodwill is not amortized, but rather is tested for impairment annually, or more frequently whenever events or changes in circumstances indicate that the carrying value of the asset may not be recoverable and an impairment loss may have been incurred.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98</w:t>
      </w:r>
    </w:p>
    <w:p>
      <w:pPr>
        <w:sectPr>
          <w:pgSz w:w="11880" w:h="15480" w:orient="portrait"/>
          <w:cols w:equalWidth="0" w:num="1">
            <w:col w:w="9960"/>
          </w:cols>
          <w:pgMar w:left="960" w:top="649" w:right="960" w:bottom="0" w:gutter="0" w:footer="0" w:header="0"/>
        </w:sectPr>
      </w:pPr>
    </w:p>
    <w:bookmarkStart w:id="108" w:name="page109"/>
    <w:bookmarkEnd w:id="108"/>
    <w:p>
      <w:pPr>
        <w:jc w:val="both"/>
        <w:spacing w:after="0" w:line="259" w:lineRule="auto"/>
        <w:rPr>
          <w:sz w:val="20"/>
          <w:szCs w:val="20"/>
          <w:color w:val="auto"/>
        </w:rPr>
      </w:pPr>
      <w:r>
        <w:rPr>
          <w:rFonts w:ascii="Arial" w:cs="Arial" w:eastAsia="Arial" w:hAnsi="Arial"/>
          <w:sz w:val="19"/>
          <w:szCs w:val="19"/>
          <w:b w:val="1"/>
          <w:bCs w:val="1"/>
          <w:color w:val="auto"/>
        </w:rPr>
        <w:t>We assess Goodwill for impairment at least annually, or more frequently if indicators of impairment exist or if a decision is made to sell or exit a business. Impairment testing for Goodwill is done at the reporting unit level. A reporting unit is an operating segment or one level below an operating segment (a component) if the component constitutes a business for which discrete financial information is available, and segment management regularly reviews the operating results of that component. During the first quarter of 2025, the Company updated its determination of reportable segments to align with a change in how the Chief Operating Decision Maker (CODM), our Chief Executive Officer (CEO), allocates resources and assesses performance against the Company’s key growth strategies. As such, it was determined that there are two reportable segments - Print and Other, and IT Solutions. Prior to this change, the Company had two reportable segments - Print and Other, and Xerox Financial Services (XFS). Refer to Note 4 - Segment and Geographic Area Reporting for additional information regarding this change.</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perform an assessment of Goodwill, utilizing either a qualitative or quantitative impairment test. The qualitative impairment test assesses several factors to determine whether it is more-likely-than-not that the fair value of the reporting unit is less than its carrying amount. If we conclude it is more-likely-than-not that the fair value of the reporting unit is less than its carrying amount, a quantitative fair value test is performed. In certain circumstances, we may also bypass the qualitative test and proceed directly to a quantitative impairment test. In a quantitative impairment test, we assess Goodwill by comparing the carrying amount of the reporting unit to its fair value. Fair value of the reporting unit is determined by using a weighted combination of an income approach and a market approach. If the fair value exceeds the carrying value, Goodwill is not considered impaired. If the carrying value exceeds the fair value, Goodwill is considered impaired, and we would recognize an impairment loss for the excess.</w:t>
      </w:r>
    </w:p>
    <w:p>
      <w:pPr>
        <w:spacing w:after="0" w:line="4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Other intangible assets primarily consist of assets obtained in connection with business acquisitions, including installed customer base and distribution network relationships, existing technology, trademarks and non-compete agreements. We apply an impairment evaluation whenever events or changes in business circumstances indicate that the carrying value of our intangible assets may not be recoverable. Other intangible assets are amortized on a straight-line basis over their estimated economic lives. We believe that the straight-line method of amortization reflects an appropriate allocation of the cost of the intangible assets to earnings in proportion to the amount of economic benefits obtained annually by the Company. Refer to Note 12 - Goodwill, Net and Intangible Assets, Net for further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Impairment of Long-Lived Assets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We review the recoverability of our long-lived assets, including buildings, equipment, right-of-use leased assets, internal use software and other intangible assets, when events or changes in circumstances occur that indicate that the carrying value of the asset may not be recoverable. The assessment of possible impairment is based on our ability to recover the carrying value of the asset group from the expected future pre-tax cash flows (undiscounted and without interest charges) of the related operations. If these cash flows are less than the carrying value of such asset group, an impairment loss is recognized for the difference between estimated fair value and carrying value. Our primary measure of fair value is based on discounted cash flows. Long-lived assets to be disposed of by sale are reported at the lower of carrying amount or fair value less costs to sell. Long-lived assets to be disposed of other than by sale (e.g., by abandonment, cease-use) would continue to be classified as held and used until the long-lived asset is disposed of (e.g., abandoned or when the asset ceases to be used).</w:t>
      </w:r>
    </w:p>
    <w:p>
      <w:pPr>
        <w:spacing w:after="0" w:line="4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Refer to Note 13 - Restructuring Programs for additional information regarding the impairment of long-lived assets in connection with our restructuring programs and initiatives.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Pension and Post-Retirement Benefit Obligations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We sponsor various forms of defined benefit pension plans in several countries covering employees who meet eligibility requirements. Retiree health benefit plans cover a portion of our U.S. and Canadian employees for retiree medical costs. We employ a delayed recognition feature in measuring the costs of pension and post-retirement benefit plans. This requires changes in the benefit obligations and changes in the value of assets set aside to meet those obligations to be recognized not as they occur, but systematically and gradually over subsequent periods. All changes are ultimately recognized as components of net periodic benefit cost, except to the extent they may be offset by subsequent changes. At any point, changes that have been identified and quantified but not recognized as components of net periodic benefit cost are recognized in Accumulated other comprehensive loss, net of tax.</w:t>
      </w:r>
    </w:p>
    <w:p>
      <w:pPr>
        <w:spacing w:after="0" w:line="4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b w:val="1"/>
          <w:bCs w:val="1"/>
          <w:color w:val="auto"/>
        </w:rPr>
        <w:t>Several statistical and other factors that attempt to anticipate future events are used in calculating the expense, liability and asset values related to our pension and retiree health benefit plans. These factors include assumptions we make about the applicable discount rate, expected return on plan assets, cash balance interest-crediting rate, rate of increase in healthcare costs, the rate of future compensation increases and mortality. Actual returns on plan assets are not immediately recognized in our income statement due to the delayed recognition requirement. In calculating the expected return on the plan asset component of our net periodic pension cost, we apply our estimate</w:t>
      </w:r>
    </w:p>
    <w:p>
      <w:pPr>
        <w:spacing w:after="0" w:line="27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99</w:t>
      </w:r>
    </w:p>
    <w:p>
      <w:pPr>
        <w:sectPr>
          <w:pgSz w:w="11880" w:h="15480" w:orient="portrait"/>
          <w:cols w:equalWidth="0" w:num="1">
            <w:col w:w="9960"/>
          </w:cols>
          <w:pgMar w:left="960" w:top="649" w:right="960" w:bottom="0" w:gutter="0" w:footer="0" w:header="0"/>
        </w:sectPr>
      </w:pPr>
    </w:p>
    <w:bookmarkStart w:id="109" w:name="page110"/>
    <w:bookmarkEnd w:id="109"/>
    <w:p>
      <w:pPr>
        <w:jc w:val="both"/>
        <w:spacing w:after="0" w:line="276" w:lineRule="auto"/>
        <w:rPr>
          <w:sz w:val="20"/>
          <w:szCs w:val="20"/>
          <w:color w:val="auto"/>
        </w:rPr>
      </w:pPr>
      <w:r>
        <w:rPr>
          <w:rFonts w:ascii="Arial" w:cs="Arial" w:eastAsia="Arial" w:hAnsi="Arial"/>
          <w:sz w:val="19"/>
          <w:szCs w:val="19"/>
          <w:b w:val="1"/>
          <w:bCs w:val="1"/>
          <w:color w:val="auto"/>
        </w:rPr>
        <w:t>of the long-term rate of return on the plan assets that support our pension obligations, after deducting assets that are specifically allocated to Transitional Retirement Accounts (which are accounted for based on specific plan terms).</w:t>
      </w:r>
    </w:p>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For purposes of determining the expected return on plan assets, we utilize a market-related value approach in determining the value of the pension plan assets, rather than a fair market value approach. The primary difference between the two methods relates to systematic recognition of changes in fair value over time (generally two years) versus immediate recognition of changes in fair value. Our expected rate of return on plan assets is applied to the market-related asset value to determine the amount of the expected return on plan assets to be used in the determination of the net periodic pension cost. The market-related value approach reduces the volatility in net periodic pension cost that would result from using the fair market value approach.</w:t>
      </w:r>
    </w:p>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discount rate is used to determine the present value our future anticipated benefit obligations. The discount rate reflects the current rate at which benefit liabilities could be effectively settled considering the timing of expected payments for plan participants. In estimating our discount rate, we consider rates of return on high-quality fixed-income investments adjusted to eliminate the effects of call provisions, as well as the expected timing of pension and other benefit payments.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Each year, the difference between the actual return on plan assets and the expected return on plan assets, as well as increases or decreases in the benefit obligation as a result of changes in the discount rate and other actuarial assumptions, are added to or subtracted from any cumulative actuarial gain or loss from prior years. This amount is the net actuarial gain or loss recognized in Accumulated other comprehensive loss. We amortize net actuarial gains and losses as a component of net pension cost for a year if, as of the beginning of the year, that net gain or loss (excluding asset gains or losses that have not been recognized in market-related value) exceeds 10% of the greater of the projected benefit obligation or the market-related value of plan assets (the corridor method). This determination is made on a plan-by-plan basis. If amortization is required for a particular plan, we amortize the applicable net gain or loss in excess of the 10% threshold on a straight-line basis in net periodic pension cost over the remaining service period of the employees participating in that pension plan. In plans where substantially all participants are inactive, the amortization period for the excess is the average remaining life expectancy of the plan participants.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Our primary domestic plans allow participants the option of settling their vested benefits through the receipt of a lump-sum payment. The participant's vested benefit is considered fully settled upon payment of the lump sum. We have elected to apply settlement accounting and therefore we recognize the losses associated with settlements in this plan immediately upon the settlement of the vested benefits. Settlement accounting requires us to recognize a pro rata portion of the aggregate unamortized net actuarial losses upon settlement. The pro rata factor is computed as the percentage reduction in the projected benefit obligation due to the settlement of the participant's vested benefit. During 2024, the legacy Xerox US pension plans became subject to restrictions on the portion of the benefit that can be paid as a lump sum (limited to 50%). Since the portion of the benefit that cannot be paid as a lump sum is paid as an annuity, the payment of 50% of the lump sum does not relieve the pension plans of the full obligation for benefits for each respective participant electing a lump sum therefore, and no settlement accounting was applied. These restrictions did not apply for all of 2024 and there is settlement accounting for full lump sums paid early in 2024, prior to restrictions. Settlement accounting will not apply in future years for which restrictions apply. Refer to Note 18 - Employee Benefit Plans for further information regarding our Pension and Post-Retirement Benefit Obligations.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Research, Development and Engineering (RD&amp;E)</w:t>
      </w:r>
    </w:p>
    <w:p>
      <w:pPr>
        <w:spacing w:after="0" w:line="112"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color w:val="auto"/>
        </w:rPr>
        <w:t>Research, development and engineering costs are expensed as incurred. Sustaining engineering costs are incurred with respect to on-going product improvements or environmental compliance after initial product launch. Sustaining engineering costs were $52, $49 and $55 in for the years ended December 31, 2025, 2024 and 2023,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Foreign Currency Translation and Remeasurement</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The functional currency for most of our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2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The U.S. Dollar is used as the functional currency for certain foreign subsidiaries that conduct their business in U.S. Dollars as well as foreign subsidiaries operating in highly inflationary economies. For these subsidiaries, non-monetary foreign currency assets and liabilities are translated using historical rates, while monetary assets and liabilities are translated at current rates, with the U.S. dollar effects of rate changes recorded in Currency (gains) and losses within Other expenses, net together with other foreign currency remeasurements.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100</w:t>
      </w:r>
    </w:p>
    <w:p>
      <w:pPr>
        <w:sectPr>
          <w:pgSz w:w="11880" w:h="15480" w:orient="portrait"/>
          <w:cols w:equalWidth="0" w:num="1">
            <w:col w:w="9960"/>
          </w:cols>
          <w:pgMar w:left="960" w:top="649" w:right="960" w:bottom="0" w:gutter="0" w:footer="0" w:header="0"/>
        </w:sectPr>
      </w:pPr>
    </w:p>
    <w:bookmarkStart w:id="110" w:name="page111"/>
    <w:bookmarkEnd w:id="110"/>
    <w:p>
      <w:pPr>
        <w:spacing w:after="0"/>
        <w:rPr>
          <w:sz w:val="20"/>
          <w:szCs w:val="20"/>
          <w:color w:val="auto"/>
        </w:rPr>
      </w:pPr>
      <w:r>
        <w:rPr>
          <w:rFonts w:ascii="Arial" w:cs="Arial" w:eastAsia="Arial" w:hAnsi="Arial"/>
          <w:sz w:val="23"/>
          <w:szCs w:val="23"/>
          <w:b w:val="1"/>
          <w:bCs w:val="1"/>
          <w:color w:val="DA2031"/>
        </w:rPr>
        <w:t>Note 3 –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disaggregated by primary geographic markets, major product lines, and sales channels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20" w:type="dxa"/>
            <w:vAlign w:val="bottom"/>
            <w:tcBorders>
              <w:bottom w:val="single" w:sz="8" w:color="DBDBDB"/>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Primary geographical markets</w:t>
            </w:r>
            <w:r>
              <w:rPr>
                <w:rFonts w:ascii="Arial" w:cs="Arial" w:eastAsia="Arial" w:hAnsi="Arial"/>
                <w:sz w:val="10"/>
                <w:szCs w:val="10"/>
                <w:b w:val="1"/>
                <w:bCs w:val="1"/>
                <w:color w:val="auto"/>
              </w:rPr>
              <w:t>(1)</w:t>
            </w:r>
          </w:p>
        </w:tc>
        <w:tc>
          <w:tcPr>
            <w:tcW w:w="98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United States</w:t>
            </w:r>
          </w:p>
        </w:tc>
        <w:tc>
          <w:tcPr>
            <w:tcW w:w="980" w:type="dxa"/>
            <w:vAlign w:val="bottom"/>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3,985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3,437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3,826</w:t>
            </w:r>
          </w:p>
        </w:tc>
      </w:tr>
      <w:tr>
        <w:trPr>
          <w:trHeight w:val="239"/>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Europe</w:t>
            </w:r>
          </w:p>
        </w:tc>
        <w:tc>
          <w:tcPr>
            <w:tcW w:w="980" w:type="dxa"/>
            <w:vAlign w:val="bottom"/>
            <w:shd w:val="clear" w:color="auto" w:fill="DBDBDB"/>
          </w:tcPr>
          <w:p>
            <w:pPr>
              <w:spacing w:after="0"/>
              <w:rPr>
                <w:sz w:val="20"/>
                <w:szCs w:val="20"/>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1,952</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1,843</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1,951</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Canada</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554</w:t>
            </w:r>
          </w:p>
        </w:tc>
      </w:tr>
      <w:tr>
        <w:trPr>
          <w:trHeight w:val="239"/>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Latin America</w:t>
            </w:r>
          </w:p>
        </w:tc>
        <w:tc>
          <w:tcPr>
            <w:tcW w:w="980" w:type="dxa"/>
            <w:vAlign w:val="bottom"/>
            <w:shd w:val="clear" w:color="auto" w:fill="DBDBDB"/>
          </w:tcPr>
          <w:p>
            <w:pPr>
              <w:spacing w:after="0"/>
              <w:rPr>
                <w:sz w:val="20"/>
                <w:szCs w:val="20"/>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274</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246</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Asia Pacific</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248"/>
        </w:trPr>
        <w:tc>
          <w:tcPr>
            <w:tcW w:w="5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Other</w:t>
            </w:r>
          </w:p>
        </w:tc>
        <w:tc>
          <w:tcPr>
            <w:tcW w:w="98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193</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201</w:t>
            </w:r>
          </w:p>
        </w:tc>
        <w:tc>
          <w:tcPr>
            <w:tcW w:w="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254</w:t>
            </w:r>
          </w:p>
        </w:tc>
      </w:tr>
      <w:tr>
        <w:trPr>
          <w:trHeight w:val="213"/>
        </w:trPr>
        <w:tc>
          <w:tcPr>
            <w:tcW w:w="53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Revenues</w:t>
            </w:r>
          </w:p>
        </w:tc>
        <w:tc>
          <w:tcPr>
            <w:tcW w:w="980" w:type="dxa"/>
            <w:vAlign w:val="bottom"/>
          </w:tcPr>
          <w:p>
            <w:pPr>
              <w:jc w:val="right"/>
              <w:ind w:right="762"/>
              <w:spacing w:after="0" w:line="175"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7,022</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6,221</w:t>
            </w:r>
          </w:p>
        </w:tc>
        <w:tc>
          <w:tcPr>
            <w:tcW w:w="44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6,886</w:t>
            </w:r>
          </w:p>
        </w:tc>
      </w:tr>
      <w:tr>
        <w:trPr>
          <w:trHeight w:val="204"/>
        </w:trPr>
        <w:tc>
          <w:tcPr>
            <w:tcW w:w="5320" w:type="dxa"/>
            <w:vAlign w:val="bottom"/>
            <w:tcBorders>
              <w:top w:val="single" w:sz="8" w:color="DBDBDB"/>
            </w:tcBorders>
            <w:shd w:val="clear" w:color="auto" w:fill="DBDBDB"/>
          </w:tcPr>
          <w:p>
            <w:pPr>
              <w:spacing w:after="0"/>
              <w:rPr>
                <w:sz w:val="17"/>
                <w:szCs w:val="17"/>
                <w:color w:val="auto"/>
              </w:rPr>
            </w:pPr>
          </w:p>
        </w:tc>
        <w:tc>
          <w:tcPr>
            <w:tcW w:w="980" w:type="dxa"/>
            <w:vAlign w:val="bottom"/>
            <w:tcBorders>
              <w:top w:val="single" w:sz="8" w:color="auto"/>
            </w:tcBorders>
            <w:shd w:val="clear" w:color="auto" w:fill="DBDBDB"/>
          </w:tcPr>
          <w:p>
            <w:pPr>
              <w:spacing w:after="0"/>
              <w:rPr>
                <w:sz w:val="17"/>
                <w:szCs w:val="17"/>
                <w:color w:val="auto"/>
              </w:rPr>
            </w:pPr>
          </w:p>
        </w:tc>
        <w:tc>
          <w:tcPr>
            <w:tcW w:w="52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r>
      <w:tr>
        <w:trPr>
          <w:trHeight w:val="231"/>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Major product and services lines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5"/>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Equipment</w:t>
            </w:r>
          </w:p>
        </w:tc>
        <w:tc>
          <w:tcPr>
            <w:tcW w:w="980" w:type="dxa"/>
            <w:vAlign w:val="bottom"/>
            <w:shd w:val="clear" w:color="auto" w:fill="DBDBDB"/>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1,488</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1,378</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1,655</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Supplies, paper and other sales</w:t>
            </w:r>
            <w:r>
              <w:rPr>
                <w:rFonts w:ascii="Arial" w:cs="Arial" w:eastAsia="Arial" w:hAnsi="Arial"/>
                <w:sz w:val="10"/>
                <w:szCs w:val="10"/>
                <w:b w:val="1"/>
                <w:bCs w:val="1"/>
                <w:color w:val="auto"/>
              </w:rPr>
              <w:t>(2)</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809</w:t>
            </w:r>
          </w:p>
        </w:tc>
      </w:tr>
      <w:tr>
        <w:trPr>
          <w:trHeight w:val="239"/>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Maintenance agreements</w:t>
            </w:r>
            <w:r>
              <w:rPr>
                <w:rFonts w:ascii="Arial" w:cs="Arial" w:eastAsia="Arial" w:hAnsi="Arial"/>
                <w:sz w:val="10"/>
                <w:szCs w:val="10"/>
                <w:b w:val="1"/>
                <w:bCs w:val="1"/>
                <w:color w:val="auto"/>
              </w:rPr>
              <w:t>(4)</w:t>
            </w:r>
          </w:p>
        </w:tc>
        <w:tc>
          <w:tcPr>
            <w:tcW w:w="980" w:type="dxa"/>
            <w:vAlign w:val="bottom"/>
            <w:shd w:val="clear" w:color="auto" w:fill="DBDBDB"/>
          </w:tcPr>
          <w:p>
            <w:pPr>
              <w:spacing w:after="0"/>
              <w:rPr>
                <w:sz w:val="20"/>
                <w:szCs w:val="20"/>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1,628</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1,516</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1,631</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IT Products</w:t>
            </w:r>
            <w:r>
              <w:rPr>
                <w:rFonts w:ascii="Arial" w:cs="Arial" w:eastAsia="Arial" w:hAnsi="Arial"/>
                <w:sz w:val="10"/>
                <w:szCs w:val="10"/>
                <w:b w:val="1"/>
                <w:bCs w:val="1"/>
                <w:color w:val="auto"/>
              </w:rPr>
              <w:t>(2)(3)</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256</w:t>
            </w:r>
          </w:p>
        </w:tc>
      </w:tr>
      <w:tr>
        <w:trPr>
          <w:trHeight w:val="239"/>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Service arrangements</w:t>
            </w:r>
            <w:r>
              <w:rPr>
                <w:rFonts w:ascii="Arial" w:cs="Arial" w:eastAsia="Arial" w:hAnsi="Arial"/>
                <w:sz w:val="10"/>
                <w:szCs w:val="10"/>
                <w:b w:val="1"/>
                <w:bCs w:val="1"/>
                <w:color w:val="auto"/>
              </w:rPr>
              <w:t>(5)</w:t>
            </w:r>
          </w:p>
        </w:tc>
        <w:tc>
          <w:tcPr>
            <w:tcW w:w="980" w:type="dxa"/>
            <w:vAlign w:val="bottom"/>
            <w:shd w:val="clear" w:color="auto" w:fill="DBDBDB"/>
          </w:tcPr>
          <w:p>
            <w:pPr>
              <w:spacing w:after="0"/>
              <w:rPr>
                <w:sz w:val="20"/>
                <w:szCs w:val="20"/>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1,731</w:t>
            </w:r>
          </w:p>
        </w:tc>
        <w:tc>
          <w:tcPr>
            <w:tcW w:w="8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1,853</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1,984</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Rental and other</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360</w:t>
            </w:r>
          </w:p>
        </w:tc>
      </w:tr>
      <w:tr>
        <w:trPr>
          <w:trHeight w:val="248"/>
        </w:trPr>
        <w:tc>
          <w:tcPr>
            <w:tcW w:w="5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Financing</w:t>
            </w:r>
          </w:p>
        </w:tc>
        <w:tc>
          <w:tcPr>
            <w:tcW w:w="98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151</w:t>
            </w:r>
          </w:p>
        </w:tc>
        <w:tc>
          <w:tcPr>
            <w:tcW w:w="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191</w:t>
            </w:r>
          </w:p>
        </w:tc>
      </w:tr>
      <w:tr>
        <w:trPr>
          <w:trHeight w:val="213"/>
        </w:trPr>
        <w:tc>
          <w:tcPr>
            <w:tcW w:w="53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Revenues</w:t>
            </w:r>
          </w:p>
        </w:tc>
        <w:tc>
          <w:tcPr>
            <w:tcW w:w="980" w:type="dxa"/>
            <w:vAlign w:val="bottom"/>
          </w:tcPr>
          <w:p>
            <w:pPr>
              <w:jc w:val="right"/>
              <w:ind w:right="762"/>
              <w:spacing w:after="0" w:line="175"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7,022</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6,221</w:t>
            </w:r>
          </w:p>
        </w:tc>
        <w:tc>
          <w:tcPr>
            <w:tcW w:w="44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6,886</w:t>
            </w:r>
          </w:p>
        </w:tc>
      </w:tr>
      <w:tr>
        <w:trPr>
          <w:trHeight w:val="204"/>
        </w:trPr>
        <w:tc>
          <w:tcPr>
            <w:tcW w:w="5320" w:type="dxa"/>
            <w:vAlign w:val="bottom"/>
            <w:tcBorders>
              <w:top w:val="single" w:sz="8" w:color="DBDBDB"/>
            </w:tcBorders>
            <w:shd w:val="clear" w:color="auto" w:fill="DBDBDB"/>
          </w:tcPr>
          <w:p>
            <w:pPr>
              <w:spacing w:after="0"/>
              <w:rPr>
                <w:sz w:val="17"/>
                <w:szCs w:val="17"/>
                <w:color w:val="auto"/>
              </w:rPr>
            </w:pPr>
          </w:p>
        </w:tc>
        <w:tc>
          <w:tcPr>
            <w:tcW w:w="980" w:type="dxa"/>
            <w:vAlign w:val="bottom"/>
            <w:tcBorders>
              <w:top w:val="single" w:sz="8" w:color="auto"/>
            </w:tcBorders>
            <w:shd w:val="clear" w:color="auto" w:fill="DBDBDB"/>
          </w:tcPr>
          <w:p>
            <w:pPr>
              <w:spacing w:after="0"/>
              <w:rPr>
                <w:sz w:val="17"/>
                <w:szCs w:val="17"/>
                <w:color w:val="auto"/>
              </w:rPr>
            </w:pPr>
          </w:p>
        </w:tc>
        <w:tc>
          <w:tcPr>
            <w:tcW w:w="52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r>
      <w:tr>
        <w:trPr>
          <w:trHeight w:val="231"/>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Sales channels: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5"/>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Direct equipment lease</w:t>
            </w:r>
            <w:r>
              <w:rPr>
                <w:rFonts w:ascii="Arial" w:cs="Arial" w:eastAsia="Arial" w:hAnsi="Arial"/>
                <w:sz w:val="10"/>
                <w:szCs w:val="10"/>
                <w:b w:val="1"/>
                <w:bCs w:val="1"/>
                <w:color w:val="auto"/>
              </w:rPr>
              <w:t>(6)</w:t>
            </w:r>
          </w:p>
        </w:tc>
        <w:tc>
          <w:tcPr>
            <w:tcW w:w="980" w:type="dxa"/>
            <w:vAlign w:val="bottom"/>
            <w:shd w:val="clear" w:color="auto" w:fill="DBDBDB"/>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454</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706</w:t>
            </w:r>
          </w:p>
        </w:tc>
        <w:tc>
          <w:tcPr>
            <w:tcW w:w="44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920</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Distributors &amp; resellers</w:t>
            </w:r>
            <w:r>
              <w:rPr>
                <w:rFonts w:ascii="Arial" w:cs="Arial" w:eastAsia="Arial" w:hAnsi="Arial"/>
                <w:sz w:val="10"/>
                <w:szCs w:val="10"/>
                <w:b w:val="1"/>
                <w:bCs w:val="1"/>
                <w:color w:val="auto"/>
              </w:rPr>
              <w:t>(7)</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1,044</w:t>
            </w:r>
          </w:p>
        </w:tc>
      </w:tr>
      <w:tr>
        <w:trPr>
          <w:trHeight w:val="248"/>
        </w:trPr>
        <w:tc>
          <w:tcPr>
            <w:tcW w:w="5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Customer direct</w:t>
            </w:r>
          </w:p>
        </w:tc>
        <w:tc>
          <w:tcPr>
            <w:tcW w:w="98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1,580</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699</w:t>
            </w:r>
          </w:p>
        </w:tc>
        <w:tc>
          <w:tcPr>
            <w:tcW w:w="8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756</w:t>
            </w:r>
          </w:p>
        </w:tc>
      </w:tr>
      <w:tr>
        <w:trPr>
          <w:trHeight w:val="174"/>
        </w:trPr>
        <w:tc>
          <w:tcPr>
            <w:tcW w:w="53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Sales</w:t>
            </w:r>
          </w:p>
        </w:tc>
        <w:tc>
          <w:tcPr>
            <w:tcW w:w="980" w:type="dxa"/>
            <w:vAlign w:val="bottom"/>
          </w:tcPr>
          <w:p>
            <w:pPr>
              <w:jc w:val="right"/>
              <w:ind w:right="762"/>
              <w:spacing w:after="0" w:line="175"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3,283</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2,378</w:t>
            </w:r>
          </w:p>
        </w:tc>
        <w:tc>
          <w:tcPr>
            <w:tcW w:w="44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2,720</w:t>
            </w:r>
          </w:p>
        </w:tc>
      </w:tr>
      <w:tr>
        <w:trPr>
          <w:trHeight w:val="20"/>
        </w:trPr>
        <w:tc>
          <w:tcPr>
            <w:tcW w:w="5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-2407920</wp:posOffset>
            </wp:positionV>
            <wp:extent cx="2972435" cy="50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2972435" cy="5016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-929640</wp:posOffset>
            </wp:positionV>
            <wp:extent cx="2972435" cy="50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2972435" cy="5016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-42545</wp:posOffset>
            </wp:positionV>
            <wp:extent cx="2972435" cy="5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297243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1"/>
        <w:spacing w:after="0"/>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Geographic area data is based upon the location of the subsidiary reporting the revenue.</w:t>
      </w:r>
    </w:p>
    <w:p>
      <w:pPr>
        <w:spacing w:after="0" w:line="2" w:lineRule="exact"/>
        <w:rPr>
          <w:rFonts w:ascii="Arial" w:cs="Arial" w:eastAsia="Arial" w:hAnsi="Arial"/>
          <w:sz w:val="16"/>
          <w:szCs w:val="16"/>
          <w:b w:val="1"/>
          <w:bCs w:val="1"/>
          <w:i w:val="1"/>
          <w:iCs w:val="1"/>
          <w:color w:val="auto"/>
        </w:rPr>
      </w:pPr>
    </w:p>
    <w:p>
      <w:pPr>
        <w:ind w:left="360" w:hanging="351"/>
        <w:spacing w:after="0"/>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Certain prior year amounts have been reclassified in order to conform to the current year's presentation.</w:t>
      </w:r>
    </w:p>
    <w:p>
      <w:pPr>
        <w:spacing w:after="0" w:line="2" w:lineRule="exact"/>
        <w:rPr>
          <w:rFonts w:ascii="Arial" w:cs="Arial" w:eastAsia="Arial" w:hAnsi="Arial"/>
          <w:sz w:val="16"/>
          <w:szCs w:val="16"/>
          <w:b w:val="1"/>
          <w:bCs w:val="1"/>
          <w:i w:val="1"/>
          <w:iCs w:val="1"/>
          <w:color w:val="auto"/>
        </w:rPr>
      </w:pPr>
    </w:p>
    <w:p>
      <w:pPr>
        <w:ind w:left="360" w:hanging="351"/>
        <w:spacing w:after="0"/>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IT products include IT hardware and software solutions sold by the IT Solutions segment.</w:t>
      </w:r>
    </w:p>
    <w:p>
      <w:pPr>
        <w:spacing w:after="0" w:line="2" w:lineRule="exact"/>
        <w:rPr>
          <w:rFonts w:ascii="Arial" w:cs="Arial" w:eastAsia="Arial" w:hAnsi="Arial"/>
          <w:sz w:val="16"/>
          <w:szCs w:val="16"/>
          <w:b w:val="1"/>
          <w:bCs w:val="1"/>
          <w:i w:val="1"/>
          <w:iCs w:val="1"/>
          <w:color w:val="auto"/>
        </w:rPr>
      </w:pPr>
    </w:p>
    <w:p>
      <w:pPr>
        <w:ind w:left="360" w:hanging="351"/>
        <w:spacing w:after="0" w:line="242" w:lineRule="auto"/>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revenues from maintenance agreements on sold equipment as well as revenues associated with service agreements sold through our channel partners, as well as services revenues related to our IT Solutions.</w:t>
      </w:r>
    </w:p>
    <w:p>
      <w:pPr>
        <w:spacing w:after="0" w:line="1" w:lineRule="exact"/>
        <w:rPr>
          <w:rFonts w:ascii="Arial" w:cs="Arial" w:eastAsia="Arial" w:hAnsi="Arial"/>
          <w:sz w:val="16"/>
          <w:szCs w:val="16"/>
          <w:b w:val="1"/>
          <w:bCs w:val="1"/>
          <w:i w:val="1"/>
          <w:iCs w:val="1"/>
          <w:color w:val="auto"/>
        </w:rPr>
      </w:pPr>
    </w:p>
    <w:p>
      <w:pPr>
        <w:ind w:left="360" w:hanging="351"/>
        <w:spacing w:after="0" w:line="242" w:lineRule="auto"/>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Primarily includes revenues from our Print outsourcing arrangements including revenues from embedded operating leases in those arrangements.</w:t>
      </w:r>
    </w:p>
    <w:p>
      <w:pPr>
        <w:spacing w:after="0" w:line="1" w:lineRule="exact"/>
        <w:rPr>
          <w:rFonts w:ascii="Arial" w:cs="Arial" w:eastAsia="Arial" w:hAnsi="Arial"/>
          <w:sz w:val="16"/>
          <w:szCs w:val="16"/>
          <w:b w:val="1"/>
          <w:bCs w:val="1"/>
          <w:i w:val="1"/>
          <w:iCs w:val="1"/>
          <w:color w:val="auto"/>
        </w:rPr>
      </w:pPr>
    </w:p>
    <w:p>
      <w:pPr>
        <w:ind w:left="360" w:hanging="351"/>
        <w:spacing w:after="0"/>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Primarily reflects sales through bundled lease arrangements.</w:t>
      </w:r>
    </w:p>
    <w:p>
      <w:pPr>
        <w:spacing w:after="0" w:line="2" w:lineRule="exact"/>
        <w:rPr>
          <w:rFonts w:ascii="Arial" w:cs="Arial" w:eastAsia="Arial" w:hAnsi="Arial"/>
          <w:sz w:val="16"/>
          <w:szCs w:val="16"/>
          <w:b w:val="1"/>
          <w:bCs w:val="1"/>
          <w:i w:val="1"/>
          <w:iCs w:val="1"/>
          <w:color w:val="auto"/>
        </w:rPr>
      </w:pPr>
    </w:p>
    <w:p>
      <w:pPr>
        <w:ind w:left="360" w:hanging="351"/>
        <w:spacing w:after="0"/>
        <w:tabs>
          <w:tab w:leader="none" w:pos="3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Primarily reflects sales through our two-tier distribution channels.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DA2031"/>
        </w:rPr>
        <w:t xml:space="preserve">Contract assets and liabilities: </w:t>
      </w:r>
      <w:r>
        <w:rPr>
          <w:rFonts w:ascii="Arial" w:cs="Arial" w:eastAsia="Arial" w:hAnsi="Arial"/>
          <w:sz w:val="19"/>
          <w:szCs w:val="19"/>
          <w:b w:val="1"/>
          <w:bCs w:val="1"/>
          <w:color w:val="000000"/>
        </w:rPr>
        <w:t>Our contract assets, which are primarily unbilled accounts receivable that are</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conditional on something other than the passage of time and were $34 and $0 at December 31, 2025 and 2024, respectively. Prior to the Lexmark Acquisition, we did not have contract assets, which are short-term in nature based on the frequency of the Company's billing cycle. Our contract liabilities, which represent billings in excess of revenue recognized, are primarily related to advanced billings for maintenance and other services to be performed and were $279 and $130 at December 31, 2025 and 2024, respectively. The majority of the balance at December 31, 2025 will be amortized to revenue over approximately the next 30 months.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our contract liabilities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2"/>
        </w:trPr>
        <w:tc>
          <w:tcPr>
            <w:tcW w:w="53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Balance at January 1</w:t>
            </w:r>
            <w:r>
              <w:rPr>
                <w:rFonts w:ascii="Arial" w:cs="Arial" w:eastAsia="Arial" w:hAnsi="Arial"/>
                <w:sz w:val="10"/>
                <w:szCs w:val="10"/>
                <w:b w:val="1"/>
                <w:bCs w:val="1"/>
                <w:color w:val="auto"/>
              </w:rPr>
              <w:t>st</w:t>
            </w:r>
          </w:p>
        </w:tc>
        <w:tc>
          <w:tcPr>
            <w:tcW w:w="1020" w:type="dxa"/>
            <w:vAlign w:val="bottom"/>
            <w:shd w:val="clear" w:color="auto" w:fill="DBDBDB"/>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c>
          <w:tcPr>
            <w:tcW w:w="1120" w:type="dxa"/>
            <w:vAlign w:val="bottom"/>
            <w:gridSpan w:val="2"/>
            <w:shd w:val="clear" w:color="auto" w:fill="DBDBDB"/>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132</w:t>
            </w:r>
          </w:p>
        </w:tc>
        <w:tc>
          <w:tcPr>
            <w:tcW w:w="420" w:type="dxa"/>
            <w:vAlign w:val="bottom"/>
            <w:gridSpan w:val="2"/>
            <w:shd w:val="clear" w:color="auto" w:fill="DBDBDB"/>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131</w:t>
            </w:r>
          </w:p>
        </w:tc>
      </w:tr>
      <w:tr>
        <w:trPr>
          <w:trHeight w:val="227"/>
        </w:trPr>
        <w:tc>
          <w:tcPr>
            <w:tcW w:w="5300" w:type="dxa"/>
            <w:vAlign w:val="bottom"/>
          </w:tcPr>
          <w:p>
            <w:pPr>
              <w:ind w:left="60"/>
              <w:spacing w:after="0"/>
              <w:rPr>
                <w:sz w:val="20"/>
                <w:szCs w:val="20"/>
                <w:color w:val="auto"/>
              </w:rPr>
            </w:pPr>
            <w:r>
              <w:rPr>
                <w:rFonts w:ascii="Arial" w:cs="Arial" w:eastAsia="Arial" w:hAnsi="Arial"/>
                <w:sz w:val="16"/>
                <w:szCs w:val="16"/>
                <w:b w:val="1"/>
                <w:bCs w:val="1"/>
                <w:color w:val="auto"/>
              </w:rPr>
              <w:t>Revenue recognized</w:t>
            </w:r>
            <w:r>
              <w:rPr>
                <w:rFonts w:ascii="Arial" w:cs="Arial" w:eastAsia="Arial" w:hAnsi="Arial"/>
                <w:sz w:val="10"/>
                <w:szCs w:val="10"/>
                <w:b w:val="1"/>
                <w:bCs w:val="1"/>
                <w:color w:val="auto"/>
              </w:rPr>
              <w:t>(1)</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(183)</w:t>
            </w:r>
          </w:p>
        </w:tc>
      </w:tr>
      <w:tr>
        <w:trPr>
          <w:trHeight w:val="239"/>
        </w:trPr>
        <w:tc>
          <w:tcPr>
            <w:tcW w:w="53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Billings and customer advances</w:t>
            </w:r>
          </w:p>
        </w:tc>
        <w:tc>
          <w:tcPr>
            <w:tcW w:w="1020" w:type="dxa"/>
            <w:vAlign w:val="bottom"/>
            <w:shd w:val="clear" w:color="auto" w:fill="DBDBDB"/>
          </w:tcPr>
          <w:p>
            <w:pPr>
              <w:spacing w:after="0"/>
              <w:rPr>
                <w:sz w:val="20"/>
                <w:szCs w:val="2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177</w:t>
            </w:r>
          </w:p>
        </w:tc>
        <w:tc>
          <w:tcPr>
            <w:tcW w:w="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187</w:t>
            </w:r>
          </w:p>
        </w:tc>
      </w:tr>
      <w:tr>
        <w:trPr>
          <w:trHeight w:val="227"/>
        </w:trPr>
        <w:tc>
          <w:tcPr>
            <w:tcW w:w="5300" w:type="dxa"/>
            <w:vAlign w:val="bottom"/>
          </w:tcPr>
          <w:p>
            <w:pPr>
              <w:ind w:left="60"/>
              <w:spacing w:after="0"/>
              <w:rPr>
                <w:sz w:val="20"/>
                <w:szCs w:val="20"/>
                <w:color w:val="auto"/>
              </w:rPr>
            </w:pPr>
            <w:r>
              <w:rPr>
                <w:rFonts w:ascii="Arial" w:cs="Arial" w:eastAsia="Arial" w:hAnsi="Arial"/>
                <w:sz w:val="16"/>
                <w:szCs w:val="16"/>
                <w:b w:val="1"/>
                <w:bCs w:val="1"/>
                <w:color w:val="auto"/>
              </w:rPr>
              <w:t>Foreign currency and other</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48"/>
        </w:trPr>
        <w:tc>
          <w:tcPr>
            <w:tcW w:w="53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Acquisition</w:t>
            </w:r>
            <w:r>
              <w:rPr>
                <w:rFonts w:ascii="Arial" w:cs="Arial" w:eastAsia="Arial" w:hAnsi="Arial"/>
                <w:sz w:val="10"/>
                <w:szCs w:val="10"/>
                <w:b w:val="1"/>
                <w:bCs w:val="1"/>
                <w:color w:val="auto"/>
              </w:rPr>
              <w:t>(2)</w:t>
            </w:r>
          </w:p>
        </w:tc>
        <w:tc>
          <w:tcPr>
            <w:tcW w:w="1020" w:type="dxa"/>
            <w:vAlign w:val="bottom"/>
            <w:tcBorders>
              <w:bottom w:val="single" w:sz="8" w:color="auto"/>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13</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r>
      <w:tr>
        <w:trPr>
          <w:trHeight w:val="213"/>
        </w:trPr>
        <w:tc>
          <w:tcPr>
            <w:tcW w:w="53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Balance at December 31</w:t>
            </w:r>
            <w:r>
              <w:rPr>
                <w:rFonts w:ascii="Arial" w:cs="Arial" w:eastAsia="Arial" w:hAnsi="Arial"/>
                <w:sz w:val="10"/>
                <w:szCs w:val="10"/>
                <w:b w:val="1"/>
                <w:bCs w:val="1"/>
                <w:color w:val="auto"/>
              </w:rPr>
              <w:t>st</w:t>
            </w:r>
          </w:p>
        </w:tc>
        <w:tc>
          <w:tcPr>
            <w:tcW w:w="1020" w:type="dxa"/>
            <w:vAlign w:val="bottom"/>
            <w:tcBorders>
              <w:bottom w:val="single" w:sz="8" w:color="auto"/>
            </w:tcBorders>
          </w:tcPr>
          <w:p>
            <w:pPr>
              <w:jc w:val="right"/>
              <w:ind w:right="802"/>
              <w:spacing w:after="0" w:line="175" w:lineRule="exact"/>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279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02"/>
              <w:spacing w:after="0" w:line="175" w:lineRule="exact"/>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130</w:t>
            </w: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42"/>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-43180</wp:posOffset>
            </wp:positionV>
            <wp:extent cx="2981960" cy="50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2981960" cy="5016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__________</w:t>
      </w:r>
    </w:p>
    <w:p>
      <w:pPr>
        <w:spacing w:after="0" w:line="26" w:lineRule="exact"/>
        <w:rPr>
          <w:sz w:val="20"/>
          <w:szCs w:val="20"/>
          <w:color w:val="auto"/>
        </w:rPr>
      </w:pPr>
    </w:p>
    <w:p>
      <w:pPr>
        <w:ind w:left="360" w:hanging="351"/>
        <w:spacing w:after="0" w:line="242" w:lineRule="auto"/>
        <w:tabs>
          <w:tab w:leader="none" w:pos="360" w:val="left"/>
        </w:tabs>
        <w:numPr>
          <w:ilvl w:val="0"/>
          <w:numId w:val="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Revenue recognized related to contract liabilities included in the January 1st beginning balance was $111, $109, $107 for the years ended December 31, 2025, 2024, and 2023, respectively.</w:t>
      </w:r>
    </w:p>
    <w:p>
      <w:pPr>
        <w:spacing w:after="0" w:line="1" w:lineRule="exact"/>
        <w:rPr>
          <w:rFonts w:ascii="Arial" w:cs="Arial" w:eastAsia="Arial" w:hAnsi="Arial"/>
          <w:sz w:val="16"/>
          <w:szCs w:val="16"/>
          <w:b w:val="1"/>
          <w:bCs w:val="1"/>
          <w:i w:val="1"/>
          <w:iCs w:val="1"/>
          <w:color w:val="auto"/>
        </w:rPr>
      </w:pPr>
    </w:p>
    <w:p>
      <w:pPr>
        <w:ind w:left="360" w:hanging="351"/>
        <w:spacing w:after="0" w:line="270" w:lineRule="auto"/>
        <w:tabs>
          <w:tab w:leader="none" w:pos="360" w:val="left"/>
        </w:tabs>
        <w:numPr>
          <w:ilvl w:val="0"/>
          <w:numId w:val="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Note 6 - Acquisition and Divestitures for additional information regarding the Lexmark Acquisition in 2025 and the ITsavvy Acquisition in 2024.</w:t>
      </w:r>
    </w:p>
    <w:p>
      <w:pPr>
        <w:spacing w:after="0" w:line="200" w:lineRule="exact"/>
        <w:rPr>
          <w:sz w:val="20"/>
          <w:szCs w:val="20"/>
          <w:color w:val="auto"/>
        </w:rPr>
      </w:pPr>
    </w:p>
    <w:p>
      <w:pPr>
        <w:spacing w:after="0" w:line="304" w:lineRule="exact"/>
        <w:rPr>
          <w:sz w:val="20"/>
          <w:szCs w:val="20"/>
          <w:color w:val="auto"/>
        </w:rPr>
      </w:pPr>
    </w:p>
    <w:p>
      <w:pPr>
        <w:jc w:val="center"/>
        <w:ind w:right="2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101</w:t>
      </w:r>
    </w:p>
    <w:p>
      <w:pPr>
        <w:sectPr>
          <w:pgSz w:w="11880" w:h="15480" w:orient="portrait"/>
          <w:cols w:equalWidth="0" w:num="1">
            <w:col w:w="9960"/>
          </w:cols>
          <w:pgMar w:left="980" w:top="637" w:right="940" w:bottom="0" w:gutter="0" w:footer="0" w:header="0"/>
        </w:sectPr>
      </w:pPr>
    </w:p>
    <w:bookmarkStart w:id="111" w:name="page112"/>
    <w:bookmarkEnd w:id="111"/>
    <w:p>
      <w:pPr>
        <w:jc w:val="both"/>
        <w:spacing w:after="0" w:line="261" w:lineRule="auto"/>
        <w:rPr>
          <w:sz w:val="20"/>
          <w:szCs w:val="20"/>
          <w:color w:val="auto"/>
        </w:rPr>
      </w:pPr>
      <w:r>
        <w:rPr>
          <w:rFonts w:ascii="Arial" w:cs="Arial" w:eastAsia="Arial" w:hAnsi="Arial"/>
          <w:sz w:val="19"/>
          <w:szCs w:val="19"/>
          <w:b w:val="1"/>
          <w:bCs w:val="1"/>
          <w:color w:val="auto"/>
        </w:rPr>
        <w:t>Historically, with the exception of our sales-type lease arrangements, our invoices to the customer, which normally had short-term payment terms, were typically aligned to the transfer of goods or as services were rendered to our customers and therefore in most cases we recognized revenue based on our right to invoice customers. As a result of the application of this practical expedient for the substantial portion of our revenue, the disclosure of the value of unsatisfied performance obligations for our services was not required. Certain service arrangements do not qualify for the right-to-invoice practical expedient and therefore require disclosure of unsatisfied performance obligations. These obligations primarily relate to multi-year managed services arrangements and extended warranty contracts where revenue is recognized over time.</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aggregate amount of the transaction price allocated to unsatisfied performance obligations including the amounts included in contract liabilities for committed customers was $644 at December 31, 2025. The Company expects to recognize revenues over the next one to five years based upon the nature of the associated agreements. Estimated amounts are subject to change due to various factors including, but not limited to the following: contract terminations, changes in contract scope, revised estimates, unrealized revenue adjustments, and currency fluctuations.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Contract Costs:</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incur the following contract costs as part of our revenue arrangements:</w:t>
      </w:r>
    </w:p>
    <w:p>
      <w:pPr>
        <w:spacing w:after="0" w:line="73" w:lineRule="exact"/>
        <w:rPr>
          <w:sz w:val="20"/>
          <w:szCs w:val="20"/>
          <w:color w:val="auto"/>
        </w:rPr>
      </w:pPr>
    </w:p>
    <w:p>
      <w:pPr>
        <w:jc w:val="both"/>
        <w:ind w:left="360" w:hanging="356"/>
        <w:spacing w:after="0" w:line="269" w:lineRule="auto"/>
        <w:tabs>
          <w:tab w:leader="none" w:pos="360" w:val="left"/>
        </w:tabs>
        <w:numPr>
          <w:ilvl w:val="0"/>
          <w:numId w:val="95"/>
        </w:numPr>
        <w:rPr>
          <w:rFonts w:ascii="Arial" w:cs="Arial" w:eastAsia="Arial" w:hAnsi="Arial"/>
          <w:sz w:val="19"/>
          <w:szCs w:val="19"/>
          <w:b w:val="1"/>
          <w:bCs w:val="1"/>
          <w:i w:val="1"/>
          <w:iCs w:val="1"/>
          <w:color w:val="DA2031"/>
        </w:rPr>
      </w:pPr>
      <w:r>
        <w:rPr>
          <w:rFonts w:ascii="Arial" w:cs="Arial" w:eastAsia="Arial" w:hAnsi="Arial"/>
          <w:sz w:val="19"/>
          <w:szCs w:val="19"/>
          <w:b w:val="1"/>
          <w:bCs w:val="1"/>
          <w:color w:val="auto"/>
        </w:rPr>
        <w:t>Incremental direct costs of obtaining a contract are primarily sales commissions paid to salespeople and agents in connection with the placement of equipment with post sale services arrangements. These costs are deferred and amortized to Selling Expenses on a straight-line basis over the estimated contract term, which is currently estimated to be approximately five years.</w:t>
      </w:r>
    </w:p>
    <w:p>
      <w:pPr>
        <w:spacing w:after="0" w:line="9" w:lineRule="exact"/>
        <w:rPr>
          <w:rFonts w:ascii="Arial" w:cs="Arial" w:eastAsia="Arial" w:hAnsi="Arial"/>
          <w:sz w:val="19"/>
          <w:szCs w:val="19"/>
          <w:b w:val="1"/>
          <w:bCs w:val="1"/>
          <w:i w:val="1"/>
          <w:iCs w:val="1"/>
          <w:color w:val="DA2031"/>
        </w:rPr>
      </w:pPr>
    </w:p>
    <w:p>
      <w:pPr>
        <w:jc w:val="both"/>
        <w:ind w:left="360" w:hanging="356"/>
        <w:spacing w:after="0" w:line="276" w:lineRule="auto"/>
        <w:tabs>
          <w:tab w:leader="none" w:pos="360" w:val="left"/>
        </w:tabs>
        <w:numPr>
          <w:ilvl w:val="0"/>
          <w:numId w:val="95"/>
        </w:numPr>
        <w:rPr>
          <w:rFonts w:ascii="Arial" w:cs="Arial" w:eastAsia="Arial" w:hAnsi="Arial"/>
          <w:sz w:val="19"/>
          <w:szCs w:val="19"/>
          <w:b w:val="1"/>
          <w:bCs w:val="1"/>
          <w:i w:val="1"/>
          <w:iCs w:val="1"/>
          <w:color w:val="DA2031"/>
        </w:rPr>
      </w:pPr>
      <w:r>
        <w:rPr>
          <w:rFonts w:ascii="Arial" w:cs="Arial" w:eastAsia="Arial" w:hAnsi="Arial"/>
          <w:sz w:val="19"/>
          <w:szCs w:val="19"/>
          <w:b w:val="1"/>
          <w:bCs w:val="1"/>
          <w:color w:val="auto"/>
        </w:rPr>
        <w:t>Contract fulfillment costs are costs incurred for resources and assets that will be used to satisfy our future performance obligations included in our service arrangements. These costs are amortized over the contractual service period of the arrangement to cost of services.</w:t>
      </w:r>
    </w:p>
    <w:p>
      <w:pPr>
        <w:spacing w:after="0" w:line="2" w:lineRule="exact"/>
        <w:rPr>
          <w:rFonts w:ascii="Arial" w:cs="Arial" w:eastAsia="Arial" w:hAnsi="Arial"/>
          <w:sz w:val="19"/>
          <w:szCs w:val="19"/>
          <w:b w:val="1"/>
          <w:bCs w:val="1"/>
          <w:i w:val="1"/>
          <w:iCs w:val="1"/>
          <w:color w:val="DA2031"/>
        </w:rPr>
      </w:pPr>
    </w:p>
    <w:p>
      <w:pPr>
        <w:ind w:left="360" w:hanging="356"/>
        <w:spacing w:after="0"/>
        <w:tabs>
          <w:tab w:leader="none" w:pos="360" w:val="left"/>
        </w:tabs>
        <w:numPr>
          <w:ilvl w:val="0"/>
          <w:numId w:val="95"/>
        </w:numPr>
        <w:rPr>
          <w:rFonts w:ascii="Arial" w:cs="Arial" w:eastAsia="Arial" w:hAnsi="Arial"/>
          <w:sz w:val="18"/>
          <w:szCs w:val="18"/>
          <w:b w:val="1"/>
          <w:bCs w:val="1"/>
          <w:i w:val="1"/>
          <w:iCs w:val="1"/>
          <w:color w:val="DA2031"/>
        </w:rPr>
      </w:pPr>
      <w:r>
        <w:rPr>
          <w:rFonts w:ascii="Arial" w:cs="Arial" w:eastAsia="Arial" w:hAnsi="Arial"/>
          <w:sz w:val="18"/>
          <w:szCs w:val="18"/>
          <w:b w:val="1"/>
          <w:bCs w:val="1"/>
          <w:color w:val="auto"/>
        </w:rPr>
        <w:t>Contract inducements are capitalized and amortized as a reduction of revenue over the term of the contract.</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contract costs, net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Balance at January 1st,</w:t>
            </w:r>
          </w:p>
        </w:tc>
        <w:tc>
          <w:tcPr>
            <w:tcW w:w="1060" w:type="dxa"/>
            <w:vAlign w:val="bottom"/>
            <w:shd w:val="clear" w:color="auto" w:fill="DBDBDB"/>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138</w:t>
            </w:r>
          </w:p>
        </w:tc>
        <w:tc>
          <w:tcPr>
            <w:tcW w:w="1120" w:type="dxa"/>
            <w:vAlign w:val="bottom"/>
            <w:gridSpan w:val="2"/>
            <w:shd w:val="clear" w:color="auto" w:fill="DBDBDB"/>
          </w:tcPr>
          <w:p>
            <w:pPr>
              <w:jc w:val="right"/>
              <w:ind w:right="822"/>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136</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135</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Customer contract costs deferred</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239"/>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Amortization of customer contract costs</w:t>
            </w:r>
          </w:p>
        </w:tc>
        <w:tc>
          <w:tcPr>
            <w:tcW w:w="1060" w:type="dxa"/>
            <w:vAlign w:val="bottom"/>
            <w:shd w:val="clear" w:color="auto" w:fill="DBDBDB"/>
          </w:tcPr>
          <w:p>
            <w:pPr>
              <w:spacing w:after="0"/>
              <w:rPr>
                <w:sz w:val="20"/>
                <w:szCs w:val="20"/>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(64)</w:t>
            </w:r>
          </w:p>
        </w:tc>
        <w:tc>
          <w:tcPr>
            <w:tcW w:w="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(69)</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(1)</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48"/>
        </w:trPr>
        <w:tc>
          <w:tcPr>
            <w:tcW w:w="5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 xml:space="preserve">Acquisition </w:t>
            </w:r>
            <w:r>
              <w:rPr>
                <w:rFonts w:ascii="Arial" w:cs="Arial" w:eastAsia="Arial" w:hAnsi="Arial"/>
                <w:sz w:val="10"/>
                <w:szCs w:val="10"/>
                <w:b w:val="1"/>
                <w:bCs w:val="1"/>
                <w:color w:val="auto"/>
              </w:rPr>
              <w:t>(2)</w:t>
            </w:r>
          </w:p>
        </w:tc>
        <w:tc>
          <w:tcPr>
            <w:tcW w:w="1060" w:type="dxa"/>
            <w:vAlign w:val="bottom"/>
            <w:tcBorders>
              <w:bottom w:val="single" w:sz="8" w:color="auto"/>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174"/>
        </w:trPr>
        <w:tc>
          <w:tcPr>
            <w:tcW w:w="53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Balance at December 31st,</w:t>
            </w:r>
          </w:p>
        </w:tc>
        <w:tc>
          <w:tcPr>
            <w:tcW w:w="1060" w:type="dxa"/>
            <w:vAlign w:val="bottom"/>
          </w:tcPr>
          <w:p>
            <w:pPr>
              <w:jc w:val="right"/>
              <w:ind w:right="842"/>
              <w:spacing w:after="0" w:line="175" w:lineRule="exact"/>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163</w:t>
            </w:r>
          </w:p>
        </w:tc>
        <w:tc>
          <w:tcPr>
            <w:tcW w:w="1120" w:type="dxa"/>
            <w:vAlign w:val="bottom"/>
            <w:gridSpan w:val="2"/>
          </w:tcPr>
          <w:p>
            <w:pPr>
              <w:jc w:val="right"/>
              <w:ind w:right="822"/>
              <w:spacing w:after="0" w:line="175"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138</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136</w:t>
            </w:r>
          </w:p>
        </w:tc>
      </w:tr>
      <w:tr>
        <w:trPr>
          <w:trHeight w:val="20"/>
        </w:trPr>
        <w:tc>
          <w:tcPr>
            <w:tcW w:w="5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-42545</wp:posOffset>
            </wp:positionV>
            <wp:extent cx="2963545" cy="50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296354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9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currency.</w:t>
      </w:r>
    </w:p>
    <w:p>
      <w:pPr>
        <w:spacing w:after="0" w:line="2"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9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customer contract costs related to the Lexmark Acquisition. Refer to Note 6 - Acquisitions and Divestitures for additional information</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Equipment and software used in the fulfillment of service arrangements, and where the Company retains control, are capitalized and depreciated over the shorter of their useful life or the term of the contract if an asset is contract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102</w:t>
      </w:r>
    </w:p>
    <w:p>
      <w:pPr>
        <w:sectPr>
          <w:pgSz w:w="11880" w:h="15480" w:orient="portrait"/>
          <w:cols w:equalWidth="0" w:num="1">
            <w:col w:w="9960"/>
          </w:cols>
          <w:pgMar w:left="960" w:top="649" w:right="960" w:bottom="0" w:gutter="0" w:footer="0" w:header="0"/>
        </w:sectPr>
      </w:pPr>
    </w:p>
    <w:bookmarkStart w:id="112" w:name="page113"/>
    <w:bookmarkEnd w:id="112"/>
    <w:p>
      <w:pPr>
        <w:spacing w:after="0"/>
        <w:rPr>
          <w:sz w:val="20"/>
          <w:szCs w:val="20"/>
          <w:color w:val="auto"/>
        </w:rPr>
      </w:pPr>
      <w:r>
        <w:rPr>
          <w:rFonts w:ascii="Arial" w:cs="Arial" w:eastAsia="Arial" w:hAnsi="Arial"/>
          <w:sz w:val="23"/>
          <w:szCs w:val="23"/>
          <w:b w:val="1"/>
          <w:bCs w:val="1"/>
          <w:color w:val="DA2031"/>
        </w:rPr>
        <w:t>Note 4 – Segment and Geographic Area Reporting</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Our reportable segments are aligned with how we manage the business and view the markets we serve. During the first quarter of 2025, the Company updated its determination of reportable segments to align with a change in how the Chief Operating Decision Maker (CODM), our Chief Executive Officer (CEO), allocates resources and assesses performance against the Company’s key growth and Reinvention strategies. As such, it was determined that there are two reportable segments - </w:t>
      </w:r>
      <w:r>
        <w:rPr>
          <w:rFonts w:ascii="Arial" w:cs="Arial" w:eastAsia="Arial" w:hAnsi="Arial"/>
          <w:sz w:val="19"/>
          <w:szCs w:val="19"/>
          <w:b w:val="1"/>
          <w:bCs w:val="1"/>
          <w:color w:val="DA2031"/>
        </w:rPr>
        <w:t>Print and Other</w:t>
      </w:r>
      <w:r>
        <w:rPr>
          <w:rFonts w:ascii="Arial" w:cs="Arial" w:eastAsia="Arial" w:hAnsi="Arial"/>
          <w:sz w:val="19"/>
          <w:szCs w:val="19"/>
          <w:b w:val="1"/>
          <w:bCs w:val="1"/>
          <w:color w:val="auto"/>
        </w:rPr>
        <w:t xml:space="preserve"> and </w:t>
      </w:r>
      <w:r>
        <w:rPr>
          <w:rFonts w:ascii="Arial" w:cs="Arial" w:eastAsia="Arial" w:hAnsi="Arial"/>
          <w:sz w:val="19"/>
          <w:szCs w:val="19"/>
          <w:b w:val="1"/>
          <w:bCs w:val="1"/>
          <w:color w:val="DA2031"/>
        </w:rPr>
        <w:t>IT Solutions</w:t>
      </w:r>
      <w:r>
        <w:rPr>
          <w:rFonts w:ascii="Arial" w:cs="Arial" w:eastAsia="Arial" w:hAnsi="Arial"/>
          <w:sz w:val="19"/>
          <w:szCs w:val="19"/>
          <w:b w:val="1"/>
          <w:bCs w:val="1"/>
          <w:color w:val="auto"/>
        </w:rPr>
        <w:t>. Prior to this change, the Company had determined that there were two reportable segments - Print and Other and Xerox Financial Solutions (XFS). As a result of this change, prior period reportable segment results and related disclosures have been conformed to reflect the Company’s current reportable segments.</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 xml:space="preserve">During 2024, the Company acquired ITsavvy Acquisition Company, Inc. (ITsavvy), a technology infrastructure solutions provider. As a result of this acquisition, during the first quarter of 2025, we reassessed our operating and reportable segments and determined that, based on the information provided to our CODM, as well as the CEO's management and assessment of the Company's operations, we had two operating and reportable segments - </w:t>
      </w:r>
      <w:r>
        <w:rPr>
          <w:rFonts w:ascii="Arial" w:cs="Arial" w:eastAsia="Arial" w:hAnsi="Arial"/>
          <w:sz w:val="18"/>
          <w:szCs w:val="18"/>
          <w:b w:val="1"/>
          <w:bCs w:val="1"/>
          <w:color w:val="DA2031"/>
        </w:rPr>
        <w:t>Print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DA2031"/>
        </w:rPr>
        <w:t xml:space="preserve">and Other </w:t>
      </w:r>
      <w:r>
        <w:rPr>
          <w:rFonts w:ascii="Arial" w:cs="Arial" w:eastAsia="Arial" w:hAnsi="Arial"/>
          <w:sz w:val="18"/>
          <w:szCs w:val="18"/>
          <w:b w:val="1"/>
          <w:bCs w:val="1"/>
          <w:color w:val="000000"/>
        </w:rPr>
        <w:t>and</w:t>
      </w:r>
      <w:r>
        <w:rPr>
          <w:rFonts w:ascii="Arial" w:cs="Arial" w:eastAsia="Arial" w:hAnsi="Arial"/>
          <w:sz w:val="18"/>
          <w:szCs w:val="18"/>
          <w:b w:val="1"/>
          <w:bCs w:val="1"/>
          <w:color w:val="DA2031"/>
        </w:rPr>
        <w:t xml:space="preserve"> IT Solutions</w:t>
      </w:r>
      <w:r>
        <w:rPr>
          <w:rFonts w:ascii="Arial" w:cs="Arial" w:eastAsia="Arial" w:hAnsi="Arial"/>
          <w:sz w:val="18"/>
          <w:szCs w:val="18"/>
          <w:b w:val="1"/>
          <w:bCs w:val="1"/>
          <w:color w:val="000000"/>
        </w:rPr>
        <w:t>. We also determined that there were no other businesses that met the requirements to</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be considered separate operating segments, including our former operating/reporting segment, XFS, whose results are now included in the Print and Other operating/reporting segment.</w:t>
      </w:r>
    </w:p>
    <w:p>
      <w:pPr>
        <w:spacing w:after="0" w:line="4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Our </w:t>
      </w:r>
      <w:r>
        <w:rPr>
          <w:rFonts w:ascii="Arial" w:cs="Arial" w:eastAsia="Arial" w:hAnsi="Arial"/>
          <w:sz w:val="19"/>
          <w:szCs w:val="19"/>
          <w:b w:val="1"/>
          <w:bCs w:val="1"/>
          <w:color w:val="DA2031"/>
        </w:rPr>
        <w:t>Print and Other</w:t>
      </w:r>
      <w:r>
        <w:rPr>
          <w:rFonts w:ascii="Arial" w:cs="Arial" w:eastAsia="Arial" w:hAnsi="Arial"/>
          <w:sz w:val="19"/>
          <w:szCs w:val="19"/>
          <w:b w:val="1"/>
          <w:bCs w:val="1"/>
          <w:color w:val="auto"/>
        </w:rPr>
        <w:t xml:space="preserve"> segment includes the design, development and sale of document management systems, supplies and services, as well as associated financing and technology-related offerings, digital and print-related software products and services. The segment also includes the delivery of managed services that involve a continuum of solutions and services that help our customers optimize their print and communications infrastructure, apply automation and simplification to maximize productivity, and ensure the highest levels of security. This segment also includes the Lexmark Acquisition. In addition, the segment includes Xerox Financial Services, a global financing solutions provider, primarily enabling the sale of our equipment and services (previously reported XFS segment), which includes commissions and other payments for the exclusive right to provide lease financing for Xerox products. Refer to Note 6 - Acquisition and Divestitures, for additional information regarding the Lexmark Acquisition.</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product groupings range from:</w:t>
      </w:r>
    </w:p>
    <w:p>
      <w:pPr>
        <w:spacing w:after="0" w:line="72" w:lineRule="exact"/>
        <w:rPr>
          <w:sz w:val="20"/>
          <w:szCs w:val="20"/>
          <w:color w:val="auto"/>
        </w:rPr>
      </w:pPr>
    </w:p>
    <w:p>
      <w:pPr>
        <w:ind w:left="700" w:hanging="347"/>
        <w:spacing w:after="0" w:line="287" w:lineRule="auto"/>
        <w:tabs>
          <w:tab w:leader="none" w:pos="70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“Entry”, which include A4 devices and desktop printers and multifunction devices that primarily serve small and medium workgroups/work teams.</w:t>
      </w:r>
    </w:p>
    <w:p>
      <w:pPr>
        <w:spacing w:after="0" w:line="1" w:lineRule="exact"/>
        <w:rPr>
          <w:rFonts w:ascii="Arial" w:cs="Arial" w:eastAsia="Arial" w:hAnsi="Arial"/>
          <w:sz w:val="19"/>
          <w:szCs w:val="19"/>
          <w:b w:val="1"/>
          <w:bCs w:val="1"/>
          <w:color w:val="auto"/>
        </w:rPr>
      </w:pPr>
    </w:p>
    <w:p>
      <w:pPr>
        <w:jc w:val="both"/>
        <w:ind w:left="700" w:hanging="347"/>
        <w:spacing w:after="0" w:line="277" w:lineRule="auto"/>
        <w:tabs>
          <w:tab w:leader="none" w:pos="70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“Mid-Range”, which include A3 devices that generally serve large workgroup/work team environments as well as products in the Light Production product groups serving centralized print centers, print for pay and low volume production print establishments.</w:t>
      </w:r>
    </w:p>
    <w:p>
      <w:pPr>
        <w:ind w:left="700" w:hanging="347"/>
        <w:spacing w:after="0" w:line="299" w:lineRule="auto"/>
        <w:tabs>
          <w:tab w:leader="none" w:pos="70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“High-End”, which include production printing and publishing systems that generally serve the graphic communications marketplace and print centers in large enterprises.</w:t>
      </w:r>
    </w:p>
    <w:p>
      <w:pPr>
        <w:spacing w:after="0" w:line="1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Customers range from small and mid-sized businesses to large enterprises. Customers also include graphic communication enterprises as well as channel partners including distributors and resellers.</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 xml:space="preserve">Our </w:t>
      </w:r>
      <w:r>
        <w:rPr>
          <w:rFonts w:ascii="Arial" w:cs="Arial" w:eastAsia="Arial" w:hAnsi="Arial"/>
          <w:sz w:val="18"/>
          <w:szCs w:val="18"/>
          <w:b w:val="1"/>
          <w:bCs w:val="1"/>
          <w:color w:val="DA2031"/>
        </w:rPr>
        <w:t>IT Solutions</w:t>
      </w:r>
      <w:r>
        <w:rPr>
          <w:rFonts w:ascii="Arial" w:cs="Arial" w:eastAsia="Arial" w:hAnsi="Arial"/>
          <w:sz w:val="18"/>
          <w:szCs w:val="18"/>
          <w:b w:val="1"/>
          <w:bCs w:val="1"/>
          <w:color w:val="auto"/>
        </w:rPr>
        <w:t xml:space="preserve"> segment provides clients of all sizes integrated IT infrastructure solutions, delivering business outcomes through its suite of Device Lifecycle Solutions, and Managed IT Services. The IT Solutions business leverages its professional services and engineering capabilities, along with an extensive partner ecosystem to design, develop and deliver comprehensive Network and Security Solutions, and Infrastructure and Cloud Solutions. This segment provides services to clients in the U.S., Canada, the U.K., and Western Europe.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Segment Policy</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We derive the results of our business segments directly from our internal management reporting system. The accounting policies that the Company uses to derive its segment results are substantially the same as those used by the Company in preparing its consolidated financial statements. The segment results include a significant level of management estimates regarding the allocation of expenses for shared selling, administrative and general services. Certain administrative and general expenses, which primarily relate to corporate functions, as well as Xerox Holdings' investment in Myriad, are not allocated to either of our operating/reportable segments. Accordingly, they are excluded from segment expenses and segment profit, and as such, the financial results for the segments may not be indicative of the results the businesses would have on a standalone basis or what might be presented for the businesses in stand-alone financial statements. The CODM measures the performance of each segment based on several metrics, including segment revenues, significant segment expenses, and segment profit. A segment expense is considered significant when it is material to the segment, is included in the measure of segment profit, and is included in information that is regularly provided to the CODM. The CODM uses segment revenues, significant segment expenses, and segment profit to evaluate the performance of, and to allocate resources to each</w:t>
      </w:r>
    </w:p>
    <w:p>
      <w:pPr>
        <w:spacing w:after="0" w:line="24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103</w:t>
      </w:r>
    </w:p>
    <w:p>
      <w:pPr>
        <w:sectPr>
          <w:pgSz w:w="11880" w:h="15480" w:orient="portrait"/>
          <w:cols w:equalWidth="0" w:num="1">
            <w:col w:w="9960"/>
          </w:cols>
          <w:pgMar w:left="960" w:top="637" w:right="960" w:bottom="0" w:gutter="0" w:footer="0" w:header="0"/>
        </w:sectPr>
      </w:pPr>
    </w:p>
    <w:bookmarkStart w:id="113" w:name="page114"/>
    <w:bookmarkEnd w:id="113"/>
    <w:p>
      <w:pPr>
        <w:jc w:val="both"/>
        <w:spacing w:after="0" w:line="299" w:lineRule="auto"/>
        <w:rPr>
          <w:sz w:val="20"/>
          <w:szCs w:val="20"/>
          <w:color w:val="auto"/>
        </w:rPr>
      </w:pPr>
      <w:r>
        <w:rPr>
          <w:rFonts w:ascii="Arial" w:cs="Arial" w:eastAsia="Arial" w:hAnsi="Arial"/>
          <w:sz w:val="18"/>
          <w:szCs w:val="18"/>
          <w:b w:val="1"/>
          <w:bCs w:val="1"/>
          <w:color w:val="auto"/>
        </w:rPr>
        <w:t>segment. The CODM does not evaluate segment performance using discrete asset information, as a significant portion of the assets is managed at the total company level. Segment profit is the only measure of profitability that is used by the CODM to evaluate the performance of, and to allocate resources to each segment.</w:t>
      </w:r>
    </w:p>
    <w:p>
      <w:pPr>
        <w:spacing w:after="0" w:line="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Segment revenue, significant segment expenses, segment profit, and other selected financial information for our reportable segments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Year Ended December 31, 2025</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3"/>
        </w:trPr>
        <w:tc>
          <w:tcPr>
            <w:tcW w:w="43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Print and Other</w:t>
            </w:r>
          </w:p>
        </w:tc>
        <w:tc>
          <w:tcPr>
            <w:tcW w:w="6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IT Solutions</w:t>
            </w:r>
          </w:p>
        </w:tc>
        <w:tc>
          <w:tcPr>
            <w:tcW w:w="60" w:type="dxa"/>
            <w:vAlign w:val="bottom"/>
            <w:tcBorders>
              <w:bottom w:val="single" w:sz="8" w:color="DBDBDB"/>
            </w:tcBorders>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Corporate Other</w:t>
            </w:r>
            <w:r>
              <w:rPr>
                <w:rFonts w:ascii="Arial" w:cs="Arial" w:eastAsia="Arial" w:hAnsi="Arial"/>
                <w:sz w:val="10"/>
                <w:szCs w:val="10"/>
                <w:b w:val="1"/>
                <w:bCs w:val="1"/>
                <w:color w:val="auto"/>
                <w:w w:val="94"/>
              </w:rPr>
              <w:t>(1)</w:t>
            </w:r>
          </w:p>
        </w:tc>
        <w:tc>
          <w:tcPr>
            <w:tcW w:w="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Total</w:t>
            </w:r>
          </w:p>
        </w:tc>
      </w:tr>
      <w:tr>
        <w:trPr>
          <w:trHeight w:val="22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External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6,272</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750</w:t>
            </w:r>
          </w:p>
        </w:tc>
        <w:tc>
          <w:tcPr>
            <w:tcW w:w="66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7,022</w:t>
            </w:r>
          </w:p>
        </w:tc>
      </w:tr>
      <w:tr>
        <w:trPr>
          <w:trHeight w:val="223"/>
        </w:trPr>
        <w:tc>
          <w:tcPr>
            <w:tcW w:w="4360" w:type="dxa"/>
            <w:vAlign w:val="bottom"/>
            <w:tcBorders>
              <w:bottom w:val="single" w:sz="8" w:color="DBDBDB"/>
            </w:tcBorders>
          </w:tcPr>
          <w:p>
            <w:pPr>
              <w:ind w:left="60"/>
              <w:spacing w:after="0"/>
              <w:rPr>
                <w:sz w:val="20"/>
                <w:szCs w:val="20"/>
                <w:color w:val="auto"/>
              </w:rPr>
            </w:pPr>
            <w:r>
              <w:rPr>
                <w:rFonts w:ascii="Arial" w:cs="Arial" w:eastAsia="Arial" w:hAnsi="Arial"/>
                <w:sz w:val="16"/>
                <w:szCs w:val="16"/>
                <w:b w:val="1"/>
                <w:bCs w:val="1"/>
                <w:color w:val="auto"/>
              </w:rPr>
              <w:t>Intersegment net revenue</w:t>
            </w:r>
            <w:r>
              <w:rPr>
                <w:rFonts w:ascii="Arial" w:cs="Arial" w:eastAsia="Arial" w:hAnsi="Arial"/>
                <w:sz w:val="10"/>
                <w:szCs w:val="10"/>
                <w:b w:val="1"/>
                <w:bCs w:val="1"/>
                <w:color w:val="auto"/>
              </w:rPr>
              <w:t>(2)</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w:t>
            </w:r>
          </w:p>
        </w:tc>
        <w:tc>
          <w:tcPr>
            <w:tcW w:w="60" w:type="dxa"/>
            <w:vAlign w:val="bottom"/>
            <w:tcBorders>
              <w:bottom w:val="single" w:sz="8" w:color="DBDBDB"/>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32"/>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Total Segment net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6,272</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761</w:t>
            </w:r>
          </w:p>
        </w:tc>
        <w:tc>
          <w:tcPr>
            <w:tcW w:w="66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7,033</w:t>
            </w:r>
          </w:p>
        </w:tc>
      </w:tr>
      <w:tr>
        <w:trPr>
          <w:trHeight w:val="204"/>
        </w:trPr>
        <w:tc>
          <w:tcPr>
            <w:tcW w:w="4360" w:type="dxa"/>
            <w:vAlign w:val="bottom"/>
            <w:tcBorders>
              <w:top w:val="single" w:sz="8" w:color="DBDBDB"/>
            </w:tcBorders>
          </w:tcPr>
          <w:p>
            <w:pPr>
              <w:ind w:left="60"/>
              <w:spacing w:after="0"/>
              <w:rPr>
                <w:sz w:val="20"/>
                <w:szCs w:val="20"/>
                <w:color w:val="auto"/>
              </w:rPr>
            </w:pPr>
            <w:r>
              <w:rPr>
                <w:rFonts w:ascii="Arial" w:cs="Arial" w:eastAsia="Arial" w:hAnsi="Arial"/>
                <w:sz w:val="16"/>
                <w:szCs w:val="16"/>
                <w:b w:val="1"/>
                <w:bCs w:val="1"/>
                <w:color w:val="auto"/>
              </w:rPr>
              <w:t>Reconciliation to Segment Profit</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Cost of sales</w:t>
            </w:r>
            <w:r>
              <w:rPr>
                <w:rFonts w:ascii="Arial" w:cs="Arial" w:eastAsia="Arial" w:hAnsi="Arial"/>
                <w:sz w:val="10"/>
                <w:szCs w:val="10"/>
                <w:b w:val="1"/>
                <w:bCs w:val="1"/>
                <w:color w:val="auto"/>
              </w:rPr>
              <w:t>(3)(4)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1,820</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421</w:t>
            </w:r>
          </w:p>
        </w:tc>
        <w:tc>
          <w:tcPr>
            <w:tcW w:w="66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2,241</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Cost of services, maintenance, rentals and other</w:t>
            </w:r>
            <w:r>
              <w:rPr>
                <w:rFonts w:ascii="Arial" w:cs="Arial" w:eastAsia="Arial" w:hAnsi="Arial"/>
                <w:sz w:val="10"/>
                <w:szCs w:val="10"/>
                <w:b w:val="1"/>
                <w:bCs w:val="1"/>
                <w:color w:val="auto"/>
              </w:rPr>
              <w:t>(4)(5)(6)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189</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2,729</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Research, development and engineering expenses</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228</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228</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Selling, administrative and general expenses</w:t>
            </w:r>
            <w:r>
              <w:rPr>
                <w:rFonts w:ascii="Arial" w:cs="Arial" w:eastAsia="Arial" w:hAnsi="Arial"/>
                <w:sz w:val="10"/>
                <w:szCs w:val="10"/>
                <w:b w:val="1"/>
                <w:bCs w:val="1"/>
                <w:color w:val="auto"/>
              </w:rPr>
              <w:t>(7)(8)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1,402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101</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1,576</w:t>
            </w:r>
          </w:p>
        </w:tc>
      </w:tr>
      <w:tr>
        <w:trPr>
          <w:trHeight w:val="243"/>
        </w:trPr>
        <w:tc>
          <w:tcPr>
            <w:tcW w:w="43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Intersegment expense</w:t>
            </w:r>
            <w:r>
              <w:rPr>
                <w:rFonts w:ascii="Arial" w:cs="Arial" w:eastAsia="Arial" w:hAnsi="Arial"/>
                <w:sz w:val="10"/>
                <w:szCs w:val="10"/>
                <w:b w:val="1"/>
                <w:bCs w:val="1"/>
                <w:color w:val="auto"/>
              </w:rPr>
              <w:t>(9)</w:t>
            </w:r>
          </w:p>
        </w:tc>
        <w:tc>
          <w:tcPr>
            <w:tcW w:w="16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w:t>
            </w:r>
          </w:p>
        </w:tc>
      </w:tr>
      <w:tr>
        <w:trPr>
          <w:trHeight w:val="212"/>
        </w:trPr>
        <w:tc>
          <w:tcPr>
            <w:tcW w:w="436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Segment profit</w:t>
            </w:r>
          </w:p>
        </w:tc>
        <w:tc>
          <w:tcPr>
            <w:tcW w:w="1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279</w:t>
            </w:r>
          </w:p>
        </w:tc>
        <w:tc>
          <w:tcPr>
            <w:tcW w:w="260" w:type="dxa"/>
            <w:vAlign w:val="bottom"/>
            <w:gridSpan w:val="2"/>
          </w:tcPr>
          <w:p>
            <w:pPr>
              <w:jc w:val="right"/>
              <w:ind w:right="60"/>
              <w:spacing w:after="0" w:line="174"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42</w:t>
            </w:r>
          </w:p>
        </w:tc>
        <w:tc>
          <w:tcPr>
            <w:tcW w:w="660" w:type="dxa"/>
            <w:vAlign w:val="bottom"/>
            <w:gridSpan w:val="2"/>
          </w:tcPr>
          <w:p>
            <w:pPr>
              <w:ind w:left="100"/>
              <w:spacing w:after="0" w:line="174"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(73)</w:t>
            </w:r>
          </w:p>
        </w:tc>
        <w:tc>
          <w:tcPr>
            <w:tcW w:w="380" w:type="dxa"/>
            <w:vAlign w:val="bottom"/>
            <w:gridSpan w:val="2"/>
          </w:tcPr>
          <w:p>
            <w:pPr>
              <w:jc w:val="right"/>
              <w:ind w:right="102"/>
              <w:spacing w:after="0" w:line="174"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248</w:t>
            </w:r>
          </w:p>
        </w:tc>
      </w:tr>
      <w:tr>
        <w:trPr>
          <w:trHeight w:val="204"/>
        </w:trPr>
        <w:tc>
          <w:tcPr>
            <w:tcW w:w="436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600" w:type="dxa"/>
            <w:vAlign w:val="bottom"/>
            <w:tcBorders>
              <w:top w:val="single" w:sz="8" w:color="auto"/>
            </w:tcBorders>
            <w:shd w:val="clear" w:color="auto" w:fill="DBDBDB"/>
          </w:tcPr>
          <w:p>
            <w:pPr>
              <w:spacing w:after="0"/>
              <w:rPr>
                <w:sz w:val="17"/>
                <w:szCs w:val="17"/>
                <w:color w:val="auto"/>
              </w:rPr>
            </w:pPr>
          </w:p>
        </w:tc>
        <w:tc>
          <w:tcPr>
            <w:tcW w:w="74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spacing w:after="0"/>
              <w:rPr>
                <w:sz w:val="17"/>
                <w:szCs w:val="17"/>
                <w:color w:val="auto"/>
              </w:rPr>
            </w:pPr>
          </w:p>
        </w:tc>
        <w:tc>
          <w:tcPr>
            <w:tcW w:w="1040" w:type="dxa"/>
            <w:vAlign w:val="bottom"/>
            <w:tcBorders>
              <w:top w:val="single" w:sz="8" w:color="auto"/>
            </w:tcBorders>
            <w:shd w:val="clear" w:color="auto" w:fill="DBDBDB"/>
          </w:tcPr>
          <w:p>
            <w:pPr>
              <w:spacing w:after="0"/>
              <w:rPr>
                <w:sz w:val="17"/>
                <w:szCs w:val="17"/>
                <w:color w:val="auto"/>
              </w:rPr>
            </w:pP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0"/>
                <w:szCs w:val="10"/>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126</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0"/>
                <w:szCs w:val="10"/>
                <w:b w:val="1"/>
                <w:bCs w:val="1"/>
                <w:color w:val="auto"/>
              </w:rPr>
              <w:t>(4)</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86</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86</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Depreciation and amortization</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248</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Capital expenditures</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90</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91</w:t>
            </w:r>
          </w:p>
        </w:tc>
      </w:tr>
      <w:tr>
        <w:trPr>
          <w:trHeight w:val="236"/>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9,132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691</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9,823</w:t>
            </w:r>
          </w:p>
        </w:tc>
      </w:tr>
      <w:tr>
        <w:trPr>
          <w:trHeight w:val="428"/>
        </w:trPr>
        <w:tc>
          <w:tcPr>
            <w:tcW w:w="4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Year Ended December 31, 2024</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3"/>
        </w:trPr>
        <w:tc>
          <w:tcPr>
            <w:tcW w:w="43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Print and Other</w:t>
            </w:r>
          </w:p>
        </w:tc>
        <w:tc>
          <w:tcPr>
            <w:tcW w:w="6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IT Solutions</w:t>
            </w:r>
          </w:p>
        </w:tc>
        <w:tc>
          <w:tcPr>
            <w:tcW w:w="60" w:type="dxa"/>
            <w:vAlign w:val="bottom"/>
            <w:tcBorders>
              <w:bottom w:val="single" w:sz="8" w:color="DBDBDB"/>
            </w:tcBorders>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Corporate Other</w:t>
            </w:r>
            <w:r>
              <w:rPr>
                <w:rFonts w:ascii="Arial" w:cs="Arial" w:eastAsia="Arial" w:hAnsi="Arial"/>
                <w:sz w:val="10"/>
                <w:szCs w:val="10"/>
                <w:b w:val="1"/>
                <w:bCs w:val="1"/>
                <w:color w:val="auto"/>
                <w:w w:val="94"/>
              </w:rPr>
              <w:t>(1)</w:t>
            </w:r>
          </w:p>
        </w:tc>
        <w:tc>
          <w:tcPr>
            <w:tcW w:w="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Total</w:t>
            </w:r>
          </w:p>
        </w:tc>
      </w:tr>
      <w:tr>
        <w:trPr>
          <w:trHeight w:val="222"/>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External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5,864</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357</w:t>
            </w:r>
          </w:p>
        </w:tc>
        <w:tc>
          <w:tcPr>
            <w:tcW w:w="66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6,221</w:t>
            </w:r>
          </w:p>
        </w:tc>
      </w:tr>
      <w:tr>
        <w:trPr>
          <w:trHeight w:val="223"/>
        </w:trPr>
        <w:tc>
          <w:tcPr>
            <w:tcW w:w="4360" w:type="dxa"/>
            <w:vAlign w:val="bottom"/>
            <w:tcBorders>
              <w:bottom w:val="single" w:sz="8" w:color="DBDBDB"/>
            </w:tcBorders>
          </w:tcPr>
          <w:p>
            <w:pPr>
              <w:ind w:left="60"/>
              <w:spacing w:after="0"/>
              <w:rPr>
                <w:sz w:val="20"/>
                <w:szCs w:val="20"/>
                <w:color w:val="auto"/>
              </w:rPr>
            </w:pPr>
            <w:r>
              <w:rPr>
                <w:rFonts w:ascii="Arial" w:cs="Arial" w:eastAsia="Arial" w:hAnsi="Arial"/>
                <w:sz w:val="16"/>
                <w:szCs w:val="16"/>
                <w:b w:val="1"/>
                <w:bCs w:val="1"/>
                <w:color w:val="auto"/>
              </w:rPr>
              <w:t>Intersegment net revenue</w:t>
            </w:r>
            <w:r>
              <w:rPr>
                <w:rFonts w:ascii="Arial" w:cs="Arial" w:eastAsia="Arial" w:hAnsi="Arial"/>
                <w:sz w:val="10"/>
                <w:szCs w:val="10"/>
                <w:b w:val="1"/>
                <w:bCs w:val="1"/>
                <w:color w:val="auto"/>
              </w:rPr>
              <w:t>(2)</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DBDBDB"/>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32"/>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Total Segment net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5,864</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358</w:t>
            </w:r>
          </w:p>
        </w:tc>
        <w:tc>
          <w:tcPr>
            <w:tcW w:w="66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6,222</w:t>
            </w:r>
          </w:p>
        </w:tc>
      </w:tr>
      <w:tr>
        <w:trPr>
          <w:trHeight w:val="204"/>
        </w:trPr>
        <w:tc>
          <w:tcPr>
            <w:tcW w:w="4360" w:type="dxa"/>
            <w:vAlign w:val="bottom"/>
            <w:tcBorders>
              <w:top w:val="single" w:sz="8" w:color="DBDBDB"/>
            </w:tcBorders>
          </w:tcPr>
          <w:p>
            <w:pPr>
              <w:ind w:left="60"/>
              <w:spacing w:after="0"/>
              <w:rPr>
                <w:sz w:val="20"/>
                <w:szCs w:val="20"/>
                <w:color w:val="auto"/>
              </w:rPr>
            </w:pPr>
            <w:r>
              <w:rPr>
                <w:rFonts w:ascii="Arial" w:cs="Arial" w:eastAsia="Arial" w:hAnsi="Arial"/>
                <w:sz w:val="16"/>
                <w:szCs w:val="16"/>
                <w:b w:val="1"/>
                <w:bCs w:val="1"/>
                <w:color w:val="auto"/>
              </w:rPr>
              <w:t>Reconciliation to Segment Profit</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Cost of sales</w:t>
            </w:r>
            <w:r>
              <w:rPr>
                <w:rFonts w:ascii="Arial" w:cs="Arial" w:eastAsia="Arial" w:hAnsi="Arial"/>
                <w:sz w:val="10"/>
                <w:szCs w:val="10"/>
                <w:b w:val="1"/>
                <w:bCs w:val="1"/>
                <w:color w:val="auto"/>
              </w:rPr>
              <w:t>(3)(4)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1,357</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197</w:t>
            </w:r>
          </w:p>
        </w:tc>
        <w:tc>
          <w:tcPr>
            <w:tcW w:w="66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1,554</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Cost of services, maintenance, rentals and other</w:t>
            </w:r>
            <w:r>
              <w:rPr>
                <w:rFonts w:ascii="Arial" w:cs="Arial" w:eastAsia="Arial" w:hAnsi="Arial"/>
                <w:sz w:val="10"/>
                <w:szCs w:val="10"/>
                <w:b w:val="1"/>
                <w:bCs w:val="1"/>
                <w:color w:val="auto"/>
              </w:rPr>
              <w:t>(4)(5)(6)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2,553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103</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2,656</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Research, development and engineering expenses</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191</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191</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Selling, administrative and general expenses</w:t>
            </w:r>
            <w:r>
              <w:rPr>
                <w:rFonts w:ascii="Arial" w:cs="Arial" w:eastAsia="Arial" w:hAnsi="Arial"/>
                <w:sz w:val="10"/>
                <w:szCs w:val="10"/>
                <w:b w:val="1"/>
                <w:bCs w:val="1"/>
                <w:color w:val="auto"/>
              </w:rPr>
              <w:t>(7)(8)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1,366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58</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1,518</w:t>
            </w:r>
          </w:p>
        </w:tc>
      </w:tr>
      <w:tr>
        <w:trPr>
          <w:trHeight w:val="243"/>
        </w:trPr>
        <w:tc>
          <w:tcPr>
            <w:tcW w:w="43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Intersegment expense</w:t>
            </w:r>
            <w:r>
              <w:rPr>
                <w:rFonts w:ascii="Arial" w:cs="Arial" w:eastAsia="Arial" w:hAnsi="Arial"/>
                <w:sz w:val="10"/>
                <w:szCs w:val="10"/>
                <w:b w:val="1"/>
                <w:bCs w:val="1"/>
                <w:color w:val="auto"/>
              </w:rPr>
              <w:t>(9)</w:t>
            </w:r>
          </w:p>
        </w:tc>
        <w:tc>
          <w:tcPr>
            <w:tcW w:w="16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r>
      <w:tr>
        <w:trPr>
          <w:trHeight w:val="212"/>
        </w:trPr>
        <w:tc>
          <w:tcPr>
            <w:tcW w:w="436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Segment profit</w:t>
            </w:r>
          </w:p>
        </w:tc>
        <w:tc>
          <w:tcPr>
            <w:tcW w:w="1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396</w:t>
            </w:r>
          </w:p>
        </w:tc>
        <w:tc>
          <w:tcPr>
            <w:tcW w:w="260" w:type="dxa"/>
            <w:vAlign w:val="bottom"/>
            <w:gridSpan w:val="2"/>
          </w:tcPr>
          <w:p>
            <w:pPr>
              <w:jc w:val="right"/>
              <w:ind w:right="60"/>
              <w:spacing w:after="0" w:line="174"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ind w:left="100"/>
              <w:spacing w:after="0" w:line="174"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(94)</w:t>
            </w:r>
          </w:p>
        </w:tc>
        <w:tc>
          <w:tcPr>
            <w:tcW w:w="380" w:type="dxa"/>
            <w:vAlign w:val="bottom"/>
            <w:gridSpan w:val="2"/>
          </w:tcPr>
          <w:p>
            <w:pPr>
              <w:jc w:val="right"/>
              <w:ind w:right="102"/>
              <w:spacing w:after="0" w:line="174"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302</w:t>
            </w:r>
          </w:p>
        </w:tc>
      </w:tr>
      <w:tr>
        <w:trPr>
          <w:trHeight w:val="204"/>
        </w:trPr>
        <w:tc>
          <w:tcPr>
            <w:tcW w:w="436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600" w:type="dxa"/>
            <w:vAlign w:val="bottom"/>
            <w:tcBorders>
              <w:top w:val="single" w:sz="8" w:color="auto"/>
            </w:tcBorders>
            <w:shd w:val="clear" w:color="auto" w:fill="DBDBDB"/>
          </w:tcPr>
          <w:p>
            <w:pPr>
              <w:spacing w:after="0"/>
              <w:rPr>
                <w:sz w:val="17"/>
                <w:szCs w:val="17"/>
                <w:color w:val="auto"/>
              </w:rPr>
            </w:pPr>
          </w:p>
        </w:tc>
        <w:tc>
          <w:tcPr>
            <w:tcW w:w="74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spacing w:after="0"/>
              <w:rPr>
                <w:sz w:val="17"/>
                <w:szCs w:val="17"/>
                <w:color w:val="auto"/>
              </w:rPr>
            </w:pPr>
          </w:p>
        </w:tc>
        <w:tc>
          <w:tcPr>
            <w:tcW w:w="1040" w:type="dxa"/>
            <w:vAlign w:val="bottom"/>
            <w:tcBorders>
              <w:top w:val="single" w:sz="8" w:color="auto"/>
            </w:tcBorders>
            <w:shd w:val="clear" w:color="auto" w:fill="DBDBDB"/>
          </w:tcPr>
          <w:p>
            <w:pPr>
              <w:spacing w:after="0"/>
              <w:rPr>
                <w:sz w:val="17"/>
                <w:szCs w:val="17"/>
                <w:color w:val="auto"/>
              </w:rPr>
            </w:pP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0"/>
                <w:szCs w:val="10"/>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151</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0"/>
                <w:szCs w:val="10"/>
                <w:b w:val="1"/>
                <w:bCs w:val="1"/>
                <w:color w:val="auto"/>
              </w:rPr>
              <w:t>(4)</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106</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106</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Depreciation and amortization</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Capital expenditures</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44</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44</w:t>
            </w:r>
          </w:p>
        </w:tc>
      </w:tr>
      <w:tr>
        <w:trPr>
          <w:trHeight w:val="236"/>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7,649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716</w:t>
            </w:r>
          </w:p>
        </w:tc>
        <w:tc>
          <w:tcPr>
            <w:tcW w:w="66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-4741545</wp:posOffset>
            </wp:positionV>
            <wp:extent cx="3573145" cy="50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3573145" cy="5016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-3706495</wp:posOffset>
            </wp:positionV>
            <wp:extent cx="3573145" cy="5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3573145" cy="5016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-1948180</wp:posOffset>
            </wp:positionV>
            <wp:extent cx="3573145" cy="5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3573145" cy="5016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-913130</wp:posOffset>
            </wp:positionV>
            <wp:extent cx="3573145" cy="50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357314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104</w:t>
      </w:r>
    </w:p>
    <w:p>
      <w:pPr>
        <w:sectPr>
          <w:pgSz w:w="11880" w:h="15480" w:orient="portrait"/>
          <w:cols w:equalWidth="0" w:num="1">
            <w:col w:w="9960"/>
          </w:cols>
          <w:pgMar w:left="960" w:top="649" w:right="960" w:bottom="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6"/>
                <w:szCs w:val="16"/>
                <w:b w:val="1"/>
                <w:bCs w:val="1"/>
                <w:color w:val="auto"/>
                <w:w w:val="95"/>
              </w:rPr>
              <w:t>Year Ended December 31, 2023</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3"/>
        </w:trPr>
        <w:tc>
          <w:tcPr>
            <w:tcW w:w="43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Print and Other</w:t>
            </w:r>
          </w:p>
        </w:tc>
        <w:tc>
          <w:tcPr>
            <w:tcW w:w="6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3"/>
              </w:rPr>
              <w:t>IT Solutions</w:t>
            </w:r>
          </w:p>
        </w:tc>
        <w:tc>
          <w:tcPr>
            <w:tcW w:w="60" w:type="dxa"/>
            <w:vAlign w:val="bottom"/>
            <w:tcBorders>
              <w:bottom w:val="single" w:sz="8" w:color="DBDBDB"/>
            </w:tcBorders>
          </w:tcPr>
          <w:p>
            <w:pPr>
              <w:spacing w:after="0"/>
              <w:rPr>
                <w:sz w:val="18"/>
                <w:szCs w:val="18"/>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Corporate Other</w:t>
            </w:r>
            <w:r>
              <w:rPr>
                <w:rFonts w:ascii="Arial" w:cs="Arial" w:eastAsia="Arial" w:hAnsi="Arial"/>
                <w:sz w:val="10"/>
                <w:szCs w:val="10"/>
                <w:b w:val="1"/>
                <w:bCs w:val="1"/>
                <w:color w:val="auto"/>
                <w:w w:val="94"/>
              </w:rPr>
              <w:t>(1)</w:t>
            </w:r>
          </w:p>
        </w:tc>
        <w:tc>
          <w:tcPr>
            <w:tcW w:w="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Total</w:t>
            </w:r>
          </w:p>
        </w:tc>
      </w:tr>
      <w:tr>
        <w:trPr>
          <w:trHeight w:val="22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External net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6,523</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363</w:t>
            </w:r>
          </w:p>
        </w:tc>
        <w:tc>
          <w:tcPr>
            <w:tcW w:w="60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6,886</w:t>
            </w:r>
          </w:p>
        </w:tc>
      </w:tr>
      <w:tr>
        <w:trPr>
          <w:trHeight w:val="223"/>
        </w:trPr>
        <w:tc>
          <w:tcPr>
            <w:tcW w:w="4360" w:type="dxa"/>
            <w:vAlign w:val="bottom"/>
            <w:tcBorders>
              <w:bottom w:val="single" w:sz="8" w:color="DBDBDB"/>
            </w:tcBorders>
          </w:tcPr>
          <w:p>
            <w:pPr>
              <w:ind w:left="60"/>
              <w:spacing w:after="0"/>
              <w:rPr>
                <w:sz w:val="20"/>
                <w:szCs w:val="20"/>
                <w:color w:val="auto"/>
              </w:rPr>
            </w:pPr>
            <w:r>
              <w:rPr>
                <w:rFonts w:ascii="Arial" w:cs="Arial" w:eastAsia="Arial" w:hAnsi="Arial"/>
                <w:sz w:val="16"/>
                <w:szCs w:val="16"/>
                <w:b w:val="1"/>
                <w:bCs w:val="1"/>
                <w:color w:val="auto"/>
              </w:rPr>
              <w:t>Intersegment revenue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32"/>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Total Segment net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6,523</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363</w:t>
            </w:r>
          </w:p>
        </w:tc>
        <w:tc>
          <w:tcPr>
            <w:tcW w:w="60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6,886</w:t>
            </w:r>
          </w:p>
        </w:tc>
      </w:tr>
      <w:tr>
        <w:trPr>
          <w:trHeight w:val="204"/>
        </w:trPr>
        <w:tc>
          <w:tcPr>
            <w:tcW w:w="4360" w:type="dxa"/>
            <w:vAlign w:val="bottom"/>
            <w:tcBorders>
              <w:top w:val="single" w:sz="8" w:color="DBDBDB"/>
            </w:tcBorders>
          </w:tcPr>
          <w:p>
            <w:pPr>
              <w:ind w:left="60"/>
              <w:spacing w:after="0"/>
              <w:rPr>
                <w:sz w:val="20"/>
                <w:szCs w:val="20"/>
                <w:color w:val="auto"/>
              </w:rPr>
            </w:pPr>
            <w:r>
              <w:rPr>
                <w:rFonts w:ascii="Arial" w:cs="Arial" w:eastAsia="Arial" w:hAnsi="Arial"/>
                <w:sz w:val="16"/>
                <w:szCs w:val="16"/>
                <w:b w:val="1"/>
                <w:bCs w:val="1"/>
                <w:color w:val="auto"/>
              </w:rPr>
              <w:t>Reconciliation to Segment Profit</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Cost of sales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1,556</w:t>
            </w:r>
          </w:p>
        </w:tc>
        <w:tc>
          <w:tcPr>
            <w:tcW w:w="2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222</w:t>
            </w:r>
          </w:p>
        </w:tc>
        <w:tc>
          <w:tcPr>
            <w:tcW w:w="600" w:type="dxa"/>
            <w:vAlign w:val="bottom"/>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1,778</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Cost of services, maintenance, rentals and other</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2,706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88</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2,794</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Research, development and engineering expenses</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229</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229</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Selling, administrative and general expenses</w:t>
            </w:r>
            <w:r>
              <w:rPr>
                <w:rFonts w:ascii="Arial" w:cs="Arial" w:eastAsia="Arial" w:hAnsi="Arial"/>
                <w:sz w:val="10"/>
                <w:szCs w:val="10"/>
                <w:b w:val="1"/>
                <w:bCs w:val="1"/>
                <w:color w:val="auto"/>
              </w:rPr>
              <w:t>(7)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48</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1,696</w:t>
            </w:r>
          </w:p>
        </w:tc>
      </w:tr>
      <w:tr>
        <w:trPr>
          <w:trHeight w:val="243"/>
        </w:trPr>
        <w:tc>
          <w:tcPr>
            <w:tcW w:w="436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Intersegment expense</w:t>
            </w:r>
          </w:p>
        </w:tc>
        <w:tc>
          <w:tcPr>
            <w:tcW w:w="16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r>
      <w:tr>
        <w:trPr>
          <w:trHeight w:val="212"/>
        </w:trPr>
        <w:tc>
          <w:tcPr>
            <w:tcW w:w="436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Segment profit</w:t>
            </w:r>
          </w:p>
        </w:tc>
        <w:tc>
          <w:tcPr>
            <w:tcW w:w="1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485</w:t>
            </w:r>
          </w:p>
        </w:tc>
        <w:tc>
          <w:tcPr>
            <w:tcW w:w="260" w:type="dxa"/>
            <w:vAlign w:val="bottom"/>
            <w:gridSpan w:val="2"/>
          </w:tcPr>
          <w:p>
            <w:pPr>
              <w:jc w:val="right"/>
              <w:ind w:right="60"/>
              <w:spacing w:after="0" w:line="174"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5</w:t>
            </w:r>
          </w:p>
        </w:tc>
        <w:tc>
          <w:tcPr>
            <w:tcW w:w="600" w:type="dxa"/>
            <w:vAlign w:val="bottom"/>
            <w:gridSpan w:val="2"/>
          </w:tcPr>
          <w:p>
            <w:pPr>
              <w:ind w:left="100"/>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(101)</w:t>
            </w:r>
          </w:p>
        </w:tc>
        <w:tc>
          <w:tcPr>
            <w:tcW w:w="380" w:type="dxa"/>
            <w:vAlign w:val="bottom"/>
            <w:gridSpan w:val="2"/>
          </w:tcPr>
          <w:p>
            <w:pPr>
              <w:jc w:val="right"/>
              <w:ind w:right="180"/>
              <w:spacing w:after="0" w:line="174"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389</w:t>
            </w:r>
          </w:p>
        </w:tc>
      </w:tr>
      <w:tr>
        <w:trPr>
          <w:trHeight w:val="204"/>
        </w:trPr>
        <w:tc>
          <w:tcPr>
            <w:tcW w:w="436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540" w:type="dxa"/>
            <w:vAlign w:val="bottom"/>
            <w:tcBorders>
              <w:top w:val="single" w:sz="8" w:color="auto"/>
            </w:tcBorders>
            <w:shd w:val="clear" w:color="auto" w:fill="DBDBDB"/>
          </w:tcPr>
          <w:p>
            <w:pPr>
              <w:spacing w:after="0"/>
              <w:rPr>
                <w:sz w:val="17"/>
                <w:szCs w:val="17"/>
                <w:color w:val="auto"/>
              </w:rPr>
            </w:pPr>
          </w:p>
        </w:tc>
        <w:tc>
          <w:tcPr>
            <w:tcW w:w="800" w:type="dxa"/>
            <w:vAlign w:val="bottom"/>
            <w:tcBorders>
              <w:top w:val="single" w:sz="8" w:color="auto"/>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spacing w:after="0"/>
              <w:rPr>
                <w:sz w:val="17"/>
                <w:szCs w:val="17"/>
                <w:color w:val="auto"/>
              </w:rPr>
            </w:pPr>
          </w:p>
        </w:tc>
        <w:tc>
          <w:tcPr>
            <w:tcW w:w="1040" w:type="dxa"/>
            <w:vAlign w:val="bottom"/>
            <w:tcBorders>
              <w:top w:val="single" w:sz="8" w:color="auto"/>
            </w:tcBorders>
            <w:shd w:val="clear" w:color="auto" w:fill="DBDBDB"/>
          </w:tcPr>
          <w:p>
            <w:pPr>
              <w:spacing w:after="0"/>
              <w:rPr>
                <w:sz w:val="17"/>
                <w:szCs w:val="17"/>
                <w:color w:val="auto"/>
              </w:rPr>
            </w:pP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0"/>
                <w:szCs w:val="10"/>
                <w:b w:val="1"/>
                <w:bCs w:val="1"/>
                <w:color w:val="auto"/>
              </w:rPr>
              <w:t>(10)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0"/>
                <w:szCs w:val="10"/>
                <w:b w:val="1"/>
                <w:bCs w:val="1"/>
                <w:color w:val="auto"/>
              </w:rPr>
              <w:t>(6)</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r>
      <w:tr>
        <w:trPr>
          <w:trHeight w:val="233"/>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Depreciation and amortization</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208</w:t>
            </w:r>
          </w:p>
        </w:tc>
      </w:tr>
      <w:tr>
        <w:trPr>
          <w:trHeight w:val="233"/>
        </w:trPr>
        <w:tc>
          <w:tcPr>
            <w:tcW w:w="436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Capital expenditures</w:t>
            </w:r>
          </w:p>
        </w:tc>
        <w:tc>
          <w:tcPr>
            <w:tcW w:w="1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37</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37</w:t>
            </w:r>
          </w:p>
        </w:tc>
      </w:tr>
      <w:tr>
        <w:trPr>
          <w:trHeight w:val="236"/>
        </w:trPr>
        <w:tc>
          <w:tcPr>
            <w:tcW w:w="4360" w:type="dxa"/>
            <w:vAlign w:val="bottom"/>
          </w:tcPr>
          <w:p>
            <w:pPr>
              <w:ind w:left="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9,782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226</w:t>
            </w:r>
          </w:p>
        </w:tc>
        <w:tc>
          <w:tcPr>
            <w:tcW w:w="60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-1948180</wp:posOffset>
            </wp:positionV>
            <wp:extent cx="3573145" cy="5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3573145" cy="5016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-913130</wp:posOffset>
            </wp:positionV>
            <wp:extent cx="3573145"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3573145" cy="50165"/>
                    </a:xfrm>
                    <a:prstGeom prst="rect">
                      <a:avLst/>
                    </a:prstGeom>
                    <a:noFill/>
                  </pic:spPr>
                </pic:pic>
              </a:graphicData>
            </a:graphic>
          </wp:anchor>
        </w:drawing>
      </w:r>
    </w:p>
    <w:p>
      <w:pPr>
        <w:spacing w:after="0" w:line="6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_____________</w:t>
      </w:r>
    </w:p>
    <w:p>
      <w:pPr>
        <w:spacing w:after="0" w:line="20" w:lineRule="exact"/>
        <w:rPr>
          <w:sz w:val="20"/>
          <w:szCs w:val="20"/>
          <w:color w:val="auto"/>
        </w:rPr>
      </w:pPr>
    </w:p>
    <w:p>
      <w:pPr>
        <w:ind w:left="360" w:hanging="356"/>
        <w:spacing w:after="0" w:line="242"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Certain administrative and general expenses, which primarily relate to corporate functions, are not allocated to either of our operating/ reportable segments.</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Intersegment revenue is primarily revenue from IT hardware, software solutions and services, sold by the IT Solutions segment to the Print and Other segment.</w:t>
      </w:r>
    </w:p>
    <w:p>
      <w:pPr>
        <w:spacing w:after="0" w:line="1" w:lineRule="exact"/>
        <w:rPr>
          <w:rFonts w:ascii="Arial" w:cs="Arial" w:eastAsia="Arial" w:hAnsi="Arial"/>
          <w:sz w:val="16"/>
          <w:szCs w:val="16"/>
          <w:b w:val="1"/>
          <w:bCs w:val="1"/>
          <w:i w:val="1"/>
          <w:iCs w:val="1"/>
          <w:color w:val="auto"/>
        </w:rPr>
      </w:pPr>
    </w:p>
    <w:p>
      <w:pPr>
        <w:ind w:left="360" w:hanging="356"/>
        <w:spacing w:after="0" w:line="277" w:lineRule="auto"/>
        <w:tabs>
          <w:tab w:leader="none" w:pos="360" w:val="left"/>
        </w:tabs>
        <w:numPr>
          <w:ilvl w:val="0"/>
          <w:numId w:val="9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Excludes the impact of a charge made for inventory purchase accounting adjustments related to the Lexmark Acquisition of $102 year ended December 31, 2025. Refer to Note 6 - Acquisition and Divestitures for additional information regarding the Lexmark Acquisition.</w:t>
      </w:r>
    </w:p>
    <w:p>
      <w:pPr>
        <w:jc w:val="both"/>
        <w:ind w:left="360" w:hanging="356"/>
        <w:spacing w:after="0" w:line="242"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As a result of the exit of certain production print manufacturing operations, Cost of sales and Cost of services, maintenance, rentals and other for the Print and Other Segment excludes inventory-related charges of $24 and $8 for the years ended December 31, 2025 and 2024, respectively, as well as the cancellation of related purchase contracts $— and $43 for the years ended December 31, 2025 and 2024, respectively.</w:t>
      </w:r>
    </w:p>
    <w:p>
      <w:pPr>
        <w:spacing w:after="0" w:line="2" w:lineRule="exact"/>
        <w:rPr>
          <w:rFonts w:ascii="Arial" w:cs="Arial" w:eastAsia="Arial" w:hAnsi="Arial"/>
          <w:sz w:val="16"/>
          <w:szCs w:val="16"/>
          <w:b w:val="1"/>
          <w:bCs w:val="1"/>
          <w:i w:val="1"/>
          <w:iCs w:val="1"/>
          <w:color w:val="auto"/>
        </w:rPr>
      </w:pPr>
    </w:p>
    <w:p>
      <w:pPr>
        <w:ind w:left="360" w:hanging="356"/>
        <w:spacing w:after="0" w:line="277" w:lineRule="auto"/>
        <w:tabs>
          <w:tab w:leader="none" w:pos="360" w:val="left"/>
        </w:tabs>
        <w:numPr>
          <w:ilvl w:val="0"/>
          <w:numId w:val="9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Excludes the impact of fixed asset purchase accounting adjustments related to the Lexmark Acquisition of $29 for year ended December 31, 2025. Refer to Note 6 - Acquisition and Divestitures for additional information regarding the Lexmark Acquisition</w:t>
      </w:r>
    </w:p>
    <w:p>
      <w:pPr>
        <w:jc w:val="both"/>
        <w:ind w:left="360" w:hanging="356"/>
        <w:spacing w:after="0" w:line="242"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equipment financing interest expense associated with Company's financing debt, which is fully allocated to the Print and Other segment in support of its Finance assets. No interest expense is allocated to the IT Solutions segment, as the segment has no financing debt.</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42"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bad debt expense for the Print and Other segment of $39, $42, $28 for the three years ended December 31, 2025, 2024 and 2023, respectively. Bad debt expense for the IT Solutions segment was nil for the three years ended December 31, 2025, 2024 and 2023, respectively.</w:t>
      </w:r>
    </w:p>
    <w:p>
      <w:pPr>
        <w:spacing w:after="0" w:line="2" w:lineRule="exact"/>
        <w:rPr>
          <w:rFonts w:ascii="Arial" w:cs="Arial" w:eastAsia="Arial" w:hAnsi="Arial"/>
          <w:sz w:val="16"/>
          <w:szCs w:val="16"/>
          <w:b w:val="1"/>
          <w:bCs w:val="1"/>
          <w:i w:val="1"/>
          <w:iCs w:val="1"/>
          <w:color w:val="auto"/>
        </w:rPr>
      </w:pPr>
    </w:p>
    <w:p>
      <w:pPr>
        <w:jc w:val="both"/>
        <w:ind w:left="360" w:hanging="356"/>
        <w:spacing w:after="0" w:line="277" w:lineRule="auto"/>
        <w:tabs>
          <w:tab w:leader="none" w:pos="360" w:val="left"/>
        </w:tabs>
        <w:numPr>
          <w:ilvl w:val="0"/>
          <w:numId w:val="9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The Print and Other segment excludes Reinvention Costs of $17 and $12, and Transaction and related costs, net of $33 and $5, for the years ended December 31, 2025 and 2024, respectively. Additionally, the Print and Other segment excludes $25 for the year ended December 31, 2025 related to the settlement of pre-existing employment agreements as a result of the Lexmark Acquisition. The IT Solutions segment excludes Transaction and related costs, net of $1 and $2, for the years ended December 31, 2025 and 2024, respectively. Refer to Note 6 - Acquisition and Divestitures for additional information regarding the Lexmark Acquisition and ITsavvy.</w:t>
      </w:r>
    </w:p>
    <w:p>
      <w:pPr>
        <w:spacing w:after="0" w:line="2" w:lineRule="exact"/>
        <w:rPr>
          <w:rFonts w:ascii="Arial" w:cs="Arial" w:eastAsia="Arial" w:hAnsi="Arial"/>
          <w:sz w:val="14"/>
          <w:szCs w:val="14"/>
          <w:b w:val="1"/>
          <w:bCs w:val="1"/>
          <w:i w:val="1"/>
          <w:iCs w:val="1"/>
          <w:color w:val="auto"/>
        </w:rPr>
      </w:pPr>
    </w:p>
    <w:p>
      <w:pPr>
        <w:ind w:left="360" w:hanging="356"/>
        <w:spacing w:after="0" w:line="226"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Intersegment expense primarily consists of costs related to the sale of IT hardware, software solutions and services by the IT Solutions segment, to the Print and Other segment.</w:t>
      </w:r>
    </w:p>
    <w:p>
      <w:pPr>
        <w:spacing w:after="0" w:line="1" w:lineRule="exact"/>
        <w:rPr>
          <w:rFonts w:ascii="Arial" w:cs="Arial" w:eastAsia="Arial" w:hAnsi="Arial"/>
          <w:sz w:val="16"/>
          <w:szCs w:val="16"/>
          <w:b w:val="1"/>
          <w:bCs w:val="1"/>
          <w:i w:val="1"/>
          <w:iCs w:val="1"/>
          <w:color w:val="auto"/>
        </w:rPr>
      </w:pPr>
    </w:p>
    <w:p>
      <w:pPr>
        <w:ind w:left="360" w:hanging="356"/>
        <w:spacing w:after="0" w:line="254" w:lineRule="auto"/>
        <w:tabs>
          <w:tab w:leader="none" w:pos="3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financing income, which is included in Services, maintenance, rentals and other in the Consolidated Statements of (Loss) Income. No interest income is allocated to the IT Solutions segment, as the segment has no finance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105</w:t>
      </w:r>
    </w:p>
    <w:p>
      <w:pPr>
        <w:sectPr>
          <w:pgSz w:w="11880" w:h="15480" w:orient="portrait"/>
          <w:cols w:equalWidth="0" w:num="1">
            <w:col w:w="9960"/>
          </w:cols>
          <w:pgMar w:left="960" w:top="732" w:right="960" w:bottom="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color w:val="auto"/>
        </w:rPr>
        <w:t>Selected financial information for our reportable segments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6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12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000" w:type="dxa"/>
            <w:vAlign w:val="bottom"/>
            <w:tcBorders>
              <w:bottom w:val="single" w:sz="8" w:color="DBDBDB"/>
            </w:tcBorders>
          </w:tcPr>
          <w:p>
            <w:pPr>
              <w:spacing w:after="0"/>
              <w:rPr>
                <w:sz w:val="21"/>
                <w:szCs w:val="21"/>
                <w:color w:val="auto"/>
              </w:rPr>
            </w:pPr>
          </w:p>
        </w:tc>
        <w:tc>
          <w:tcPr>
            <w:tcW w:w="3040" w:type="dxa"/>
            <w:vAlign w:val="bottom"/>
            <w:tcBorders>
              <w:bottom w:val="single" w:sz="8" w:color="DBDBDB"/>
            </w:tcBorders>
          </w:tcPr>
          <w:p>
            <w:pPr>
              <w:spacing w:after="0"/>
              <w:rPr>
                <w:sz w:val="21"/>
                <w:szCs w:val="21"/>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DBDBDB"/>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BDBDB"/>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9"/>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Pre-tax (Loss)</w:t>
            </w:r>
          </w:p>
        </w:tc>
        <w:tc>
          <w:tcPr>
            <w:tcW w:w="10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DBDBDB"/>
            </w:tcBorders>
            <w:shd w:val="clear" w:color="auto" w:fill="DBDBDB"/>
          </w:tcPr>
          <w:p>
            <w:pPr>
              <w:spacing w:after="0"/>
              <w:rPr>
                <w:sz w:val="2"/>
                <w:szCs w:val="2"/>
                <w:color w:val="auto"/>
              </w:rPr>
            </w:pPr>
          </w:p>
        </w:tc>
        <w:tc>
          <w:tcPr>
            <w:tcW w:w="1020" w:type="dxa"/>
            <w:vAlign w:val="bottom"/>
            <w:tcBorders>
              <w:top w:val="single" w:sz="8" w:color="auto"/>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1000" w:type="dxa"/>
            <w:vAlign w:val="bottom"/>
            <w:tcBorders>
              <w:top w:val="single" w:sz="8" w:color="DBDBDB"/>
            </w:tcBorders>
            <w:shd w:val="clear" w:color="auto" w:fill="DBDBDB"/>
          </w:tcPr>
          <w:p>
            <w:pPr>
              <w:spacing w:after="0"/>
              <w:rPr>
                <w:sz w:val="2"/>
                <w:szCs w:val="2"/>
                <w:color w:val="auto"/>
              </w:rPr>
            </w:pPr>
          </w:p>
        </w:tc>
        <w:tc>
          <w:tcPr>
            <w:tcW w:w="3040" w:type="dxa"/>
            <w:vAlign w:val="bottom"/>
            <w:tcBorders>
              <w:top w:val="single" w:sz="8" w:color="DBDBDB"/>
            </w:tcBorders>
            <w:shd w:val="clear" w:color="auto" w:fill="DBDBDB"/>
          </w:tcPr>
          <w:p>
            <w:pPr>
              <w:spacing w:after="0"/>
              <w:rPr>
                <w:sz w:val="2"/>
                <w:szCs w:val="2"/>
                <w:color w:val="auto"/>
              </w:rPr>
            </w:pPr>
          </w:p>
        </w:tc>
        <w:tc>
          <w:tcPr>
            <w:tcW w:w="102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36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36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tcPr>
          <w:p>
            <w:pPr>
              <w:spacing w:after="0"/>
              <w:rPr>
                <w:sz w:val="21"/>
                <w:szCs w:val="21"/>
                <w:color w:val="auto"/>
              </w:rPr>
            </w:pPr>
          </w:p>
        </w:tc>
        <w:tc>
          <w:tcPr>
            <w:tcW w:w="5280" w:type="dxa"/>
            <w:vAlign w:val="bottom"/>
            <w:gridSpan w:val="5"/>
          </w:tcPr>
          <w:p>
            <w:pPr>
              <w:spacing w:after="0"/>
              <w:rPr>
                <w:sz w:val="20"/>
                <w:szCs w:val="20"/>
                <w:color w:val="auto"/>
              </w:rPr>
            </w:pPr>
            <w:r>
              <w:rPr>
                <w:rFonts w:ascii="Arial" w:cs="Arial" w:eastAsia="Arial" w:hAnsi="Arial"/>
                <w:sz w:val="16"/>
                <w:szCs w:val="16"/>
                <w:b w:val="1"/>
                <w:bCs w:val="1"/>
                <w:color w:val="auto"/>
              </w:rPr>
              <w:t>Total Segment profit</w:t>
            </w:r>
          </w:p>
        </w:tc>
        <w:tc>
          <w:tcPr>
            <w:tcW w:w="1020" w:type="dxa"/>
            <w:vAlign w:val="bottom"/>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248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389</w:t>
            </w:r>
          </w:p>
        </w:tc>
        <w:tc>
          <w:tcPr>
            <w:tcW w:w="0" w:type="dxa"/>
            <w:vAlign w:val="bottom"/>
          </w:tcPr>
          <w:p>
            <w:pPr>
              <w:spacing w:after="0"/>
              <w:rPr>
                <w:sz w:val="1"/>
                <w:szCs w:val="1"/>
                <w:color w:val="auto"/>
              </w:rPr>
            </w:pPr>
          </w:p>
        </w:tc>
      </w:tr>
      <w:tr>
        <w:trPr>
          <w:trHeight w:val="253"/>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Goodwill impairment</w:t>
            </w:r>
            <w:r>
              <w:rPr>
                <w:rFonts w:ascii="Arial" w:cs="Arial" w:eastAsia="Arial" w:hAnsi="Arial"/>
                <w:sz w:val="10"/>
                <w:szCs w:val="10"/>
                <w:b w:val="1"/>
                <w:bCs w:val="1"/>
                <w:color w:val="auto"/>
              </w:rPr>
              <w:t>(1)</w:t>
            </w:r>
          </w:p>
        </w:tc>
        <w:tc>
          <w:tcPr>
            <w:tcW w:w="1020" w:type="dxa"/>
            <w:vAlign w:val="bottom"/>
            <w:shd w:val="clear" w:color="auto" w:fill="DBDBDB"/>
          </w:tcPr>
          <w:p>
            <w:pPr>
              <w:spacing w:after="0"/>
              <w:rPr>
                <w:sz w:val="22"/>
                <w:szCs w:val="2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(1,058)</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Restructuring and related costs, net</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0" w:type="dxa"/>
            <w:vAlign w:val="bottom"/>
          </w:tcPr>
          <w:p>
            <w:pPr>
              <w:spacing w:after="0"/>
              <w:rPr>
                <w:sz w:val="1"/>
                <w:szCs w:val="1"/>
                <w:color w:val="auto"/>
              </w:rPr>
            </w:pPr>
          </w:p>
        </w:tc>
      </w:tr>
      <w:tr>
        <w:trPr>
          <w:trHeight w:val="253"/>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Amortization of intangible assets</w:t>
            </w:r>
          </w:p>
        </w:tc>
        <w:tc>
          <w:tcPr>
            <w:tcW w:w="1020" w:type="dxa"/>
            <w:vAlign w:val="bottom"/>
            <w:shd w:val="clear" w:color="auto" w:fill="DBDBDB"/>
          </w:tcPr>
          <w:p>
            <w:pPr>
              <w:spacing w:after="0"/>
              <w:rPr>
                <w:sz w:val="22"/>
                <w:szCs w:val="2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(83)</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42"/>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Reinvention-related costs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3"/>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Purchase Accounting Adjustment - Fixed Assets</w:t>
            </w:r>
          </w:p>
        </w:tc>
        <w:tc>
          <w:tcPr>
            <w:tcW w:w="1020" w:type="dxa"/>
            <w:vAlign w:val="bottom"/>
            <w:shd w:val="clear" w:color="auto" w:fill="DBDBDB"/>
          </w:tcPr>
          <w:p>
            <w:pPr>
              <w:spacing w:after="0"/>
              <w:rPr>
                <w:sz w:val="22"/>
                <w:szCs w:val="2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(29)</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Purchase Accounting Adjustment - Inventory</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3"/>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Settlement of pre-existing employment agreements</w:t>
            </w:r>
          </w:p>
        </w:tc>
        <w:tc>
          <w:tcPr>
            <w:tcW w:w="1020" w:type="dxa"/>
            <w:vAlign w:val="bottom"/>
            <w:shd w:val="clear" w:color="auto" w:fill="DBDBDB"/>
          </w:tcPr>
          <w:p>
            <w:pPr>
              <w:spacing w:after="0"/>
              <w:rPr>
                <w:sz w:val="22"/>
                <w:szCs w:val="2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(25)</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2"/>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Transaction-related costs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2"/>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w w:val="96"/>
              </w:rPr>
              <w:t>Inventory-related impact - exit of certain production print manufacturing</w:t>
            </w:r>
          </w:p>
        </w:tc>
        <w:tc>
          <w:tcPr>
            <w:tcW w:w="1020" w:type="dxa"/>
            <w:vAlign w:val="bottom"/>
            <w:shd w:val="clear" w:color="auto" w:fill="DBDBDB"/>
          </w:tcPr>
          <w:p>
            <w:pPr>
              <w:spacing w:after="0"/>
              <w:rPr>
                <w:sz w:val="16"/>
                <w:szCs w:val="16"/>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(24)</w:t>
            </w:r>
          </w:p>
        </w:tc>
        <w:tc>
          <w:tcPr>
            <w:tcW w:w="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spacing w:after="0"/>
              <w:rPr>
                <w:sz w:val="20"/>
                <w:szCs w:val="20"/>
                <w:color w:val="auto"/>
              </w:rPr>
            </w:pPr>
            <w:r>
              <w:rPr>
                <w:rFonts w:ascii="Arial" w:cs="Arial" w:eastAsia="Arial" w:hAnsi="Arial"/>
                <w:sz w:val="16"/>
                <w:szCs w:val="16"/>
                <w:b w:val="1"/>
                <w:bCs w:val="1"/>
                <w:color w:val="auto"/>
              </w:rPr>
              <w:t>(51)</w:t>
            </w:r>
          </w:p>
        </w:tc>
        <w:tc>
          <w:tcPr>
            <w:tcW w:w="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operations</w:t>
            </w:r>
            <w:r>
              <w:rPr>
                <w:rFonts w:ascii="Arial" w:cs="Arial" w:eastAsia="Arial" w:hAnsi="Arial"/>
                <w:sz w:val="10"/>
                <w:szCs w:val="10"/>
                <w:b w:val="1"/>
                <w:bCs w:val="1"/>
                <w:color w:val="auto"/>
              </w:rPr>
              <w:t>(2)</w:t>
            </w:r>
          </w:p>
        </w:tc>
        <w:tc>
          <w:tcPr>
            <w:tcW w:w="1020" w:type="dxa"/>
            <w:vAlign w:val="bottom"/>
            <w:shd w:val="clear" w:color="auto" w:fill="DBDBDB"/>
          </w:tcPr>
          <w:p>
            <w:pPr>
              <w:spacing w:after="0"/>
              <w:rPr>
                <w:sz w:val="17"/>
                <w:szCs w:val="17"/>
                <w:color w:val="auto"/>
              </w:rPr>
            </w:pPr>
          </w:p>
        </w:tc>
        <w:tc>
          <w:tcPr>
            <w:tcW w:w="480" w:type="dxa"/>
            <w:vAlign w:val="bottom"/>
            <w:vMerge w:val="continue"/>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vMerge w:val="continue"/>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Divestitures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3"/>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PARC Donation</w:t>
            </w:r>
          </w:p>
        </w:tc>
        <w:tc>
          <w:tcPr>
            <w:tcW w:w="1020" w:type="dxa"/>
            <w:vAlign w:val="bottom"/>
            <w:shd w:val="clear" w:color="auto" w:fill="DBDBDB"/>
          </w:tcPr>
          <w:p>
            <w:pPr>
              <w:spacing w:after="0"/>
              <w:rPr>
                <w:sz w:val="22"/>
                <w:szCs w:val="2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DBDBDB"/>
            </w:tcBorders>
            <w:gridSpan w:val="6"/>
          </w:tcPr>
          <w:p>
            <w:pPr>
              <w:ind w:left="60"/>
              <w:spacing w:after="0"/>
              <w:rPr>
                <w:sz w:val="20"/>
                <w:szCs w:val="20"/>
                <w:color w:val="auto"/>
              </w:rPr>
            </w:pPr>
            <w:r>
              <w:rPr>
                <w:rFonts w:ascii="Arial" w:cs="Arial" w:eastAsia="Arial" w:hAnsi="Arial"/>
                <w:sz w:val="16"/>
                <w:szCs w:val="16"/>
                <w:b w:val="1"/>
                <w:bCs w:val="1"/>
                <w:color w:val="auto"/>
              </w:rPr>
              <w:t>Other expenses, net</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w:t>
            </w:r>
          </w:p>
        </w:tc>
        <w:tc>
          <w:tcPr>
            <w:tcW w:w="6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w:t>
            </w:r>
          </w:p>
        </w:tc>
        <w:tc>
          <w:tcPr>
            <w:tcW w:w="6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47"/>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Total Pre-tax loss</w:t>
            </w:r>
          </w:p>
        </w:tc>
        <w:tc>
          <w:tcPr>
            <w:tcW w:w="1020" w:type="dxa"/>
            <w:vAlign w:val="bottom"/>
            <w:shd w:val="clear" w:color="auto" w:fill="DBDBDB"/>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(488)</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(1,216)</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160"/>
        </w:trPr>
        <w:tc>
          <w:tcPr>
            <w:tcW w:w="60" w:type="dxa"/>
            <w:vAlign w:val="bottom"/>
            <w:tcBorders>
              <w:top w:val="single" w:sz="8" w:color="DBDBDB"/>
            </w:tcBorders>
          </w:tcPr>
          <w:p>
            <w:pPr>
              <w:spacing w:after="0"/>
              <w:rPr>
                <w:sz w:val="13"/>
                <w:szCs w:val="13"/>
                <w:color w:val="auto"/>
              </w:rPr>
            </w:pPr>
          </w:p>
        </w:tc>
        <w:tc>
          <w:tcPr>
            <w:tcW w:w="1020" w:type="dxa"/>
            <w:vAlign w:val="bottom"/>
            <w:tcBorders>
              <w:top w:val="single" w:sz="8" w:color="DBDBDB"/>
            </w:tcBorders>
          </w:tcPr>
          <w:p>
            <w:pPr>
              <w:spacing w:after="0"/>
              <w:rPr>
                <w:sz w:val="13"/>
                <w:szCs w:val="13"/>
                <w:color w:val="auto"/>
              </w:rPr>
            </w:pPr>
          </w:p>
        </w:tc>
        <w:tc>
          <w:tcPr>
            <w:tcW w:w="120" w:type="dxa"/>
            <w:vAlign w:val="bottom"/>
            <w:tcBorders>
              <w:top w:val="single" w:sz="8" w:color="DBDBDB"/>
            </w:tcBorders>
          </w:tcPr>
          <w:p>
            <w:pPr>
              <w:spacing w:after="0"/>
              <w:rPr>
                <w:sz w:val="13"/>
                <w:szCs w:val="13"/>
                <w:color w:val="auto"/>
              </w:rPr>
            </w:pPr>
          </w:p>
        </w:tc>
        <w:tc>
          <w:tcPr>
            <w:tcW w:w="100" w:type="dxa"/>
            <w:vAlign w:val="bottom"/>
            <w:tcBorders>
              <w:top w:val="single" w:sz="8" w:color="DBDBDB"/>
            </w:tcBorders>
          </w:tcPr>
          <w:p>
            <w:pPr>
              <w:spacing w:after="0"/>
              <w:rPr>
                <w:sz w:val="13"/>
                <w:szCs w:val="13"/>
                <w:color w:val="auto"/>
              </w:rPr>
            </w:pPr>
          </w:p>
        </w:tc>
        <w:tc>
          <w:tcPr>
            <w:tcW w:w="1000" w:type="dxa"/>
            <w:vAlign w:val="bottom"/>
            <w:tcBorders>
              <w:top w:val="single" w:sz="8" w:color="DBDBDB"/>
            </w:tcBorders>
          </w:tcPr>
          <w:p>
            <w:pPr>
              <w:spacing w:after="0"/>
              <w:rPr>
                <w:sz w:val="13"/>
                <w:szCs w:val="13"/>
                <w:color w:val="auto"/>
              </w:rPr>
            </w:pPr>
          </w:p>
        </w:tc>
        <w:tc>
          <w:tcPr>
            <w:tcW w:w="3040" w:type="dxa"/>
            <w:vAlign w:val="bottom"/>
            <w:tcBorders>
              <w:top w:val="single" w:sz="8" w:color="DBDBDB"/>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DBDBDB"/>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DBDBDB"/>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Depreciation and Amortization</w:t>
            </w:r>
          </w:p>
        </w:tc>
        <w:tc>
          <w:tcPr>
            <w:tcW w:w="10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Borders>
              <w:top w:val="single" w:sz="8" w:color="DBDBDB"/>
            </w:tcBorders>
          </w:tcPr>
          <w:p>
            <w:pPr>
              <w:spacing w:after="0"/>
              <w:rPr>
                <w:sz w:val="21"/>
                <w:szCs w:val="21"/>
                <w:color w:val="auto"/>
              </w:rPr>
            </w:pP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Total reported segments</w:t>
            </w:r>
          </w:p>
        </w:tc>
        <w:tc>
          <w:tcPr>
            <w:tcW w:w="3040" w:type="dxa"/>
            <w:vAlign w:val="bottom"/>
            <w:tcBorders>
              <w:top w:val="single" w:sz="8" w:color="DBDBDB"/>
            </w:tcBorders>
          </w:tcPr>
          <w:p>
            <w:pPr>
              <w:spacing w:after="0"/>
              <w:rPr>
                <w:sz w:val="21"/>
                <w:szCs w:val="21"/>
                <w:color w:val="auto"/>
              </w:rPr>
            </w:pPr>
          </w:p>
        </w:tc>
        <w:tc>
          <w:tcPr>
            <w:tcW w:w="1020" w:type="dxa"/>
            <w:vAlign w:val="bottom"/>
            <w:tcBorders>
              <w:top w:val="single" w:sz="8" w:color="DBDBDB"/>
            </w:tcBorders>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DBDBDB"/>
            </w:tcBorders>
          </w:tcPr>
          <w:p>
            <w:pPr>
              <w:jc w:val="right"/>
              <w:spacing w:after="0"/>
              <w:rPr>
                <w:sz w:val="20"/>
                <w:szCs w:val="20"/>
                <w:color w:val="auto"/>
              </w:rPr>
            </w:pPr>
            <w:r>
              <w:rPr>
                <w:rFonts w:ascii="Arial" w:cs="Arial" w:eastAsia="Arial" w:hAnsi="Arial"/>
                <w:sz w:val="16"/>
                <w:szCs w:val="16"/>
                <w:b w:val="1"/>
                <w:bCs w:val="1"/>
                <w:color w:val="auto"/>
              </w:rPr>
              <w:t>248</w:t>
            </w:r>
          </w:p>
        </w:tc>
        <w:tc>
          <w:tcPr>
            <w:tcW w:w="420" w:type="dxa"/>
            <w:vAlign w:val="bottom"/>
            <w:tcBorders>
              <w:top w:val="single" w:sz="8" w:color="DBDBDB"/>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DBDBDB"/>
            </w:tcBorders>
          </w:tcPr>
          <w:p>
            <w:pPr>
              <w:jc w:val="right"/>
              <w:spacing w:after="0"/>
              <w:rPr>
                <w:sz w:val="20"/>
                <w:szCs w:val="20"/>
                <w:color w:val="auto"/>
              </w:rPr>
            </w:pPr>
            <w:r>
              <w:rPr>
                <w:rFonts w:ascii="Arial" w:cs="Arial" w:eastAsia="Arial" w:hAnsi="Arial"/>
                <w:sz w:val="16"/>
                <w:szCs w:val="16"/>
                <w:b w:val="1"/>
                <w:bCs w:val="1"/>
                <w:color w:val="auto"/>
              </w:rPr>
              <w:t>201</w:t>
            </w:r>
          </w:p>
        </w:tc>
        <w:tc>
          <w:tcPr>
            <w:tcW w:w="420" w:type="dxa"/>
            <w:vAlign w:val="bottom"/>
            <w:tcBorders>
              <w:top w:val="single" w:sz="8" w:color="DBDBDB"/>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DBDBDB"/>
            </w:tcBorders>
          </w:tcPr>
          <w:p>
            <w:pPr>
              <w:jc w:val="right"/>
              <w:spacing w:after="0"/>
              <w:rPr>
                <w:sz w:val="20"/>
                <w:szCs w:val="20"/>
                <w:color w:val="auto"/>
              </w:rPr>
            </w:pPr>
            <w:r>
              <w:rPr>
                <w:rFonts w:ascii="Arial" w:cs="Arial" w:eastAsia="Arial" w:hAnsi="Arial"/>
                <w:sz w:val="16"/>
                <w:szCs w:val="16"/>
                <w:b w:val="1"/>
                <w:bCs w:val="1"/>
                <w:color w:val="auto"/>
              </w:rPr>
              <w:t>208</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DBDBDB"/>
            </w:tcBorders>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Amortization of intangible assets</w:t>
            </w:r>
          </w:p>
        </w:tc>
        <w:tc>
          <w:tcPr>
            <w:tcW w:w="1020" w:type="dxa"/>
            <w:vAlign w:val="bottom"/>
            <w:tcBorders>
              <w:bottom w:val="single" w:sz="8" w:color="auto"/>
            </w:tcBorders>
            <w:shd w:val="clear" w:color="auto" w:fill="DBDBDB"/>
          </w:tcPr>
          <w:p>
            <w:pPr>
              <w:spacing w:after="0"/>
              <w:rPr>
                <w:sz w:val="22"/>
                <w:szCs w:val="22"/>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83</w:t>
            </w:r>
          </w:p>
        </w:tc>
        <w:tc>
          <w:tcPr>
            <w:tcW w:w="6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73</w:t>
            </w:r>
          </w:p>
        </w:tc>
        <w:tc>
          <w:tcPr>
            <w:tcW w:w="6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27"/>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Total Depreciation and amortization</w:t>
            </w:r>
          </w:p>
        </w:tc>
        <w:tc>
          <w:tcPr>
            <w:tcW w:w="1020" w:type="dxa"/>
            <w:vAlign w:val="bottom"/>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251</w:t>
            </w:r>
          </w:p>
        </w:tc>
        <w:tc>
          <w:tcPr>
            <w:tcW w:w="0" w:type="dxa"/>
            <w:vAlign w:val="bottom"/>
          </w:tcPr>
          <w:p>
            <w:pPr>
              <w:spacing w:after="0"/>
              <w:rPr>
                <w:sz w:val="1"/>
                <w:szCs w:val="1"/>
                <w:color w:val="auto"/>
              </w:rPr>
            </w:pPr>
          </w:p>
        </w:tc>
      </w:tr>
      <w:tr>
        <w:trPr>
          <w:trHeight w:val="160"/>
        </w:trPr>
        <w:tc>
          <w:tcPr>
            <w:tcW w:w="60" w:type="dxa"/>
            <w:vAlign w:val="bottom"/>
            <w:tcBorders>
              <w:top w:val="single" w:sz="8" w:color="DBDBDB"/>
            </w:tcBorders>
            <w:shd w:val="clear" w:color="auto" w:fill="DBDBDB"/>
          </w:tcPr>
          <w:p>
            <w:pPr>
              <w:spacing w:after="0"/>
              <w:rPr>
                <w:sz w:val="13"/>
                <w:szCs w:val="13"/>
                <w:color w:val="auto"/>
              </w:rPr>
            </w:pPr>
          </w:p>
        </w:tc>
        <w:tc>
          <w:tcPr>
            <w:tcW w:w="102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000" w:type="dxa"/>
            <w:vAlign w:val="bottom"/>
            <w:tcBorders>
              <w:top w:val="single" w:sz="8" w:color="DBDBDB"/>
            </w:tcBorders>
            <w:shd w:val="clear" w:color="auto" w:fill="DBDBDB"/>
          </w:tcPr>
          <w:p>
            <w:pPr>
              <w:spacing w:after="0"/>
              <w:rPr>
                <w:sz w:val="13"/>
                <w:szCs w:val="13"/>
                <w:color w:val="auto"/>
              </w:rPr>
            </w:pPr>
          </w:p>
        </w:tc>
        <w:tc>
          <w:tcPr>
            <w:tcW w:w="3040" w:type="dxa"/>
            <w:vAlign w:val="bottom"/>
            <w:tcBorders>
              <w:top w:val="single" w:sz="8" w:color="DBDBDB"/>
            </w:tcBorders>
            <w:shd w:val="clear" w:color="auto" w:fill="DBDBDB"/>
          </w:tcPr>
          <w:p>
            <w:pPr>
              <w:spacing w:after="0"/>
              <w:rPr>
                <w:sz w:val="13"/>
                <w:szCs w:val="13"/>
                <w:color w:val="auto"/>
              </w:rPr>
            </w:pPr>
          </w:p>
        </w:tc>
        <w:tc>
          <w:tcPr>
            <w:tcW w:w="1020" w:type="dxa"/>
            <w:vAlign w:val="bottom"/>
            <w:tcBorders>
              <w:top w:val="single" w:sz="8" w:color="auto"/>
            </w:tcBorders>
            <w:shd w:val="clear" w:color="auto" w:fill="DBDBDB"/>
          </w:tcPr>
          <w:p>
            <w:pPr>
              <w:spacing w:after="0"/>
              <w:rPr>
                <w:sz w:val="13"/>
                <w:szCs w:val="13"/>
                <w:color w:val="auto"/>
              </w:rPr>
            </w:pPr>
          </w:p>
        </w:tc>
        <w:tc>
          <w:tcPr>
            <w:tcW w:w="480" w:type="dxa"/>
            <w:vAlign w:val="bottom"/>
            <w:tcBorders>
              <w:top w:val="single" w:sz="8" w:color="auto"/>
            </w:tcBorders>
            <w:shd w:val="clear" w:color="auto" w:fill="DBDBDB"/>
          </w:tcPr>
          <w:p>
            <w:pPr>
              <w:spacing w:after="0"/>
              <w:rPr>
                <w:sz w:val="13"/>
                <w:szCs w:val="13"/>
                <w:color w:val="auto"/>
              </w:rPr>
            </w:pPr>
          </w:p>
        </w:tc>
        <w:tc>
          <w:tcPr>
            <w:tcW w:w="60" w:type="dxa"/>
            <w:vAlign w:val="bottom"/>
            <w:tcBorders>
              <w:top w:val="single" w:sz="8" w:color="DBDBDB"/>
            </w:tcBorders>
            <w:shd w:val="clear" w:color="auto" w:fill="DBDBDB"/>
          </w:tcPr>
          <w:p>
            <w:pPr>
              <w:spacing w:after="0"/>
              <w:rPr>
                <w:sz w:val="13"/>
                <w:szCs w:val="13"/>
                <w:color w:val="auto"/>
              </w:rPr>
            </w:pPr>
          </w:p>
        </w:tc>
        <w:tc>
          <w:tcPr>
            <w:tcW w:w="36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60" w:type="dxa"/>
            <w:vAlign w:val="bottom"/>
            <w:tcBorders>
              <w:top w:val="single" w:sz="8" w:color="DBDBDB"/>
            </w:tcBorders>
            <w:shd w:val="clear" w:color="auto" w:fill="DBDBDB"/>
          </w:tcPr>
          <w:p>
            <w:pPr>
              <w:spacing w:after="0"/>
              <w:rPr>
                <w:sz w:val="13"/>
                <w:szCs w:val="13"/>
                <w:color w:val="auto"/>
              </w:rPr>
            </w:pPr>
          </w:p>
        </w:tc>
        <w:tc>
          <w:tcPr>
            <w:tcW w:w="360" w:type="dxa"/>
            <w:vAlign w:val="bottom"/>
            <w:tcBorders>
              <w:top w:val="single" w:sz="8" w:color="auto"/>
            </w:tcBorders>
            <w:shd w:val="clear" w:color="auto" w:fill="DBDBDB"/>
          </w:tcPr>
          <w:p>
            <w:pPr>
              <w:spacing w:after="0"/>
              <w:rPr>
                <w:sz w:val="13"/>
                <w:szCs w:val="13"/>
                <w:color w:val="auto"/>
              </w:rPr>
            </w:pPr>
          </w:p>
        </w:tc>
        <w:tc>
          <w:tcPr>
            <w:tcW w:w="114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Interest Expense</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0" w:type="dxa"/>
            <w:vAlign w:val="bottom"/>
            <w:shd w:val="clear" w:color="auto" w:fill="DBDBDB"/>
          </w:tcPr>
          <w:p>
            <w:pPr>
              <w:spacing w:after="0"/>
              <w:rPr>
                <w:sz w:val="21"/>
                <w:szCs w:val="21"/>
                <w:color w:val="auto"/>
              </w:rPr>
            </w:pPr>
          </w:p>
        </w:tc>
        <w:tc>
          <w:tcPr>
            <w:tcW w:w="5280" w:type="dxa"/>
            <w:vAlign w:val="bottom"/>
            <w:gridSpan w:val="5"/>
            <w:shd w:val="clear" w:color="auto" w:fill="DBDBDB"/>
          </w:tcPr>
          <w:p>
            <w:pPr>
              <w:spacing w:after="0"/>
              <w:rPr>
                <w:sz w:val="20"/>
                <w:szCs w:val="20"/>
                <w:color w:val="auto"/>
              </w:rPr>
            </w:pPr>
            <w:r>
              <w:rPr>
                <w:rFonts w:ascii="Arial" w:cs="Arial" w:eastAsia="Arial" w:hAnsi="Arial"/>
                <w:sz w:val="16"/>
                <w:szCs w:val="16"/>
                <w:b w:val="1"/>
                <w:bCs w:val="1"/>
                <w:color w:val="auto"/>
              </w:rPr>
              <w:t>Total reported segments</w:t>
            </w:r>
          </w:p>
        </w:tc>
        <w:tc>
          <w:tcPr>
            <w:tcW w:w="1020" w:type="dxa"/>
            <w:vAlign w:val="bottom"/>
            <w:shd w:val="clear" w:color="auto" w:fill="DBDBDB"/>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86</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106</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DBDBDB"/>
            </w:tcBorders>
            <w:gridSpan w:val="6"/>
          </w:tcPr>
          <w:p>
            <w:pPr>
              <w:ind w:left="60"/>
              <w:spacing w:after="0"/>
              <w:rPr>
                <w:sz w:val="20"/>
                <w:szCs w:val="20"/>
                <w:color w:val="auto"/>
              </w:rPr>
            </w:pPr>
            <w:r>
              <w:rPr>
                <w:rFonts w:ascii="Arial" w:cs="Arial" w:eastAsia="Arial" w:hAnsi="Arial"/>
                <w:sz w:val="16"/>
                <w:szCs w:val="16"/>
                <w:b w:val="1"/>
                <w:bCs w:val="1"/>
                <w:color w:val="auto"/>
              </w:rPr>
              <w:t>Corporate</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6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6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47"/>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Total Interest expense</w:t>
            </w:r>
          </w:p>
        </w:tc>
        <w:tc>
          <w:tcPr>
            <w:tcW w:w="1020" w:type="dxa"/>
            <w:vAlign w:val="bottom"/>
            <w:shd w:val="clear" w:color="auto" w:fill="DBDBDB"/>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334</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225</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18"/>
        </w:trPr>
        <w:tc>
          <w:tcPr>
            <w:tcW w:w="60" w:type="dxa"/>
            <w:vAlign w:val="bottom"/>
            <w:tcBorders>
              <w:top w:val="single" w:sz="8" w:color="DBDBDB"/>
            </w:tcBorders>
          </w:tcPr>
          <w:p>
            <w:pPr>
              <w:spacing w:after="0"/>
              <w:rPr>
                <w:sz w:val="18"/>
                <w:szCs w:val="18"/>
                <w:color w:val="auto"/>
              </w:rPr>
            </w:pPr>
          </w:p>
        </w:tc>
        <w:tc>
          <w:tcPr>
            <w:tcW w:w="1020" w:type="dxa"/>
            <w:vAlign w:val="bottom"/>
            <w:tcBorders>
              <w:top w:val="single" w:sz="8" w:color="DBDBDB"/>
            </w:tcBorders>
          </w:tcPr>
          <w:p>
            <w:pPr>
              <w:spacing w:after="0"/>
              <w:rPr>
                <w:sz w:val="18"/>
                <w:szCs w:val="18"/>
                <w:color w:val="auto"/>
              </w:rPr>
            </w:pPr>
          </w:p>
        </w:tc>
        <w:tc>
          <w:tcPr>
            <w:tcW w:w="120" w:type="dxa"/>
            <w:vAlign w:val="bottom"/>
            <w:tcBorders>
              <w:top w:val="single" w:sz="8" w:color="DBDBDB"/>
            </w:tcBorders>
          </w:tcPr>
          <w:p>
            <w:pPr>
              <w:spacing w:after="0"/>
              <w:rPr>
                <w:sz w:val="18"/>
                <w:szCs w:val="18"/>
                <w:color w:val="auto"/>
              </w:rPr>
            </w:pPr>
          </w:p>
        </w:tc>
        <w:tc>
          <w:tcPr>
            <w:tcW w:w="100" w:type="dxa"/>
            <w:vAlign w:val="bottom"/>
            <w:tcBorders>
              <w:top w:val="single" w:sz="8" w:color="DBDBDB"/>
            </w:tcBorders>
          </w:tcPr>
          <w:p>
            <w:pPr>
              <w:spacing w:after="0"/>
              <w:rPr>
                <w:sz w:val="18"/>
                <w:szCs w:val="18"/>
                <w:color w:val="auto"/>
              </w:rPr>
            </w:pPr>
          </w:p>
        </w:tc>
        <w:tc>
          <w:tcPr>
            <w:tcW w:w="1000" w:type="dxa"/>
            <w:vAlign w:val="bottom"/>
            <w:tcBorders>
              <w:top w:val="single" w:sz="8" w:color="DBDBDB"/>
            </w:tcBorders>
          </w:tcPr>
          <w:p>
            <w:pPr>
              <w:spacing w:after="0"/>
              <w:rPr>
                <w:sz w:val="18"/>
                <w:szCs w:val="18"/>
                <w:color w:val="auto"/>
              </w:rPr>
            </w:pPr>
          </w:p>
        </w:tc>
        <w:tc>
          <w:tcPr>
            <w:tcW w:w="3040" w:type="dxa"/>
            <w:vAlign w:val="bottom"/>
            <w:tcBorders>
              <w:top w:val="single" w:sz="8" w:color="DBDBDB"/>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DBDBDB"/>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DBDBDB"/>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Interest Income</w:t>
            </w:r>
          </w:p>
        </w:tc>
        <w:tc>
          <w:tcPr>
            <w:tcW w:w="10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DBDBDB"/>
            </w:tcBorders>
            <w:shd w:val="clear" w:color="auto" w:fill="DBDBDB"/>
          </w:tcPr>
          <w:p>
            <w:pPr>
              <w:spacing w:after="0"/>
              <w:rPr>
                <w:sz w:val="2"/>
                <w:szCs w:val="2"/>
                <w:color w:val="auto"/>
              </w:rPr>
            </w:pPr>
          </w:p>
        </w:tc>
        <w:tc>
          <w:tcPr>
            <w:tcW w:w="1020" w:type="dxa"/>
            <w:vAlign w:val="bottom"/>
            <w:tcBorders>
              <w:top w:val="single" w:sz="8" w:color="auto"/>
            </w:tcBorders>
            <w:shd w:val="clear" w:color="auto" w:fill="DBDBDB"/>
          </w:tcPr>
          <w:p>
            <w:pPr>
              <w:spacing w:after="0"/>
              <w:rPr>
                <w:sz w:val="2"/>
                <w:szCs w:val="2"/>
                <w:color w:val="auto"/>
              </w:rPr>
            </w:pPr>
          </w:p>
        </w:tc>
        <w:tc>
          <w:tcPr>
            <w:tcW w:w="12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1000" w:type="dxa"/>
            <w:vAlign w:val="bottom"/>
            <w:tcBorders>
              <w:top w:val="single" w:sz="8" w:color="DBDBDB"/>
            </w:tcBorders>
            <w:shd w:val="clear" w:color="auto" w:fill="DBDBDB"/>
          </w:tcPr>
          <w:p>
            <w:pPr>
              <w:spacing w:after="0"/>
              <w:rPr>
                <w:sz w:val="2"/>
                <w:szCs w:val="2"/>
                <w:color w:val="auto"/>
              </w:rPr>
            </w:pPr>
          </w:p>
        </w:tc>
        <w:tc>
          <w:tcPr>
            <w:tcW w:w="3040" w:type="dxa"/>
            <w:vAlign w:val="bottom"/>
            <w:tcBorders>
              <w:top w:val="single" w:sz="8" w:color="DBDBDB"/>
            </w:tcBorders>
            <w:shd w:val="clear" w:color="auto" w:fill="DBDBDB"/>
          </w:tcPr>
          <w:p>
            <w:pPr>
              <w:spacing w:after="0"/>
              <w:rPr>
                <w:sz w:val="2"/>
                <w:szCs w:val="2"/>
                <w:color w:val="auto"/>
              </w:rPr>
            </w:pPr>
          </w:p>
        </w:tc>
        <w:tc>
          <w:tcPr>
            <w:tcW w:w="102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36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36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tcPr>
          <w:p>
            <w:pPr>
              <w:spacing w:after="0"/>
              <w:rPr>
                <w:sz w:val="21"/>
                <w:szCs w:val="21"/>
                <w:color w:val="auto"/>
              </w:rPr>
            </w:pPr>
          </w:p>
        </w:tc>
        <w:tc>
          <w:tcPr>
            <w:tcW w:w="5280" w:type="dxa"/>
            <w:vAlign w:val="bottom"/>
            <w:gridSpan w:val="5"/>
          </w:tcPr>
          <w:p>
            <w:pPr>
              <w:spacing w:after="0"/>
              <w:rPr>
                <w:sz w:val="20"/>
                <w:szCs w:val="20"/>
                <w:color w:val="auto"/>
              </w:rPr>
            </w:pPr>
            <w:r>
              <w:rPr>
                <w:rFonts w:ascii="Arial" w:cs="Arial" w:eastAsia="Arial" w:hAnsi="Arial"/>
                <w:sz w:val="16"/>
                <w:szCs w:val="16"/>
                <w:b w:val="1"/>
                <w:bCs w:val="1"/>
                <w:color w:val="auto"/>
              </w:rPr>
              <w:t>Total reported segments</w:t>
            </w:r>
          </w:p>
        </w:tc>
        <w:tc>
          <w:tcPr>
            <w:tcW w:w="1020" w:type="dxa"/>
            <w:vAlign w:val="bottom"/>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DBDBDB"/>
            </w:tcBorders>
            <w:gridSpan w:val="6"/>
            <w:shd w:val="clear" w:color="auto" w:fill="DBDBDB"/>
          </w:tcPr>
          <w:p>
            <w:pPr>
              <w:ind w:left="60"/>
              <w:spacing w:after="0"/>
              <w:rPr>
                <w:sz w:val="20"/>
                <w:szCs w:val="20"/>
                <w:color w:val="auto"/>
              </w:rPr>
            </w:pPr>
            <w:r>
              <w:rPr>
                <w:rFonts w:ascii="Arial" w:cs="Arial" w:eastAsia="Arial" w:hAnsi="Arial"/>
                <w:sz w:val="16"/>
                <w:szCs w:val="16"/>
                <w:b w:val="1"/>
                <w:bCs w:val="1"/>
                <w:color w:val="auto"/>
              </w:rPr>
              <w:t>Corporate</w:t>
            </w:r>
          </w:p>
        </w:tc>
        <w:tc>
          <w:tcPr>
            <w:tcW w:w="1020" w:type="dxa"/>
            <w:vAlign w:val="bottom"/>
            <w:tcBorders>
              <w:bottom w:val="single" w:sz="8" w:color="auto"/>
            </w:tcBorders>
            <w:shd w:val="clear" w:color="auto" w:fill="DBDBDB"/>
          </w:tcPr>
          <w:p>
            <w:pPr>
              <w:spacing w:after="0"/>
              <w:rPr>
                <w:sz w:val="22"/>
                <w:szCs w:val="22"/>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189"/>
        </w:trPr>
        <w:tc>
          <w:tcPr>
            <w:tcW w:w="5340" w:type="dxa"/>
            <w:vAlign w:val="bottom"/>
            <w:gridSpan w:val="6"/>
          </w:tcPr>
          <w:p>
            <w:pPr>
              <w:ind w:left="60"/>
              <w:spacing w:after="0"/>
              <w:rPr>
                <w:sz w:val="20"/>
                <w:szCs w:val="20"/>
                <w:color w:val="auto"/>
              </w:rPr>
            </w:pPr>
            <w:r>
              <w:rPr>
                <w:rFonts w:ascii="Arial" w:cs="Arial" w:eastAsia="Arial" w:hAnsi="Arial"/>
                <w:sz w:val="16"/>
                <w:szCs w:val="16"/>
                <w:b w:val="1"/>
                <w:bCs w:val="1"/>
                <w:color w:val="auto"/>
              </w:rPr>
              <w:t>Total Interest income</w:t>
            </w:r>
          </w:p>
        </w:tc>
        <w:tc>
          <w:tcPr>
            <w:tcW w:w="1020" w:type="dxa"/>
            <w:vAlign w:val="bottom"/>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207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-2337435</wp:posOffset>
            </wp:positionV>
            <wp:extent cx="2979420" cy="755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2979420" cy="75565"/>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-1589405</wp:posOffset>
            </wp:positionV>
            <wp:extent cx="2979420" cy="755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2979420" cy="75565"/>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-840740</wp:posOffset>
            </wp:positionV>
            <wp:extent cx="2979420" cy="755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2979420" cy="75565"/>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-55245</wp:posOffset>
            </wp:positionV>
            <wp:extent cx="2979420" cy="75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2979420" cy="755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w:t>
      </w:r>
    </w:p>
    <w:p>
      <w:pPr>
        <w:spacing w:after="0" w:line="2" w:lineRule="exact"/>
        <w:rPr>
          <w:sz w:val="20"/>
          <w:szCs w:val="20"/>
          <w:color w:val="auto"/>
        </w:rPr>
      </w:pPr>
    </w:p>
    <w:p>
      <w:pPr>
        <w:ind w:left="360" w:hanging="356"/>
        <w:spacing w:after="0" w:line="242" w:lineRule="auto"/>
        <w:tabs>
          <w:tab w:leader="none" w:pos="360" w:val="left"/>
        </w:tabs>
        <w:numPr>
          <w:ilvl w:val="0"/>
          <w:numId w:val="9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 the year ended December 31, 2024 we recognized an after-tax non-cash impairment charge of $1,015 ($1,058 pre-tax) related to our Print and Other reporting unit.</w:t>
      </w:r>
    </w:p>
    <w:p>
      <w:pPr>
        <w:spacing w:after="0" w:line="1" w:lineRule="exact"/>
        <w:rPr>
          <w:rFonts w:ascii="Arial" w:cs="Arial" w:eastAsia="Arial" w:hAnsi="Arial"/>
          <w:sz w:val="16"/>
          <w:szCs w:val="16"/>
          <w:b w:val="1"/>
          <w:bCs w:val="1"/>
          <w:i w:val="1"/>
          <w:iCs w:val="1"/>
          <w:color w:val="auto"/>
        </w:rPr>
      </w:pPr>
    </w:p>
    <w:p>
      <w:pPr>
        <w:jc w:val="both"/>
        <w:ind w:left="360" w:hanging="356"/>
        <w:spacing w:after="0" w:line="310" w:lineRule="auto"/>
        <w:tabs>
          <w:tab w:leader="none" w:pos="360" w:val="left"/>
        </w:tabs>
        <w:numPr>
          <w:ilvl w:val="0"/>
          <w:numId w:val="9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certain charges resulting from the exit of certain production print manufacturing operations, including inventory-related charges of approximately $24 and $8 for the years ended December 31, 2025 and 2024 respectively, as well as charges for the cancellation of related purchase contracts of $— and $43 for the years ended December 31, 2025 and 2024,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Geographic Area Data</w:t>
      </w:r>
    </w:p>
    <w:p>
      <w:pPr>
        <w:spacing w:after="0" w:line="97" w:lineRule="exact"/>
        <w:rPr>
          <w:sz w:val="20"/>
          <w:szCs w:val="20"/>
          <w:color w:val="auto"/>
        </w:rPr>
      </w:pPr>
    </w:p>
    <w:p>
      <w:pPr>
        <w:ind w:right="120"/>
        <w:spacing w:after="0" w:line="293" w:lineRule="auto"/>
        <w:rPr>
          <w:sz w:val="20"/>
          <w:szCs w:val="20"/>
          <w:color w:val="auto"/>
        </w:rPr>
      </w:pPr>
      <w:r>
        <w:rPr>
          <w:rFonts w:ascii="Arial" w:cs="Arial" w:eastAsia="Arial" w:hAnsi="Arial"/>
          <w:sz w:val="19"/>
          <w:szCs w:val="19"/>
          <w:b w:val="1"/>
          <w:bCs w:val="1"/>
          <w:color w:val="auto"/>
        </w:rPr>
        <w:t>Geographic area data is based upon the location of the subsidiary reporting the revenue or long-lived assets and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w w:val="92"/>
              </w:rPr>
              <w:t>Revenues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0"/>
                <w:szCs w:val="10"/>
                <w:b w:val="1"/>
                <w:bCs w:val="1"/>
                <w:color w:val="auto"/>
              </w:rPr>
              <w:t>(1)</w:t>
            </w:r>
          </w:p>
        </w:tc>
      </w:tr>
      <w:tr>
        <w:trPr>
          <w:trHeight w:val="213"/>
        </w:trPr>
        <w:tc>
          <w:tcPr>
            <w:tcW w:w="2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62"/>
              <w:spacing w:after="0"/>
              <w:rPr>
                <w:sz w:val="20"/>
                <w:szCs w:val="20"/>
                <w:color w:val="auto"/>
              </w:rPr>
            </w:pPr>
            <w:r>
              <w:rPr>
                <w:rFonts w:ascii="Arial" w:cs="Arial" w:eastAsia="Arial" w:hAnsi="Arial"/>
                <w:sz w:val="16"/>
                <w:szCs w:val="16"/>
                <w:b w:val="1"/>
                <w:bCs w:val="1"/>
                <w:color w:val="auto"/>
                <w:w w:val="92"/>
              </w:rPr>
              <w:t>Year Ended December 31,</w:t>
            </w: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6"/>
                <w:szCs w:val="16"/>
                <w:b w:val="1"/>
                <w:bCs w:val="1"/>
                <w:color w:val="auto"/>
              </w:rPr>
              <w:t>As of December 31,</w:t>
            </w:r>
          </w:p>
        </w:tc>
      </w:tr>
      <w:tr>
        <w:trPr>
          <w:trHeight w:val="213"/>
        </w:trPr>
        <w:tc>
          <w:tcPr>
            <w:tcW w:w="218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w w:val="95"/>
              </w:rPr>
              <w:t>2024</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23"/>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United States</w:t>
            </w:r>
          </w:p>
        </w:tc>
        <w:tc>
          <w:tcPr>
            <w:tcW w:w="980" w:type="dxa"/>
            <w:vAlign w:val="bottom"/>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3,985</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3,437</w:t>
            </w:r>
          </w:p>
        </w:tc>
        <w:tc>
          <w:tcPr>
            <w:tcW w:w="44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3,826</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761</w:t>
            </w:r>
          </w:p>
        </w:tc>
        <w:tc>
          <w:tcPr>
            <w:tcW w:w="44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488</w:t>
            </w:r>
          </w:p>
        </w:tc>
      </w:tr>
      <w:tr>
        <w:trPr>
          <w:trHeight w:val="227"/>
        </w:trPr>
        <w:tc>
          <w:tcPr>
            <w:tcW w:w="2180" w:type="dxa"/>
            <w:vAlign w:val="bottom"/>
          </w:tcPr>
          <w:p>
            <w:pPr>
              <w:ind w:left="60"/>
              <w:spacing w:after="0"/>
              <w:rPr>
                <w:sz w:val="20"/>
                <w:szCs w:val="20"/>
                <w:color w:val="auto"/>
              </w:rPr>
            </w:pPr>
            <w:r>
              <w:rPr>
                <w:rFonts w:ascii="Arial" w:cs="Arial" w:eastAsia="Arial" w:hAnsi="Arial"/>
                <w:sz w:val="16"/>
                <w:szCs w:val="16"/>
                <w:b w:val="1"/>
                <w:bCs w:val="1"/>
                <w:color w:val="auto"/>
              </w:rPr>
              <w:t>Europe</w:t>
            </w:r>
          </w:p>
        </w:tc>
        <w:tc>
          <w:tcPr>
            <w:tcW w:w="98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1,952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1,951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194</w:t>
            </w:r>
          </w:p>
        </w:tc>
      </w:tr>
      <w:tr>
        <w:trPr>
          <w:trHeight w:val="239"/>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Canada</w:t>
            </w:r>
          </w:p>
        </w:tc>
        <w:tc>
          <w:tcPr>
            <w:tcW w:w="98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464</w:t>
            </w:r>
          </w:p>
        </w:tc>
        <w:tc>
          <w:tcPr>
            <w:tcW w:w="6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554</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r>
      <w:tr>
        <w:trPr>
          <w:trHeight w:val="227"/>
        </w:trPr>
        <w:tc>
          <w:tcPr>
            <w:tcW w:w="2180" w:type="dxa"/>
            <w:vAlign w:val="bottom"/>
          </w:tcPr>
          <w:p>
            <w:pPr>
              <w:ind w:left="60"/>
              <w:spacing w:after="0"/>
              <w:rPr>
                <w:sz w:val="20"/>
                <w:szCs w:val="20"/>
                <w:color w:val="auto"/>
              </w:rPr>
            </w:pPr>
            <w:r>
              <w:rPr>
                <w:rFonts w:ascii="Arial" w:cs="Arial" w:eastAsia="Arial" w:hAnsi="Arial"/>
                <w:sz w:val="16"/>
                <w:szCs w:val="16"/>
                <w:b w:val="1"/>
                <w:bCs w:val="1"/>
                <w:color w:val="auto"/>
              </w:rPr>
              <w:t>Latin America</w:t>
            </w:r>
          </w:p>
        </w:tc>
        <w:tc>
          <w:tcPr>
            <w:tcW w:w="98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274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246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39"/>
        </w:trPr>
        <w:tc>
          <w:tcPr>
            <w:tcW w:w="21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Asia Pacific</w:t>
            </w:r>
          </w:p>
        </w:tc>
        <w:tc>
          <w:tcPr>
            <w:tcW w:w="98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154</w:t>
            </w:r>
          </w:p>
        </w:tc>
        <w:tc>
          <w:tcPr>
            <w:tcW w:w="6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55</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r>
      <w:tr>
        <w:trPr>
          <w:trHeight w:val="223"/>
        </w:trPr>
        <w:tc>
          <w:tcPr>
            <w:tcW w:w="21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 areas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193</w:t>
            </w:r>
          </w:p>
        </w:tc>
        <w:tc>
          <w:tcPr>
            <w:tcW w:w="60" w:type="dxa"/>
            <w:vAlign w:val="bottom"/>
            <w:tcBorders>
              <w:bottom w:val="single" w:sz="8" w:color="E5E5E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8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254</w:t>
            </w: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32"/>
        </w:trPr>
        <w:tc>
          <w:tcPr>
            <w:tcW w:w="2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7,022</w:t>
            </w:r>
          </w:p>
        </w:tc>
        <w:tc>
          <w:tcPr>
            <w:tcW w:w="60" w:type="dxa"/>
            <w:vAlign w:val="bottom"/>
            <w:tcBorders>
              <w:bottom w:val="single" w:sz="8" w:color="E5E5E5"/>
            </w:tcBorders>
            <w:shd w:val="clear" w:color="auto" w:fill="E5E5E5"/>
          </w:tcPr>
          <w:p>
            <w:pPr>
              <w:spacing w:after="0"/>
              <w:rPr>
                <w:sz w:val="20"/>
                <w:szCs w:val="20"/>
                <w:color w:val="auto"/>
              </w:rPr>
            </w:pPr>
          </w:p>
        </w:tc>
        <w:tc>
          <w:tcPr>
            <w:tcW w:w="28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6,221</w:t>
            </w:r>
          </w:p>
        </w:tc>
        <w:tc>
          <w:tcPr>
            <w:tcW w:w="8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6,886</w:t>
            </w: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1,147</w:t>
            </w:r>
          </w:p>
        </w:tc>
        <w:tc>
          <w:tcPr>
            <w:tcW w:w="8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-55880</wp:posOffset>
            </wp:positionV>
            <wp:extent cx="4993640" cy="755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499364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12"/>
        <w:spacing w:after="0" w:line="270" w:lineRule="auto"/>
        <w:tabs>
          <w:tab w:leader="none" w:pos="360" w:val="left"/>
        </w:tabs>
        <w:numPr>
          <w:ilvl w:val="0"/>
          <w:numId w:val="10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Long-lived assets are comprised of (i) Land, buildings and equipment, net, (ii) Equipment on operating leases, net, (iii) Leased right-of-use (ROU) assets, net, (iv) Internal use software, net, and (v) Capitalized product software, net.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106</w:t>
      </w:r>
    </w:p>
    <w:p>
      <w:pPr>
        <w:sectPr>
          <w:pgSz w:w="11880" w:h="15480" w:orient="portrait"/>
          <w:cols w:equalWidth="0" w:num="1">
            <w:col w:w="9960"/>
          </w:cols>
          <w:pgMar w:left="960" w:top="649" w:right="960" w:bottom="0" w:gutter="0" w:footer="0" w:header="0"/>
        </w:sectPr>
      </w:pPr>
    </w:p>
    <w:bookmarkStart w:id="116" w:name="page117"/>
    <w:bookmarkEnd w:id="116"/>
    <w:p>
      <w:pPr>
        <w:spacing w:after="0"/>
        <w:rPr>
          <w:sz w:val="20"/>
          <w:szCs w:val="20"/>
          <w:color w:val="auto"/>
        </w:rPr>
      </w:pPr>
      <w:r>
        <w:rPr>
          <w:rFonts w:ascii="Arial" w:cs="Arial" w:eastAsia="Arial" w:hAnsi="Arial"/>
          <w:sz w:val="23"/>
          <w:szCs w:val="23"/>
          <w:b w:val="1"/>
          <w:bCs w:val="1"/>
          <w:color w:val="DA2031"/>
        </w:rPr>
        <w:t>Note 5 – Lessor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Revenue from sales-type leases is presented on a gross basis when the Company enters into a lease to realize value from a product that it would otherwise sell in its ordinary course of business, whereas in transactions where the Company enters into a lease for the purpose of generating revenue by providing financing, the profit or loss, if any, is presented on a net basis. In addition, we have elected to account for sales tax and other similar taxes collected from a lessee as lessee costs and therefore we exclude these costs from contract consideration and variable consideration.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components of lease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3"/>
        </w:trPr>
        <w:tc>
          <w:tcPr>
            <w:tcW w:w="2720" w:type="dxa"/>
            <w:vAlign w:val="bottom"/>
            <w:tcBorders>
              <w:bottom w:val="single" w:sz="8" w:color="E5E5E5"/>
            </w:tcBorders>
          </w:tcPr>
          <w:p>
            <w:pPr>
              <w:spacing w:after="0"/>
              <w:rPr>
                <w:sz w:val="18"/>
                <w:szCs w:val="18"/>
                <w:color w:val="auto"/>
              </w:rPr>
            </w:pPr>
          </w:p>
        </w:tc>
        <w:tc>
          <w:tcPr>
            <w:tcW w:w="31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w w:val="95"/>
              </w:rPr>
              <w:t>Location in Statements of (Loss) Income</w:t>
            </w:r>
          </w:p>
        </w:tc>
        <w:tc>
          <w:tcPr>
            <w:tcW w:w="6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23"/>
        </w:trPr>
        <w:tc>
          <w:tcPr>
            <w:tcW w:w="2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Revenue from sales type leases</w:t>
            </w:r>
          </w:p>
        </w:tc>
        <w:tc>
          <w:tcPr>
            <w:tcW w:w="22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Sales</w:t>
            </w:r>
          </w:p>
        </w:tc>
        <w:tc>
          <w:tcPr>
            <w:tcW w:w="9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2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454</w:t>
            </w:r>
          </w:p>
        </w:tc>
        <w:tc>
          <w:tcPr>
            <w:tcW w:w="380" w:type="dxa"/>
            <w:vAlign w:val="bottom"/>
            <w:gridSpan w:val="2"/>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706</w:t>
            </w:r>
          </w:p>
        </w:tc>
        <w:tc>
          <w:tcPr>
            <w:tcW w:w="400" w:type="dxa"/>
            <w:vAlign w:val="bottom"/>
            <w:gridSpan w:val="2"/>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920</w:t>
            </w:r>
          </w:p>
        </w:tc>
      </w:tr>
      <w:tr>
        <w:trPr>
          <w:trHeight w:val="227"/>
        </w:trPr>
        <w:tc>
          <w:tcPr>
            <w:tcW w:w="2720" w:type="dxa"/>
            <w:vAlign w:val="bottom"/>
          </w:tcPr>
          <w:p>
            <w:pPr>
              <w:ind w:left="60"/>
              <w:spacing w:after="0"/>
              <w:rPr>
                <w:sz w:val="20"/>
                <w:szCs w:val="20"/>
                <w:color w:val="auto"/>
              </w:rPr>
            </w:pPr>
            <w:r>
              <w:rPr>
                <w:rFonts w:ascii="Arial" w:cs="Arial" w:eastAsia="Arial" w:hAnsi="Arial"/>
                <w:sz w:val="16"/>
                <w:szCs w:val="16"/>
                <w:b w:val="1"/>
                <w:bCs w:val="1"/>
                <w:color w:val="auto"/>
                <w:w w:val="94"/>
              </w:rPr>
              <w:t>Interest income on lease receivables</w:t>
            </w:r>
          </w:p>
        </w:tc>
        <w:tc>
          <w:tcPr>
            <w:tcW w:w="2200" w:type="dxa"/>
            <w:vAlign w:val="bottom"/>
          </w:tcPr>
          <w:p>
            <w:pPr>
              <w:ind w:left="40"/>
              <w:spacing w:after="0"/>
              <w:rPr>
                <w:sz w:val="20"/>
                <w:szCs w:val="20"/>
                <w:color w:val="auto"/>
              </w:rPr>
            </w:pPr>
            <w:r>
              <w:rPr>
                <w:rFonts w:ascii="Arial" w:cs="Arial" w:eastAsia="Arial" w:hAnsi="Arial"/>
                <w:sz w:val="16"/>
                <w:szCs w:val="16"/>
                <w:b w:val="1"/>
                <w:bCs w:val="1"/>
                <w:color w:val="auto"/>
                <w:w w:val="91"/>
              </w:rPr>
              <w:t>Services, maintenance, rentals</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and other</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191</w:t>
            </w:r>
          </w:p>
        </w:tc>
      </w:tr>
      <w:tr>
        <w:trPr>
          <w:trHeight w:val="253"/>
        </w:trPr>
        <w:tc>
          <w:tcPr>
            <w:tcW w:w="2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Lease income - operating leases</w:t>
            </w:r>
          </w:p>
        </w:tc>
        <w:tc>
          <w:tcPr>
            <w:tcW w:w="22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w w:val="91"/>
              </w:rPr>
              <w:t>Services, maintenance, rentals</w:t>
            </w:r>
          </w:p>
        </w:tc>
        <w:tc>
          <w:tcPr>
            <w:tcW w:w="1040" w:type="dxa"/>
            <w:vAlign w:val="bottom"/>
            <w:gridSpan w:val="2"/>
            <w:shd w:val="clear" w:color="auto" w:fill="E5E5E5"/>
          </w:tcPr>
          <w:p>
            <w:pPr>
              <w:ind w:left="40"/>
              <w:spacing w:after="0"/>
              <w:rPr>
                <w:sz w:val="20"/>
                <w:szCs w:val="20"/>
                <w:color w:val="auto"/>
              </w:rPr>
            </w:pPr>
            <w:r>
              <w:rPr>
                <w:rFonts w:ascii="Arial" w:cs="Arial" w:eastAsia="Arial" w:hAnsi="Arial"/>
                <w:sz w:val="16"/>
                <w:szCs w:val="16"/>
                <w:b w:val="1"/>
                <w:bCs w:val="1"/>
                <w:color w:val="auto"/>
              </w:rPr>
              <w:t>and other</w:t>
            </w:r>
          </w:p>
        </w:tc>
        <w:tc>
          <w:tcPr>
            <w:tcW w:w="32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171</w:t>
            </w:r>
          </w:p>
        </w:tc>
        <w:tc>
          <w:tcPr>
            <w:tcW w:w="80" w:type="dxa"/>
            <w:vAlign w:val="bottom"/>
            <w:shd w:val="clear" w:color="auto" w:fill="E5E5E5"/>
          </w:tcPr>
          <w:p>
            <w:pPr>
              <w:spacing w:after="0"/>
              <w:rPr>
                <w:sz w:val="22"/>
                <w:szCs w:val="22"/>
                <w:color w:val="auto"/>
              </w:rPr>
            </w:pPr>
          </w:p>
        </w:tc>
        <w:tc>
          <w:tcPr>
            <w:tcW w:w="300" w:type="dxa"/>
            <w:vAlign w:val="bottom"/>
            <w:shd w:val="clear" w:color="auto" w:fill="E5E5E5"/>
          </w:tcPr>
          <w:p>
            <w:pPr>
              <w:spacing w:after="0"/>
              <w:rPr>
                <w:sz w:val="22"/>
                <w:szCs w:val="22"/>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168</w:t>
            </w:r>
          </w:p>
        </w:tc>
        <w:tc>
          <w:tcPr>
            <w:tcW w:w="8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161</w:t>
            </w:r>
          </w:p>
        </w:tc>
      </w:tr>
      <w:tr>
        <w:trPr>
          <w:trHeight w:val="266"/>
        </w:trPr>
        <w:tc>
          <w:tcPr>
            <w:tcW w:w="27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Variable lease income</w:t>
            </w:r>
          </w:p>
        </w:tc>
        <w:tc>
          <w:tcPr>
            <w:tcW w:w="2200" w:type="dxa"/>
            <w:vAlign w:val="bottom"/>
            <w:tcBorders>
              <w:bottom w:val="single" w:sz="8" w:color="E5E5E5"/>
            </w:tcBorders>
          </w:tcPr>
          <w:p>
            <w:pPr>
              <w:ind w:left="40"/>
              <w:spacing w:after="0"/>
              <w:rPr>
                <w:sz w:val="20"/>
                <w:szCs w:val="20"/>
                <w:color w:val="auto"/>
              </w:rPr>
            </w:pPr>
            <w:r>
              <w:rPr>
                <w:rFonts w:ascii="Arial" w:cs="Arial" w:eastAsia="Arial" w:hAnsi="Arial"/>
                <w:sz w:val="16"/>
                <w:szCs w:val="16"/>
                <w:b w:val="1"/>
                <w:bCs w:val="1"/>
                <w:color w:val="auto"/>
                <w:w w:val="91"/>
              </w:rPr>
              <w:t>Services, maintenance, rentals</w:t>
            </w:r>
          </w:p>
        </w:tc>
        <w:tc>
          <w:tcPr>
            <w:tcW w:w="1040" w:type="dxa"/>
            <w:vAlign w:val="bottom"/>
            <w:tcBorders>
              <w:bottom w:val="single" w:sz="8" w:color="E5E5E5"/>
            </w:tcBorders>
            <w:gridSpan w:val="2"/>
          </w:tcPr>
          <w:p>
            <w:pPr>
              <w:ind w:left="40"/>
              <w:spacing w:after="0"/>
              <w:rPr>
                <w:sz w:val="20"/>
                <w:szCs w:val="20"/>
                <w:color w:val="auto"/>
              </w:rPr>
            </w:pPr>
            <w:r>
              <w:rPr>
                <w:rFonts w:ascii="Arial" w:cs="Arial" w:eastAsia="Arial" w:hAnsi="Arial"/>
                <w:sz w:val="16"/>
                <w:szCs w:val="16"/>
                <w:b w:val="1"/>
                <w:bCs w:val="1"/>
                <w:color w:val="auto"/>
              </w:rPr>
              <w:t>and other</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tcBorders>
              <w:bottom w:val="single" w:sz="8" w:color="E5E5E5"/>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Borders>
              <w:bottom w:val="single" w:sz="8" w:color="E5E5E5"/>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r>
      <w:tr>
        <w:trPr>
          <w:trHeight w:val="232"/>
        </w:trPr>
        <w:tc>
          <w:tcPr>
            <w:tcW w:w="27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Lease income</w:t>
            </w:r>
          </w:p>
        </w:tc>
        <w:tc>
          <w:tcPr>
            <w:tcW w:w="2200" w:type="dxa"/>
            <w:vAlign w:val="bottom"/>
            <w:tcBorders>
              <w:bottom w:val="single" w:sz="8" w:color="E5E5E5"/>
            </w:tcBorders>
            <w:shd w:val="clear" w:color="auto" w:fill="E5E5E5"/>
          </w:tcPr>
          <w:p>
            <w:pPr>
              <w:spacing w:after="0"/>
              <w:rPr>
                <w:sz w:val="20"/>
                <w:szCs w:val="20"/>
                <w:color w:val="auto"/>
              </w:rPr>
            </w:pPr>
          </w:p>
        </w:tc>
        <w:tc>
          <w:tcPr>
            <w:tcW w:w="98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789</w:t>
            </w:r>
          </w:p>
        </w:tc>
        <w:tc>
          <w:tcPr>
            <w:tcW w:w="8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1,071</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-42545</wp:posOffset>
            </wp:positionV>
            <wp:extent cx="2557145"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2557145" cy="50165"/>
                    </a:xfrm>
                    <a:prstGeom prst="rect">
                      <a:avLst/>
                    </a:prstGeom>
                    <a:noFill/>
                  </pic:spPr>
                </pic:pic>
              </a:graphicData>
            </a:graphic>
          </wp:anchor>
        </w:drawing>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Profit at lease commencement on sales type leases was estimated to be approximately $109, $213 and $332 for the three years ended December 31, 2025, 2024 and 2023,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 6 – Acquisitions and Divestitures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Acquisitions</w:t>
      </w:r>
    </w:p>
    <w:p>
      <w:pPr>
        <w:spacing w:after="0" w:line="13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following table summarizes the purchase price allocations for our acquisitions as of the acquisition dates. There were no acquisitions for the year ended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4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rPr>
              <w:t>Year Ended December 31, 2025</w:t>
            </w:r>
          </w:p>
        </w:tc>
        <w:tc>
          <w:tcPr>
            <w:tcW w:w="6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6"/>
                <w:szCs w:val="16"/>
                <w:b w:val="1"/>
                <w:bCs w:val="1"/>
                <w:color w:val="auto"/>
              </w:rPr>
              <w:t>Year Ended December 31, 2024</w:t>
            </w:r>
          </w:p>
        </w:tc>
        <w:tc>
          <w:tcPr>
            <w:tcW w:w="0" w:type="dxa"/>
            <w:vAlign w:val="bottom"/>
          </w:tcPr>
          <w:p>
            <w:pPr>
              <w:spacing w:after="0"/>
              <w:rPr>
                <w:sz w:val="1"/>
                <w:szCs w:val="1"/>
                <w:color w:val="auto"/>
              </w:rPr>
            </w:pPr>
          </w:p>
        </w:tc>
      </w:tr>
      <w:tr>
        <w:trPr>
          <w:trHeight w:val="166"/>
        </w:trPr>
        <w:tc>
          <w:tcPr>
            <w:tcW w:w="3940" w:type="dxa"/>
            <w:vAlign w:val="bottom"/>
          </w:tcPr>
          <w:p>
            <w:pPr>
              <w:spacing w:after="0"/>
              <w:rPr>
                <w:sz w:val="14"/>
                <w:szCs w:val="14"/>
                <w:color w:val="auto"/>
              </w:rPr>
            </w:pPr>
          </w:p>
        </w:tc>
        <w:tc>
          <w:tcPr>
            <w:tcW w:w="146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Weighted-Average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90"/>
              </w:rPr>
              <w:t>Acquisitions</w:t>
            </w:r>
            <w:r>
              <w:rPr>
                <w:rFonts w:ascii="Arial" w:cs="Arial" w:eastAsia="Arial" w:hAnsi="Arial"/>
                <w:sz w:val="10"/>
                <w:szCs w:val="10"/>
                <w:b w:val="1"/>
                <w:bCs w:val="1"/>
                <w:color w:val="auto"/>
                <w:w w:val="90"/>
              </w:rPr>
              <w:t>(1)</w:t>
            </w:r>
          </w:p>
        </w:tc>
        <w:tc>
          <w:tcPr>
            <w:tcW w:w="60" w:type="dxa"/>
            <w:vAlign w:val="bottom"/>
          </w:tcPr>
          <w:p>
            <w:pPr>
              <w:spacing w:after="0"/>
              <w:rPr>
                <w:sz w:val="14"/>
                <w:szCs w:val="14"/>
                <w:color w:val="auto"/>
              </w:rPr>
            </w:pPr>
          </w:p>
        </w:tc>
        <w:tc>
          <w:tcPr>
            <w:tcW w:w="1720" w:type="dxa"/>
            <w:vAlign w:val="bottom"/>
            <w:gridSpan w:val="3"/>
          </w:tcPr>
          <w:p>
            <w:pPr>
              <w:jc w:val="center"/>
              <w:ind w:right="280"/>
              <w:spacing w:after="0" w:line="166" w:lineRule="exact"/>
              <w:rPr>
                <w:sz w:val="20"/>
                <w:szCs w:val="20"/>
                <w:color w:val="auto"/>
              </w:rPr>
            </w:pPr>
            <w:r>
              <w:rPr>
                <w:rFonts w:ascii="Arial" w:cs="Arial" w:eastAsia="Arial" w:hAnsi="Arial"/>
                <w:sz w:val="16"/>
                <w:szCs w:val="16"/>
                <w:b w:val="1"/>
                <w:bCs w:val="1"/>
                <w:color w:val="auto"/>
                <w:w w:val="91"/>
              </w:rPr>
              <w:t>Weighted-Average</w:t>
            </w:r>
          </w:p>
        </w:tc>
        <w:tc>
          <w:tcPr>
            <w:tcW w:w="126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w w:val="90"/>
              </w:rPr>
              <w:t>Acquisitions</w:t>
            </w:r>
            <w:r>
              <w:rPr>
                <w:rFonts w:ascii="Arial" w:cs="Arial" w:eastAsia="Arial" w:hAnsi="Arial"/>
                <w:sz w:val="10"/>
                <w:szCs w:val="10"/>
                <w:b w:val="1"/>
                <w:bCs w:val="1"/>
                <w:color w:val="auto"/>
                <w:w w:val="90"/>
              </w:rPr>
              <w:t>(1)</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E5E5E5"/>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Life</w:t>
            </w:r>
          </w:p>
        </w:tc>
        <w:tc>
          <w:tcPr>
            <w:tcW w:w="6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Life</w:t>
            </w:r>
          </w:p>
        </w:tc>
        <w:tc>
          <w:tcPr>
            <w:tcW w:w="8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Accounts/finance receivables</w:t>
            </w:r>
          </w:p>
        </w:tc>
        <w:tc>
          <w:tcPr>
            <w:tcW w:w="1460" w:type="dxa"/>
            <w:vAlign w:val="bottom"/>
            <w:shd w:val="clear" w:color="auto" w:fill="E5E5E5"/>
          </w:tcPr>
          <w:p>
            <w:pPr>
              <w:spacing w:after="0"/>
              <w:rPr>
                <w:sz w:val="19"/>
                <w:szCs w:val="19"/>
                <w:color w:val="auto"/>
              </w:rPr>
            </w:pP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346</w:t>
            </w:r>
          </w:p>
        </w:tc>
        <w:tc>
          <w:tcPr>
            <w:tcW w:w="1780" w:type="dxa"/>
            <w:vAlign w:val="bottom"/>
            <w:gridSpan w:val="4"/>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27"/>
        </w:trPr>
        <w:tc>
          <w:tcPr>
            <w:tcW w:w="3940" w:type="dxa"/>
            <w:vAlign w:val="bottom"/>
          </w:tcPr>
          <w:p>
            <w:pPr>
              <w:ind w:left="60"/>
              <w:spacing w:after="0"/>
              <w:rPr>
                <w:sz w:val="20"/>
                <w:szCs w:val="20"/>
                <w:color w:val="auto"/>
              </w:rPr>
            </w:pPr>
            <w:r>
              <w:rPr>
                <w:rFonts w:ascii="Arial" w:cs="Arial" w:eastAsia="Arial" w:hAnsi="Arial"/>
                <w:sz w:val="16"/>
                <w:szCs w:val="16"/>
                <w:b w:val="1"/>
                <w:bCs w:val="1"/>
                <w:color w:val="auto"/>
              </w:rPr>
              <w:t>Inventories</w:t>
            </w: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b w:val="1"/>
                <w:bCs w:val="1"/>
                <w:color w:val="auto"/>
              </w:rPr>
              <w:t>422</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39"/>
        </w:trPr>
        <w:tc>
          <w:tcPr>
            <w:tcW w:w="39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Equipment on operating leases, net</w:t>
            </w:r>
          </w:p>
        </w:tc>
        <w:tc>
          <w:tcPr>
            <w:tcW w:w="146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65</w:t>
            </w:r>
          </w:p>
        </w:tc>
        <w:tc>
          <w:tcPr>
            <w:tcW w:w="60" w:type="dxa"/>
            <w:vAlign w:val="bottom"/>
            <w:shd w:val="clear" w:color="auto" w:fill="E5E5E5"/>
          </w:tcPr>
          <w:p>
            <w:pPr>
              <w:spacing w:after="0"/>
              <w:rPr>
                <w:sz w:val="20"/>
                <w:szCs w:val="20"/>
                <w:color w:val="auto"/>
              </w:rPr>
            </w:pPr>
          </w:p>
        </w:tc>
        <w:tc>
          <w:tcPr>
            <w:tcW w:w="14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940" w:type="dxa"/>
            <w:vAlign w:val="bottom"/>
          </w:tcPr>
          <w:p>
            <w:pPr>
              <w:ind w:left="60"/>
              <w:spacing w:after="0"/>
              <w:rPr>
                <w:sz w:val="20"/>
                <w:szCs w:val="20"/>
                <w:color w:val="auto"/>
              </w:rPr>
            </w:pPr>
            <w:r>
              <w:rPr>
                <w:rFonts w:ascii="Arial" w:cs="Arial" w:eastAsia="Arial" w:hAnsi="Arial"/>
                <w:sz w:val="16"/>
                <w:szCs w:val="16"/>
                <w:b w:val="1"/>
                <w:bCs w:val="1"/>
                <w:color w:val="auto"/>
              </w:rPr>
              <w:t>Land, Buildings and Equipments, net</w:t>
            </w: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b w:val="1"/>
                <w:bCs w:val="1"/>
                <w:color w:val="auto"/>
              </w:rPr>
              <w:t>243</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39"/>
        </w:trPr>
        <w:tc>
          <w:tcPr>
            <w:tcW w:w="39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Intangible assets:</w:t>
            </w:r>
          </w:p>
        </w:tc>
        <w:tc>
          <w:tcPr>
            <w:tcW w:w="146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4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40" w:type="dxa"/>
            <w:vAlign w:val="bottom"/>
          </w:tcPr>
          <w:p>
            <w:pPr>
              <w:ind w:left="280"/>
              <w:spacing w:after="0"/>
              <w:rPr>
                <w:sz w:val="20"/>
                <w:szCs w:val="20"/>
                <w:color w:val="auto"/>
              </w:rPr>
            </w:pPr>
            <w:r>
              <w:rPr>
                <w:rFonts w:ascii="Arial" w:cs="Arial" w:eastAsia="Arial" w:hAnsi="Arial"/>
                <w:sz w:val="16"/>
                <w:szCs w:val="16"/>
                <w:b w:val="1"/>
                <w:bCs w:val="1"/>
                <w:color w:val="auto"/>
              </w:rPr>
              <w:t>Customer relationships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10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b w:val="1"/>
                <w:bCs w:val="1"/>
                <w:color w:val="auto"/>
              </w:rPr>
              <w:t>530</w:t>
            </w:r>
          </w:p>
        </w:tc>
        <w:tc>
          <w:tcPr>
            <w:tcW w:w="60" w:type="dxa"/>
            <w:vAlign w:val="bottom"/>
          </w:tcPr>
          <w:p>
            <w:pPr>
              <w:spacing w:after="0"/>
              <w:rPr>
                <w:sz w:val="19"/>
                <w:szCs w:val="19"/>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10 years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0" w:type="dxa"/>
            <w:vAlign w:val="bottom"/>
          </w:tcPr>
          <w:p>
            <w:pPr>
              <w:spacing w:after="0"/>
              <w:rPr>
                <w:sz w:val="1"/>
                <w:szCs w:val="1"/>
                <w:color w:val="auto"/>
              </w:rPr>
            </w:pPr>
          </w:p>
        </w:tc>
      </w:tr>
      <w:tr>
        <w:trPr>
          <w:trHeight w:val="239"/>
        </w:trPr>
        <w:tc>
          <w:tcPr>
            <w:tcW w:w="394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Trademarks</w:t>
            </w:r>
          </w:p>
        </w:tc>
        <w:tc>
          <w:tcPr>
            <w:tcW w:w="146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0"/>
              </w:rPr>
              <w:t>7 years</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110</w:t>
            </w:r>
          </w:p>
        </w:tc>
        <w:tc>
          <w:tcPr>
            <w:tcW w:w="60" w:type="dxa"/>
            <w:vAlign w:val="bottom"/>
            <w:shd w:val="clear" w:color="auto" w:fill="E5E5E5"/>
          </w:tcPr>
          <w:p>
            <w:pPr>
              <w:spacing w:after="0"/>
              <w:rPr>
                <w:sz w:val="20"/>
                <w:szCs w:val="20"/>
                <w:color w:val="auto"/>
              </w:rPr>
            </w:pPr>
          </w:p>
        </w:tc>
        <w:tc>
          <w:tcPr>
            <w:tcW w:w="1720" w:type="dxa"/>
            <w:vAlign w:val="bottom"/>
            <w:gridSpan w:val="3"/>
            <w:shd w:val="clear" w:color="auto" w:fill="E5E5E5"/>
          </w:tcPr>
          <w:p>
            <w:pPr>
              <w:jc w:val="center"/>
              <w:ind w:right="280"/>
              <w:spacing w:after="0"/>
              <w:rPr>
                <w:sz w:val="20"/>
                <w:szCs w:val="20"/>
                <w:color w:val="auto"/>
              </w:rPr>
            </w:pPr>
            <w:r>
              <w:rPr>
                <w:rFonts w:ascii="Arial" w:cs="Arial" w:eastAsia="Arial" w:hAnsi="Arial"/>
                <w:sz w:val="16"/>
                <w:szCs w:val="16"/>
                <w:b w:val="1"/>
                <w:bCs w:val="1"/>
                <w:color w:val="auto"/>
                <w:w w:val="95"/>
              </w:rPr>
              <w:t>1 year</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7"/>
        </w:trPr>
        <w:tc>
          <w:tcPr>
            <w:tcW w:w="3940" w:type="dxa"/>
            <w:vAlign w:val="bottom"/>
          </w:tcPr>
          <w:p>
            <w:pPr>
              <w:ind w:left="280"/>
              <w:spacing w:after="0"/>
              <w:rPr>
                <w:sz w:val="20"/>
                <w:szCs w:val="20"/>
                <w:color w:val="auto"/>
              </w:rPr>
            </w:pPr>
            <w:r>
              <w:rPr>
                <w:rFonts w:ascii="Arial" w:cs="Arial" w:eastAsia="Arial" w:hAnsi="Arial"/>
                <w:sz w:val="16"/>
                <w:szCs w:val="16"/>
                <w:b w:val="1"/>
                <w:bCs w:val="1"/>
                <w:color w:val="auto"/>
              </w:rPr>
              <w:t>Technology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0"/>
              </w:rPr>
              <w:t>7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b w:val="1"/>
                <w:bCs w:val="1"/>
                <w:color w:val="auto"/>
              </w:rPr>
              <w:t>123</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9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Goodwill</w:t>
            </w:r>
            <w:r>
              <w:rPr>
                <w:rFonts w:ascii="Arial" w:cs="Arial" w:eastAsia="Arial" w:hAnsi="Arial"/>
                <w:sz w:val="10"/>
                <w:szCs w:val="10"/>
                <w:b w:val="1"/>
                <w:bCs w:val="1"/>
                <w:color w:val="auto"/>
              </w:rPr>
              <w:t>(2)</w:t>
            </w:r>
          </w:p>
        </w:tc>
        <w:tc>
          <w:tcPr>
            <w:tcW w:w="146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248</w:t>
            </w:r>
          </w:p>
        </w:tc>
        <w:tc>
          <w:tcPr>
            <w:tcW w:w="60" w:type="dxa"/>
            <w:vAlign w:val="bottom"/>
            <w:shd w:val="clear" w:color="auto" w:fill="E5E5E5"/>
          </w:tcPr>
          <w:p>
            <w:pPr>
              <w:spacing w:after="0"/>
              <w:rPr>
                <w:sz w:val="20"/>
                <w:szCs w:val="20"/>
                <w:color w:val="auto"/>
              </w:rPr>
            </w:pPr>
          </w:p>
        </w:tc>
        <w:tc>
          <w:tcPr>
            <w:tcW w:w="14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286</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 assets</w:t>
            </w:r>
          </w:p>
        </w:tc>
        <w:tc>
          <w:tcPr>
            <w:tcW w:w="146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441</w:t>
            </w:r>
          </w:p>
        </w:tc>
        <w:tc>
          <w:tcPr>
            <w:tcW w:w="60" w:type="dxa"/>
            <w:vAlign w:val="bottom"/>
            <w:tcBorders>
              <w:bottom w:val="single" w:sz="8" w:color="E5E5E5"/>
            </w:tcBorders>
          </w:tcPr>
          <w:p>
            <w:pPr>
              <w:spacing w:after="0"/>
              <w:rPr>
                <w:sz w:val="19"/>
                <w:szCs w:val="19"/>
                <w:color w:val="auto"/>
              </w:rPr>
            </w:pPr>
          </w:p>
        </w:tc>
        <w:tc>
          <w:tcPr>
            <w:tcW w:w="1440" w:type="dxa"/>
            <w:vAlign w:val="bottom"/>
            <w:tcBorders>
              <w:bottom w:val="single" w:sz="8" w:color="E5E5E5"/>
            </w:tcBorders>
          </w:tcPr>
          <w:p>
            <w:pPr>
              <w:spacing w:after="0"/>
              <w:rPr>
                <w:sz w:val="19"/>
                <w:szCs w:val="19"/>
                <w:color w:val="auto"/>
              </w:rPr>
            </w:pPr>
          </w:p>
        </w:tc>
        <w:tc>
          <w:tcPr>
            <w:tcW w:w="8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23"/>
        </w:trPr>
        <w:tc>
          <w:tcPr>
            <w:tcW w:w="39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Assets acquired</w:t>
            </w:r>
          </w:p>
        </w:tc>
        <w:tc>
          <w:tcPr>
            <w:tcW w:w="146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2,528</w:t>
            </w:r>
          </w:p>
        </w:tc>
        <w:tc>
          <w:tcPr>
            <w:tcW w:w="60" w:type="dxa"/>
            <w:vAlign w:val="bottom"/>
            <w:shd w:val="clear" w:color="auto" w:fill="E5E5E5"/>
          </w:tcPr>
          <w:p>
            <w:pPr>
              <w:spacing w:after="0"/>
              <w:rPr>
                <w:sz w:val="19"/>
                <w:szCs w:val="19"/>
                <w:color w:val="auto"/>
              </w:rPr>
            </w:pPr>
          </w:p>
        </w:tc>
        <w:tc>
          <w:tcPr>
            <w:tcW w:w="14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495</w:t>
            </w:r>
          </w:p>
        </w:tc>
        <w:tc>
          <w:tcPr>
            <w:tcW w:w="0" w:type="dxa"/>
            <w:vAlign w:val="bottom"/>
          </w:tcPr>
          <w:p>
            <w:pPr>
              <w:spacing w:after="0"/>
              <w:rPr>
                <w:sz w:val="1"/>
                <w:szCs w:val="1"/>
                <w:color w:val="auto"/>
              </w:rPr>
            </w:pPr>
          </w:p>
        </w:tc>
      </w:tr>
      <w:tr>
        <w:trPr>
          <w:trHeight w:val="227"/>
        </w:trPr>
        <w:tc>
          <w:tcPr>
            <w:tcW w:w="3940" w:type="dxa"/>
            <w:vAlign w:val="bottom"/>
          </w:tcPr>
          <w:p>
            <w:pPr>
              <w:ind w:left="60"/>
              <w:spacing w:after="0"/>
              <w:rPr>
                <w:sz w:val="20"/>
                <w:szCs w:val="20"/>
                <w:color w:val="auto"/>
              </w:rPr>
            </w:pPr>
            <w:r>
              <w:rPr>
                <w:rFonts w:ascii="Arial" w:cs="Arial" w:eastAsia="Arial" w:hAnsi="Arial"/>
                <w:sz w:val="16"/>
                <w:szCs w:val="16"/>
                <w:b w:val="1"/>
                <w:bCs w:val="1"/>
                <w:color w:val="auto"/>
              </w:rPr>
              <w:t>Liabilities assumed</w:t>
            </w: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(1,531)</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Acquisition-related debt</w:t>
            </w:r>
          </w:p>
        </w:tc>
        <w:tc>
          <w:tcPr>
            <w:tcW w:w="1460" w:type="dxa"/>
            <w:vAlign w:val="bottom"/>
            <w:tcBorders>
              <w:bottom w:val="single" w:sz="8" w:color="E5E5E5"/>
            </w:tcBorders>
            <w:shd w:val="clear" w:color="auto" w:fill="E5E5E5"/>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(323)</w:t>
            </w:r>
          </w:p>
        </w:tc>
        <w:tc>
          <w:tcPr>
            <w:tcW w:w="60" w:type="dxa"/>
            <w:vAlign w:val="bottom"/>
            <w:tcBorders>
              <w:bottom w:val="single" w:sz="8" w:color="E5E5E5"/>
            </w:tcBorders>
            <w:shd w:val="clear" w:color="auto" w:fill="E5E5E5"/>
          </w:tcPr>
          <w:p>
            <w:pPr>
              <w:spacing w:after="0"/>
              <w:rPr>
                <w:sz w:val="21"/>
                <w:szCs w:val="21"/>
                <w:color w:val="auto"/>
              </w:rPr>
            </w:pPr>
          </w:p>
        </w:tc>
        <w:tc>
          <w:tcPr>
            <w:tcW w:w="144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(210)</w:t>
            </w:r>
          </w:p>
        </w:tc>
        <w:tc>
          <w:tcPr>
            <w:tcW w:w="0" w:type="dxa"/>
            <w:vAlign w:val="bottom"/>
          </w:tcPr>
          <w:p>
            <w:pPr>
              <w:spacing w:after="0"/>
              <w:rPr>
                <w:sz w:val="1"/>
                <w:szCs w:val="1"/>
                <w:color w:val="auto"/>
              </w:rPr>
            </w:pPr>
          </w:p>
        </w:tc>
      </w:tr>
      <w:tr>
        <w:trPr>
          <w:trHeight w:val="174"/>
        </w:trPr>
        <w:tc>
          <w:tcPr>
            <w:tcW w:w="39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Acquisition, net of cash acquired</w:t>
            </w:r>
          </w:p>
        </w:tc>
        <w:tc>
          <w:tcPr>
            <w:tcW w:w="1460" w:type="dxa"/>
            <w:vAlign w:val="bottom"/>
          </w:tcPr>
          <w:p>
            <w:pPr>
              <w:spacing w:after="0"/>
              <w:rPr>
                <w:sz w:val="15"/>
                <w:szCs w:val="15"/>
                <w:color w:val="auto"/>
              </w:rPr>
            </w:pPr>
          </w:p>
        </w:tc>
        <w:tc>
          <w:tcPr>
            <w:tcW w:w="260" w:type="dxa"/>
            <w:vAlign w:val="bottom"/>
            <w:gridSpan w:val="2"/>
          </w:tcPr>
          <w:p>
            <w:pPr>
              <w:jc w:val="right"/>
              <w:ind w:right="60"/>
              <w:spacing w:after="0" w:line="175" w:lineRule="exact"/>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674</w:t>
            </w:r>
          </w:p>
        </w:tc>
        <w:tc>
          <w:tcPr>
            <w:tcW w:w="1780" w:type="dxa"/>
            <w:vAlign w:val="bottom"/>
            <w:gridSpan w:val="4"/>
          </w:tcPr>
          <w:p>
            <w:pPr>
              <w:jc w:val="right"/>
              <w:ind w:right="60"/>
              <w:spacing w:after="0" w:line="175" w:lineRule="exact"/>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161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-43180</wp:posOffset>
            </wp:positionV>
            <wp:extent cx="986155" cy="50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986155" cy="50165"/>
                    </a:xfrm>
                    <a:prstGeom prst="rect">
                      <a:avLst/>
                    </a:prstGeom>
                    <a:noFill/>
                  </pic:spPr>
                </pic:pic>
              </a:graphicData>
            </a:graphic>
          </wp:anchor>
        </w:drawing>
        <w:drawing>
          <wp:anchor simplePos="0" relativeHeight="251657728" behindDoc="1" locked="0" layoutInCell="0" allowOverlap="1">
            <wp:simplePos x="0" y="0"/>
            <wp:positionH relativeFrom="column">
              <wp:posOffset>5385435</wp:posOffset>
            </wp:positionH>
            <wp:positionV relativeFrom="paragraph">
              <wp:posOffset>-43180</wp:posOffset>
            </wp:positionV>
            <wp:extent cx="949325" cy="50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94932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12"/>
        <w:spacing w:after="0"/>
        <w:tabs>
          <w:tab w:leader="none" w:pos="360" w:val="left"/>
        </w:tabs>
        <w:numPr>
          <w:ilvl w:val="0"/>
          <w:numId w:val="10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 additional details related to our 2025 and 2024 acquisition activity, see below.</w:t>
      </w:r>
    </w:p>
    <w:p>
      <w:pPr>
        <w:spacing w:after="0" w:line="2" w:lineRule="exact"/>
        <w:rPr>
          <w:rFonts w:ascii="Arial" w:cs="Arial" w:eastAsia="Arial" w:hAnsi="Arial"/>
          <w:sz w:val="16"/>
          <w:szCs w:val="16"/>
          <w:b w:val="1"/>
          <w:bCs w:val="1"/>
          <w:i w:val="1"/>
          <w:iCs w:val="1"/>
          <w:color w:val="auto"/>
        </w:rPr>
      </w:pPr>
    </w:p>
    <w:p>
      <w:pPr>
        <w:ind w:left="360" w:right="500" w:hanging="312"/>
        <w:spacing w:after="0" w:line="259" w:lineRule="auto"/>
        <w:tabs>
          <w:tab w:leader="none" w:pos="360" w:val="left"/>
        </w:tabs>
        <w:numPr>
          <w:ilvl w:val="0"/>
          <w:numId w:val="10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2025 and 2024 acquisitions included approximately $2 and $42, respectively, of goodwill that is expected to be deductible for tax purposes. Goodwill resulting from our 2025 acquisition is allocated to the Print and Other Segment.</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2025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Lexmark Acquisition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On July 1, 2025, Xerox Corporation completed the acquisition of all of the issued and outstanding equity of Lexmark International II, LLC (Lexmark), a leading developer, manufacturer and supplier of printing, imaging, device management, managed print services (MPS), cloud services, document workflow, and technology solutions (the Lexmark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107</w:t>
      </w:r>
    </w:p>
    <w:p>
      <w:pPr>
        <w:sectPr>
          <w:pgSz w:w="11880" w:h="15480" w:orient="portrait"/>
          <w:cols w:equalWidth="0" w:num="1">
            <w:col w:w="9960"/>
          </w:cols>
          <w:pgMar w:left="960" w:top="637" w:right="960" w:bottom="0"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i w:val="1"/>
          <w:iCs w:val="1"/>
          <w:color w:val="DA2031"/>
        </w:rPr>
        <w:t>Total Purchase Consideration</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Total consideration paid to the Seller for the net assets acquired from Lexmark was $768, which included Cash and cash equivalents acquired of $93. As part of the Lexmark Acquisition we effectively settled a pre-existing net payable of $43 with Lexmark. The settlement is presented as an operating cash outflow to reflect the nature of the underlying net liability.</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Assets Acquired and Liabilities Assumed</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The transaction has been accounted for using the acquisition method of accounting in accordance with Accounting Standards Codification (ASC) 805 — Business Combinations (ASC 805), which requires among other things, that assets acquired and liabilities assumed to be recognized at their fair values as of the acquisition date. No contingent consideration was recorded by Xerox. The preliminary application of acquisition accounting to the assets acquired, and liabilities assumed, as well as the pro forma results of operations are presented below.</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following table summarizes the preliminary allocation of total purchase consideration to the assets acquired and the liabilities assumed as of the date of the acquisition. Certain amounts have been updated to reflect working capital and measurement period adjustments, the impacts of which were not material to the Consolidated Statements of (Loss) Income: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4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July 1, 2025</w:t>
            </w:r>
          </w:p>
        </w:tc>
      </w:tr>
      <w:tr>
        <w:trPr>
          <w:trHeight w:val="223"/>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Assets acquired</w:t>
            </w:r>
          </w:p>
        </w:tc>
        <w:tc>
          <w:tcPr>
            <w:tcW w:w="2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Cash and cash equivalents</w:t>
            </w:r>
          </w:p>
        </w:tc>
        <w:tc>
          <w:tcPr>
            <w:tcW w:w="2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93</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Accounts receivable, net</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280</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Finance receivables, net</w:t>
            </w:r>
            <w:r>
              <w:rPr>
                <w:rFonts w:ascii="Arial" w:cs="Arial" w:eastAsia="Arial" w:hAnsi="Arial"/>
                <w:sz w:val="10"/>
                <w:szCs w:val="10"/>
                <w:b w:val="1"/>
                <w:bCs w:val="1"/>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Inventories</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422</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Other current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131</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Finance receivables due after one year, net</w:t>
            </w:r>
            <w:r>
              <w:rPr>
                <w:rFonts w:ascii="Arial" w:cs="Arial" w:eastAsia="Arial" w:hAnsi="Arial"/>
                <w:sz w:val="10"/>
                <w:szCs w:val="10"/>
                <w:b w:val="1"/>
                <w:bCs w:val="1"/>
                <w:color w:val="auto"/>
              </w:rPr>
              <w:t>(1)</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44</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Equipment on operating lease, net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Land, buildings and equipment, net</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243</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Intangible assets, net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763</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246</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Deferred tax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48"/>
        </w:trPr>
        <w:tc>
          <w:tcPr>
            <w:tcW w:w="83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2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266</w:t>
            </w:r>
          </w:p>
        </w:tc>
      </w:tr>
      <w:tr>
        <w:trPr>
          <w:trHeight w:val="194"/>
        </w:trPr>
        <w:tc>
          <w:tcPr>
            <w:tcW w:w="8340" w:type="dxa"/>
            <w:vAlign w:val="bottom"/>
            <w:tcBorders>
              <w:bottom w:val="single" w:sz="8" w:color="DBDBDB"/>
            </w:tcBorders>
          </w:tcPr>
          <w:p>
            <w:pPr>
              <w:ind w:left="180"/>
              <w:spacing w:after="0"/>
              <w:rPr>
                <w:sz w:val="20"/>
                <w:szCs w:val="20"/>
                <w:color w:val="auto"/>
              </w:rPr>
            </w:pPr>
            <w:r>
              <w:rPr>
                <w:rFonts w:ascii="Arial" w:cs="Arial" w:eastAsia="Arial" w:hAnsi="Arial"/>
                <w:sz w:val="16"/>
                <w:szCs w:val="16"/>
                <w:b w:val="1"/>
                <w:bCs w:val="1"/>
                <w:color w:val="auto"/>
              </w:rPr>
              <w:t>Total Assets acquired</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2,600</w:t>
            </w:r>
          </w:p>
        </w:tc>
      </w:tr>
      <w:tr>
        <w:trPr>
          <w:trHeight w:val="208"/>
        </w:trPr>
        <w:tc>
          <w:tcPr>
            <w:tcW w:w="83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231"/>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Liabilities assumed</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5"/>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Accounts payable</w:t>
            </w:r>
          </w:p>
        </w:tc>
        <w:tc>
          <w:tcPr>
            <w:tcW w:w="260" w:type="dxa"/>
            <w:vAlign w:val="bottom"/>
            <w:shd w:val="clear" w:color="auto" w:fill="DBDBDB"/>
          </w:tcPr>
          <w:p>
            <w:pPr>
              <w:jc w:val="right"/>
              <w:ind w:right="42"/>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476</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Accrued compensation and benefits costs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r>
              <w:rPr>
                <w:rFonts w:ascii="Arial" w:cs="Arial" w:eastAsia="Arial" w:hAnsi="Arial"/>
                <w:sz w:val="10"/>
                <w:szCs w:val="10"/>
                <w:b w:val="1"/>
                <w:bCs w:val="1"/>
                <w:color w:val="auto"/>
              </w:rPr>
              <w:t>(2)</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518</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Long-term debt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323</w:t>
            </w:r>
          </w:p>
        </w:tc>
      </w:tr>
      <w:tr>
        <w:trPr>
          <w:trHeight w:val="239"/>
        </w:trPr>
        <w:tc>
          <w:tcPr>
            <w:tcW w:w="8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Pension and other benefit liabilities</w:t>
            </w: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118</w:t>
            </w:r>
          </w:p>
        </w:tc>
      </w:tr>
      <w:tr>
        <w:trPr>
          <w:trHeight w:val="227"/>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Post-retirement medical benefits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248"/>
        </w:trPr>
        <w:tc>
          <w:tcPr>
            <w:tcW w:w="83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Other long-term liabilities</w:t>
            </w:r>
            <w:r>
              <w:rPr>
                <w:rFonts w:ascii="Arial" w:cs="Arial" w:eastAsia="Arial" w:hAnsi="Arial"/>
                <w:sz w:val="10"/>
                <w:szCs w:val="10"/>
                <w:b w:val="1"/>
                <w:bCs w:val="1"/>
                <w:color w:val="auto"/>
              </w:rPr>
              <w:t>(2)</w:t>
            </w:r>
          </w:p>
        </w:tc>
        <w:tc>
          <w:tcPr>
            <w:tcW w:w="2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335</w:t>
            </w:r>
          </w:p>
        </w:tc>
      </w:tr>
      <w:tr>
        <w:trPr>
          <w:trHeight w:val="194"/>
        </w:trPr>
        <w:tc>
          <w:tcPr>
            <w:tcW w:w="8340" w:type="dxa"/>
            <w:vAlign w:val="bottom"/>
            <w:tcBorders>
              <w:bottom w:val="single" w:sz="8" w:color="DBDBDB"/>
            </w:tcBorders>
          </w:tcPr>
          <w:p>
            <w:pPr>
              <w:ind w:left="180"/>
              <w:spacing w:after="0"/>
              <w:rPr>
                <w:sz w:val="20"/>
                <w:szCs w:val="20"/>
                <w:color w:val="auto"/>
              </w:rPr>
            </w:pPr>
            <w:r>
              <w:rPr>
                <w:rFonts w:ascii="Arial" w:cs="Arial" w:eastAsia="Arial" w:hAnsi="Arial"/>
                <w:sz w:val="16"/>
                <w:szCs w:val="16"/>
                <w:b w:val="1"/>
                <w:bCs w:val="1"/>
                <w:color w:val="auto"/>
              </w:rPr>
              <w:t>Total Liabilities assumed</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1,832</w:t>
            </w:r>
          </w:p>
        </w:tc>
      </w:tr>
      <w:tr>
        <w:trPr>
          <w:trHeight w:val="218"/>
        </w:trPr>
        <w:tc>
          <w:tcPr>
            <w:tcW w:w="834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spacing w:after="0"/>
              <w:rPr>
                <w:sz w:val="18"/>
                <w:szCs w:val="18"/>
                <w:color w:val="auto"/>
              </w:rPr>
            </w:pPr>
          </w:p>
        </w:tc>
      </w:tr>
      <w:tr>
        <w:trPr>
          <w:trHeight w:val="212"/>
        </w:trPr>
        <w:tc>
          <w:tcPr>
            <w:tcW w:w="834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Net Assets acquired</w:t>
            </w:r>
          </w:p>
        </w:tc>
        <w:tc>
          <w:tcPr>
            <w:tcW w:w="260" w:type="dxa"/>
            <w:vAlign w:val="bottom"/>
            <w:tcBorders>
              <w:bottom w:val="single" w:sz="8" w:color="auto"/>
            </w:tcBorders>
          </w:tcPr>
          <w:p>
            <w:pPr>
              <w:jc w:val="right"/>
              <w:ind w:right="42"/>
              <w:spacing w:after="0" w:line="174" w:lineRule="exact"/>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768</w:t>
            </w:r>
          </w:p>
        </w:tc>
      </w:tr>
      <w:tr>
        <w:trPr>
          <w:trHeight w:val="259"/>
        </w:trPr>
        <w:tc>
          <w:tcPr>
            <w:tcW w:w="8340" w:type="dxa"/>
            <w:vAlign w:val="bottom"/>
          </w:tcPr>
          <w:p>
            <w:pPr>
              <w:spacing w:after="0"/>
              <w:rPr>
                <w:sz w:val="20"/>
                <w:szCs w:val="20"/>
                <w:color w:val="auto"/>
              </w:rPr>
            </w:pPr>
            <w:r>
              <w:rPr>
                <w:rFonts w:ascii="Arial" w:cs="Arial" w:eastAsia="Arial" w:hAnsi="Arial"/>
                <w:sz w:val="19"/>
                <w:szCs w:val="19"/>
                <w:b w:val="1"/>
                <w:bCs w:val="1"/>
                <w:color w:val="auto"/>
              </w:rPr>
              <w:t>_____________</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-207010</wp:posOffset>
            </wp:positionV>
            <wp:extent cx="1050925" cy="50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1050925" cy="50165"/>
                    </a:xfrm>
                    <a:prstGeom prst="rect">
                      <a:avLst/>
                    </a:prstGeom>
                    <a:noFill/>
                  </pic:spPr>
                </pic:pic>
              </a:graphicData>
            </a:graphic>
          </wp:anchor>
        </w:drawing>
      </w:r>
    </w:p>
    <w:p>
      <w:pPr>
        <w:ind w:left="360" w:hanging="312"/>
        <w:spacing w:after="0"/>
        <w:tabs>
          <w:tab w:leader="none" w:pos="360" w:val="left"/>
        </w:tabs>
        <w:numPr>
          <w:ilvl w:val="0"/>
          <w:numId w:val="1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Comprised of sales-type lease receivables.</w:t>
      </w:r>
    </w:p>
    <w:p>
      <w:pPr>
        <w:spacing w:after="0" w:line="2" w:lineRule="exact"/>
        <w:rPr>
          <w:rFonts w:ascii="Arial" w:cs="Arial" w:eastAsia="Arial" w:hAnsi="Arial"/>
          <w:sz w:val="16"/>
          <w:szCs w:val="16"/>
          <w:b w:val="1"/>
          <w:bCs w:val="1"/>
          <w:i w:val="1"/>
          <w:iCs w:val="1"/>
          <w:color w:val="auto"/>
        </w:rPr>
      </w:pPr>
    </w:p>
    <w:p>
      <w:pPr>
        <w:ind w:left="360" w:hanging="312"/>
        <w:spacing w:after="0"/>
        <w:tabs>
          <w:tab w:leader="none" w:pos="360" w:val="left"/>
        </w:tabs>
        <w:numPr>
          <w:ilvl w:val="0"/>
          <w:numId w:val="1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Deferred revenue accounted for in accordance with ASC 606, Revenue from Contracts with Customers</w:t>
      </w:r>
      <w:r>
        <w:rPr>
          <w:rFonts w:ascii="Arial" w:cs="Arial" w:eastAsia="Arial" w:hAnsi="Arial"/>
          <w:sz w:val="16"/>
          <w:szCs w:val="16"/>
          <w:b w:val="1"/>
          <w:bCs w:val="1"/>
          <w:color w:val="auto"/>
        </w:rPr>
        <w:t>.</w:t>
      </w:r>
    </w:p>
    <w:p>
      <w:pPr>
        <w:spacing w:after="0" w:line="8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Our estimates and assumptions are subject to change, and have already changed, within the measurement period, which is up to 12 months after the acquisition date.</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During the fourth quarter 2025, adjustments were recorded to correct certain errors in the Lexmark Acquisition preliminary purchase price allocation that existed as of the acquisition date. The errors resulted from misstated balances of accounts receivable, contract assets, and contract liabilities in Lexmark's opening balance sheet as of July 1, 2025, and were subsequently reflected in the Company's Consolidated Balance Sheet as of September 30, 2025. Accordingly, Accounts receivable, net decreased by $73, Other current assets increased by $20, Deferred tax assets increased by $7, Accrued expenses and other current liabilities decreased by $11, and Other long-term liabilities decreased $7. The identified errors had an immaterial impact on the Lexmark preliminary purchase accounting through September 30, 2025. As a result of the correction, an increase of $28 was recorded to Goodwill. In addition, immaterial measurement period adjustments were also recorded which resulted in a further increase of $11 to Goodwill associated with the Lexmark Acquisition.</w:t>
      </w:r>
    </w:p>
    <w:p>
      <w:pPr>
        <w:spacing w:after="0" w:line="27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108</w:t>
      </w:r>
    </w:p>
    <w:p>
      <w:pPr>
        <w:sectPr>
          <w:pgSz w:w="11880" w:h="15480" w:orient="portrait"/>
          <w:cols w:equalWidth="0" w:num="1">
            <w:col w:w="9960"/>
          </w:cols>
          <w:pgMar w:left="960" w:top="650" w:right="960" w:bottom="0" w:gutter="0" w:footer="0" w:header="0"/>
        </w:sectPr>
      </w:pPr>
    </w:p>
    <w:bookmarkStart w:id="118" w:name="page119"/>
    <w:bookmarkEnd w:id="118"/>
    <w:p>
      <w:pPr>
        <w:jc w:val="both"/>
        <w:spacing w:after="0" w:line="289" w:lineRule="auto"/>
        <w:rPr>
          <w:sz w:val="20"/>
          <w:szCs w:val="20"/>
          <w:color w:val="auto"/>
        </w:rPr>
      </w:pPr>
      <w:r>
        <w:rPr>
          <w:rFonts w:ascii="Arial" w:cs="Arial" w:eastAsia="Arial" w:hAnsi="Arial"/>
          <w:sz w:val="18"/>
          <w:szCs w:val="18"/>
          <w:b w:val="1"/>
          <w:bCs w:val="1"/>
          <w:color w:val="auto"/>
        </w:rPr>
        <w:t>The allocation of the purchase price for this acquisition has been prepared on a preliminary basis, and adjustments may continue to be required as additional information becomes available. Additionally, as required by the Lexmark Agreement, Xerox provided its determination of the Closing Statement (as defined in the Lexmark Agreement) to the Lexmark Seller. The final purchase price is subject to a final working capital adjustment, which we are still finalizing.</w:t>
      </w:r>
    </w:p>
    <w:p>
      <w:pPr>
        <w:spacing w:after="0" w:line="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Transaction-related expense for the Lexmark Acquisition was approximately $33 for the year ended December 31, 2025 and were recorded within Selling, administrative and general expenses.</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Our Consolidated Statements of (Loss) Income includes revenue of $962, and net loss of $119 for the year ended December 31, 2025, attributable to the Lexmark Acquisition since the date of acquisition.</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Intangible Assets</w:t>
      </w:r>
    </w:p>
    <w:p>
      <w:pPr>
        <w:spacing w:after="0" w:line="11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following table is a summary of the fair value estimates of the identifiable intangible assets and their estimated average useful lives: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tcBorders>
              <w:bottom w:val="single" w:sz="8" w:color="DBDBDB"/>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1, 2025</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Estimated Useful Life</w:t>
            </w:r>
          </w:p>
        </w:tc>
      </w:tr>
      <w:tr>
        <w:trPr>
          <w:trHeight w:val="223"/>
        </w:trPr>
        <w:tc>
          <w:tcPr>
            <w:tcW w:w="67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Customer relationships</w:t>
            </w:r>
          </w:p>
        </w:tc>
        <w:tc>
          <w:tcPr>
            <w:tcW w:w="1220" w:type="dxa"/>
            <w:vAlign w:val="bottom"/>
            <w:shd w:val="clear" w:color="auto" w:fill="DBDBDB"/>
          </w:tcPr>
          <w:p>
            <w:pPr>
              <w:jc w:val="right"/>
              <w:ind w:right="10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w w:val="89"/>
              </w:rPr>
              <w:t>530</w:t>
            </w:r>
          </w:p>
        </w:tc>
        <w:tc>
          <w:tcPr>
            <w:tcW w:w="60" w:type="dxa"/>
            <w:vAlign w:val="bottom"/>
            <w:shd w:val="clear" w:color="auto" w:fill="DBDBDB"/>
          </w:tcPr>
          <w:p>
            <w:pPr>
              <w:spacing w:after="0"/>
              <w:rPr>
                <w:sz w:val="19"/>
                <w:szCs w:val="19"/>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w w:val="90"/>
              </w:rPr>
              <w:t>10 years</w:t>
            </w:r>
          </w:p>
        </w:tc>
      </w:tr>
      <w:tr>
        <w:trPr>
          <w:trHeight w:val="227"/>
        </w:trPr>
        <w:tc>
          <w:tcPr>
            <w:tcW w:w="6700" w:type="dxa"/>
            <w:vAlign w:val="bottom"/>
          </w:tcPr>
          <w:p>
            <w:pPr>
              <w:ind w:left="60"/>
              <w:spacing w:after="0"/>
              <w:rPr>
                <w:sz w:val="20"/>
                <w:szCs w:val="20"/>
                <w:color w:val="auto"/>
              </w:rPr>
            </w:pPr>
            <w:r>
              <w:rPr>
                <w:rFonts w:ascii="Arial" w:cs="Arial" w:eastAsia="Arial" w:hAnsi="Arial"/>
                <w:sz w:val="16"/>
                <w:szCs w:val="16"/>
                <w:b w:val="1"/>
                <w:bCs w:val="1"/>
                <w:color w:val="auto"/>
              </w:rPr>
              <w:t>Developed technology</w:t>
            </w:r>
          </w:p>
        </w:tc>
        <w:tc>
          <w:tcPr>
            <w:tcW w:w="12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123</w:t>
            </w:r>
          </w:p>
        </w:tc>
        <w:tc>
          <w:tcPr>
            <w:tcW w:w="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7 years</w:t>
            </w:r>
          </w:p>
        </w:tc>
      </w:tr>
      <w:tr>
        <w:trPr>
          <w:trHeight w:val="248"/>
        </w:trPr>
        <w:tc>
          <w:tcPr>
            <w:tcW w:w="67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Trademarks</w:t>
            </w:r>
          </w:p>
        </w:tc>
        <w:tc>
          <w:tcPr>
            <w:tcW w:w="1220" w:type="dxa"/>
            <w:vAlign w:val="bottom"/>
            <w:tcBorders>
              <w:bottom w:val="single" w:sz="8" w:color="auto"/>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w w:val="89"/>
              </w:rPr>
              <w:t>110</w:t>
            </w:r>
          </w:p>
        </w:tc>
        <w:tc>
          <w:tcPr>
            <w:tcW w:w="6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0"/>
              </w:rPr>
              <w:t>7 years</w:t>
            </w:r>
          </w:p>
        </w:tc>
      </w:tr>
      <w:tr>
        <w:trPr>
          <w:trHeight w:val="174"/>
        </w:trPr>
        <w:tc>
          <w:tcPr>
            <w:tcW w:w="67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Identifiable intangible assets</w:t>
            </w:r>
          </w:p>
        </w:tc>
        <w:tc>
          <w:tcPr>
            <w:tcW w:w="1220" w:type="dxa"/>
            <w:vAlign w:val="bottom"/>
            <w:tcBorders>
              <w:bottom w:val="single" w:sz="8" w:color="auto"/>
            </w:tcBorders>
          </w:tcPr>
          <w:p>
            <w:pPr>
              <w:jc w:val="right"/>
              <w:ind w:right="1002"/>
              <w:spacing w:after="0" w:line="175" w:lineRule="exact"/>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line="175" w:lineRule="exact"/>
              <w:rPr>
                <w:sz w:val="20"/>
                <w:szCs w:val="20"/>
                <w:color w:val="auto"/>
              </w:rPr>
            </w:pPr>
            <w:r>
              <w:rPr>
                <w:rFonts w:ascii="Arial" w:cs="Arial" w:eastAsia="Arial" w:hAnsi="Arial"/>
                <w:sz w:val="16"/>
                <w:szCs w:val="16"/>
                <w:b w:val="1"/>
                <w:bCs w:val="1"/>
                <w:color w:val="auto"/>
                <w:w w:val="89"/>
              </w:rPr>
              <w:t>763</w:t>
            </w: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
        </w:trPr>
        <w:tc>
          <w:tcPr>
            <w:tcW w:w="6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-42545</wp:posOffset>
            </wp:positionV>
            <wp:extent cx="1014095" cy="50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1014095" cy="50165"/>
                    </a:xfrm>
                    <a:prstGeom prst="rect">
                      <a:avLst/>
                    </a:prstGeom>
                    <a:noFill/>
                  </pic:spPr>
                </pic:pic>
              </a:graphicData>
            </a:graphic>
          </wp:anchor>
        </w:drawing>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customer-related intangible assets relates to customer contracts and related relationships. The customer contracts and related relationships intangible asset represents the fair value of future projected cash flows that will be derived from sales of products and services to existing customers of Lexmark. The asset was valued using a multi-period excess earnings method which estimates the present value of the after-tax cash flows attributable to the customer relationships. The present value of projected future cash flows included significant judgment and assumptions regarding projected annual revenues based on estimated customer attrition rates, projected operating margins, and the discount rate.</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Developed technology represents the estimated fair value of Lexmark’s proprietary technology and is valued using the relief-from-royalty method under the income approach. This method is based on the application of a royalty rate to forecasted cash flows that are expected to be generated by the developed technology, which included judgment and assumptions regarding projected future revenues, projected expenses, and the discount rate.</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Trade name and trademarks represents the estimated fair value of Lexmark’s trade name and trademarks. The fair value was determined by applying the relief-from-royalty method under the income approach. This method is based on the application of a royalty rate to forecasted cash flows that are expected to be generated by the trade name and trademarks, which included judgment and assumptions regarding projected future revenues, projected expenses, and the discount rate.</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Intangible assets of approximately $4 are deductible for tax purposes as a result of previous taxable acquisitions made by Lexmark.</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Goodwill</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Goodwill in the amount of $246 was recognized for this acquisition and is calculated as the excess of the consideration transferred over the net assets recognized and represents the future economic benefits arising from other assets acquired that could not be individually identified and separately recognized, primarily expected synergies. Goodwill of approximately $2 is deductible for tax purposes as a result of previous taxable acquisitions made by Lexmark. All of the goodwill associated with the Lexmark Acquisition is allocated to our Print and Other Segment.</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Debt</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In conjunction with the acquisition, Xerox assumed approximately $323 of Lexmark debt that, concurrent with the closing date, was included in the renegotiated terms of Xerox's Term Loan B. The assumed debt is included in Long-term debt in the Consolidated Balance Sheet. It was determined that the fair value of the assumed debt approximated its book value and that the conversion of this debt within the Term Loan B represented a modification. Refer to Note 15 - Debt for additional information regarding debt related to the Lexmark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Deferred Taxes</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We provided deferred taxes and recorded other tax adjustments as part of the accounting for the acquisition primarily related to the estimated fair value adjustments for acquired intangible assets, as well as the elimination of a previously recorded deferred tax liability associated with Lexmark's historical tax deductible goodwill.</w:t>
      </w:r>
    </w:p>
    <w:p>
      <w:pPr>
        <w:sectPr>
          <w:pgSz w:w="11880" w:h="15480" w:orient="portrait"/>
          <w:cols w:equalWidth="0" w:num="1">
            <w:col w:w="9960"/>
          </w:cols>
          <w:pgMar w:left="960" w:top="64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109</w:t>
      </w:r>
    </w:p>
    <w:p>
      <w:pPr>
        <w:sectPr>
          <w:pgSz w:w="11880" w:h="15480" w:orient="portrait"/>
          <w:cols w:equalWidth="0" w:num="1">
            <w:col w:w="9960"/>
          </w:cols>
          <w:pgMar w:left="960" w:top="649" w:right="96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19"/>
          <w:szCs w:val="19"/>
          <w:b w:val="1"/>
          <w:bCs w:val="1"/>
          <w:color w:val="DA2031"/>
        </w:rPr>
        <w:t>2024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ITsavvy</w:t>
      </w:r>
    </w:p>
    <w:p>
      <w:pPr>
        <w:spacing w:after="0" w:line="131"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color w:val="auto"/>
        </w:rPr>
        <w:t>On November 20, 2024, we completed the acquisition of ITsavvy Acquisition Company, Inc. (ITsavvy), a technology infrastructure solutions provider for total consideration of $404, which resulted in 100% ownership of ITsavvy.</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Total Purchase Consideration</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table below details the total fair value of consideration paid for the ITsavvy Acquisition: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November 20, 2024</w:t>
            </w:r>
          </w:p>
        </w:tc>
      </w:tr>
      <w:tr>
        <w:trPr>
          <w:trHeight w:val="223"/>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Cash</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194</w:t>
            </w: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Secured promissory notes due in 2025, net of $3 discount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r>
      <w:tr>
        <w:trPr>
          <w:trHeight w:val="248"/>
        </w:trPr>
        <w:tc>
          <w:tcPr>
            <w:tcW w:w="84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Secured promissory notes due in 2026, net of $7 discount</w:t>
            </w:r>
          </w:p>
        </w:tc>
        <w:tc>
          <w:tcPr>
            <w:tcW w:w="14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103</w:t>
            </w:r>
          </w:p>
        </w:tc>
      </w:tr>
      <w:tr>
        <w:trPr>
          <w:trHeight w:val="174"/>
        </w:trPr>
        <w:tc>
          <w:tcPr>
            <w:tcW w:w="84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Fair value of consideration transferred</w:t>
            </w:r>
          </w:p>
        </w:tc>
        <w:tc>
          <w:tcPr>
            <w:tcW w:w="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404</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-42545</wp:posOffset>
            </wp:positionV>
            <wp:extent cx="1014095" cy="50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1014095" cy="50165"/>
                    </a:xfrm>
                    <a:prstGeom prst="rect">
                      <a:avLst/>
                    </a:prstGeom>
                    <a:noFill/>
                  </pic:spPr>
                </pic:pic>
              </a:graphicData>
            </a:graphic>
          </wp:anchor>
        </w:drawing>
      </w:r>
    </w:p>
    <w:p>
      <w:pPr>
        <w:spacing w:after="0" w:line="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secured promissory notes due in 2025 (the 2025 Note), as well as the secured promissory notes due in 2026 (the 2026 Note and, together with the 2025 Note, the Notes), were issued by Xerox to the Seller at closing, net of total unamortized debt discounts of $10. For additional information related to the Notes issued in connection with the acquisition of ITsavvy, refer to Note 15 - Debt.</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Assets Acquired and Liabilities Assumed</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transaction has been accounted for using the acquisition method of accounting in accordance with Accounting Standards Codification (ASC) 805 — Business Combinations (ASC 805), which requires among other things, that most assets acquired and liabilities assumed to be recognized at their fair values as of the acquisition date. No change-in-control or contingent consideration liabilities were recorded by Xerox.</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The following table summarizes the final allocation of total purchase consideration to the assets acquired and the liabilities assumed as of the date of the acquisition. Certain amounts have been updated to reflect working capital and measurement period adjustments, the impacts of which were not material to the Consolidated Statements of (Loss) Income and resulted in a final allocation to Goodwill of $288, as compared to the original allocation of Goodwill of $286 at the time of acquisition: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November 20, 2024</w:t>
            </w:r>
          </w:p>
        </w:tc>
        <w:tc>
          <w:tcPr>
            <w:tcW w:w="0" w:type="dxa"/>
            <w:vAlign w:val="bottom"/>
          </w:tcPr>
          <w:p>
            <w:pPr>
              <w:spacing w:after="0"/>
              <w:rPr>
                <w:sz w:val="1"/>
                <w:szCs w:val="1"/>
                <w:color w:val="auto"/>
              </w:rPr>
            </w:pPr>
          </w:p>
        </w:tc>
      </w:tr>
      <w:tr>
        <w:trPr>
          <w:trHeight w:val="223"/>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Assets acquired</w:t>
            </w: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39"/>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Accounts receivable, net</w:t>
            </w:r>
          </w:p>
        </w:tc>
        <w:tc>
          <w:tcPr>
            <w:tcW w:w="14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Inventories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39"/>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Other current assets</w:t>
            </w:r>
          </w:p>
        </w:tc>
        <w:tc>
          <w:tcPr>
            <w:tcW w:w="14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Land, buildings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39"/>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Intangible assets, net</w:t>
            </w:r>
          </w:p>
        </w:tc>
        <w:tc>
          <w:tcPr>
            <w:tcW w:w="14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136</w:t>
            </w:r>
          </w:p>
        </w:tc>
        <w:tc>
          <w:tcPr>
            <w:tcW w:w="0" w:type="dxa"/>
            <w:vAlign w:val="bottom"/>
          </w:tcPr>
          <w:p>
            <w:pPr>
              <w:spacing w:after="0"/>
              <w:rPr>
                <w:sz w:val="1"/>
                <w:szCs w:val="1"/>
                <w:color w:val="auto"/>
              </w:rPr>
            </w:pP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288</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14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94"/>
        </w:trPr>
        <w:tc>
          <w:tcPr>
            <w:tcW w:w="8400" w:type="dxa"/>
            <w:vAlign w:val="bottom"/>
            <w:tcBorders>
              <w:bottom w:val="single" w:sz="8" w:color="DBDBDB"/>
            </w:tcBorders>
          </w:tcPr>
          <w:p>
            <w:pPr>
              <w:ind w:left="180"/>
              <w:spacing w:after="0"/>
              <w:rPr>
                <w:sz w:val="20"/>
                <w:szCs w:val="20"/>
                <w:color w:val="auto"/>
              </w:rPr>
            </w:pPr>
            <w:r>
              <w:rPr>
                <w:rFonts w:ascii="Arial" w:cs="Arial" w:eastAsia="Arial" w:hAnsi="Arial"/>
                <w:sz w:val="16"/>
                <w:szCs w:val="16"/>
                <w:b w:val="1"/>
                <w:bCs w:val="1"/>
                <w:color w:val="auto"/>
              </w:rPr>
              <w:t>Total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w:t>
            </w:r>
          </w:p>
        </w:tc>
        <w:tc>
          <w:tcPr>
            <w:tcW w:w="0" w:type="dxa"/>
            <w:vAlign w:val="bottom"/>
          </w:tcPr>
          <w:p>
            <w:pPr>
              <w:spacing w:after="0"/>
              <w:rPr>
                <w:sz w:val="1"/>
                <w:szCs w:val="1"/>
                <w:color w:val="auto"/>
              </w:rPr>
            </w:pPr>
          </w:p>
        </w:tc>
      </w:tr>
      <w:tr>
        <w:trPr>
          <w:trHeight w:val="223"/>
        </w:trPr>
        <w:tc>
          <w:tcPr>
            <w:tcW w:w="84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Liabilities assumed</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Accounts payable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Accrued compensation and benefits costs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39"/>
        </w:trPr>
        <w:tc>
          <w:tcPr>
            <w:tcW w:w="84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r>
              <w:rPr>
                <w:rFonts w:ascii="Arial" w:cs="Arial" w:eastAsia="Arial" w:hAnsi="Arial"/>
                <w:sz w:val="10"/>
                <w:szCs w:val="10"/>
                <w:b w:val="1"/>
                <w:bCs w:val="1"/>
                <w:color w:val="auto"/>
              </w:rPr>
              <w:t>(1)</w:t>
            </w:r>
          </w:p>
        </w:tc>
        <w:tc>
          <w:tcPr>
            <w:tcW w:w="140" w:type="dxa"/>
            <w:vAlign w:val="bottom"/>
            <w:shd w:val="clear" w:color="auto" w:fill="DBDBDB"/>
          </w:tcPr>
          <w:p>
            <w:pPr>
              <w:spacing w:after="0"/>
              <w:rPr>
                <w:sz w:val="20"/>
                <w:szCs w:val="20"/>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27"/>
        </w:trPr>
        <w:tc>
          <w:tcPr>
            <w:tcW w:w="8400" w:type="dxa"/>
            <w:vAlign w:val="bottom"/>
          </w:tcPr>
          <w:p>
            <w:pPr>
              <w:ind w:left="60"/>
              <w:spacing w:after="0"/>
              <w:rPr>
                <w:sz w:val="20"/>
                <w:szCs w:val="20"/>
                <w:color w:val="auto"/>
              </w:rPr>
            </w:pPr>
            <w:r>
              <w:rPr>
                <w:rFonts w:ascii="Arial" w:cs="Arial" w:eastAsia="Arial" w:hAnsi="Arial"/>
                <w:sz w:val="16"/>
                <w:szCs w:val="16"/>
                <w:b w:val="1"/>
                <w:bCs w:val="1"/>
                <w:color w:val="auto"/>
              </w:rPr>
              <w:t>Deferred tax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Other long-term liabilities</w:t>
            </w:r>
            <w:r>
              <w:rPr>
                <w:rFonts w:ascii="Arial" w:cs="Arial" w:eastAsia="Arial" w:hAnsi="Arial"/>
                <w:sz w:val="10"/>
                <w:szCs w:val="10"/>
                <w:b w:val="1"/>
                <w:bCs w:val="1"/>
                <w:color w:val="auto"/>
              </w:rPr>
              <w:t>(1)</w:t>
            </w:r>
          </w:p>
        </w:tc>
        <w:tc>
          <w:tcPr>
            <w:tcW w:w="14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194"/>
        </w:trPr>
        <w:tc>
          <w:tcPr>
            <w:tcW w:w="8400" w:type="dxa"/>
            <w:vAlign w:val="bottom"/>
            <w:tcBorders>
              <w:bottom w:val="single" w:sz="8" w:color="DBDBDB"/>
            </w:tcBorders>
          </w:tcPr>
          <w:p>
            <w:pPr>
              <w:ind w:left="180"/>
              <w:spacing w:after="0"/>
              <w:rPr>
                <w:sz w:val="20"/>
                <w:szCs w:val="20"/>
                <w:color w:val="auto"/>
              </w:rPr>
            </w:pPr>
            <w:r>
              <w:rPr>
                <w:rFonts w:ascii="Arial" w:cs="Arial" w:eastAsia="Arial" w:hAnsi="Arial"/>
                <w:sz w:val="16"/>
                <w:szCs w:val="16"/>
                <w:b w:val="1"/>
                <w:bCs w:val="1"/>
                <w:color w:val="auto"/>
              </w:rPr>
              <w:t>Total Liabilities assumed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0" w:type="dxa"/>
            <w:vAlign w:val="bottom"/>
          </w:tcPr>
          <w:p>
            <w:pPr>
              <w:spacing w:after="0"/>
              <w:rPr>
                <w:sz w:val="1"/>
                <w:szCs w:val="1"/>
                <w:color w:val="auto"/>
              </w:rPr>
            </w:pPr>
          </w:p>
        </w:tc>
      </w:tr>
      <w:tr>
        <w:trPr>
          <w:trHeight w:val="233"/>
        </w:trPr>
        <w:tc>
          <w:tcPr>
            <w:tcW w:w="840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40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Net Assets acquired</w:t>
            </w:r>
          </w:p>
        </w:tc>
        <w:tc>
          <w:tcPr>
            <w:tcW w:w="1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404</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6"/>
                <w:szCs w:val="16"/>
                <w:b w:val="1"/>
                <w:bCs w:val="1"/>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4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(1)  Includes Deferred revenue accounted for in accordance with ASC 606 Revenue</w:t>
            </w: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-344805</wp:posOffset>
            </wp:positionV>
            <wp:extent cx="1014095" cy="50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1014095" cy="5016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Transaction-related expense for the ITsavvy Acquisition were not material for the year ended December 31, 2024.</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For the years ended December 31, 2025 and 2024, our Consolidated Statements of (Loss) Income include revenue of $451 and $48, respectively, and net income of $16 and $2, respectively, attributable to the ITsavvy Acquisition. Amounts for 2024 are from the date of acquisition on November 20, 2024.</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110</w:t>
      </w:r>
    </w:p>
    <w:p>
      <w:pPr>
        <w:sectPr>
          <w:pgSz w:w="11880" w:h="15480" w:orient="portrait"/>
          <w:cols w:equalWidth="0" w:num="1">
            <w:col w:w="9960"/>
          </w:cols>
          <w:pgMar w:left="960" w:top="648" w:right="960" w:bottom="0" w:gutter="0" w:footer="0" w:header="0"/>
        </w:sectPr>
      </w:pPr>
    </w:p>
    <w:bookmarkStart w:id="120" w:name="page121"/>
    <w:bookmarkEnd w:id="120"/>
    <w:p>
      <w:pPr>
        <w:spacing w:after="0"/>
        <w:rPr>
          <w:sz w:val="20"/>
          <w:szCs w:val="20"/>
          <w:color w:val="auto"/>
        </w:rPr>
      </w:pPr>
      <w:r>
        <w:rPr>
          <w:rFonts w:ascii="Arial" w:cs="Arial" w:eastAsia="Arial" w:hAnsi="Arial"/>
          <w:sz w:val="19"/>
          <w:szCs w:val="19"/>
          <w:b w:val="1"/>
          <w:bCs w:val="1"/>
          <w:i w:val="1"/>
          <w:iCs w:val="1"/>
          <w:color w:val="DA2031"/>
        </w:rPr>
        <w:t>Intangible Assets</w:t>
      </w:r>
    </w:p>
    <w:p>
      <w:pPr>
        <w:spacing w:after="0" w:line="110" w:lineRule="exact"/>
        <w:rPr>
          <w:sz w:val="20"/>
          <w:szCs w:val="20"/>
          <w:color w:val="auto"/>
        </w:rPr>
      </w:pPr>
    </w:p>
    <w:p>
      <w:pPr>
        <w:jc w:val="both"/>
        <w:ind w:right="260"/>
        <w:spacing w:after="0" w:line="298" w:lineRule="auto"/>
        <w:rPr>
          <w:sz w:val="20"/>
          <w:szCs w:val="20"/>
          <w:color w:val="auto"/>
        </w:rPr>
      </w:pPr>
      <w:r>
        <w:rPr>
          <w:rFonts w:ascii="Arial" w:cs="Arial" w:eastAsia="Arial" w:hAnsi="Arial"/>
          <w:sz w:val="19"/>
          <w:szCs w:val="19"/>
          <w:b w:val="1"/>
          <w:bCs w:val="1"/>
          <w:color w:val="auto"/>
        </w:rPr>
        <w:t>The following table is a summary of the fair value estimates of the identifiable intangible assets and their estimated average useful lives: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November 20, 2024</w:t>
            </w:r>
          </w:p>
        </w:tc>
        <w:tc>
          <w:tcPr>
            <w:tcW w:w="60" w:type="dxa"/>
            <w:vAlign w:val="bottom"/>
            <w:tcBorders>
              <w:bottom w:val="single" w:sz="8" w:color="DBDBDB"/>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Estimated Useful Life</w:t>
            </w:r>
          </w:p>
        </w:tc>
      </w:tr>
      <w:tr>
        <w:trPr>
          <w:trHeight w:val="223"/>
        </w:trPr>
        <w:tc>
          <w:tcPr>
            <w:tcW w:w="67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Customer relationships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134</w:t>
            </w:r>
          </w:p>
        </w:tc>
        <w:tc>
          <w:tcPr>
            <w:tcW w:w="60" w:type="dxa"/>
            <w:vAlign w:val="bottom"/>
            <w:shd w:val="clear" w:color="auto" w:fill="DBDBDB"/>
          </w:tcPr>
          <w:p>
            <w:pPr>
              <w:spacing w:after="0"/>
              <w:rPr>
                <w:sz w:val="19"/>
                <w:szCs w:val="19"/>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w w:val="90"/>
              </w:rPr>
              <w:t>10 years</w:t>
            </w:r>
          </w:p>
        </w:tc>
      </w:tr>
      <w:tr>
        <w:trPr>
          <w:trHeight w:val="222"/>
        </w:trPr>
        <w:tc>
          <w:tcPr>
            <w:tcW w:w="6700" w:type="dxa"/>
            <w:vAlign w:val="bottom"/>
            <w:tcBorders>
              <w:bottom w:val="single" w:sz="8" w:color="DBDBDB"/>
            </w:tcBorders>
          </w:tcPr>
          <w:p>
            <w:pPr>
              <w:ind w:left="60"/>
              <w:spacing w:after="0"/>
              <w:rPr>
                <w:sz w:val="20"/>
                <w:szCs w:val="20"/>
                <w:color w:val="auto"/>
              </w:rPr>
            </w:pPr>
            <w:r>
              <w:rPr>
                <w:rFonts w:ascii="Arial" w:cs="Arial" w:eastAsia="Arial" w:hAnsi="Arial"/>
                <w:sz w:val="16"/>
                <w:szCs w:val="16"/>
                <w:b w:val="1"/>
                <w:bCs w:val="1"/>
                <w:color w:val="auto"/>
              </w:rPr>
              <w:t>Trademarks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DBDBDB"/>
            </w:tcBorders>
          </w:tcPr>
          <w:p>
            <w:pPr>
              <w:spacing w:after="0"/>
              <w:rPr>
                <w:sz w:val="19"/>
                <w:szCs w:val="19"/>
                <w:color w:val="auto"/>
              </w:rPr>
            </w:pPr>
          </w:p>
        </w:tc>
        <w:tc>
          <w:tcPr>
            <w:tcW w:w="1580" w:type="dxa"/>
            <w:vAlign w:val="bottom"/>
            <w:tcBorders>
              <w:bottom w:val="single" w:sz="8" w:color="DBDBDB"/>
            </w:tcBorders>
          </w:tcPr>
          <w:p>
            <w:pPr>
              <w:jc w:val="center"/>
              <w:spacing w:after="0"/>
              <w:rPr>
                <w:sz w:val="20"/>
                <w:szCs w:val="20"/>
                <w:color w:val="auto"/>
              </w:rPr>
            </w:pPr>
            <w:r>
              <w:rPr>
                <w:rFonts w:ascii="Arial" w:cs="Arial" w:eastAsia="Arial" w:hAnsi="Arial"/>
                <w:sz w:val="16"/>
                <w:szCs w:val="16"/>
                <w:b w:val="1"/>
                <w:bCs w:val="1"/>
                <w:color w:val="auto"/>
                <w:w w:val="90"/>
              </w:rPr>
              <w:t>1 year</w:t>
            </w:r>
          </w:p>
        </w:tc>
      </w:tr>
      <w:tr>
        <w:trPr>
          <w:trHeight w:val="232"/>
        </w:trPr>
        <w:tc>
          <w:tcPr>
            <w:tcW w:w="67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Total consideration transferred</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136</w:t>
            </w:r>
          </w:p>
        </w:tc>
        <w:tc>
          <w:tcPr>
            <w:tcW w:w="60" w:type="dxa"/>
            <w:vAlign w:val="bottom"/>
            <w:tcBorders>
              <w:bottom w:val="single" w:sz="8" w:color="DBDBDB"/>
            </w:tcBorders>
            <w:shd w:val="clear" w:color="auto" w:fill="DBDBDB"/>
          </w:tcPr>
          <w:p>
            <w:pPr>
              <w:spacing w:after="0"/>
              <w:rPr>
                <w:sz w:val="20"/>
                <w:szCs w:val="20"/>
                <w:color w:val="auto"/>
              </w:rPr>
            </w:pPr>
          </w:p>
        </w:tc>
        <w:tc>
          <w:tcPr>
            <w:tcW w:w="1580" w:type="dxa"/>
            <w:vAlign w:val="bottom"/>
            <w:tcBorders>
              <w:bottom w:val="single" w:sz="8" w:color="DBDBDB"/>
            </w:tcBorders>
            <w:shd w:val="clear" w:color="auto" w:fill="DBDBDB"/>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-42545</wp:posOffset>
            </wp:positionV>
            <wp:extent cx="1014095" cy="50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1014095" cy="50165"/>
                    </a:xfrm>
                    <a:prstGeom prst="rect">
                      <a:avLst/>
                    </a:prstGeom>
                    <a:noFill/>
                  </pic:spPr>
                </pic:pic>
              </a:graphicData>
            </a:graphic>
          </wp:anchor>
        </w:drawing>
      </w:r>
    </w:p>
    <w:p>
      <w:pPr>
        <w:spacing w:after="0" w:line="91" w:lineRule="exact"/>
        <w:rPr>
          <w:sz w:val="20"/>
          <w:szCs w:val="20"/>
          <w:color w:val="auto"/>
        </w:rPr>
      </w:pPr>
    </w:p>
    <w:p>
      <w:pPr>
        <w:jc w:val="both"/>
        <w:ind w:right="260"/>
        <w:spacing w:after="0" w:line="262" w:lineRule="auto"/>
        <w:rPr>
          <w:sz w:val="20"/>
          <w:szCs w:val="20"/>
          <w:color w:val="auto"/>
        </w:rPr>
      </w:pPr>
      <w:r>
        <w:rPr>
          <w:rFonts w:ascii="Arial" w:cs="Arial" w:eastAsia="Arial" w:hAnsi="Arial"/>
          <w:sz w:val="19"/>
          <w:szCs w:val="19"/>
          <w:b w:val="1"/>
          <w:bCs w:val="1"/>
          <w:color w:val="auto"/>
        </w:rPr>
        <w:t>The majority of customer-related intangible assets relates to customer contracts and related relationships. The customer contracts and related relationships intangible asset represents the fair value of future projected cash flows that will be derived from sales of products to existing customers of ITsavvy. The asset was valued using a multi-period excess earnings method which estimates the present value of the after-tax cash flows attributable to the customer relationships. The present value of projected future cash flows included significant judgment and assumptions regarding projected annual revenues based on estimated customer attrition rates, projected operating margins, and the discount rate.</w:t>
      </w:r>
    </w:p>
    <w:p>
      <w:pPr>
        <w:spacing w:after="0" w:line="57" w:lineRule="exact"/>
        <w:rPr>
          <w:sz w:val="20"/>
          <w:szCs w:val="20"/>
          <w:color w:val="auto"/>
        </w:rPr>
      </w:pPr>
    </w:p>
    <w:p>
      <w:pPr>
        <w:jc w:val="both"/>
        <w:ind w:right="260"/>
        <w:spacing w:after="0" w:line="289" w:lineRule="auto"/>
        <w:rPr>
          <w:sz w:val="20"/>
          <w:szCs w:val="20"/>
          <w:color w:val="auto"/>
        </w:rPr>
      </w:pPr>
      <w:r>
        <w:rPr>
          <w:rFonts w:ascii="Arial" w:cs="Arial" w:eastAsia="Arial" w:hAnsi="Arial"/>
          <w:sz w:val="18"/>
          <w:szCs w:val="18"/>
          <w:b w:val="1"/>
          <w:bCs w:val="1"/>
          <w:color w:val="auto"/>
        </w:rPr>
        <w:t>Trademark represents the preliminary estimated fair value of the ITsavvy trade name. The fair value was determined by applying the relief-from-royalty method under the income approach. This method is based on the application of a royalty rate to forecasted revenue under the trade name. Intangible assets of approximately $59 is deductible for tax purposes as a result of previous taxable acquisitions made by ITsavvy.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Goodwill</w:t>
      </w:r>
    </w:p>
    <w:p>
      <w:pPr>
        <w:spacing w:after="0" w:line="110" w:lineRule="exact"/>
        <w:rPr>
          <w:sz w:val="20"/>
          <w:szCs w:val="20"/>
          <w:color w:val="auto"/>
        </w:rPr>
      </w:pPr>
    </w:p>
    <w:p>
      <w:pPr>
        <w:jc w:val="both"/>
        <w:ind w:right="260"/>
        <w:spacing w:after="0" w:line="262" w:lineRule="auto"/>
        <w:rPr>
          <w:sz w:val="20"/>
          <w:szCs w:val="20"/>
          <w:color w:val="auto"/>
        </w:rPr>
      </w:pPr>
      <w:r>
        <w:rPr>
          <w:rFonts w:ascii="Arial" w:cs="Arial" w:eastAsia="Arial" w:hAnsi="Arial"/>
          <w:sz w:val="19"/>
          <w:szCs w:val="19"/>
          <w:b w:val="1"/>
          <w:bCs w:val="1"/>
          <w:color w:val="auto"/>
        </w:rPr>
        <w:t>Goodwill in the amount of $288 was recognized for this acquisition and is calculated as the excess of the consideration transferred over the net assets recognized and represents the future economic benefits arising from other assets acquired that could not be individually identified and separately recognized, primarily expected synergies. Goodwill of approximately $42 is deductible for tax purposes as a result of previous taxable acquisitions made by ITsavvy. As a result of the ITsavvy Acquisition, we reassessed our operating and reportable segments on January 1, 2025. Accordingly, all of the goodwill associated with the ITsavvy Acquisition is allocated to our IT Solutions Segment.</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Deferred Taxes</w:t>
      </w:r>
    </w:p>
    <w:p>
      <w:pPr>
        <w:spacing w:after="0" w:line="110" w:lineRule="exact"/>
        <w:rPr>
          <w:sz w:val="20"/>
          <w:szCs w:val="20"/>
          <w:color w:val="auto"/>
        </w:rPr>
      </w:pPr>
    </w:p>
    <w:p>
      <w:pPr>
        <w:jc w:val="both"/>
        <w:ind w:right="260"/>
        <w:spacing w:after="0" w:line="299" w:lineRule="auto"/>
        <w:rPr>
          <w:sz w:val="20"/>
          <w:szCs w:val="20"/>
          <w:color w:val="auto"/>
        </w:rPr>
      </w:pPr>
      <w:r>
        <w:rPr>
          <w:rFonts w:ascii="Arial" w:cs="Arial" w:eastAsia="Arial" w:hAnsi="Arial"/>
          <w:sz w:val="18"/>
          <w:szCs w:val="18"/>
          <w:b w:val="1"/>
          <w:bCs w:val="1"/>
          <w:color w:val="auto"/>
        </w:rPr>
        <w:t>We provided deferred taxes and recorded other tax adjustments as part of the accounting for the acquisition primarily related to the estimated fair value adjustments for acquired intangible assets, as well as the elimination of a previously recorded deferred tax liability associated with ITsavvy’s historical tax deductible goodwill.</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Unaudited Pro Forma Information</w:t>
      </w:r>
    </w:p>
    <w:p>
      <w:pPr>
        <w:spacing w:after="0" w:line="112" w:lineRule="exact"/>
        <w:rPr>
          <w:sz w:val="20"/>
          <w:szCs w:val="20"/>
          <w:color w:val="auto"/>
        </w:rPr>
      </w:pPr>
    </w:p>
    <w:p>
      <w:pPr>
        <w:jc w:val="both"/>
        <w:ind w:right="260"/>
        <w:spacing w:after="0" w:line="259" w:lineRule="auto"/>
        <w:rPr>
          <w:sz w:val="20"/>
          <w:szCs w:val="20"/>
          <w:color w:val="auto"/>
        </w:rPr>
      </w:pPr>
      <w:r>
        <w:rPr>
          <w:rFonts w:ascii="Arial" w:cs="Arial" w:eastAsia="Arial" w:hAnsi="Arial"/>
          <w:sz w:val="19"/>
          <w:szCs w:val="19"/>
          <w:b w:val="1"/>
          <w:bCs w:val="1"/>
          <w:color w:val="auto"/>
        </w:rPr>
        <w:t>The unaudited pro forma results presented below are calculated in accordance with ASC 805 - Business Combinations, and include the effects of the Lexmark Acquisition and related financing transactions, as if it had been consummated as of January 1, 2024, as well as the acquisition of ITsavvy, as if it had been consummated as of January 1, 2023. ITsavvy is included in our 2025 reported results as the effective date of the acquisition was November 20, 2024. Lexmark is included in our 2025 results beginning July 1, 2025, the effective date of acquisition. Pro forma results for all periods presented below includes adjustments to align historical accounting policies and purchase accounting adjustments for amortization of intangible assets and real and personal property, the expensing of the step up of inventory to fair value, the elimination of historical goodwill impairment charges recorded by Lexmark of approximately $681 pre-tax, transaction expenses, the expense related to compensation to various employees resulting from the acquisition as well as interest expense related to debt financing. The following table summarizes the pro forma financial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56"/>
        </w:trPr>
        <w:tc>
          <w:tcPr>
            <w:tcW w:w="7100" w:type="dxa"/>
            <w:vAlign w:val="bottom"/>
            <w:tcBorders>
              <w:bottom w:val="single" w:sz="8" w:color="DBDBDB"/>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DBDBDB"/>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22"/>
                <w:szCs w:val="22"/>
                <w:color w:val="auto"/>
              </w:rPr>
            </w:pPr>
          </w:p>
        </w:tc>
      </w:tr>
      <w:tr>
        <w:trPr>
          <w:trHeight w:val="223"/>
        </w:trPr>
        <w:tc>
          <w:tcPr>
            <w:tcW w:w="7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Total revenue</w:t>
            </w:r>
          </w:p>
        </w:tc>
        <w:tc>
          <w:tcPr>
            <w:tcW w:w="980" w:type="dxa"/>
            <w:vAlign w:val="bottom"/>
            <w:shd w:val="clear" w:color="auto" w:fill="DBDBDB"/>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7,962</w:t>
            </w:r>
          </w:p>
        </w:tc>
        <w:tc>
          <w:tcPr>
            <w:tcW w:w="1080" w:type="dxa"/>
            <w:vAlign w:val="bottom"/>
            <w:gridSpan w:val="2"/>
            <w:shd w:val="clear" w:color="auto" w:fill="DBDBDB"/>
          </w:tcPr>
          <w:p>
            <w:pPr>
              <w:jc w:val="right"/>
              <w:ind w:right="742"/>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8,620</w:t>
            </w:r>
          </w:p>
        </w:tc>
      </w:tr>
      <w:tr>
        <w:trPr>
          <w:trHeight w:val="221"/>
        </w:trPr>
        <w:tc>
          <w:tcPr>
            <w:tcW w:w="7100" w:type="dxa"/>
            <w:vAlign w:val="bottom"/>
          </w:tcPr>
          <w:p>
            <w:pPr>
              <w:ind w:left="60"/>
              <w:spacing w:after="0"/>
              <w:rPr>
                <w:sz w:val="20"/>
                <w:szCs w:val="20"/>
                <w:color w:val="auto"/>
              </w:rPr>
            </w:pPr>
            <w:r>
              <w:rPr>
                <w:rFonts w:ascii="Arial" w:cs="Arial" w:eastAsia="Arial" w:hAnsi="Arial"/>
                <w:sz w:val="16"/>
                <w:szCs w:val="16"/>
                <w:b w:val="1"/>
                <w:bCs w:val="1"/>
                <w:color w:val="auto"/>
              </w:rPr>
              <w:t>Net loss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(1,680)</w:t>
            </w:r>
          </w:p>
        </w:tc>
      </w:tr>
    </w:tbl>
    <w:p>
      <w:pPr>
        <w:spacing w:after="0" w:line="171" w:lineRule="exact"/>
        <w:rPr>
          <w:sz w:val="20"/>
          <w:szCs w:val="20"/>
          <w:color w:val="auto"/>
        </w:rPr>
      </w:pPr>
    </w:p>
    <w:p>
      <w:pPr>
        <w:jc w:val="both"/>
        <w:ind w:right="260"/>
        <w:spacing w:after="0" w:line="276" w:lineRule="auto"/>
        <w:rPr>
          <w:sz w:val="20"/>
          <w:szCs w:val="20"/>
          <w:color w:val="auto"/>
        </w:rPr>
      </w:pPr>
      <w:r>
        <w:rPr>
          <w:rFonts w:ascii="Arial" w:cs="Arial" w:eastAsia="Arial" w:hAnsi="Arial"/>
          <w:sz w:val="19"/>
          <w:szCs w:val="19"/>
          <w:b w:val="1"/>
          <w:bCs w:val="1"/>
          <w:color w:val="auto"/>
        </w:rPr>
        <w:t>The unaudited pro forma financial information is presented for informational purposes only and is not indicative of the results of operations that would have been achieved if the acquisitions and the cost of financing the acquisitions had taken place on January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6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5"/>
          <w:szCs w:val="15"/>
          <w:color w:val="E3001D"/>
        </w:rPr>
        <w:t>111</w:t>
      </w:r>
    </w:p>
    <w:p>
      <w:pPr>
        <w:sectPr>
          <w:pgSz w:w="11880" w:h="15480" w:orient="portrait"/>
          <w:cols w:equalWidth="0" w:num="1">
            <w:col w:w="10220"/>
          </w:cols>
          <w:pgMar w:left="960" w:top="650" w:right="700" w:bottom="0" w:gutter="0" w:footer="0" w:header="0"/>
        </w:sectPr>
      </w:pPr>
    </w:p>
    <w:bookmarkStart w:id="121" w:name="page122"/>
    <w:bookmarkEnd w:id="121"/>
    <w:p>
      <w:pPr>
        <w:spacing w:after="0"/>
        <w:rPr>
          <w:sz w:val="20"/>
          <w:szCs w:val="20"/>
          <w:color w:val="auto"/>
        </w:rPr>
      </w:pPr>
      <w:r>
        <w:rPr>
          <w:rFonts w:ascii="Arial" w:cs="Arial" w:eastAsia="Arial" w:hAnsi="Arial"/>
          <w:sz w:val="19"/>
          <w:szCs w:val="19"/>
          <w:b w:val="1"/>
          <w:bCs w:val="1"/>
          <w:color w:val="DA2031"/>
        </w:rPr>
        <w:t>2023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There were no material business acquisitions during 2023.</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Sales of Argentina and Chile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March 2024, Xerox completed the sales of its direct business operations in Argentina and Chile to Grupo Datco, a technologies and fiber optic network service provider in Latin America for a total consideration of $19. Following the transfer of ownership, the new companies operate as independent entities and Grupo Datco will continue to service Xerox devices previously sold in Argentina and Chile and is the exclusive partner for Xerox in these markets. This transaction aligns with the Company's ongoing Reinvention.</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sales resulted in a net disposal loss of $51, which included, a net currency translation loss of $40, allocated Goodwill of $10, the carrying value of the net assets of $18, and related fees of $2. During the second quarter of 2024 we recorded a purchase price adjustment credit of $3. The allocation of Goodwill was based on the relative fair value of the operations in Argentina and Chile to the total fair value for the Print and Other Segment Reporting Unit, which it was part of prior to the sales. The estimated fair values of the operations in Argentina and Chile as well as the Print and Other reporting unit are based on estimates and assumptions that are considered Level 3 inputs under the fair value hierarchy. Xerox also recorded a net income tax benefit of $19 related to the sales, for a net after-tax loss on the sales of $32.</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Donation of Palo Alto Research Center (PARC)</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In April 2023, Xerox completed the donation of its Palo Alto Research Center (PARC) subsidiary to Stanford Research Institute International (SRI), a nonprofit research institute. The donation enables Xerox to focus on its core businesses and prioritize growth through its business technology solutions for customers in Print, as well as Digital Services and IT Services. The donation also allows PARC to reach its full potential through SRI’s resources and deep-tech expertise that will enable PARC to focus exclusively on the development of pioneering innovative technologies. The majority of patents held by PARC were retained by Xerox with a perpetual license to use those patents being provided to SRI. Xerox, at its option, will also continue to receive certain research services from SRI. The donation resulted in a net charge of $132 in the second quarter 2023, which includes allocated Goodwill of $115, the carrying value of the net assets associated with PARC being donated of $13, and approximately $4 of other costs and expenses related to the donation. The allocation of Goodwill was based on the relative fair value of the PARC business to the total fair value for the Print and Other Segment/Reporting Unit, which it was part of prior to the donation. The estimated fair values of the PARC business as well as the Print and Other reporting unit are based on estimates and assumptions that are considered Level 3 inputs under the fair value hierarchy. At the time of divestiture, Xerox also recorded a net income tax benefit of $40 related to the donation for a net after-tax loss on the donation of $92. In 2025, we concluded that certain deferred tax assets in the U.S. were not more-likely-than-not to be realized, including the benefits associated with the charitable contribution of PARC in 2023. Accordingly, a valuation allowance for the remaining deferred tax assets of $20 was recorded.</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Other Divestitures</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During 2025 and 2024 we sold the rights to sell paper in certain European countries. The sales resulted in a net disposal gain of $4 and $4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112</w:t>
      </w:r>
    </w:p>
    <w:p>
      <w:pPr>
        <w:sectPr>
          <w:pgSz w:w="11880" w:h="15480" w:orient="portrait"/>
          <w:cols w:equalWidth="0" w:num="1">
            <w:col w:w="9960"/>
          </w:cols>
          <w:pgMar w:left="960" w:top="648" w:right="960" w:bottom="0" w:gutter="0" w:footer="0" w:header="0"/>
        </w:sectPr>
      </w:pPr>
    </w:p>
    <w:bookmarkStart w:id="122" w:name="page123"/>
    <w:bookmarkEnd w:id="122"/>
    <w:p>
      <w:pPr>
        <w:spacing w:after="0"/>
        <w:rPr>
          <w:sz w:val="20"/>
          <w:szCs w:val="20"/>
          <w:color w:val="auto"/>
        </w:rPr>
      </w:pPr>
      <w:r>
        <w:rPr>
          <w:rFonts w:ascii="Arial" w:cs="Arial" w:eastAsia="Arial" w:hAnsi="Arial"/>
          <w:sz w:val="23"/>
          <w:szCs w:val="23"/>
          <w:b w:val="1"/>
          <w:bCs w:val="1"/>
          <w:color w:val="DA2031"/>
        </w:rPr>
        <w:t>Note 7 – Accounts Receivable, Net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Accounts receivable, net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9"/>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Invoiced</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1,024</w:t>
            </w:r>
          </w:p>
        </w:tc>
        <w:tc>
          <w:tcPr>
            <w:tcW w:w="60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692</w:t>
            </w:r>
          </w:p>
        </w:tc>
      </w:tr>
      <w:tr>
        <w:trPr>
          <w:trHeight w:val="227"/>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 xml:space="preserve">Accrued </w:t>
            </w:r>
            <w:r>
              <w:rPr>
                <w:rFonts w:ascii="Arial" w:cs="Arial" w:eastAsia="Arial" w:hAnsi="Arial"/>
                <w:sz w:val="10"/>
                <w:szCs w:val="10"/>
                <w:b w:val="1"/>
                <w:bCs w:val="1"/>
                <w:color w:val="auto"/>
              </w:rPr>
              <w:t>(1)</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173</w:t>
            </w:r>
          </w:p>
        </w:tc>
      </w:tr>
      <w:tr>
        <w:trPr>
          <w:trHeight w:val="248"/>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Allowance for doubtful accounts</w:t>
            </w:r>
          </w:p>
        </w:tc>
        <w:tc>
          <w:tcPr>
            <w:tcW w:w="98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(73)</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(69)</w:t>
            </w:r>
          </w:p>
        </w:tc>
      </w:tr>
      <w:tr>
        <w:trPr>
          <w:trHeight w:val="174"/>
        </w:trPr>
        <w:tc>
          <w:tcPr>
            <w:tcW w:w="688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Accounts receivable, net</w:t>
            </w:r>
          </w:p>
        </w:tc>
        <w:tc>
          <w:tcPr>
            <w:tcW w:w="980" w:type="dxa"/>
            <w:vAlign w:val="bottom"/>
          </w:tcPr>
          <w:p>
            <w:pPr>
              <w:jc w:val="right"/>
              <w:ind w:right="762"/>
              <w:spacing w:after="0" w:line="175"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1,122</w:t>
            </w:r>
          </w:p>
        </w:tc>
        <w:tc>
          <w:tcPr>
            <w:tcW w:w="600" w:type="dxa"/>
            <w:vAlign w:val="bottom"/>
            <w:gridSpan w:val="2"/>
          </w:tcPr>
          <w:p>
            <w:pPr>
              <w:jc w:val="right"/>
              <w:ind w:right="380"/>
              <w:spacing w:after="0" w:line="17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796</w:t>
            </w:r>
          </w:p>
        </w:tc>
      </w:tr>
      <w:tr>
        <w:trPr>
          <w:trHeight w:val="20"/>
        </w:trPr>
        <w:tc>
          <w:tcPr>
            <w:tcW w:w="6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60" w:hanging="356"/>
        <w:spacing w:after="0"/>
        <w:tabs>
          <w:tab w:leader="none" w:pos="360" w:val="left"/>
        </w:tabs>
        <w:numPr>
          <w:ilvl w:val="0"/>
          <w:numId w:val="10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Accrued receivables includes amounts to be invoiced in the subsequent quarter for current products and services provided.</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allowance for doubtful accounts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shd w:val="clear" w:color="auto" w:fill="DDDDDD"/>
          </w:tcPr>
          <w:p>
            <w:pPr>
              <w:ind w:left="60"/>
              <w:spacing w:after="0"/>
              <w:rPr>
                <w:sz w:val="20"/>
                <w:szCs w:val="20"/>
                <w:color w:val="auto"/>
              </w:rPr>
            </w:pPr>
            <w:r>
              <w:rPr>
                <w:rFonts w:ascii="Arial" w:cs="Arial" w:eastAsia="Arial" w:hAnsi="Arial"/>
                <w:sz w:val="16"/>
                <w:szCs w:val="16"/>
                <w:b w:val="1"/>
                <w:bCs w:val="1"/>
                <w:color w:val="auto"/>
              </w:rPr>
              <w:t>Balance at December 31, 2023</w:t>
            </w:r>
          </w:p>
        </w:tc>
        <w:tc>
          <w:tcPr>
            <w:tcW w:w="600" w:type="dxa"/>
            <w:vAlign w:val="bottom"/>
            <w:shd w:val="clear" w:color="auto" w:fill="DDDDDD"/>
          </w:tcPr>
          <w:p>
            <w:pPr>
              <w:jc w:val="right"/>
              <w:ind w:right="38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64</w:t>
            </w:r>
          </w:p>
        </w:tc>
      </w:tr>
      <w:tr>
        <w:trPr>
          <w:trHeight w:val="233"/>
        </w:trPr>
        <w:tc>
          <w:tcPr>
            <w:tcW w:w="8580" w:type="dxa"/>
            <w:vAlign w:val="bottom"/>
          </w:tcPr>
          <w:p>
            <w:pPr>
              <w:ind w:left="60"/>
              <w:spacing w:after="0"/>
              <w:rPr>
                <w:sz w:val="20"/>
                <w:szCs w:val="20"/>
                <w:color w:val="auto"/>
              </w:rPr>
            </w:pPr>
            <w:r>
              <w:rPr>
                <w:rFonts w:ascii="Arial" w:cs="Arial" w:eastAsia="Arial" w:hAnsi="Arial"/>
                <w:sz w:val="16"/>
                <w:szCs w:val="16"/>
                <w:b w:val="1"/>
                <w:bCs w:val="1"/>
                <w:color w:val="auto"/>
              </w:rPr>
              <w:t>Provision</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33"/>
        </w:trPr>
        <w:tc>
          <w:tcPr>
            <w:tcW w:w="8580" w:type="dxa"/>
            <w:vAlign w:val="bottom"/>
            <w:shd w:val="clear" w:color="auto" w:fill="DDDDDD"/>
          </w:tcPr>
          <w:p>
            <w:pPr>
              <w:ind w:left="60"/>
              <w:spacing w:after="0"/>
              <w:rPr>
                <w:sz w:val="20"/>
                <w:szCs w:val="20"/>
                <w:color w:val="auto"/>
              </w:rPr>
            </w:pPr>
            <w:r>
              <w:rPr>
                <w:rFonts w:ascii="Arial" w:cs="Arial" w:eastAsia="Arial" w:hAnsi="Arial"/>
                <w:sz w:val="16"/>
                <w:szCs w:val="16"/>
                <w:b w:val="1"/>
                <w:bCs w:val="1"/>
                <w:color w:val="auto"/>
              </w:rPr>
              <w:t>Charge-offs, net</w:t>
            </w:r>
          </w:p>
        </w:tc>
        <w:tc>
          <w:tcPr>
            <w:tcW w:w="600" w:type="dxa"/>
            <w:vAlign w:val="bottom"/>
            <w:shd w:val="clear" w:color="auto" w:fill="DDDDDD"/>
          </w:tcPr>
          <w:p>
            <w:pPr>
              <w:spacing w:after="0"/>
              <w:rPr>
                <w:sz w:val="20"/>
                <w:szCs w:val="20"/>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(20)</w:t>
            </w:r>
          </w:p>
        </w:tc>
      </w:tr>
      <w:tr>
        <w:trPr>
          <w:trHeight w:val="223"/>
        </w:trPr>
        <w:tc>
          <w:tcPr>
            <w:tcW w:w="8580" w:type="dxa"/>
            <w:vAlign w:val="bottom"/>
            <w:tcBorders>
              <w:bottom w:val="single" w:sz="8" w:color="DDDDDD"/>
            </w:tcBorders>
          </w:tcPr>
          <w:p>
            <w:pPr>
              <w:ind w:left="60"/>
              <w:spacing w:after="0"/>
              <w:rPr>
                <w:sz w:val="20"/>
                <w:szCs w:val="20"/>
                <w:color w:val="auto"/>
              </w:rPr>
            </w:pPr>
            <w:r>
              <w:rPr>
                <w:rFonts w:ascii="Arial" w:cs="Arial" w:eastAsia="Arial" w:hAnsi="Arial"/>
                <w:sz w:val="16"/>
                <w:szCs w:val="16"/>
                <w:b w:val="1"/>
                <w:bCs w:val="1"/>
                <w:color w:val="auto"/>
              </w:rPr>
              <w:t>Recoveries and Other</w:t>
            </w:r>
            <w:r>
              <w:rPr>
                <w:rFonts w:ascii="Arial" w:cs="Arial" w:eastAsia="Arial" w:hAnsi="Arial"/>
                <w:sz w:val="10"/>
                <w:szCs w:val="10"/>
                <w:b w:val="1"/>
                <w:bCs w:val="1"/>
                <w:color w:val="auto"/>
              </w:rPr>
              <w:t>(1)</w:t>
            </w: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8580" w:type="dxa"/>
            <w:vAlign w:val="bottom"/>
            <w:shd w:val="clear" w:color="auto" w:fill="DDDDDD"/>
          </w:tcPr>
          <w:p>
            <w:pPr>
              <w:ind w:left="60"/>
              <w:spacing w:after="0"/>
              <w:rPr>
                <w:sz w:val="20"/>
                <w:szCs w:val="20"/>
                <w:color w:val="auto"/>
              </w:rPr>
            </w:pPr>
            <w:r>
              <w:rPr>
                <w:rFonts w:ascii="Arial" w:cs="Arial" w:eastAsia="Arial" w:hAnsi="Arial"/>
                <w:sz w:val="16"/>
                <w:szCs w:val="16"/>
                <w:b w:val="1"/>
                <w:bCs w:val="1"/>
                <w:color w:val="auto"/>
              </w:rPr>
              <w:t>Balance at December 31, 2024</w:t>
            </w:r>
          </w:p>
        </w:tc>
        <w:tc>
          <w:tcPr>
            <w:tcW w:w="600" w:type="dxa"/>
            <w:vAlign w:val="bottom"/>
            <w:shd w:val="clear" w:color="auto" w:fill="DDDDDD"/>
          </w:tcPr>
          <w:p>
            <w:pPr>
              <w:jc w:val="right"/>
              <w:ind w:right="38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69</w:t>
            </w:r>
          </w:p>
        </w:tc>
      </w:tr>
      <w:tr>
        <w:trPr>
          <w:trHeight w:val="233"/>
        </w:trPr>
        <w:tc>
          <w:tcPr>
            <w:tcW w:w="8580" w:type="dxa"/>
            <w:vAlign w:val="bottom"/>
          </w:tcPr>
          <w:p>
            <w:pPr>
              <w:ind w:left="60"/>
              <w:spacing w:after="0"/>
              <w:rPr>
                <w:sz w:val="20"/>
                <w:szCs w:val="20"/>
                <w:color w:val="auto"/>
              </w:rPr>
            </w:pPr>
            <w:r>
              <w:rPr>
                <w:rFonts w:ascii="Arial" w:cs="Arial" w:eastAsia="Arial" w:hAnsi="Arial"/>
                <w:sz w:val="16"/>
                <w:szCs w:val="16"/>
                <w:b w:val="1"/>
                <w:bCs w:val="1"/>
                <w:color w:val="auto"/>
              </w:rPr>
              <w:t>Provision</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233"/>
        </w:trPr>
        <w:tc>
          <w:tcPr>
            <w:tcW w:w="8580" w:type="dxa"/>
            <w:vAlign w:val="bottom"/>
            <w:shd w:val="clear" w:color="auto" w:fill="DDDDDD"/>
          </w:tcPr>
          <w:p>
            <w:pPr>
              <w:ind w:left="60"/>
              <w:spacing w:after="0"/>
              <w:rPr>
                <w:sz w:val="20"/>
                <w:szCs w:val="20"/>
                <w:color w:val="auto"/>
              </w:rPr>
            </w:pPr>
            <w:r>
              <w:rPr>
                <w:rFonts w:ascii="Arial" w:cs="Arial" w:eastAsia="Arial" w:hAnsi="Arial"/>
                <w:sz w:val="16"/>
                <w:szCs w:val="16"/>
                <w:b w:val="1"/>
                <w:bCs w:val="1"/>
                <w:color w:val="auto"/>
              </w:rPr>
              <w:t>Charge-offs, net</w:t>
            </w:r>
          </w:p>
        </w:tc>
        <w:tc>
          <w:tcPr>
            <w:tcW w:w="600" w:type="dxa"/>
            <w:vAlign w:val="bottom"/>
            <w:shd w:val="clear" w:color="auto" w:fill="DDDDDD"/>
          </w:tcPr>
          <w:p>
            <w:pPr>
              <w:spacing w:after="0"/>
              <w:rPr>
                <w:sz w:val="20"/>
                <w:szCs w:val="20"/>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(23)</w:t>
            </w:r>
          </w:p>
        </w:tc>
      </w:tr>
      <w:tr>
        <w:trPr>
          <w:trHeight w:val="233"/>
        </w:trPr>
        <w:tc>
          <w:tcPr>
            <w:tcW w:w="8580" w:type="dxa"/>
            <w:vAlign w:val="bottom"/>
          </w:tcPr>
          <w:p>
            <w:pPr>
              <w:ind w:left="60"/>
              <w:spacing w:after="0"/>
              <w:rPr>
                <w:sz w:val="20"/>
                <w:szCs w:val="20"/>
                <w:color w:val="auto"/>
              </w:rPr>
            </w:pPr>
            <w:r>
              <w:rPr>
                <w:rFonts w:ascii="Arial" w:cs="Arial" w:eastAsia="Arial" w:hAnsi="Arial"/>
                <w:sz w:val="16"/>
                <w:szCs w:val="16"/>
                <w:b w:val="1"/>
                <w:bCs w:val="1"/>
                <w:color w:val="auto"/>
              </w:rPr>
              <w:t>Acquisition</w:t>
            </w:r>
            <w:r>
              <w:rPr>
                <w:rFonts w:ascii="Arial" w:cs="Arial" w:eastAsia="Arial" w:hAnsi="Arial"/>
                <w:sz w:val="10"/>
                <w:szCs w:val="10"/>
                <w:b w:val="1"/>
                <w:bCs w:val="1"/>
                <w:color w:val="auto"/>
              </w:rPr>
              <w:t>(2)</w:t>
            </w: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43"/>
        </w:trPr>
        <w:tc>
          <w:tcPr>
            <w:tcW w:w="8580" w:type="dxa"/>
            <w:vAlign w:val="bottom"/>
            <w:tcBorders>
              <w:bottom w:val="single" w:sz="8" w:color="DDDDDD"/>
            </w:tcBorders>
            <w:shd w:val="clear" w:color="auto" w:fill="DDDDDD"/>
          </w:tcPr>
          <w:p>
            <w:pPr>
              <w:ind w:left="60"/>
              <w:spacing w:after="0"/>
              <w:rPr>
                <w:sz w:val="20"/>
                <w:szCs w:val="20"/>
                <w:color w:val="auto"/>
              </w:rPr>
            </w:pPr>
            <w:r>
              <w:rPr>
                <w:rFonts w:ascii="Arial" w:cs="Arial" w:eastAsia="Arial" w:hAnsi="Arial"/>
                <w:sz w:val="16"/>
                <w:szCs w:val="16"/>
                <w:b w:val="1"/>
                <w:bCs w:val="1"/>
                <w:color w:val="auto"/>
              </w:rPr>
              <w:t>Recoveries and Other</w:t>
            </w:r>
            <w:r>
              <w:rPr>
                <w:rFonts w:ascii="Arial" w:cs="Arial" w:eastAsia="Arial" w:hAnsi="Arial"/>
                <w:sz w:val="10"/>
                <w:szCs w:val="10"/>
                <w:b w:val="1"/>
                <w:bCs w:val="1"/>
                <w:color w:val="auto"/>
              </w:rPr>
              <w:t>(1)</w:t>
            </w:r>
          </w:p>
        </w:tc>
        <w:tc>
          <w:tcPr>
            <w:tcW w:w="600" w:type="dxa"/>
            <w:vAlign w:val="bottom"/>
            <w:tcBorders>
              <w:bottom w:val="single" w:sz="8" w:color="auto"/>
            </w:tcBorders>
            <w:shd w:val="clear" w:color="auto" w:fill="DDDDDD"/>
          </w:tcPr>
          <w:p>
            <w:pPr>
              <w:spacing w:after="0"/>
              <w:rPr>
                <w:sz w:val="21"/>
                <w:szCs w:val="21"/>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1</w:t>
            </w:r>
          </w:p>
        </w:tc>
      </w:tr>
      <w:tr>
        <w:trPr>
          <w:trHeight w:val="173"/>
        </w:trPr>
        <w:tc>
          <w:tcPr>
            <w:tcW w:w="858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Balance at December 31, 2025</w:t>
            </w:r>
          </w:p>
        </w:tc>
        <w:tc>
          <w:tcPr>
            <w:tcW w:w="600" w:type="dxa"/>
            <w:vAlign w:val="bottom"/>
            <w:tcBorders>
              <w:bottom w:val="single" w:sz="8" w:color="auto"/>
            </w:tcBorders>
          </w:tcPr>
          <w:p>
            <w:pPr>
              <w:jc w:val="right"/>
              <w:ind w:right="382"/>
              <w:spacing w:after="0" w:line="174"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73</w:t>
            </w:r>
          </w:p>
        </w:tc>
      </w:tr>
      <w:tr>
        <w:trPr>
          <w:trHeight w:val="20"/>
        </w:trPr>
        <w:tc>
          <w:tcPr>
            <w:tcW w:w="8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-42545</wp:posOffset>
            </wp:positionV>
            <wp:extent cx="902970" cy="50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902970" cy="501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w:t>
      </w:r>
    </w:p>
    <w:p>
      <w:pPr>
        <w:spacing w:after="0" w:line="2" w:lineRule="exact"/>
        <w:rPr>
          <w:sz w:val="20"/>
          <w:szCs w:val="20"/>
          <w:color w:val="auto"/>
        </w:rPr>
      </w:pPr>
    </w:p>
    <w:p>
      <w:pPr>
        <w:ind w:left="360" w:right="540" w:hanging="356"/>
        <w:spacing w:after="0" w:line="242" w:lineRule="auto"/>
        <w:tabs>
          <w:tab w:leader="none" w:pos="360" w:val="left"/>
        </w:tabs>
        <w:numPr>
          <w:ilvl w:val="0"/>
          <w:numId w:val="1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the impacts of foreign currency translation and adjustments to reserves necessary to reflect events of non-payment such as customer accommodations and contract terminations.</w:t>
      </w:r>
    </w:p>
    <w:p>
      <w:pPr>
        <w:spacing w:after="0" w:line="1" w:lineRule="exact"/>
        <w:rPr>
          <w:rFonts w:ascii="Arial" w:cs="Arial" w:eastAsia="Arial" w:hAnsi="Arial"/>
          <w:sz w:val="16"/>
          <w:szCs w:val="16"/>
          <w:b w:val="1"/>
          <w:bCs w:val="1"/>
          <w:i w:val="1"/>
          <w:iCs w:val="1"/>
          <w:color w:val="auto"/>
        </w:rPr>
      </w:pPr>
    </w:p>
    <w:p>
      <w:pPr>
        <w:ind w:left="360" w:right="300" w:hanging="356"/>
        <w:spacing w:after="0" w:line="270" w:lineRule="auto"/>
        <w:tabs>
          <w:tab w:leader="none" w:pos="360" w:val="left"/>
        </w:tabs>
        <w:numPr>
          <w:ilvl w:val="0"/>
          <w:numId w:val="10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We perform ongoing credit evaluations of our customers and adjust credit limits based upon customer payment history and current creditworthiness. The allowance for uncollectible accounts receivable is determined based on an assessment of past collection experience as well as consideration of current and future economic conditions and changes in our customer collection trends. Based on that assessment the allowance for doubtful accounts as a percentage of gross receivables was 6.1% at December 31, 2025 and 8.0% at December 31, 2024.</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Accounts Receivable Sale Arrangements</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We have two facilities in Europe that enable us to sell accounts receivable without recourse on an ongoing basis. Under these arrangements, we sell our entire interest in the related accounts receivable for cash. Our arrangements are associated with our European distributor network as well as domestic sales in UK, France, Germany and Italy.</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Accounts receivable sales activity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42"/>
              <w:spacing w:after="0"/>
              <w:rPr>
                <w:sz w:val="20"/>
                <w:szCs w:val="20"/>
                <w:color w:val="auto"/>
              </w:rPr>
            </w:pPr>
            <w:r>
              <w:rPr>
                <w:rFonts w:ascii="Arial" w:cs="Arial" w:eastAsia="Arial" w:hAnsi="Arial"/>
                <w:sz w:val="16"/>
                <w:szCs w:val="16"/>
                <w:b w:val="1"/>
                <w:bCs w:val="1"/>
                <w:color w:val="auto"/>
                <w:w w:val="92"/>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2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Accounts receivable sales</w:t>
            </w:r>
            <w:r>
              <w:rPr>
                <w:rFonts w:ascii="Arial" w:cs="Arial" w:eastAsia="Arial" w:hAnsi="Arial"/>
                <w:sz w:val="10"/>
                <w:szCs w:val="10"/>
                <w:b w:val="1"/>
                <w:bCs w:val="1"/>
                <w:color w:val="auto"/>
              </w:rPr>
              <w:t>(1)</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427</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450</w:t>
            </w:r>
          </w:p>
        </w:tc>
        <w:tc>
          <w:tcPr>
            <w:tcW w:w="4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399</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Losses on sales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113</w:t>
      </w:r>
    </w:p>
    <w:p>
      <w:pPr>
        <w:sectPr>
          <w:pgSz w:w="11880" w:h="15480" w:orient="portrait"/>
          <w:cols w:equalWidth="0" w:num="1">
            <w:col w:w="9960"/>
          </w:cols>
          <w:pgMar w:left="960" w:top="724" w:right="960" w:bottom="0" w:gutter="0" w:footer="0" w:header="0"/>
        </w:sectPr>
      </w:pPr>
    </w:p>
    <w:bookmarkStart w:id="123" w:name="page124"/>
    <w:bookmarkEnd w:id="123"/>
    <w:p>
      <w:pPr>
        <w:spacing w:after="0"/>
        <w:rPr>
          <w:sz w:val="20"/>
          <w:szCs w:val="20"/>
          <w:color w:val="auto"/>
        </w:rPr>
      </w:pPr>
      <w:r>
        <w:rPr>
          <w:rFonts w:ascii="Arial" w:cs="Arial" w:eastAsia="Arial" w:hAnsi="Arial"/>
          <w:sz w:val="23"/>
          <w:szCs w:val="23"/>
          <w:b w:val="1"/>
          <w:bCs w:val="1"/>
          <w:color w:val="DA2031"/>
        </w:rPr>
        <w:t>Note 8 – Finance Receivables, Net</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Finance receivables include sales-type leases and installment loans arising from the sales of our equipment. These receivables are typically collateralized by a security interest in the underlying equipment.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receivables, net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2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23"/>
        </w:trPr>
        <w:tc>
          <w:tcPr>
            <w:tcW w:w="68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Gross receivables</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1,643</w:t>
            </w:r>
          </w:p>
        </w:tc>
        <w:tc>
          <w:tcPr>
            <w:tcW w:w="580" w:type="dxa"/>
            <w:vAlign w:val="bottom"/>
            <w:gridSpan w:val="2"/>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2,032</w:t>
            </w:r>
          </w:p>
        </w:tc>
      </w:tr>
      <w:tr>
        <w:trPr>
          <w:trHeight w:val="223"/>
        </w:trPr>
        <w:tc>
          <w:tcPr>
            <w:tcW w:w="68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Unearned income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6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w:t>
            </w:r>
          </w:p>
        </w:tc>
      </w:tr>
      <w:tr>
        <w:trPr>
          <w:trHeight w:val="223"/>
        </w:trPr>
        <w:tc>
          <w:tcPr>
            <w:tcW w:w="682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Subtotal</w:t>
            </w:r>
          </w:p>
        </w:tc>
        <w:tc>
          <w:tcPr>
            <w:tcW w:w="9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1,447</w:t>
            </w:r>
          </w:p>
        </w:tc>
        <w:tc>
          <w:tcPr>
            <w:tcW w:w="6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1,802</w:t>
            </w:r>
          </w:p>
        </w:tc>
      </w:tr>
      <w:tr>
        <w:trPr>
          <w:trHeight w:val="227"/>
        </w:trPr>
        <w:tc>
          <w:tcPr>
            <w:tcW w:w="6820" w:type="dxa"/>
            <w:vAlign w:val="bottom"/>
          </w:tcPr>
          <w:p>
            <w:pPr>
              <w:ind w:left="60"/>
              <w:spacing w:after="0"/>
              <w:rPr>
                <w:sz w:val="20"/>
                <w:szCs w:val="20"/>
                <w:color w:val="auto"/>
              </w:rPr>
            </w:pPr>
            <w:r>
              <w:rPr>
                <w:rFonts w:ascii="Arial" w:cs="Arial" w:eastAsia="Arial" w:hAnsi="Arial"/>
                <w:sz w:val="16"/>
                <w:szCs w:val="16"/>
                <w:b w:val="1"/>
                <w:bCs w:val="1"/>
                <w:color w:val="auto"/>
              </w:rPr>
              <w:t>Residual values</w:t>
            </w:r>
          </w:p>
        </w:tc>
        <w:tc>
          <w:tcPr>
            <w:tcW w:w="98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8"/>
        </w:trPr>
        <w:tc>
          <w:tcPr>
            <w:tcW w:w="6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Allowance for doubtful accounts</w:t>
            </w:r>
          </w:p>
        </w:tc>
        <w:tc>
          <w:tcPr>
            <w:tcW w:w="98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c>
          <w:tcPr>
            <w:tcW w:w="6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r>
      <w:tr>
        <w:trPr>
          <w:trHeight w:val="202"/>
        </w:trPr>
        <w:tc>
          <w:tcPr>
            <w:tcW w:w="6820" w:type="dxa"/>
            <w:vAlign w:val="bottom"/>
          </w:tcPr>
          <w:p>
            <w:pPr>
              <w:ind w:left="60"/>
              <w:spacing w:after="0"/>
              <w:rPr>
                <w:sz w:val="20"/>
                <w:szCs w:val="20"/>
                <w:color w:val="auto"/>
              </w:rPr>
            </w:pPr>
            <w:r>
              <w:rPr>
                <w:rFonts w:ascii="Arial" w:cs="Arial" w:eastAsia="Arial" w:hAnsi="Arial"/>
                <w:sz w:val="16"/>
                <w:szCs w:val="16"/>
                <w:b w:val="1"/>
                <w:bCs w:val="1"/>
                <w:color w:val="auto"/>
              </w:rPr>
              <w:t>Finance Receivables, Net</w:t>
            </w:r>
          </w:p>
        </w:tc>
        <w:tc>
          <w:tcPr>
            <w:tcW w:w="98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1,402</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1,745</w:t>
            </w:r>
          </w:p>
        </w:tc>
      </w:tr>
      <w:tr>
        <w:trPr>
          <w:trHeight w:val="235"/>
        </w:trPr>
        <w:tc>
          <w:tcPr>
            <w:tcW w:w="68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Less: Billed portion of finance receivables, net</w:t>
            </w:r>
          </w:p>
        </w:tc>
        <w:tc>
          <w:tcPr>
            <w:tcW w:w="98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46</w:t>
            </w:r>
          </w:p>
        </w:tc>
        <w:tc>
          <w:tcPr>
            <w:tcW w:w="6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w:t>
            </w:r>
          </w:p>
        </w:tc>
      </w:tr>
      <w:tr>
        <w:trPr>
          <w:trHeight w:val="223"/>
        </w:trPr>
        <w:tc>
          <w:tcPr>
            <w:tcW w:w="68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Less: Current portion of finance receivables not billed, net</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510</w:t>
            </w:r>
          </w:p>
        </w:tc>
        <w:tc>
          <w:tcPr>
            <w:tcW w:w="6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r>
      <w:tr>
        <w:trPr>
          <w:trHeight w:val="232"/>
        </w:trPr>
        <w:tc>
          <w:tcPr>
            <w:tcW w:w="6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 Due After One Year, Net</w:t>
            </w:r>
          </w:p>
        </w:tc>
        <w:tc>
          <w:tcPr>
            <w:tcW w:w="980" w:type="dxa"/>
            <w:vAlign w:val="bottom"/>
            <w:tcBorders>
              <w:bottom w:val="single" w:sz="8" w:color="auto"/>
            </w:tcBorders>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846</w:t>
            </w:r>
          </w:p>
        </w:tc>
        <w:tc>
          <w:tcPr>
            <w:tcW w:w="6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-42545</wp:posOffset>
            </wp:positionV>
            <wp:extent cx="197485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69" w:lineRule="exact"/>
        <w:rPr>
          <w:sz w:val="20"/>
          <w:szCs w:val="20"/>
          <w:color w:val="auto"/>
        </w:rPr>
      </w:pPr>
    </w:p>
    <w:p>
      <w:pPr>
        <w:ind w:right="380"/>
        <w:spacing w:after="0" w:line="293" w:lineRule="auto"/>
        <w:rPr>
          <w:sz w:val="20"/>
          <w:szCs w:val="20"/>
          <w:color w:val="auto"/>
        </w:rPr>
      </w:pPr>
      <w:r>
        <w:rPr>
          <w:rFonts w:ascii="Arial" w:cs="Arial" w:eastAsia="Arial" w:hAnsi="Arial"/>
          <w:sz w:val="19"/>
          <w:szCs w:val="19"/>
          <w:b w:val="1"/>
          <w:bCs w:val="1"/>
          <w:color w:val="auto"/>
        </w:rPr>
        <w:t>A summary of our gross finance receivables' future contractual maturities, including those previously billed,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tcBorders>
              <w:bottom w:val="single" w:sz="8" w:color="E5E5E5"/>
            </w:tcBorders>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8"/>
              </w:rPr>
              <w:t>December 31, 2025</w:t>
            </w:r>
          </w:p>
        </w:tc>
      </w:tr>
      <w:tr>
        <w:trPr>
          <w:trHeight w:val="223"/>
        </w:trPr>
        <w:tc>
          <w:tcPr>
            <w:tcW w:w="8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12 months</w:t>
            </w:r>
          </w:p>
        </w:tc>
        <w:tc>
          <w:tcPr>
            <w:tcW w:w="58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661</w:t>
            </w:r>
          </w:p>
        </w:tc>
      </w:tr>
      <w:tr>
        <w:trPr>
          <w:trHeight w:val="227"/>
        </w:trPr>
        <w:tc>
          <w:tcPr>
            <w:tcW w:w="8460" w:type="dxa"/>
            <w:vAlign w:val="bottom"/>
          </w:tcPr>
          <w:p>
            <w:pPr>
              <w:ind w:left="60"/>
              <w:spacing w:after="0"/>
              <w:rPr>
                <w:sz w:val="20"/>
                <w:szCs w:val="20"/>
                <w:color w:val="auto"/>
              </w:rPr>
            </w:pPr>
            <w:r>
              <w:rPr>
                <w:rFonts w:ascii="Arial" w:cs="Arial" w:eastAsia="Arial" w:hAnsi="Arial"/>
                <w:sz w:val="16"/>
                <w:szCs w:val="16"/>
                <w:b w:val="1"/>
                <w:bCs w:val="1"/>
                <w:color w:val="auto"/>
              </w:rPr>
              <w:t>24 months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454</w:t>
            </w:r>
          </w:p>
        </w:tc>
      </w:tr>
      <w:tr>
        <w:trPr>
          <w:trHeight w:val="239"/>
        </w:trPr>
        <w:tc>
          <w:tcPr>
            <w:tcW w:w="8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36 months</w:t>
            </w:r>
          </w:p>
        </w:tc>
        <w:tc>
          <w:tcPr>
            <w:tcW w:w="58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297</w:t>
            </w:r>
          </w:p>
        </w:tc>
      </w:tr>
      <w:tr>
        <w:trPr>
          <w:trHeight w:val="227"/>
        </w:trPr>
        <w:tc>
          <w:tcPr>
            <w:tcW w:w="8460" w:type="dxa"/>
            <w:vAlign w:val="bottom"/>
          </w:tcPr>
          <w:p>
            <w:pPr>
              <w:ind w:left="60"/>
              <w:spacing w:after="0"/>
              <w:rPr>
                <w:sz w:val="20"/>
                <w:szCs w:val="20"/>
                <w:color w:val="auto"/>
              </w:rPr>
            </w:pPr>
            <w:r>
              <w:rPr>
                <w:rFonts w:ascii="Arial" w:cs="Arial" w:eastAsia="Arial" w:hAnsi="Arial"/>
                <w:sz w:val="16"/>
                <w:szCs w:val="16"/>
                <w:b w:val="1"/>
                <w:bCs w:val="1"/>
                <w:color w:val="auto"/>
              </w:rPr>
              <w:t>48 months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166</w:t>
            </w:r>
          </w:p>
        </w:tc>
      </w:tr>
      <w:tr>
        <w:trPr>
          <w:trHeight w:val="239"/>
        </w:trPr>
        <w:tc>
          <w:tcPr>
            <w:tcW w:w="8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60 months</w:t>
            </w:r>
          </w:p>
        </w:tc>
        <w:tc>
          <w:tcPr>
            <w:tcW w:w="58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59</w:t>
            </w:r>
          </w:p>
        </w:tc>
      </w:tr>
      <w:tr>
        <w:trPr>
          <w:trHeight w:val="222"/>
        </w:trPr>
        <w:tc>
          <w:tcPr>
            <w:tcW w:w="84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Thereafter</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232"/>
        </w:trPr>
        <w:tc>
          <w:tcPr>
            <w:tcW w:w="84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-42545</wp:posOffset>
            </wp:positionV>
            <wp:extent cx="977265"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977265" cy="5016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Finance Receivables - Allowance for Credit Losses and Credit Quality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Our finance receivable portfolios are primarily in the U.S., Canada and EMEA. We generally establish customer credit limits and estimate the allowance for doubtful credit losses on a country or geographic basis. Customer credit limits are based upon an initial evaluation of the customer's credit quality, and are adjusted through ongoing credit assessments of the customer, which includes the past collections experience and changes in credit quality. The allowance for doubtful credit losses is determined based on an assessment of origination year and past collection experience as well as consideration of current and future economic conditions and changes in our customer collection trends.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Our allowance for doubtful credit losses is effectively determined by geography. The risk characteristics in our finance receivable portfolio segments are generally consistent with the risk factors associated with the economies of the countries/regions included in those geographies. Since EMEA is comprised of various countries and regional economies, the risk profile within that portfolio segment is somewhat more diversified due to the varying economic conditions among and within those countries.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net bad debt provision was $16 for the year ended December 31, 2025. This compares to the net bad debt provision of $17 for the year ended December 31, 2024. The allowance for credit losses as a percentage of net finance receivables before allowance was 3.1% at December 31, 2025 and 3.2% at December 31, 2024.</w:t>
      </w:r>
    </w:p>
    <w:p>
      <w:pPr>
        <w:spacing w:after="0" w:line="4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In determining the level of reserve required, we critically assessed current and forecasted economic conditions and trends to ensure we objectively considered those expected impacts in the determination of our reserve. Our assessment also included a review of current portfolio credit metrics and the level of write-offs incurred over the past year. We believe our current reserve position remains sufficient to cover expected future losses that may result from current and future macroeconomic conditions including higher inflation, interest rates and the potential for recessions in the geographic areas of our customers. We continue to monitor developments in future economic conditions and trends, and as a result, our reserves may need to be updated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114</w:t>
      </w:r>
    </w:p>
    <w:p>
      <w:pPr>
        <w:sectPr>
          <w:pgSz w:w="11880" w:h="15480" w:orient="portrait"/>
          <w:cols w:equalWidth="0" w:num="1">
            <w:col w:w="9960"/>
          </w:cols>
          <w:pgMar w:left="960" w:top="724" w:right="960" w:bottom="0" w:gutter="0" w:footer="0" w:header="0"/>
        </w:sectPr>
      </w:pPr>
    </w:p>
    <w:bookmarkStart w:id="124" w:name="page125"/>
    <w:bookmarkEnd w:id="124"/>
    <w:p>
      <w:pPr>
        <w:spacing w:after="0"/>
        <w:rPr>
          <w:sz w:val="20"/>
          <w:szCs w:val="20"/>
          <w:color w:val="auto"/>
        </w:rPr>
      </w:pPr>
      <w:r>
        <w:rPr>
          <w:rFonts w:ascii="Arial" w:cs="Arial" w:eastAsia="Arial" w:hAnsi="Arial"/>
          <w:sz w:val="19"/>
          <w:szCs w:val="19"/>
          <w:b w:val="1"/>
          <w:bCs w:val="1"/>
          <w:color w:val="auto"/>
        </w:rPr>
        <w:t>The allowance for credit losses as well as the related investment in finance receivables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Allowance for Credit Losses:</w:t>
            </w:r>
          </w:p>
        </w:tc>
        <w:tc>
          <w:tcPr>
            <w:tcW w:w="80" w:type="dxa"/>
            <w:vAlign w:val="bottom"/>
            <w:tcBorders>
              <w:bottom w:val="single" w:sz="8" w:color="E5E5E5"/>
            </w:tcBorders>
          </w:tcPr>
          <w:p>
            <w:pPr>
              <w:spacing w:after="0"/>
              <w:rPr>
                <w:sz w:val="18"/>
                <w:szCs w:val="18"/>
                <w:color w:val="auto"/>
              </w:rPr>
            </w:pPr>
          </w:p>
        </w:tc>
        <w:tc>
          <w:tcPr>
            <w:tcW w:w="11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9"/>
              </w:rPr>
              <w:t>United States</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Canada</w:t>
            </w:r>
          </w:p>
        </w:tc>
        <w:tc>
          <w:tcPr>
            <w:tcW w:w="80" w:type="dxa"/>
            <w:vAlign w:val="bottom"/>
            <w:tcBorders>
              <w:bottom w:val="single" w:sz="8" w:color="E5E5E5"/>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EMEA</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Total</w:t>
            </w:r>
          </w:p>
        </w:tc>
      </w:tr>
      <w:tr>
        <w:trPr>
          <w:trHeight w:val="222"/>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2023</w:t>
            </w:r>
          </w:p>
        </w:tc>
        <w:tc>
          <w:tcPr>
            <w:tcW w:w="560" w:type="dxa"/>
            <w:vAlign w:val="bottom"/>
            <w:gridSpan w:val="2"/>
            <w:shd w:val="clear" w:color="auto" w:fill="E5E5E5"/>
          </w:tcPr>
          <w:p>
            <w:pPr>
              <w:jc w:val="right"/>
              <w:ind w:right="26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58</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900" w:type="dxa"/>
            <w:vAlign w:val="bottom"/>
            <w:gridSpan w:val="2"/>
            <w:shd w:val="clear" w:color="auto" w:fill="E5E5E5"/>
          </w:tcPr>
          <w:p>
            <w:pPr>
              <w:jc w:val="right"/>
              <w:ind w:right="6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900" w:type="dxa"/>
            <w:vAlign w:val="bottom"/>
            <w:gridSpan w:val="2"/>
            <w:shd w:val="clear" w:color="auto" w:fill="E5E5E5"/>
          </w:tcPr>
          <w:p>
            <w:pPr>
              <w:jc w:val="right"/>
              <w:ind w:right="62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92</w:t>
            </w:r>
          </w:p>
        </w:tc>
      </w:tr>
      <w:tr>
        <w:trPr>
          <w:trHeight w:val="233"/>
        </w:trPr>
        <w:tc>
          <w:tcPr>
            <w:tcW w:w="3780" w:type="dxa"/>
            <w:vAlign w:val="bottom"/>
          </w:tcPr>
          <w:p>
            <w:pPr>
              <w:ind w:left="60"/>
              <w:spacing w:after="0"/>
              <w:rPr>
                <w:sz w:val="20"/>
                <w:szCs w:val="20"/>
                <w:color w:val="auto"/>
              </w:rPr>
            </w:pPr>
            <w:r>
              <w:rPr>
                <w:rFonts w:ascii="Arial" w:cs="Arial" w:eastAsia="Arial" w:hAnsi="Arial"/>
                <w:sz w:val="16"/>
                <w:szCs w:val="16"/>
                <w:b w:val="1"/>
                <w:bCs w:val="1"/>
                <w:color w:val="auto"/>
              </w:rPr>
              <w:t>Provision</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233"/>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Charge-offs, net</w:t>
            </w:r>
          </w:p>
        </w:tc>
        <w:tc>
          <w:tcPr>
            <w:tcW w:w="8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w:t>
            </w:r>
          </w:p>
        </w:tc>
      </w:tr>
      <w:tr>
        <w:trPr>
          <w:trHeight w:val="223"/>
        </w:trPr>
        <w:tc>
          <w:tcPr>
            <w:tcW w:w="37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(1)</w:t>
            </w:r>
          </w:p>
        </w:tc>
        <w:tc>
          <w:tcPr>
            <w:tcW w:w="80" w:type="dxa"/>
            <w:vAlign w:val="bottom"/>
            <w:tcBorders>
              <w:bottom w:val="single" w:sz="8" w:color="E5E5E5"/>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22"/>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2024</w:t>
            </w:r>
          </w:p>
        </w:tc>
        <w:tc>
          <w:tcPr>
            <w:tcW w:w="560" w:type="dxa"/>
            <w:vAlign w:val="bottom"/>
            <w:gridSpan w:val="2"/>
            <w:shd w:val="clear" w:color="auto" w:fill="E5E5E5"/>
          </w:tcPr>
          <w:p>
            <w:pPr>
              <w:jc w:val="right"/>
              <w:ind w:right="26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900" w:type="dxa"/>
            <w:vAlign w:val="bottom"/>
            <w:gridSpan w:val="2"/>
            <w:shd w:val="clear" w:color="auto" w:fill="E5E5E5"/>
          </w:tcPr>
          <w:p>
            <w:pPr>
              <w:jc w:val="right"/>
              <w:ind w:right="6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900" w:type="dxa"/>
            <w:vAlign w:val="bottom"/>
            <w:gridSpan w:val="2"/>
            <w:shd w:val="clear" w:color="auto" w:fill="E5E5E5"/>
          </w:tcPr>
          <w:p>
            <w:pPr>
              <w:jc w:val="right"/>
              <w:ind w:right="62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r>
      <w:tr>
        <w:trPr>
          <w:trHeight w:val="233"/>
        </w:trPr>
        <w:tc>
          <w:tcPr>
            <w:tcW w:w="3780" w:type="dxa"/>
            <w:vAlign w:val="bottom"/>
          </w:tcPr>
          <w:p>
            <w:pPr>
              <w:ind w:left="60"/>
              <w:spacing w:after="0"/>
              <w:rPr>
                <w:sz w:val="20"/>
                <w:szCs w:val="20"/>
                <w:color w:val="auto"/>
              </w:rPr>
            </w:pPr>
            <w:r>
              <w:rPr>
                <w:rFonts w:ascii="Arial" w:cs="Arial" w:eastAsia="Arial" w:hAnsi="Arial"/>
                <w:sz w:val="16"/>
                <w:szCs w:val="16"/>
                <w:b w:val="1"/>
                <w:bCs w:val="1"/>
                <w:color w:val="auto"/>
              </w:rPr>
              <w:t>Provision</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33"/>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Charge-offs, net</w:t>
            </w:r>
          </w:p>
        </w:tc>
        <w:tc>
          <w:tcPr>
            <w:tcW w:w="8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w:t>
            </w:r>
          </w:p>
        </w:tc>
        <w:tc>
          <w:tcPr>
            <w:tcW w:w="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340" w:type="dxa"/>
            <w:vAlign w:val="bottom"/>
            <w:shd w:val="clear" w:color="auto" w:fill="E5E5E5"/>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w:t>
            </w:r>
          </w:p>
        </w:tc>
      </w:tr>
      <w:tr>
        <w:trPr>
          <w:trHeight w:val="223"/>
        </w:trPr>
        <w:tc>
          <w:tcPr>
            <w:tcW w:w="37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(1)</w:t>
            </w:r>
          </w:p>
        </w:tc>
        <w:tc>
          <w:tcPr>
            <w:tcW w:w="80" w:type="dxa"/>
            <w:vAlign w:val="bottom"/>
            <w:tcBorders>
              <w:bottom w:val="single" w:sz="8" w:color="E5E5E5"/>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32"/>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2025</w:t>
            </w:r>
          </w:p>
        </w:tc>
        <w:tc>
          <w:tcPr>
            <w:tcW w:w="560" w:type="dxa"/>
            <w:vAlign w:val="bottom"/>
            <w:gridSpan w:val="2"/>
            <w:shd w:val="clear" w:color="auto" w:fill="E5E5E5"/>
          </w:tcPr>
          <w:p>
            <w:pPr>
              <w:jc w:val="right"/>
              <w:ind w:right="26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900" w:type="dxa"/>
            <w:vAlign w:val="bottom"/>
            <w:gridSpan w:val="2"/>
            <w:shd w:val="clear" w:color="auto" w:fill="E5E5E5"/>
          </w:tcPr>
          <w:p>
            <w:pPr>
              <w:jc w:val="right"/>
              <w:ind w:right="6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w:t>
            </w:r>
          </w:p>
        </w:tc>
        <w:tc>
          <w:tcPr>
            <w:tcW w:w="900" w:type="dxa"/>
            <w:vAlign w:val="bottom"/>
            <w:gridSpan w:val="2"/>
            <w:shd w:val="clear" w:color="auto" w:fill="E5E5E5"/>
          </w:tcPr>
          <w:p>
            <w:pPr>
              <w:jc w:val="right"/>
              <w:ind w:right="62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r>
      <w:tr>
        <w:trPr>
          <w:trHeight w:val="364"/>
        </w:trPr>
        <w:tc>
          <w:tcPr>
            <w:tcW w:w="3780" w:type="dxa"/>
            <w:vAlign w:val="bottom"/>
            <w:tcBorders>
              <w:top w:val="single" w:sz="8" w:color="E5E5E5"/>
            </w:tcBorders>
          </w:tcPr>
          <w:p>
            <w:pPr>
              <w:spacing w:after="0"/>
              <w:rPr>
                <w:sz w:val="24"/>
                <w:szCs w:val="24"/>
                <w:color w:val="auto"/>
              </w:rPr>
            </w:pPr>
          </w:p>
        </w:tc>
        <w:tc>
          <w:tcPr>
            <w:tcW w:w="80" w:type="dxa"/>
            <w:vAlign w:val="bottom"/>
            <w:tcBorders>
              <w:top w:val="single" w:sz="8" w:color="E5E5E5"/>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E5E5E5"/>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E5E5E5"/>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E5E5E5"/>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E5E5E5"/>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76"/>
        </w:trPr>
        <w:tc>
          <w:tcPr>
            <w:tcW w:w="3780" w:type="dxa"/>
            <w:vAlign w:val="bottom"/>
            <w:shd w:val="clear" w:color="auto" w:fill="E5E5E5"/>
          </w:tcPr>
          <w:p>
            <w:pPr>
              <w:ind w:left="60"/>
              <w:spacing w:after="0" w:line="176" w:lineRule="exact"/>
              <w:rPr>
                <w:sz w:val="20"/>
                <w:szCs w:val="20"/>
                <w:color w:val="auto"/>
              </w:rPr>
            </w:pPr>
            <w:r>
              <w:rPr>
                <w:rFonts w:ascii="Arial" w:cs="Arial" w:eastAsia="Arial" w:hAnsi="Arial"/>
                <w:sz w:val="16"/>
                <w:szCs w:val="16"/>
                <w:b w:val="1"/>
                <w:bCs w:val="1"/>
                <w:color w:val="auto"/>
              </w:rPr>
              <w:t>Finance Receivables Collectively Evaluated for</w:t>
            </w:r>
          </w:p>
        </w:tc>
        <w:tc>
          <w:tcPr>
            <w:tcW w:w="8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217"/>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Impairment:</w:t>
            </w:r>
          </w:p>
        </w:tc>
        <w:tc>
          <w:tcPr>
            <w:tcW w:w="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r>
      <w:tr>
        <w:trPr>
          <w:trHeight w:val="285"/>
        </w:trPr>
        <w:tc>
          <w:tcPr>
            <w:tcW w:w="3780" w:type="dxa"/>
            <w:vAlign w:val="bottom"/>
          </w:tcPr>
          <w:p>
            <w:pPr>
              <w:ind w:left="60"/>
              <w:spacing w:after="0"/>
              <w:rPr>
                <w:sz w:val="20"/>
                <w:szCs w:val="20"/>
                <w:color w:val="auto"/>
              </w:rPr>
            </w:pPr>
            <w:r>
              <w:rPr>
                <w:rFonts w:ascii="Arial" w:cs="Arial" w:eastAsia="Arial" w:hAnsi="Arial"/>
                <w:sz w:val="16"/>
                <w:szCs w:val="16"/>
                <w:b w:val="1"/>
                <w:bCs w:val="1"/>
                <w:color w:val="auto"/>
              </w:rPr>
              <w:t>December 31, 2024</w:t>
            </w:r>
            <w:r>
              <w:rPr>
                <w:rFonts w:ascii="Arial" w:cs="Arial" w:eastAsia="Arial" w:hAnsi="Arial"/>
                <w:sz w:val="10"/>
                <w:szCs w:val="10"/>
                <w:b w:val="1"/>
                <w:bCs w:val="1"/>
                <w:color w:val="auto"/>
              </w:rPr>
              <w:t>(2)(3)</w:t>
            </w:r>
          </w:p>
        </w:tc>
        <w:tc>
          <w:tcPr>
            <w:tcW w:w="56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90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97"/>
              </w:rPr>
              <w:t>909</w:t>
            </w:r>
          </w:p>
        </w:tc>
        <w:tc>
          <w:tcPr>
            <w:tcW w:w="90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1,802</w:t>
            </w:r>
          </w:p>
        </w:tc>
      </w:tr>
      <w:tr>
        <w:trPr>
          <w:trHeight w:val="239"/>
        </w:trPr>
        <w:tc>
          <w:tcPr>
            <w:tcW w:w="37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December 31, 2025</w:t>
            </w:r>
            <w:r>
              <w:rPr>
                <w:rFonts w:ascii="Arial" w:cs="Arial" w:eastAsia="Arial" w:hAnsi="Arial"/>
                <w:sz w:val="10"/>
                <w:szCs w:val="10"/>
                <w:b w:val="1"/>
                <w:bCs w:val="1"/>
                <w:color w:val="auto"/>
              </w:rPr>
              <w:t>(2)(3)</w:t>
            </w:r>
          </w:p>
        </w:tc>
        <w:tc>
          <w:tcPr>
            <w:tcW w:w="560" w:type="dxa"/>
            <w:vAlign w:val="bottom"/>
            <w:gridSpan w:val="2"/>
            <w:shd w:val="clear" w:color="auto" w:fill="E5E5E5"/>
          </w:tcPr>
          <w:p>
            <w:pPr>
              <w:jc w:val="right"/>
              <w:ind w:right="262"/>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616</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151</w:t>
            </w:r>
          </w:p>
        </w:tc>
        <w:tc>
          <w:tcPr>
            <w:tcW w:w="900" w:type="dxa"/>
            <w:vAlign w:val="bottom"/>
            <w:gridSpan w:val="2"/>
            <w:shd w:val="clear" w:color="auto" w:fill="E5E5E5"/>
          </w:tcPr>
          <w:p>
            <w:pPr>
              <w:jc w:val="right"/>
              <w:ind w:right="6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7"/>
              </w:rPr>
              <w:t>663</w:t>
            </w:r>
          </w:p>
        </w:tc>
        <w:tc>
          <w:tcPr>
            <w:tcW w:w="900" w:type="dxa"/>
            <w:vAlign w:val="bottom"/>
            <w:gridSpan w:val="2"/>
            <w:shd w:val="clear" w:color="auto" w:fill="E5E5E5"/>
          </w:tcPr>
          <w:p>
            <w:pPr>
              <w:jc w:val="right"/>
              <w:ind w:right="62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-855980</wp:posOffset>
            </wp:positionV>
            <wp:extent cx="3896360"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3896360" cy="5016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42" w:lineRule="auto"/>
        <w:tabs>
          <w:tab w:leader="none" w:pos="360"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the impacts of foreign currency translation and adjustments to reserves necessary to reflect events of non-payment such as customer accommodations and contract terminations.</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As a result of the Lexmark Acquisition on July 1, 2025, Other includes amounts for Latin America, Asia Pacific and South Africa. Allowance for doubtful credit losses in Other for the year ended December 31, 2025 was nil. Refer to Note 6 - Acquisitions and Divestitures for additional information regarding the Lexmark acquisition.</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0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Total Finance receivables exclude the allowance for credit losses of $45 and $57 at December 31, 2025 and 2024, respectively.</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Customers are further evaluated by class based on the type of lease origination. The primary categories are direct, which primarily includes leases originated directly with end-user customers through bundled lease arrangements, and indirect, which primarily includes leases originated through our XBS sales channel and lease financing to end-user customers who purchased equipment we sold to distributors or resellers.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evaluate our customers based on the following credit quality indicators:</w:t>
      </w:r>
    </w:p>
    <w:p>
      <w:pPr>
        <w:spacing w:after="0" w:line="91" w:lineRule="exact"/>
        <w:rPr>
          <w:sz w:val="20"/>
          <w:szCs w:val="20"/>
          <w:color w:val="auto"/>
        </w:rPr>
      </w:pPr>
    </w:p>
    <w:p>
      <w:pPr>
        <w:jc w:val="both"/>
        <w:ind w:left="360" w:hanging="356"/>
        <w:spacing w:after="0" w:line="270" w:lineRule="auto"/>
        <w:tabs>
          <w:tab w:leader="none" w:pos="360" w:val="left"/>
        </w:tabs>
        <w:numPr>
          <w:ilvl w:val="0"/>
          <w:numId w:val="107"/>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Low Credit Risk: </w:t>
      </w:r>
      <w:r>
        <w:rPr>
          <w:rFonts w:ascii="Arial" w:cs="Arial" w:eastAsia="Arial" w:hAnsi="Arial"/>
          <w:sz w:val="19"/>
          <w:szCs w:val="19"/>
          <w:b w:val="1"/>
          <w:bCs w:val="1"/>
          <w:color w:val="000000"/>
        </w:rPr>
        <w:t>This rating includes accounts with excellent to good business credit, asset quality and</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capacity to meet financial obligations. These customers are less susceptible to adverse effects due to shifts in economic conditions or changes in circumstance. Loss rates in this category in the normal course are generally in the range of 1% to 2%</w:t>
      </w:r>
    </w:p>
    <w:p>
      <w:pPr>
        <w:spacing w:after="0" w:line="25" w:lineRule="exact"/>
        <w:rPr>
          <w:rFonts w:ascii="Arial" w:cs="Arial" w:eastAsia="Arial" w:hAnsi="Arial"/>
          <w:sz w:val="19"/>
          <w:szCs w:val="19"/>
          <w:b w:val="1"/>
          <w:bCs w:val="1"/>
          <w:color w:val="DA2031"/>
        </w:rPr>
      </w:pPr>
    </w:p>
    <w:p>
      <w:pPr>
        <w:jc w:val="both"/>
        <w:ind w:left="360" w:hanging="356"/>
        <w:spacing w:after="0" w:line="264" w:lineRule="auto"/>
        <w:tabs>
          <w:tab w:leader="none" w:pos="360" w:val="left"/>
        </w:tabs>
        <w:numPr>
          <w:ilvl w:val="0"/>
          <w:numId w:val="107"/>
        </w:numPr>
        <w:rPr>
          <w:rFonts w:ascii="Arial" w:cs="Arial" w:eastAsia="Arial" w:hAnsi="Arial"/>
          <w:sz w:val="19"/>
          <w:szCs w:val="19"/>
          <w:b w:val="1"/>
          <w:bCs w:val="1"/>
          <w:color w:val="DA2031"/>
        </w:rPr>
      </w:pPr>
      <w:r>
        <w:rPr>
          <w:rFonts w:ascii="Arial" w:cs="Arial" w:eastAsia="Arial" w:hAnsi="Arial"/>
          <w:sz w:val="19"/>
          <w:szCs w:val="19"/>
          <w:b w:val="1"/>
          <w:bCs w:val="1"/>
          <w:color w:val="DA2031"/>
        </w:rPr>
        <w:t xml:space="preserve">Average Credit Risk: </w:t>
      </w:r>
      <w:r>
        <w:rPr>
          <w:rFonts w:ascii="Arial" w:cs="Arial" w:eastAsia="Arial" w:hAnsi="Arial"/>
          <w:sz w:val="19"/>
          <w:szCs w:val="19"/>
          <w:b w:val="1"/>
          <w:bCs w:val="1"/>
          <w:color w:val="000000"/>
        </w:rPr>
        <w:t>This rating includes accounts with average credit risk that are more susceptible to loss in</w:t>
      </w:r>
      <w:r>
        <w:rPr>
          <w:rFonts w:ascii="Arial" w:cs="Arial" w:eastAsia="Arial" w:hAnsi="Arial"/>
          <w:sz w:val="19"/>
          <w:szCs w:val="19"/>
          <w:b w:val="1"/>
          <w:bCs w:val="1"/>
          <w:color w:val="DA2031"/>
        </w:rPr>
        <w:t xml:space="preserve"> </w:t>
      </w:r>
      <w:r>
        <w:rPr>
          <w:rFonts w:ascii="Arial" w:cs="Arial" w:eastAsia="Arial" w:hAnsi="Arial"/>
          <w:sz w:val="19"/>
          <w:szCs w:val="19"/>
          <w:b w:val="1"/>
          <w:bCs w:val="1"/>
          <w:color w:val="000000"/>
        </w:rPr>
        <w:t>the event of adverse business or economic conditions. Although we experience higher loss rates associated with this customer class, we believe the risk is somewhat mitigated by the fact that our leases are fairly well dispersed across a large and diverse customer base. In addition, the higher loss rates are largely offset by the higher rates of return we obtain with such leases. Loss rates in this category in the normal course are generally in the range of 3% to 5%.</w:t>
      </w:r>
    </w:p>
    <w:p>
      <w:pPr>
        <w:spacing w:after="0" w:line="32" w:lineRule="exact"/>
        <w:rPr>
          <w:rFonts w:ascii="Arial" w:cs="Arial" w:eastAsia="Arial" w:hAnsi="Arial"/>
          <w:sz w:val="19"/>
          <w:szCs w:val="19"/>
          <w:b w:val="1"/>
          <w:bCs w:val="1"/>
          <w:color w:val="DA2031"/>
        </w:rPr>
      </w:pPr>
    </w:p>
    <w:p>
      <w:pPr>
        <w:jc w:val="both"/>
        <w:ind w:left="360" w:hanging="356"/>
        <w:spacing w:after="0" w:line="281" w:lineRule="auto"/>
        <w:tabs>
          <w:tab w:leader="none" w:pos="360" w:val="left"/>
        </w:tabs>
        <w:numPr>
          <w:ilvl w:val="0"/>
          <w:numId w:val="107"/>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High Credit Risk: </w:t>
      </w:r>
      <w:r>
        <w:rPr>
          <w:rFonts w:ascii="Arial" w:cs="Arial" w:eastAsia="Arial" w:hAnsi="Arial"/>
          <w:sz w:val="18"/>
          <w:szCs w:val="18"/>
          <w:b w:val="1"/>
          <w:bCs w:val="1"/>
          <w:color w:val="000000"/>
        </w:rPr>
        <w:t>This rating includes accounts that have marginal credit risk such that the customer’s ability to</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make repayment is impaired or may likely become impaired. We use numerous strategies to mitigate risk including higher rates of interest, prepayments, personal guarantees, etc. Accounts in this category include customers who were downgraded during the term of the lease from low and average credit risk evaluation when the lease was originated. Accordingly, there is a distinct possibility for a loss of principal and interest or customer default. The loss rates in this category in the normal course are generally in the range of 6% to 7%.</w:t>
      </w:r>
    </w:p>
    <w:p>
      <w:pPr>
        <w:spacing w:after="0" w:line="60"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Credit quality indicators are updated at least annually, or more frequently to the extent required by economic conditions, and the credit quality of any given customer can change during the life of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115</w:t>
      </w:r>
    </w:p>
    <w:p>
      <w:pPr>
        <w:sectPr>
          <w:pgSz w:w="11880" w:h="15480" w:orient="portrait"/>
          <w:cols w:equalWidth="0" w:num="1">
            <w:col w:w="9960"/>
          </w:cols>
          <w:pgMar w:left="960" w:top="736" w:right="960" w:bottom="0" w:gutter="0" w:footer="0" w:header="0"/>
        </w:sectPr>
      </w:pPr>
    </w:p>
    <w:bookmarkStart w:id="125" w:name="page126"/>
    <w:bookmarkEnd w:id="125"/>
    <w:p>
      <w:pPr>
        <w:spacing w:after="0" w:line="298" w:lineRule="auto"/>
        <w:rPr>
          <w:sz w:val="20"/>
          <w:szCs w:val="20"/>
          <w:color w:val="auto"/>
        </w:rPr>
      </w:pPr>
      <w:r>
        <w:rPr>
          <w:rFonts w:ascii="Arial" w:cs="Arial" w:eastAsia="Arial" w:hAnsi="Arial"/>
          <w:sz w:val="19"/>
          <w:szCs w:val="19"/>
          <w:b w:val="1"/>
          <w:bCs w:val="1"/>
          <w:color w:val="auto"/>
        </w:rPr>
        <w:t>Details about our finance receivables portfolio based on geography, origination year and credit quality indicators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6"/>
                <w:szCs w:val="16"/>
                <w:b w:val="1"/>
                <w:bCs w:val="1"/>
                <w:color w:val="auto"/>
              </w:rPr>
              <w:t>December 31, 2025</w:t>
            </w: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2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22"/>
              <w:spacing w:after="0" w:line="155" w:lineRule="exact"/>
              <w:rPr>
                <w:sz w:val="20"/>
                <w:szCs w:val="20"/>
                <w:color w:val="auto"/>
              </w:rPr>
            </w:pPr>
            <w:r>
              <w:rPr>
                <w:rFonts w:ascii="Arial" w:cs="Arial" w:eastAsia="Arial" w:hAnsi="Arial"/>
                <w:sz w:val="16"/>
                <w:szCs w:val="16"/>
                <w:b w:val="1"/>
                <w:bCs w:val="1"/>
                <w:color w:val="auto"/>
                <w:w w:val="89"/>
              </w:rPr>
              <w:t>Finance</w:t>
            </w: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Receivables</w:t>
            </w:r>
          </w:p>
        </w:tc>
        <w:tc>
          <w:tcPr>
            <w:tcW w:w="0" w:type="dxa"/>
            <w:vAlign w:val="bottom"/>
          </w:tcPr>
          <w:p>
            <w:pPr>
              <w:spacing w:after="0"/>
              <w:rPr>
                <w:sz w:val="1"/>
                <w:szCs w:val="1"/>
                <w:color w:val="auto"/>
              </w:rPr>
            </w:pPr>
          </w:p>
        </w:tc>
      </w:tr>
      <w:tr>
        <w:trPr>
          <w:trHeight w:val="238"/>
        </w:trPr>
        <w:tc>
          <w:tcPr>
            <w:tcW w:w="21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United States (Direct):</w:t>
            </w:r>
          </w:p>
        </w:tc>
        <w:tc>
          <w:tcPr>
            <w:tcW w:w="720" w:type="dxa"/>
            <w:vAlign w:val="bottom"/>
            <w:tcBorders>
              <w:top w:val="single" w:sz="8" w:color="auto"/>
            </w:tcBorders>
            <w:shd w:val="clear" w:color="auto" w:fill="E5E5E5"/>
          </w:tcPr>
          <w:p>
            <w:pPr>
              <w:spacing w:after="0"/>
              <w:rPr>
                <w:sz w:val="20"/>
                <w:szCs w:val="20"/>
                <w:color w:val="auto"/>
              </w:rPr>
            </w:pPr>
          </w:p>
        </w:tc>
        <w:tc>
          <w:tcPr>
            <w:tcW w:w="340" w:type="dxa"/>
            <w:vAlign w:val="bottom"/>
            <w:tcBorders>
              <w:top w:val="single" w:sz="8" w:color="auto"/>
            </w:tcBorders>
            <w:shd w:val="clear" w:color="auto" w:fill="E5E5E5"/>
          </w:tcPr>
          <w:p>
            <w:pPr>
              <w:spacing w:after="0"/>
              <w:rPr>
                <w:sz w:val="20"/>
                <w:szCs w:val="20"/>
                <w:color w:val="auto"/>
              </w:rPr>
            </w:pPr>
          </w:p>
        </w:tc>
        <w:tc>
          <w:tcPr>
            <w:tcW w:w="60" w:type="dxa"/>
            <w:vAlign w:val="bottom"/>
            <w:tcBorders>
              <w:top w:val="single" w:sz="8" w:color="E5E5E5"/>
            </w:tcBorders>
            <w:shd w:val="clear" w:color="auto" w:fill="E5E5E5"/>
          </w:tcPr>
          <w:p>
            <w:pPr>
              <w:spacing w:after="0"/>
              <w:rPr>
                <w:sz w:val="20"/>
                <w:szCs w:val="20"/>
                <w:color w:val="auto"/>
              </w:rPr>
            </w:pPr>
          </w:p>
        </w:tc>
        <w:tc>
          <w:tcPr>
            <w:tcW w:w="720" w:type="dxa"/>
            <w:vAlign w:val="bottom"/>
            <w:tcBorders>
              <w:top w:val="single" w:sz="8" w:color="auto"/>
            </w:tcBorders>
            <w:shd w:val="clear" w:color="auto" w:fill="E5E5E5"/>
          </w:tcPr>
          <w:p>
            <w:pPr>
              <w:spacing w:after="0"/>
              <w:rPr>
                <w:sz w:val="20"/>
                <w:szCs w:val="20"/>
                <w:color w:val="auto"/>
              </w:rPr>
            </w:pPr>
          </w:p>
        </w:tc>
        <w:tc>
          <w:tcPr>
            <w:tcW w:w="340" w:type="dxa"/>
            <w:vAlign w:val="bottom"/>
            <w:tcBorders>
              <w:top w:val="single" w:sz="8" w:color="auto"/>
            </w:tcBorders>
            <w:shd w:val="clear" w:color="auto" w:fill="E5E5E5"/>
          </w:tcPr>
          <w:p>
            <w:pPr>
              <w:spacing w:after="0"/>
              <w:rPr>
                <w:sz w:val="20"/>
                <w:szCs w:val="20"/>
                <w:color w:val="auto"/>
              </w:rPr>
            </w:pPr>
          </w:p>
        </w:tc>
        <w:tc>
          <w:tcPr>
            <w:tcW w:w="60" w:type="dxa"/>
            <w:vAlign w:val="bottom"/>
            <w:tcBorders>
              <w:top w:val="single" w:sz="8" w:color="E5E5E5"/>
            </w:tcBorders>
            <w:shd w:val="clear" w:color="auto" w:fill="E5E5E5"/>
          </w:tcPr>
          <w:p>
            <w:pPr>
              <w:spacing w:after="0"/>
              <w:rPr>
                <w:sz w:val="20"/>
                <w:szCs w:val="20"/>
                <w:color w:val="auto"/>
              </w:rPr>
            </w:pPr>
          </w:p>
        </w:tc>
        <w:tc>
          <w:tcPr>
            <w:tcW w:w="720" w:type="dxa"/>
            <w:vAlign w:val="bottom"/>
            <w:tcBorders>
              <w:top w:val="single" w:sz="8" w:color="auto"/>
            </w:tcBorders>
            <w:shd w:val="clear" w:color="auto" w:fill="E5E5E5"/>
          </w:tcPr>
          <w:p>
            <w:pPr>
              <w:spacing w:after="0"/>
              <w:rPr>
                <w:sz w:val="20"/>
                <w:szCs w:val="20"/>
                <w:color w:val="auto"/>
              </w:rPr>
            </w:pPr>
          </w:p>
        </w:tc>
        <w:tc>
          <w:tcPr>
            <w:tcW w:w="340" w:type="dxa"/>
            <w:vAlign w:val="bottom"/>
            <w:tcBorders>
              <w:top w:val="single" w:sz="8" w:color="auto"/>
            </w:tcBorders>
            <w:shd w:val="clear" w:color="auto" w:fill="E5E5E5"/>
          </w:tcPr>
          <w:p>
            <w:pPr>
              <w:spacing w:after="0"/>
              <w:rPr>
                <w:sz w:val="20"/>
                <w:szCs w:val="20"/>
                <w:color w:val="auto"/>
              </w:rPr>
            </w:pPr>
          </w:p>
        </w:tc>
        <w:tc>
          <w:tcPr>
            <w:tcW w:w="60" w:type="dxa"/>
            <w:vAlign w:val="bottom"/>
            <w:tcBorders>
              <w:top w:val="single" w:sz="8" w:color="E5E5E5"/>
            </w:tcBorders>
            <w:shd w:val="clear" w:color="auto" w:fill="E5E5E5"/>
          </w:tcPr>
          <w:p>
            <w:pPr>
              <w:spacing w:after="0"/>
              <w:rPr>
                <w:sz w:val="20"/>
                <w:szCs w:val="20"/>
                <w:color w:val="auto"/>
              </w:rPr>
            </w:pPr>
          </w:p>
        </w:tc>
        <w:tc>
          <w:tcPr>
            <w:tcW w:w="240" w:type="dxa"/>
            <w:vAlign w:val="bottom"/>
            <w:tcBorders>
              <w:top w:val="single" w:sz="8" w:color="auto"/>
            </w:tcBorders>
            <w:shd w:val="clear" w:color="auto" w:fill="E5E5E5"/>
          </w:tcPr>
          <w:p>
            <w:pPr>
              <w:spacing w:after="0"/>
              <w:rPr>
                <w:sz w:val="20"/>
                <w:szCs w:val="20"/>
                <w:color w:val="auto"/>
              </w:rPr>
            </w:pPr>
          </w:p>
        </w:tc>
        <w:tc>
          <w:tcPr>
            <w:tcW w:w="820" w:type="dxa"/>
            <w:vAlign w:val="bottom"/>
            <w:tcBorders>
              <w:top w:val="single" w:sz="8" w:color="auto"/>
            </w:tcBorders>
            <w:shd w:val="clear" w:color="auto" w:fill="E5E5E5"/>
          </w:tcPr>
          <w:p>
            <w:pPr>
              <w:spacing w:after="0"/>
              <w:rPr>
                <w:sz w:val="20"/>
                <w:szCs w:val="20"/>
                <w:color w:val="auto"/>
              </w:rPr>
            </w:pPr>
          </w:p>
        </w:tc>
        <w:tc>
          <w:tcPr>
            <w:tcW w:w="60" w:type="dxa"/>
            <w:vAlign w:val="bottom"/>
            <w:tcBorders>
              <w:top w:val="single" w:sz="8" w:color="E5E5E5"/>
            </w:tcBorders>
            <w:shd w:val="clear" w:color="auto" w:fill="E5E5E5"/>
          </w:tcPr>
          <w:p>
            <w:pPr>
              <w:spacing w:after="0"/>
              <w:rPr>
                <w:sz w:val="20"/>
                <w:szCs w:val="20"/>
                <w:color w:val="auto"/>
              </w:rPr>
            </w:pPr>
          </w:p>
        </w:tc>
        <w:tc>
          <w:tcPr>
            <w:tcW w:w="260" w:type="dxa"/>
            <w:vAlign w:val="bottom"/>
            <w:tcBorders>
              <w:top w:val="single" w:sz="8" w:color="auto"/>
            </w:tcBorders>
            <w:shd w:val="clear" w:color="auto" w:fill="E5E5E5"/>
          </w:tcPr>
          <w:p>
            <w:pPr>
              <w:spacing w:after="0"/>
              <w:rPr>
                <w:sz w:val="20"/>
                <w:szCs w:val="20"/>
                <w:color w:val="auto"/>
              </w:rPr>
            </w:pPr>
          </w:p>
        </w:tc>
        <w:tc>
          <w:tcPr>
            <w:tcW w:w="800" w:type="dxa"/>
            <w:vAlign w:val="bottom"/>
            <w:tcBorders>
              <w:top w:val="single" w:sz="8" w:color="auto"/>
            </w:tcBorders>
            <w:shd w:val="clear" w:color="auto" w:fill="E5E5E5"/>
          </w:tcPr>
          <w:p>
            <w:pPr>
              <w:spacing w:after="0"/>
              <w:rPr>
                <w:sz w:val="20"/>
                <w:szCs w:val="20"/>
                <w:color w:val="auto"/>
              </w:rPr>
            </w:pPr>
          </w:p>
        </w:tc>
        <w:tc>
          <w:tcPr>
            <w:tcW w:w="60" w:type="dxa"/>
            <w:vAlign w:val="bottom"/>
            <w:tcBorders>
              <w:top w:val="single" w:sz="8" w:color="E5E5E5"/>
            </w:tcBorders>
            <w:shd w:val="clear" w:color="auto" w:fill="E5E5E5"/>
          </w:tcPr>
          <w:p>
            <w:pPr>
              <w:spacing w:after="0"/>
              <w:rPr>
                <w:sz w:val="20"/>
                <w:szCs w:val="20"/>
                <w:color w:val="auto"/>
              </w:rPr>
            </w:pPr>
          </w:p>
        </w:tc>
        <w:tc>
          <w:tcPr>
            <w:tcW w:w="260" w:type="dxa"/>
            <w:vAlign w:val="bottom"/>
            <w:tcBorders>
              <w:top w:val="single" w:sz="8" w:color="auto"/>
            </w:tcBorders>
            <w:shd w:val="clear" w:color="auto" w:fill="E5E5E5"/>
          </w:tcPr>
          <w:p>
            <w:pPr>
              <w:spacing w:after="0"/>
              <w:rPr>
                <w:sz w:val="20"/>
                <w:szCs w:val="20"/>
                <w:color w:val="auto"/>
              </w:rPr>
            </w:pPr>
          </w:p>
        </w:tc>
        <w:tc>
          <w:tcPr>
            <w:tcW w:w="800" w:type="dxa"/>
            <w:vAlign w:val="bottom"/>
            <w:tcBorders>
              <w:top w:val="single" w:sz="8" w:color="auto"/>
            </w:tcBorders>
            <w:shd w:val="clear" w:color="auto" w:fill="E5E5E5"/>
          </w:tcPr>
          <w:p>
            <w:pPr>
              <w:spacing w:after="0"/>
              <w:rPr>
                <w:sz w:val="20"/>
                <w:szCs w:val="20"/>
                <w:color w:val="auto"/>
              </w:rPr>
            </w:pPr>
          </w:p>
        </w:tc>
        <w:tc>
          <w:tcPr>
            <w:tcW w:w="60" w:type="dxa"/>
            <w:vAlign w:val="bottom"/>
            <w:tcBorders>
              <w:top w:val="single" w:sz="8" w:color="E5E5E5"/>
            </w:tcBorders>
            <w:shd w:val="clear" w:color="auto" w:fill="E5E5E5"/>
          </w:tcPr>
          <w:p>
            <w:pPr>
              <w:spacing w:after="0"/>
              <w:rPr>
                <w:sz w:val="20"/>
                <w:szCs w:val="20"/>
                <w:color w:val="auto"/>
              </w:rPr>
            </w:pPr>
          </w:p>
        </w:tc>
        <w:tc>
          <w:tcPr>
            <w:tcW w:w="200" w:type="dxa"/>
            <w:vAlign w:val="bottom"/>
            <w:tcBorders>
              <w:top w:val="single" w:sz="8" w:color="auto"/>
            </w:tcBorders>
            <w:shd w:val="clear" w:color="auto" w:fill="E5E5E5"/>
          </w:tcPr>
          <w:p>
            <w:pPr>
              <w:spacing w:after="0"/>
              <w:rPr>
                <w:sz w:val="20"/>
                <w:szCs w:val="20"/>
                <w:color w:val="auto"/>
              </w:rPr>
            </w:pPr>
          </w:p>
        </w:tc>
        <w:tc>
          <w:tcPr>
            <w:tcW w:w="860" w:type="dxa"/>
            <w:vAlign w:val="bottom"/>
            <w:tcBorders>
              <w:top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102</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66</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48</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19</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7</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243</w:t>
            </w:r>
          </w:p>
        </w:tc>
        <w:tc>
          <w:tcPr>
            <w:tcW w:w="0" w:type="dxa"/>
            <w:vAlign w:val="bottom"/>
          </w:tcPr>
          <w:p>
            <w:pPr>
              <w:spacing w:after="0"/>
              <w:rPr>
                <w:sz w:val="1"/>
                <w:szCs w:val="1"/>
                <w:color w:val="auto"/>
              </w:rPr>
            </w:pPr>
          </w:p>
        </w:tc>
      </w:tr>
      <w:tr>
        <w:trPr>
          <w:trHeight w:val="23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49</w:t>
            </w: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31</w:t>
            </w: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41</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150</w:t>
            </w:r>
          </w:p>
        </w:tc>
        <w:tc>
          <w:tcPr>
            <w:tcW w:w="0" w:type="dxa"/>
            <w:vAlign w:val="bottom"/>
          </w:tcPr>
          <w:p>
            <w:pPr>
              <w:spacing w:after="0"/>
              <w:rPr>
                <w:sz w:val="1"/>
                <w:szCs w:val="1"/>
                <w:color w:val="auto"/>
              </w:rPr>
            </w:pPr>
          </w:p>
        </w:tc>
      </w:tr>
      <w:tr>
        <w:trPr>
          <w:trHeight w:val="222"/>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w:t>
            </w:r>
          </w:p>
        </w:tc>
        <w:tc>
          <w:tcPr>
            <w:tcW w:w="60" w:type="dxa"/>
            <w:vAlign w:val="bottom"/>
            <w:tcBorders>
              <w:bottom w:val="single" w:sz="8" w:color="E5E5E5"/>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175</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120</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107</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46</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478</w:t>
            </w:r>
          </w:p>
        </w:tc>
        <w:tc>
          <w:tcPr>
            <w:tcW w:w="0" w:type="dxa"/>
            <w:vAlign w:val="bottom"/>
          </w:tcPr>
          <w:p>
            <w:pPr>
              <w:spacing w:after="0"/>
              <w:rPr>
                <w:sz w:val="1"/>
                <w:szCs w:val="1"/>
                <w:color w:val="auto"/>
              </w:rPr>
            </w:pPr>
          </w:p>
        </w:tc>
      </w:tr>
      <w:tr>
        <w:trPr>
          <w:trHeight w:val="192"/>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United States (Indirect):</w:t>
            </w: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194"/>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w:t>
            </w:r>
          </w:p>
        </w:tc>
        <w:tc>
          <w:tcPr>
            <w:tcW w:w="6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48</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42</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12"/>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Canada</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31</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20</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13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3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29</w:t>
            </w: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w:t>
            </w: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22"/>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64</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43</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28</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192"/>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EMEA</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135</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76</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96</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376</w:t>
            </w: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68</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45</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79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257</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194"/>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211</w:t>
            </w:r>
          </w:p>
        </w:tc>
        <w:tc>
          <w:tcPr>
            <w:tcW w:w="6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126</w:t>
            </w:r>
          </w:p>
        </w:tc>
        <w:tc>
          <w:tcPr>
            <w:tcW w:w="6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185</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104</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663</w:t>
            </w:r>
          </w:p>
        </w:tc>
        <w:tc>
          <w:tcPr>
            <w:tcW w:w="0" w:type="dxa"/>
            <w:vAlign w:val="bottom"/>
          </w:tcPr>
          <w:p>
            <w:pPr>
              <w:spacing w:after="0"/>
              <w:rPr>
                <w:sz w:val="1"/>
                <w:szCs w:val="1"/>
                <w:color w:val="auto"/>
              </w:rPr>
            </w:pPr>
          </w:p>
        </w:tc>
      </w:tr>
      <w:tr>
        <w:trPr>
          <w:trHeight w:val="212"/>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(1)</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3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2"/>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192"/>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Total Finance Receivables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277</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170</w:t>
            </w:r>
          </w:p>
        </w:tc>
        <w:tc>
          <w:tcPr>
            <w:tcW w:w="780" w:type="dxa"/>
            <w:vAlign w:val="bottom"/>
            <w:gridSpan w:val="2"/>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170</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90</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28</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740</w:t>
            </w: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158</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104</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159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92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553</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36</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39</w:t>
            </w:r>
          </w:p>
        </w:tc>
        <w:tc>
          <w:tcPr>
            <w:tcW w:w="60" w:type="dxa"/>
            <w:vAlign w:val="bottom"/>
            <w:tcBorders>
              <w:bottom w:val="single" w:sz="8" w:color="E5E5E5"/>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43</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194"/>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471</w:t>
            </w:r>
          </w:p>
        </w:tc>
        <w:tc>
          <w:tcPr>
            <w:tcW w:w="6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313</w:t>
            </w:r>
          </w:p>
        </w:tc>
        <w:tc>
          <w:tcPr>
            <w:tcW w:w="60" w:type="dxa"/>
            <w:vAlign w:val="bottom"/>
            <w:tcBorders>
              <w:bottom w:val="single" w:sz="8" w:color="E5E5E5"/>
            </w:tcBorders>
          </w:tcPr>
          <w:p>
            <w:pPr>
              <w:spacing w:after="0"/>
              <w:rPr>
                <w:sz w:val="16"/>
                <w:szCs w:val="16"/>
                <w:color w:val="auto"/>
              </w:rPr>
            </w:pP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372</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205</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72</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1,447</w:t>
            </w:r>
          </w:p>
        </w:tc>
        <w:tc>
          <w:tcPr>
            <w:tcW w:w="0" w:type="dxa"/>
            <w:vAlign w:val="bottom"/>
          </w:tcPr>
          <w:p>
            <w:pPr>
              <w:spacing w:after="0"/>
              <w:rPr>
                <w:sz w:val="1"/>
                <w:szCs w:val="1"/>
                <w:color w:val="auto"/>
              </w:rPr>
            </w:pPr>
          </w:p>
        </w:tc>
      </w:tr>
      <w:tr>
        <w:trPr>
          <w:trHeight w:val="232"/>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Charge-offs</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-43180</wp:posOffset>
            </wp:positionV>
            <wp:extent cx="4959350"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4959350" cy="5016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As a result of the Lexmark Acquisition on July 1, 2025, includes amounts for Latin America, Asia Pacific and South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116</w:t>
      </w:r>
    </w:p>
    <w:p>
      <w:pPr>
        <w:sectPr>
          <w:pgSz w:w="11880" w:h="15480" w:orient="portrait"/>
          <w:cols w:equalWidth="0" w:num="1">
            <w:col w:w="9960"/>
          </w:cols>
          <w:pgMar w:left="960" w:top="736" w:right="960" w:bottom="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6"/>
                <w:szCs w:val="16"/>
                <w:b w:val="1"/>
                <w:bCs w:val="1"/>
                <w:color w:val="auto"/>
              </w:rPr>
              <w:t>December 31, 2024</w:t>
            </w: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12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Prior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22"/>
              <w:spacing w:after="0" w:line="155" w:lineRule="exact"/>
              <w:rPr>
                <w:sz w:val="20"/>
                <w:szCs w:val="20"/>
                <w:color w:val="auto"/>
              </w:rPr>
            </w:pPr>
            <w:r>
              <w:rPr>
                <w:rFonts w:ascii="Arial" w:cs="Arial" w:eastAsia="Arial" w:hAnsi="Arial"/>
                <w:sz w:val="16"/>
                <w:szCs w:val="16"/>
                <w:b w:val="1"/>
                <w:bCs w:val="1"/>
                <w:color w:val="auto"/>
                <w:w w:val="89"/>
              </w:rPr>
              <w:t>Finance</w:t>
            </w:r>
          </w:p>
        </w:tc>
        <w:tc>
          <w:tcPr>
            <w:tcW w:w="0" w:type="dxa"/>
            <w:vAlign w:val="bottom"/>
          </w:tcPr>
          <w:p>
            <w:pPr>
              <w:spacing w:after="0"/>
              <w:rPr>
                <w:sz w:val="1"/>
                <w:szCs w:val="1"/>
                <w:color w:val="auto"/>
              </w:rPr>
            </w:pPr>
          </w:p>
        </w:tc>
      </w:tr>
      <w:tr>
        <w:trPr>
          <w:trHeight w:val="207"/>
        </w:trPr>
        <w:tc>
          <w:tcPr>
            <w:tcW w:w="214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Receivables</w:t>
            </w:r>
          </w:p>
        </w:tc>
        <w:tc>
          <w:tcPr>
            <w:tcW w:w="0" w:type="dxa"/>
            <w:vAlign w:val="bottom"/>
          </w:tcPr>
          <w:p>
            <w:pPr>
              <w:spacing w:after="0"/>
              <w:rPr>
                <w:sz w:val="1"/>
                <w:szCs w:val="1"/>
                <w:color w:val="auto"/>
              </w:rPr>
            </w:pPr>
          </w:p>
        </w:tc>
      </w:tr>
      <w:tr>
        <w:trPr>
          <w:trHeight w:val="238"/>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United States (Direct):</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93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69</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34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23</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10</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230</w:t>
            </w:r>
          </w:p>
        </w:tc>
        <w:tc>
          <w:tcPr>
            <w:tcW w:w="0" w:type="dxa"/>
            <w:vAlign w:val="bottom"/>
          </w:tcPr>
          <w:p>
            <w:pPr>
              <w:spacing w:after="0"/>
              <w:rPr>
                <w:sz w:val="1"/>
                <w:szCs w:val="1"/>
                <w:color w:val="auto"/>
              </w:rPr>
            </w:pPr>
          </w:p>
        </w:tc>
      </w:tr>
      <w:tr>
        <w:trPr>
          <w:trHeight w:val="23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61</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27</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173</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172</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154</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80</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64</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26</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502</w:t>
            </w:r>
          </w:p>
        </w:tc>
        <w:tc>
          <w:tcPr>
            <w:tcW w:w="0" w:type="dxa"/>
            <w:vAlign w:val="bottom"/>
          </w:tcPr>
          <w:p>
            <w:pPr>
              <w:spacing w:after="0"/>
              <w:rPr>
                <w:sz w:val="1"/>
                <w:szCs w:val="1"/>
                <w:color w:val="auto"/>
              </w:rPr>
            </w:pPr>
          </w:p>
        </w:tc>
      </w:tr>
      <w:tr>
        <w:trPr>
          <w:trHeight w:val="192"/>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United States (Indirect):</w:t>
            </w: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40</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48</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129</w:t>
            </w: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94"/>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72</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95</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49</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247</w:t>
            </w:r>
          </w:p>
        </w:tc>
        <w:tc>
          <w:tcPr>
            <w:tcW w:w="0" w:type="dxa"/>
            <w:vAlign w:val="bottom"/>
          </w:tcPr>
          <w:p>
            <w:pPr>
              <w:spacing w:after="0"/>
              <w:rPr>
                <w:sz w:val="1"/>
                <w:szCs w:val="1"/>
                <w:color w:val="auto"/>
              </w:rPr>
            </w:pPr>
          </w:p>
        </w:tc>
      </w:tr>
      <w:tr>
        <w:trPr>
          <w:trHeight w:val="212"/>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Canada</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33</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18</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7</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3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32</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222"/>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37</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192"/>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9</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34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40" w:type="dxa"/>
            <w:vAlign w:val="bottom"/>
            <w:tcBorders>
              <w:top w:val="single" w:sz="8" w:color="auto"/>
            </w:tcBorders>
            <w:shd w:val="clear" w:color="auto" w:fill="E5E5E5"/>
          </w:tcPr>
          <w:p>
            <w:pPr>
              <w:spacing w:after="0"/>
              <w:rPr>
                <w:sz w:val="19"/>
                <w:szCs w:val="19"/>
                <w:color w:val="auto"/>
              </w:rPr>
            </w:pPr>
          </w:p>
        </w:tc>
        <w:tc>
          <w:tcPr>
            <w:tcW w:w="82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60" w:type="dxa"/>
            <w:vAlign w:val="bottom"/>
            <w:tcBorders>
              <w:top w:val="single" w:sz="8" w:color="auto"/>
            </w:tcBorders>
            <w:shd w:val="clear" w:color="auto" w:fill="E5E5E5"/>
          </w:tcPr>
          <w:p>
            <w:pPr>
              <w:spacing w:after="0"/>
              <w:rPr>
                <w:sz w:val="19"/>
                <w:szCs w:val="19"/>
                <w:color w:val="auto"/>
              </w:rPr>
            </w:pPr>
          </w:p>
        </w:tc>
        <w:tc>
          <w:tcPr>
            <w:tcW w:w="800" w:type="dxa"/>
            <w:vAlign w:val="bottom"/>
            <w:tcBorders>
              <w:top w:val="single" w:sz="8" w:color="auto"/>
            </w:tcBorders>
            <w:shd w:val="clear" w:color="auto" w:fill="E5E5E5"/>
          </w:tcPr>
          <w:p>
            <w:pPr>
              <w:spacing w:after="0"/>
              <w:rPr>
                <w:sz w:val="19"/>
                <w:szCs w:val="19"/>
                <w:color w:val="auto"/>
              </w:rPr>
            </w:pPr>
          </w:p>
        </w:tc>
        <w:tc>
          <w:tcPr>
            <w:tcW w:w="6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EMEA</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131</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175</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116</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55</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500</w:t>
            </w: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130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92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45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366</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194"/>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214</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319</w:t>
            </w:r>
          </w:p>
        </w:tc>
        <w:tc>
          <w:tcPr>
            <w:tcW w:w="6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219</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106</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42</w:t>
            </w:r>
          </w:p>
        </w:tc>
        <w:tc>
          <w:tcPr>
            <w:tcW w:w="6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909</w:t>
            </w:r>
          </w:p>
        </w:tc>
        <w:tc>
          <w:tcPr>
            <w:tcW w:w="0" w:type="dxa"/>
            <w:vAlign w:val="bottom"/>
          </w:tcPr>
          <w:p>
            <w:pPr>
              <w:spacing w:after="0"/>
              <w:rPr>
                <w:sz w:val="1"/>
                <w:szCs w:val="1"/>
                <w:color w:val="auto"/>
              </w:rPr>
            </w:pPr>
          </w:p>
        </w:tc>
      </w:tr>
      <w:tr>
        <w:trPr>
          <w:trHeight w:val="213"/>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Charge-offs</w:t>
            </w:r>
          </w:p>
        </w:tc>
        <w:tc>
          <w:tcPr>
            <w:tcW w:w="720" w:type="dxa"/>
            <w:vAlign w:val="bottom"/>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32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23"/>
        </w:trPr>
        <w:tc>
          <w:tcPr>
            <w:tcW w:w="2140" w:type="dxa"/>
            <w:vAlign w:val="bottom"/>
            <w:tcBorders>
              <w:top w:val="single" w:sz="8" w:color="E5E5E5"/>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Finance Receivables</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40" w:type="dxa"/>
            <w:vAlign w:val="bottom"/>
          </w:tcPr>
          <w:p>
            <w:pPr>
              <w:ind w:left="60"/>
              <w:spacing w:after="0"/>
              <w:rPr>
                <w:sz w:val="20"/>
                <w:szCs w:val="20"/>
                <w:color w:val="auto"/>
              </w:rPr>
            </w:pPr>
            <w:r>
              <w:rPr>
                <w:rFonts w:ascii="Arial" w:cs="Arial" w:eastAsia="Arial" w:hAnsi="Arial"/>
                <w:sz w:val="16"/>
                <w:szCs w:val="16"/>
                <w:b w:val="1"/>
                <w:bCs w:val="1"/>
                <w:color w:val="auto"/>
              </w:rPr>
              <w:t>Low Credit Risk</w:t>
            </w:r>
          </w:p>
        </w:tc>
        <w:tc>
          <w:tcPr>
            <w:tcW w:w="720" w:type="dxa"/>
            <w:vAlign w:val="bottom"/>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w w:val="89"/>
              </w:rPr>
              <w:t>297</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310</w:t>
            </w:r>
          </w:p>
        </w:tc>
        <w:tc>
          <w:tcPr>
            <w:tcW w:w="3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182</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96</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4</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923</w:t>
            </w:r>
          </w:p>
        </w:tc>
        <w:tc>
          <w:tcPr>
            <w:tcW w:w="0" w:type="dxa"/>
            <w:vAlign w:val="bottom"/>
          </w:tcPr>
          <w:p>
            <w:pPr>
              <w:spacing w:after="0"/>
              <w:rPr>
                <w:sz w:val="1"/>
                <w:szCs w:val="1"/>
                <w:color w:val="auto"/>
              </w:rPr>
            </w:pPr>
          </w:p>
        </w:tc>
      </w:tr>
      <w:tr>
        <w:trPr>
          <w:trHeight w:val="23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Average Credit Risk</w:t>
            </w:r>
          </w:p>
        </w:tc>
        <w:tc>
          <w:tcPr>
            <w:tcW w:w="7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187</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250</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148</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88</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33</w:t>
            </w:r>
          </w:p>
        </w:tc>
        <w:tc>
          <w:tcPr>
            <w:tcW w:w="6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714</w:t>
            </w:r>
          </w:p>
        </w:tc>
        <w:tc>
          <w:tcPr>
            <w:tcW w:w="0" w:type="dxa"/>
            <w:vAlign w:val="bottom"/>
          </w:tcPr>
          <w:p>
            <w:pPr>
              <w:spacing w:after="0"/>
              <w:rPr>
                <w:sz w:val="1"/>
                <w:szCs w:val="1"/>
                <w:color w:val="auto"/>
              </w:rPr>
            </w:pPr>
          </w:p>
        </w:tc>
      </w:tr>
      <w:tr>
        <w:trPr>
          <w:trHeight w:val="222"/>
        </w:trPr>
        <w:tc>
          <w:tcPr>
            <w:tcW w:w="21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High Credit Risk</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44</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45</w:t>
            </w:r>
          </w:p>
        </w:tc>
        <w:tc>
          <w:tcPr>
            <w:tcW w:w="6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w:t>
            </w:r>
          </w:p>
        </w:tc>
        <w:tc>
          <w:tcPr>
            <w:tcW w:w="6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33"/>
        </w:trPr>
        <w:tc>
          <w:tcPr>
            <w:tcW w:w="2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shd w:val="clear" w:color="auto" w:fill="E5E5E5"/>
          </w:tcPr>
          <w:p>
            <w:pPr>
              <w:jc w:val="right"/>
              <w:ind w:right="50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89"/>
              </w:rPr>
              <w:t>528</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605</w:t>
            </w:r>
          </w:p>
        </w:tc>
        <w:tc>
          <w:tcPr>
            <w:tcW w:w="6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368</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207</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78</w:t>
            </w: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w:t>
            </w:r>
          </w:p>
        </w:tc>
        <w:tc>
          <w:tcPr>
            <w:tcW w:w="6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1,802</w:t>
            </w:r>
          </w:p>
        </w:tc>
        <w:tc>
          <w:tcPr>
            <w:tcW w:w="0" w:type="dxa"/>
            <w:vAlign w:val="bottom"/>
          </w:tcPr>
          <w:p>
            <w:pPr>
              <w:spacing w:after="0"/>
              <w:rPr>
                <w:sz w:val="1"/>
                <w:szCs w:val="1"/>
                <w:color w:val="auto"/>
              </w:rPr>
            </w:pPr>
          </w:p>
        </w:tc>
      </w:tr>
      <w:tr>
        <w:trPr>
          <w:trHeight w:val="173"/>
        </w:trPr>
        <w:tc>
          <w:tcPr>
            <w:tcW w:w="214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Total Charge-offs</w:t>
            </w:r>
          </w:p>
        </w:tc>
        <w:tc>
          <w:tcPr>
            <w:tcW w:w="720" w:type="dxa"/>
            <w:vAlign w:val="bottom"/>
          </w:tcPr>
          <w:p>
            <w:pPr>
              <w:jc w:val="right"/>
              <w:ind w:right="502"/>
              <w:spacing w:after="0" w:line="174" w:lineRule="exact"/>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2</w:t>
            </w:r>
          </w:p>
        </w:tc>
        <w:tc>
          <w:tcPr>
            <w:tcW w:w="300" w:type="dxa"/>
            <w:vAlign w:val="bottom"/>
            <w:gridSpan w:val="2"/>
          </w:tcPr>
          <w:p>
            <w:pPr>
              <w:jc w:val="right"/>
              <w:ind w:right="22"/>
              <w:spacing w:after="0" w:line="174"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23</w:t>
            </w:r>
          </w:p>
        </w:tc>
        <w:tc>
          <w:tcPr>
            <w:tcW w:w="300" w:type="dxa"/>
            <w:vAlign w:val="bottom"/>
            <w:gridSpan w:val="2"/>
          </w:tcPr>
          <w:p>
            <w:pPr>
              <w:jc w:val="right"/>
              <w:ind w:right="22"/>
              <w:spacing w:after="0" w:line="174"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11</w:t>
            </w:r>
          </w:p>
        </w:tc>
        <w:tc>
          <w:tcPr>
            <w:tcW w:w="320" w:type="dxa"/>
            <w:vAlign w:val="bottom"/>
            <w:gridSpan w:val="2"/>
          </w:tcPr>
          <w:p>
            <w:pPr>
              <w:jc w:val="right"/>
              <w:ind w:right="42"/>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8</w:t>
            </w:r>
          </w:p>
        </w:tc>
        <w:tc>
          <w:tcPr>
            <w:tcW w:w="320" w:type="dxa"/>
            <w:vAlign w:val="bottom"/>
            <w:gridSpan w:val="2"/>
          </w:tcPr>
          <w:p>
            <w:pPr>
              <w:jc w:val="right"/>
              <w:ind w:right="42"/>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5</w:t>
            </w:r>
          </w:p>
        </w:tc>
        <w:tc>
          <w:tcPr>
            <w:tcW w:w="320" w:type="dxa"/>
            <w:vAlign w:val="bottom"/>
            <w:gridSpan w:val="2"/>
          </w:tcPr>
          <w:p>
            <w:pPr>
              <w:jc w:val="right"/>
              <w:ind w:right="42"/>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7</w:t>
            </w:r>
          </w:p>
        </w:tc>
        <w:tc>
          <w:tcPr>
            <w:tcW w:w="260" w:type="dxa"/>
            <w:vAlign w:val="bottom"/>
            <w:gridSpan w:val="2"/>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-42545</wp:posOffset>
            </wp:positionV>
            <wp:extent cx="4959350" cy="50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4959350" cy="50165"/>
                    </a:xfrm>
                    <a:prstGeom prst="rect">
                      <a:avLst/>
                    </a:prstGeom>
                    <a:noFill/>
                  </pic:spPr>
                </pic:pic>
              </a:graphicData>
            </a:graphic>
          </wp:anchor>
        </w:drawing>
      </w:r>
    </w:p>
    <w:p>
      <w:pPr>
        <w:spacing w:after="0" w:line="355"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b w:val="1"/>
          <w:bCs w:val="1"/>
          <w:color w:val="auto"/>
        </w:rPr>
        <w:t>The aging of our receivables portfolio is based upon the number of days an invoice is past due. Receivables that are more than 90 days past due are considered delinquent. Receivable losses are charged against the allowance when management believes the uncollectability of the receivable is confirmed and is generally based on individual credit evaluations, results of collection efforts and specific circumstances of the customer. Subsequent recoveries, if any, are credited to the allowance.</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We generally continue to maintain equipment on lease and provide services to customers that have invoices for finance receivables that are 90 days or more past due and, as a result of the bundled nature of billings, we also continue to accrue interest on those receivables. However, interest revenue for such billings is only recognized if collectability is deemed probable.</w:t>
      </w:r>
    </w:p>
    <w:p>
      <w:pPr>
        <w:sectPr>
          <w:pgSz w:w="11880" w:h="15480" w:orient="portrait"/>
          <w:cols w:equalWidth="0" w:num="1">
            <w:col w:w="9960"/>
          </w:cols>
          <w:pgMar w:left="960" w:top="98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117</w:t>
      </w:r>
    </w:p>
    <w:p>
      <w:pPr>
        <w:sectPr>
          <w:pgSz w:w="11880" w:h="15480" w:orient="portrait"/>
          <w:cols w:equalWidth="0" w:num="1">
            <w:col w:w="9960"/>
          </w:cols>
          <w:pgMar w:left="960" w:top="980" w:right="96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19"/>
          <w:szCs w:val="19"/>
          <w:b w:val="1"/>
          <w:bCs w:val="1"/>
          <w:color w:val="auto"/>
        </w:rPr>
        <w:t>The aging of our billed finance receivables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6"/>
                <w:szCs w:val="16"/>
                <w:b w:val="1"/>
                <w:bCs w:val="1"/>
                <w:color w:val="auto"/>
                <w:w w:val="94"/>
              </w:rPr>
              <w:t>December 31, 2025</w:t>
            </w: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7"/>
              </w:rPr>
              <w:t>31-90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Arial" w:cs="Arial" w:eastAsia="Arial" w:hAnsi="Arial"/>
                <w:sz w:val="16"/>
                <w:szCs w:val="16"/>
                <w:b w:val="1"/>
                <w:bCs w:val="1"/>
                <w:color w:val="auto"/>
              </w:rPr>
              <w:t>&gt;90 Days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3"/>
              </w:rPr>
              <w:t>Total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94"/>
              </w:rPr>
              <w:t>&gt;90 Days</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3"/>
              </w:rPr>
              <w:t>Current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94"/>
              </w:rPr>
              <w:t>Days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Total Billed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88"/>
              </w:rPr>
              <w:t>Unbilled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2"/>
              <w:spacing w:after="0" w:line="155" w:lineRule="exact"/>
              <w:rPr>
                <w:sz w:val="20"/>
                <w:szCs w:val="20"/>
                <w:color w:val="auto"/>
              </w:rPr>
            </w:pPr>
            <w:r>
              <w:rPr>
                <w:rFonts w:ascii="Arial" w:cs="Arial" w:eastAsia="Arial" w:hAnsi="Arial"/>
                <w:sz w:val="16"/>
                <w:szCs w:val="16"/>
                <w:b w:val="1"/>
                <w:bCs w:val="1"/>
                <w:color w:val="auto"/>
                <w:w w:val="89"/>
              </w:rPr>
              <w:t>Finance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42"/>
              <w:spacing w:after="0" w:line="155" w:lineRule="exact"/>
              <w:rPr>
                <w:sz w:val="20"/>
                <w:szCs w:val="20"/>
                <w:color w:val="auto"/>
              </w:rPr>
            </w:pPr>
            <w:r>
              <w:rPr>
                <w:rFonts w:ascii="Arial" w:cs="Arial" w:eastAsia="Arial" w:hAnsi="Arial"/>
                <w:sz w:val="16"/>
                <w:szCs w:val="16"/>
                <w:b w:val="1"/>
                <w:bCs w:val="1"/>
                <w:color w:val="auto"/>
                <w:w w:val="91"/>
              </w:rPr>
              <w:t>and</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3"/>
              </w:rPr>
              <w:t>Past Due</w:t>
            </w:r>
          </w:p>
        </w:tc>
        <w:tc>
          <w:tcPr>
            <w:tcW w:w="6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Past Due</w:t>
            </w:r>
          </w:p>
        </w:tc>
        <w:tc>
          <w:tcPr>
            <w:tcW w:w="80" w:type="dxa"/>
            <w:vAlign w:val="bottom"/>
            <w:tcBorders>
              <w:bottom w:val="single" w:sz="8" w:color="E5E5E5"/>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5"/>
              </w:rPr>
              <w:t>Receivables</w:t>
            </w: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6"/>
              </w:rPr>
              <w:t>Accruing</w:t>
            </w:r>
          </w:p>
        </w:tc>
        <w:tc>
          <w:tcPr>
            <w:tcW w:w="0" w:type="dxa"/>
            <w:vAlign w:val="bottom"/>
          </w:tcPr>
          <w:p>
            <w:pPr>
              <w:spacing w:after="0"/>
              <w:rPr>
                <w:sz w:val="1"/>
                <w:szCs w:val="1"/>
                <w:color w:val="auto"/>
              </w:rPr>
            </w:pPr>
          </w:p>
        </w:tc>
      </w:tr>
      <w:tr>
        <w:trPr>
          <w:trHeight w:val="223"/>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Direct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500" w:type="dxa"/>
            <w:vAlign w:val="bottom"/>
            <w:gridSpan w:val="2"/>
            <w:shd w:val="clear" w:color="auto" w:fill="E5E5E5"/>
          </w:tcPr>
          <w:p>
            <w:pPr>
              <w:jc w:val="right"/>
              <w:ind w:right="222"/>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451</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478</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Indirect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130</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United States</w:t>
            </w:r>
          </w:p>
        </w:tc>
        <w:tc>
          <w:tcPr>
            <w:tcW w:w="20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w:t>
            </w: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581</w:t>
            </w: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616</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33"/>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Canada</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33"/>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EMEA</w:t>
            </w:r>
          </w:p>
        </w:tc>
        <w:tc>
          <w:tcPr>
            <w:tcW w:w="20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653</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663</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0"/>
                <w:szCs w:val="10"/>
                <w:b w:val="1"/>
                <w:bCs w:val="1"/>
                <w:color w:val="auto"/>
              </w:rPr>
              <w:t>(1)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2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tcBorders>
              <w:bottom w:val="single" w:sz="8" w:color="E5E5E5"/>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jc w:val="right"/>
              <w:ind w:right="222"/>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1,398</w:t>
            </w:r>
          </w:p>
        </w:tc>
        <w:tc>
          <w:tcPr>
            <w:tcW w:w="6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1,447</w:t>
            </w:r>
          </w:p>
        </w:tc>
        <w:tc>
          <w:tcPr>
            <w:tcW w:w="80" w:type="dxa"/>
            <w:vAlign w:val="bottom"/>
            <w:tcBorders>
              <w:bottom w:val="single" w:sz="8" w:color="E5E5E5"/>
            </w:tcBorders>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421"/>
        </w:trPr>
        <w:tc>
          <w:tcPr>
            <w:tcW w:w="2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left="562"/>
              <w:spacing w:after="0"/>
              <w:rPr>
                <w:sz w:val="20"/>
                <w:szCs w:val="20"/>
                <w:color w:val="auto"/>
              </w:rPr>
            </w:pPr>
            <w:r>
              <w:rPr>
                <w:rFonts w:ascii="Arial" w:cs="Arial" w:eastAsia="Arial" w:hAnsi="Arial"/>
                <w:sz w:val="16"/>
                <w:szCs w:val="16"/>
                <w:b w:val="1"/>
                <w:bCs w:val="1"/>
                <w:color w:val="auto"/>
                <w:w w:val="94"/>
              </w:rPr>
              <w:t>December 31, 2024</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97"/>
              </w:rPr>
              <w:t>31-90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Arial" w:cs="Arial" w:eastAsia="Arial" w:hAnsi="Arial"/>
                <w:sz w:val="16"/>
                <w:szCs w:val="16"/>
                <w:b w:val="1"/>
                <w:bCs w:val="1"/>
                <w:color w:val="auto"/>
              </w:rPr>
              <w:t>&gt;90 Days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3"/>
              </w:rPr>
              <w:t>Total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94"/>
              </w:rPr>
              <w:t>&gt;90 Days</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3"/>
              </w:rPr>
              <w:t>Current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94"/>
              </w:rPr>
              <w:t>Days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Total Billed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88"/>
              </w:rPr>
              <w:t>Unbilled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2"/>
              <w:spacing w:after="0" w:line="155" w:lineRule="exact"/>
              <w:rPr>
                <w:sz w:val="20"/>
                <w:szCs w:val="20"/>
                <w:color w:val="auto"/>
              </w:rPr>
            </w:pPr>
            <w:r>
              <w:rPr>
                <w:rFonts w:ascii="Arial" w:cs="Arial" w:eastAsia="Arial" w:hAnsi="Arial"/>
                <w:sz w:val="16"/>
                <w:szCs w:val="16"/>
                <w:b w:val="1"/>
                <w:bCs w:val="1"/>
                <w:color w:val="auto"/>
                <w:w w:val="89"/>
              </w:rPr>
              <w:t>Finance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42"/>
              <w:spacing w:after="0" w:line="155" w:lineRule="exact"/>
              <w:rPr>
                <w:sz w:val="20"/>
                <w:szCs w:val="20"/>
                <w:color w:val="auto"/>
              </w:rPr>
            </w:pPr>
            <w:r>
              <w:rPr>
                <w:rFonts w:ascii="Arial" w:cs="Arial" w:eastAsia="Arial" w:hAnsi="Arial"/>
                <w:sz w:val="16"/>
                <w:szCs w:val="16"/>
                <w:b w:val="1"/>
                <w:bCs w:val="1"/>
                <w:color w:val="auto"/>
                <w:w w:val="91"/>
              </w:rPr>
              <w:t>and</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3"/>
              </w:rPr>
              <w:t>Past Due</w:t>
            </w:r>
          </w:p>
        </w:tc>
        <w:tc>
          <w:tcPr>
            <w:tcW w:w="6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Past Due</w:t>
            </w:r>
          </w:p>
        </w:tc>
        <w:tc>
          <w:tcPr>
            <w:tcW w:w="80" w:type="dxa"/>
            <w:vAlign w:val="bottom"/>
            <w:tcBorders>
              <w:bottom w:val="single" w:sz="8" w:color="E5E5E5"/>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5"/>
              </w:rPr>
              <w:t>Receivables</w:t>
            </w: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6"/>
              </w:rPr>
              <w:t>Accruing</w:t>
            </w:r>
          </w:p>
        </w:tc>
        <w:tc>
          <w:tcPr>
            <w:tcW w:w="0" w:type="dxa"/>
            <w:vAlign w:val="bottom"/>
          </w:tcPr>
          <w:p>
            <w:pPr>
              <w:spacing w:after="0"/>
              <w:rPr>
                <w:sz w:val="1"/>
                <w:szCs w:val="1"/>
                <w:color w:val="auto"/>
              </w:rPr>
            </w:pPr>
          </w:p>
        </w:tc>
      </w:tr>
      <w:tr>
        <w:trPr>
          <w:trHeight w:val="223"/>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Direct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500" w:type="dxa"/>
            <w:vAlign w:val="bottom"/>
            <w:gridSpan w:val="2"/>
            <w:shd w:val="clear" w:color="auto" w:fill="E5E5E5"/>
          </w:tcPr>
          <w:p>
            <w:pPr>
              <w:jc w:val="right"/>
              <w:ind w:right="222"/>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474</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502</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Indirect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239</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United States</w:t>
            </w:r>
          </w:p>
        </w:tc>
        <w:tc>
          <w:tcPr>
            <w:tcW w:w="20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713</w:t>
            </w: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749</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33"/>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Canada</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42"/>
        </w:trPr>
        <w:tc>
          <w:tcPr>
            <w:tcW w:w="2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EMEA</w:t>
            </w:r>
          </w:p>
        </w:tc>
        <w:tc>
          <w:tcPr>
            <w:tcW w:w="200" w:type="dxa"/>
            <w:vAlign w:val="bottom"/>
            <w:tcBorders>
              <w:bottom w:val="single" w:sz="8" w:color="auto"/>
            </w:tcBorders>
            <w:shd w:val="clear" w:color="auto" w:fill="E5E5E5"/>
          </w:tcPr>
          <w:p>
            <w:pPr>
              <w:spacing w:after="0"/>
              <w:rPr>
                <w:sz w:val="21"/>
                <w:szCs w:val="21"/>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8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shd w:val="clear" w:color="auto" w:fill="E5E5E5"/>
          </w:tcPr>
          <w:p>
            <w:pPr>
              <w:spacing w:after="0"/>
              <w:rPr>
                <w:sz w:val="21"/>
                <w:szCs w:val="21"/>
                <w:color w:val="auto"/>
              </w:rPr>
            </w:pPr>
          </w:p>
        </w:tc>
        <w:tc>
          <w:tcPr>
            <w:tcW w:w="420" w:type="dxa"/>
            <w:vAlign w:val="bottom"/>
            <w:tcBorders>
              <w:bottom w:val="single" w:sz="8" w:color="auto"/>
            </w:tcBorders>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902</w:t>
            </w:r>
          </w:p>
        </w:tc>
        <w:tc>
          <w:tcPr>
            <w:tcW w:w="6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909</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74"/>
        </w:trPr>
        <w:tc>
          <w:tcPr>
            <w:tcW w:w="26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35</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8</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w:t>
            </w:r>
          </w:p>
        </w:tc>
        <w:tc>
          <w:tcPr>
            <w:tcW w:w="500" w:type="dxa"/>
            <w:vAlign w:val="bottom"/>
            <w:gridSpan w:val="2"/>
          </w:tcPr>
          <w:p>
            <w:pPr>
              <w:jc w:val="right"/>
              <w:ind w:right="222"/>
              <w:spacing w:after="0" w:line="175" w:lineRule="exact"/>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50</w:t>
            </w:r>
          </w:p>
        </w:tc>
        <w:tc>
          <w:tcPr>
            <w:tcW w:w="26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1,752</w:t>
            </w:r>
          </w:p>
        </w:tc>
        <w:tc>
          <w:tcPr>
            <w:tcW w:w="240" w:type="dxa"/>
            <w:vAlign w:val="bottom"/>
            <w:gridSpan w:val="2"/>
          </w:tcPr>
          <w:p>
            <w:pPr>
              <w:ind w:left="120"/>
              <w:spacing w:after="0" w:line="175"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1,802</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-1564005</wp:posOffset>
            </wp:positionV>
            <wp:extent cx="4635500"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4635500" cy="50165"/>
                    </a:xfrm>
                    <a:prstGeom prst="rect">
                      <a:avLst/>
                    </a:prstGeom>
                    <a:noFill/>
                  </pic:spPr>
                </pic:pic>
              </a:graphicData>
            </a:graphic>
          </wp:anchor>
        </w:drawing>
        <w:drawing>
          <wp:anchor simplePos="0" relativeHeight="251657728" behindDoc="1" locked="0" layoutInCell="0" allowOverlap="1">
            <wp:simplePos x="0" y="0"/>
            <wp:positionH relativeFrom="column">
              <wp:posOffset>1643380</wp:posOffset>
            </wp:positionH>
            <wp:positionV relativeFrom="paragraph">
              <wp:posOffset>-42545</wp:posOffset>
            </wp:positionV>
            <wp:extent cx="4635500"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4635500" cy="5016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w:t>
      </w:r>
    </w:p>
    <w:p>
      <w:pPr>
        <w:spacing w:after="0"/>
        <w:rPr>
          <w:sz w:val="20"/>
          <w:szCs w:val="20"/>
          <w:color w:val="auto"/>
        </w:rPr>
      </w:pPr>
      <w:r>
        <w:rPr>
          <w:rFonts w:ascii="Arial" w:cs="Arial" w:eastAsia="Arial" w:hAnsi="Arial"/>
          <w:sz w:val="16"/>
          <w:szCs w:val="16"/>
          <w:b w:val="1"/>
          <w:bCs w:val="1"/>
          <w:color w:val="auto"/>
        </w:rPr>
        <w:t>(1) As a result of the Lexmark Acquisition on July 1, 2025, includes amounts for Latin America, Asia Pacific and South Africa</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Sales of Finance Receivables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Company has finance receivables funding arrangements with third-party funding partners in the U.S., Canada, and in EMEA. Under these arrangements, the Company sells certain eligible pools of finance receivables. The transfers are structured to qualify for sale accounting treatment and the related receivables are derecognized from the Company's consolidated financial statements. The Company's funding partners generally do not have recourse to the Company for credit losses on the transferred receivables.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In addition, under certain arrangements, the Company may transfer servicing responsibilities for funded receivables to a funding partner. In such cases, the Company pays a servicing fee related to certain retained finance receivables and may continue to service certain finance receivables under prior servicing arrangements with that funding partner for an agreed-upon fee.</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receivable sales activity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213"/>
        </w:trPr>
        <w:tc>
          <w:tcPr>
            <w:tcW w:w="5280" w:type="dxa"/>
            <w:vAlign w:val="bottom"/>
            <w:tcBorders>
              <w:bottom w:val="single" w:sz="8" w:color="E5E5E5"/>
            </w:tcBorders>
          </w:tcPr>
          <w:p>
            <w:pPr>
              <w:spacing w:after="0"/>
              <w:rPr>
                <w:sz w:val="18"/>
                <w:szCs w:val="18"/>
                <w:color w:val="auto"/>
              </w:rPr>
            </w:pPr>
          </w:p>
        </w:tc>
        <w:tc>
          <w:tcPr>
            <w:tcW w:w="60" w:type="dxa"/>
            <w:vAlign w:val="bottom"/>
            <w:tcBorders>
              <w:top w:val="single" w:sz="8" w:color="auto"/>
              <w:bottom w:val="single" w:sz="8" w:color="E5E5E5"/>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E5E5E5"/>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E5E5E5"/>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2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 sales - net proceeds</w:t>
            </w:r>
            <w:r>
              <w:rPr>
                <w:rFonts w:ascii="Arial" w:cs="Arial" w:eastAsia="Arial" w:hAnsi="Arial"/>
                <w:sz w:val="10"/>
                <w:szCs w:val="10"/>
                <w:b w:val="1"/>
                <w:bCs w:val="1"/>
                <w:color w:val="auto"/>
              </w:rPr>
              <w:t>(1)</w:t>
            </w:r>
          </w:p>
        </w:tc>
        <w:tc>
          <w:tcPr>
            <w:tcW w:w="1120" w:type="dxa"/>
            <w:vAlign w:val="bottom"/>
            <w:gridSpan w:val="2"/>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357</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752</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1,102</w:t>
            </w:r>
          </w:p>
        </w:tc>
      </w:tr>
      <w:tr>
        <w:trPr>
          <w:trHeight w:val="227"/>
        </w:trPr>
        <w:tc>
          <w:tcPr>
            <w:tcW w:w="5280" w:type="dxa"/>
            <w:vAlign w:val="bottom"/>
          </w:tcPr>
          <w:p>
            <w:pPr>
              <w:ind w:left="60"/>
              <w:spacing w:after="0"/>
              <w:rPr>
                <w:sz w:val="20"/>
                <w:szCs w:val="20"/>
                <w:color w:val="auto"/>
              </w:rPr>
            </w:pPr>
            <w:r>
              <w:rPr>
                <w:rFonts w:ascii="Arial" w:cs="Arial" w:eastAsia="Arial" w:hAnsi="Arial"/>
                <w:sz w:val="16"/>
                <w:szCs w:val="16"/>
                <w:b w:val="1"/>
                <w:bCs w:val="1"/>
                <w:color w:val="auto"/>
              </w:rPr>
              <w:t>Gain on sale/Commissions</w:t>
            </w:r>
            <w:r>
              <w:rPr>
                <w:rFonts w:ascii="Arial" w:cs="Arial" w:eastAsia="Arial" w:hAnsi="Arial"/>
                <w:sz w:val="10"/>
                <w:szCs w:val="10"/>
                <w:b w:val="1"/>
                <w:bCs w:val="1"/>
                <w:color w:val="auto"/>
              </w:rPr>
              <w:t>(2)</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39"/>
        </w:trPr>
        <w:tc>
          <w:tcPr>
            <w:tcW w:w="52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r>
      <w:tr>
        <w:trPr>
          <w:trHeight w:val="221"/>
        </w:trPr>
        <w:tc>
          <w:tcPr>
            <w:tcW w:w="5280" w:type="dxa"/>
            <w:vAlign w:val="bottom"/>
          </w:tcPr>
          <w:p>
            <w:pPr>
              <w:ind w:left="60"/>
              <w:spacing w:after="0"/>
              <w:rPr>
                <w:sz w:val="20"/>
                <w:szCs w:val="20"/>
                <w:color w:val="auto"/>
              </w:rPr>
            </w:pPr>
            <w:r>
              <w:rPr>
                <w:rFonts w:ascii="Arial" w:cs="Arial" w:eastAsia="Arial" w:hAnsi="Arial"/>
                <w:sz w:val="16"/>
                <w:szCs w:val="16"/>
                <w:b w:val="1"/>
                <w:bCs w:val="1"/>
                <w:color w:val="auto"/>
              </w:rPr>
              <w:t>Servicing revenue</w:t>
            </w:r>
            <w:r>
              <w:rPr>
                <w:rFonts w:ascii="Arial" w:cs="Arial" w:eastAsia="Arial" w:hAnsi="Arial"/>
                <w:sz w:val="10"/>
                <w:szCs w:val="10"/>
                <w:b w:val="1"/>
                <w:bCs w:val="1"/>
                <w:color w:val="auto"/>
              </w:rPr>
              <w:t>(2)</w:t>
            </w:r>
          </w:p>
        </w:tc>
        <w:tc>
          <w:tcPr>
            <w:tcW w:w="1120" w:type="dxa"/>
            <w:vAlign w:val="bottom"/>
            <w:gridSpan w:val="2"/>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272"/>
        </w:trPr>
        <w:tc>
          <w:tcPr>
            <w:tcW w:w="5280" w:type="dxa"/>
            <w:vAlign w:val="bottom"/>
          </w:tcPr>
          <w:p>
            <w:pPr>
              <w:jc w:val="right"/>
              <w:ind w:right="4082"/>
              <w:spacing w:after="0"/>
              <w:rPr>
                <w:sz w:val="20"/>
                <w:szCs w:val="20"/>
                <w:color w:val="auto"/>
              </w:rPr>
            </w:pPr>
            <w:r>
              <w:rPr>
                <w:rFonts w:ascii="Arial" w:cs="Arial" w:eastAsia="Arial" w:hAnsi="Arial"/>
                <w:sz w:val="16"/>
                <w:szCs w:val="16"/>
                <w:b w:val="1"/>
                <w:bCs w:val="1"/>
                <w:i w:val="1"/>
                <w:iCs w:val="1"/>
                <w:color w:val="auto"/>
                <w:w w:val="95"/>
              </w:rPr>
              <w:t>_____________</w:t>
            </w: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40" w:lineRule="exact"/>
        <w:rPr>
          <w:sz w:val="20"/>
          <w:szCs w:val="20"/>
          <w:color w:val="auto"/>
        </w:rPr>
      </w:pPr>
    </w:p>
    <w:p>
      <w:pPr>
        <w:ind w:left="360" w:hanging="356"/>
        <w:spacing w:after="0"/>
        <w:tabs>
          <w:tab w:leader="none" w:pos="360" w:val="left"/>
        </w:tabs>
        <w:numPr>
          <w:ilvl w:val="0"/>
          <w:numId w:val="10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Cash proceeds were reported in Net cash provided by operating activities.</w:t>
      </w:r>
    </w:p>
    <w:p>
      <w:pPr>
        <w:spacing w:after="0" w:line="2"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0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Recorded in Services, maintenance, rentals and other as Other Revenue. Amounts include revenues associated with the sale of the underlying leased equipment.</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Secured Borrowings and Collateral</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Prior to 2025, we sold certain finance receivables to consolidated special purpose entities included in our Consolidated Balance Sheet as collateral for secured loans. During 2025, we fully repaid the outstanding balance related to these secured borrowings. Refer to Note 15 - Debt, for additional information related to these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118</w:t>
      </w:r>
    </w:p>
    <w:p>
      <w:pPr>
        <w:sectPr>
          <w:pgSz w:w="11880" w:h="15480" w:orient="portrait"/>
          <w:cols w:equalWidth="0" w:num="1">
            <w:col w:w="9960"/>
          </w:cols>
          <w:pgMar w:left="960" w:top="736" w:right="960" w:bottom="0" w:gutter="0" w:footer="0" w:header="0"/>
        </w:sectPr>
      </w:pPr>
    </w:p>
    <w:bookmarkStart w:id="128" w:name="page129"/>
    <w:bookmarkEnd w:id="128"/>
    <w:p>
      <w:pPr>
        <w:spacing w:after="0"/>
        <w:rPr>
          <w:sz w:val="20"/>
          <w:szCs w:val="20"/>
          <w:color w:val="auto"/>
        </w:rPr>
      </w:pPr>
      <w:r>
        <w:rPr>
          <w:rFonts w:ascii="Arial" w:cs="Arial" w:eastAsia="Arial" w:hAnsi="Arial"/>
          <w:sz w:val="23"/>
          <w:szCs w:val="23"/>
          <w:b w:val="1"/>
          <w:bCs w:val="1"/>
          <w:color w:val="DA2031"/>
        </w:rPr>
        <w:t>Note 9 – Inventories and Equipment on Operating Leases, Net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is a summary of Inventories by major category: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Finished goods</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802</w:t>
            </w:r>
          </w:p>
        </w:tc>
        <w:tc>
          <w:tcPr>
            <w:tcW w:w="60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609</w:t>
            </w:r>
          </w:p>
        </w:tc>
      </w:tr>
      <w:tr>
        <w:trPr>
          <w:trHeight w:val="233"/>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Work-in-process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223"/>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Raw materials</w:t>
            </w:r>
          </w:p>
        </w:tc>
        <w:tc>
          <w:tcPr>
            <w:tcW w:w="9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72</w:t>
            </w:r>
          </w:p>
        </w:tc>
        <w:tc>
          <w:tcPr>
            <w:tcW w:w="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50</w:t>
            </w:r>
          </w:p>
        </w:tc>
      </w:tr>
      <w:tr>
        <w:trPr>
          <w:trHeight w:val="193"/>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Total Inventories</w:t>
            </w:r>
          </w:p>
        </w:tc>
        <w:tc>
          <w:tcPr>
            <w:tcW w:w="980" w:type="dxa"/>
            <w:vAlign w:val="bottom"/>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1,016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695</w:t>
            </w:r>
          </w:p>
        </w:tc>
      </w:tr>
      <w:tr>
        <w:trPr>
          <w:trHeight w:val="20"/>
        </w:trPr>
        <w:tc>
          <w:tcPr>
            <w:tcW w:w="6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transfer of equipment from our inventories to equipment subject to an operating lease is presented in our Consolidated Statements of Cash Flows in the operating activities section. Equipment on operating lease and similar arrangements consists of our equipment rented to customers and is depreciated to estimated salvage value at the end of the lease term.</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Equipment on operating leases and the related accumulated depreciation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6"/>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Equipment on operating leases</w:t>
            </w:r>
          </w:p>
        </w:tc>
        <w:tc>
          <w:tcPr>
            <w:tcW w:w="1000" w:type="dxa"/>
            <w:vAlign w:val="bottom"/>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979</w:t>
            </w:r>
          </w:p>
        </w:tc>
        <w:tc>
          <w:tcPr>
            <w:tcW w:w="600" w:type="dxa"/>
            <w:vAlign w:val="bottom"/>
            <w:gridSpan w:val="2"/>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931</w:t>
            </w:r>
          </w:p>
        </w:tc>
      </w:tr>
      <w:tr>
        <w:trPr>
          <w:trHeight w:val="223"/>
        </w:trPr>
        <w:tc>
          <w:tcPr>
            <w:tcW w:w="68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Accumulated depreciation</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w:t>
            </w:r>
          </w:p>
        </w:tc>
      </w:tr>
      <w:tr>
        <w:trPr>
          <w:trHeight w:val="232"/>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Equipment on operating leases, net</w:t>
            </w:r>
          </w:p>
        </w:tc>
        <w:tc>
          <w:tcPr>
            <w:tcW w:w="1000" w:type="dxa"/>
            <w:vAlign w:val="bottom"/>
            <w:tcBorders>
              <w:bottom w:val="single" w:sz="8" w:color="auto"/>
            </w:tcBorders>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299</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Depreciable lives generally vary from four to five years consistent with our planned and historical usage of the equipment subject to operating leases. Estimated minimum future revenues associated with Equipment on operating leases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tcBorders>
              <w:bottom w:val="single" w:sz="8" w:color="E5E5E5"/>
            </w:tcBorders>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8"/>
              </w:rPr>
              <w:t>December 31, 2025</w:t>
            </w:r>
          </w:p>
        </w:tc>
      </w:tr>
      <w:tr>
        <w:trPr>
          <w:trHeight w:val="223"/>
        </w:trPr>
        <w:tc>
          <w:tcPr>
            <w:tcW w:w="8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12 months</w:t>
            </w:r>
          </w:p>
        </w:tc>
        <w:tc>
          <w:tcPr>
            <w:tcW w:w="66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135</w:t>
            </w:r>
          </w:p>
        </w:tc>
      </w:tr>
      <w:tr>
        <w:trPr>
          <w:trHeight w:val="227"/>
        </w:trPr>
        <w:tc>
          <w:tcPr>
            <w:tcW w:w="8460" w:type="dxa"/>
            <w:vAlign w:val="bottom"/>
          </w:tcPr>
          <w:p>
            <w:pPr>
              <w:ind w:left="60"/>
              <w:spacing w:after="0"/>
              <w:rPr>
                <w:sz w:val="20"/>
                <w:szCs w:val="20"/>
                <w:color w:val="auto"/>
              </w:rPr>
            </w:pPr>
            <w:r>
              <w:rPr>
                <w:rFonts w:ascii="Arial" w:cs="Arial" w:eastAsia="Arial" w:hAnsi="Arial"/>
                <w:sz w:val="16"/>
                <w:szCs w:val="16"/>
                <w:b w:val="1"/>
                <w:bCs w:val="1"/>
                <w:color w:val="auto"/>
              </w:rPr>
              <w:t>24 months</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82</w:t>
            </w:r>
          </w:p>
        </w:tc>
      </w:tr>
      <w:tr>
        <w:trPr>
          <w:trHeight w:val="239"/>
        </w:trPr>
        <w:tc>
          <w:tcPr>
            <w:tcW w:w="8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36 months</w:t>
            </w:r>
          </w:p>
        </w:tc>
        <w:tc>
          <w:tcPr>
            <w:tcW w:w="6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w:t>
            </w:r>
          </w:p>
        </w:tc>
      </w:tr>
      <w:tr>
        <w:trPr>
          <w:trHeight w:val="227"/>
        </w:trPr>
        <w:tc>
          <w:tcPr>
            <w:tcW w:w="8460" w:type="dxa"/>
            <w:vAlign w:val="bottom"/>
          </w:tcPr>
          <w:p>
            <w:pPr>
              <w:ind w:left="60"/>
              <w:spacing w:after="0"/>
              <w:rPr>
                <w:sz w:val="20"/>
                <w:szCs w:val="20"/>
                <w:color w:val="auto"/>
              </w:rPr>
            </w:pPr>
            <w:r>
              <w:rPr>
                <w:rFonts w:ascii="Arial" w:cs="Arial" w:eastAsia="Arial" w:hAnsi="Arial"/>
                <w:sz w:val="16"/>
                <w:szCs w:val="16"/>
                <w:b w:val="1"/>
                <w:bCs w:val="1"/>
                <w:color w:val="auto"/>
              </w:rPr>
              <w:t>48 months</w:t>
            </w: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39"/>
        </w:trPr>
        <w:tc>
          <w:tcPr>
            <w:tcW w:w="8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60 months</w:t>
            </w:r>
          </w:p>
        </w:tc>
        <w:tc>
          <w:tcPr>
            <w:tcW w:w="6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r>
      <w:tr>
        <w:trPr>
          <w:trHeight w:val="223"/>
        </w:trPr>
        <w:tc>
          <w:tcPr>
            <w:tcW w:w="84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Thereafter</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32"/>
        </w:trPr>
        <w:tc>
          <w:tcPr>
            <w:tcW w:w="84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-42545</wp:posOffset>
            </wp:positionV>
            <wp:extent cx="977265"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977265" cy="50165"/>
                    </a:xfrm>
                    <a:prstGeom prst="rect">
                      <a:avLst/>
                    </a:prstGeom>
                    <a:noFill/>
                  </pic:spPr>
                </pic:pic>
              </a:graphicData>
            </a:graphic>
          </wp:anchor>
        </w:drawing>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Total contingent rentals on operating leases, consisting principally of usage charges in excess of minimum contracted amounts, for the years ended December 31, 2025, 2024 and 2023 amounted to $38, $46 and $62,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6"/>
          <w:szCs w:val="16"/>
          <w:color w:val="E3001D"/>
        </w:rPr>
        <w:t>119</w:t>
      </w:r>
    </w:p>
    <w:p>
      <w:pPr>
        <w:sectPr>
          <w:pgSz w:w="11880" w:h="15480" w:orient="portrait"/>
          <w:cols w:equalWidth="0" w:num="1">
            <w:col w:w="9960"/>
          </w:cols>
          <w:pgMar w:left="960" w:top="724" w:right="960" w:bottom="0" w:gutter="0" w:footer="0" w:header="0"/>
        </w:sectPr>
      </w:pPr>
    </w:p>
    <w:bookmarkStart w:id="129" w:name="page130"/>
    <w:bookmarkEnd w:id="129"/>
    <w:p>
      <w:pPr>
        <w:spacing w:after="0"/>
        <w:rPr>
          <w:sz w:val="20"/>
          <w:szCs w:val="20"/>
          <w:color w:val="auto"/>
        </w:rPr>
      </w:pPr>
      <w:r>
        <w:rPr>
          <w:rFonts w:ascii="Arial" w:cs="Arial" w:eastAsia="Arial" w:hAnsi="Arial"/>
          <w:sz w:val="23"/>
          <w:szCs w:val="23"/>
          <w:b w:val="1"/>
          <w:bCs w:val="1"/>
          <w:color w:val="DA2031"/>
        </w:rPr>
        <w:t>Note 10 - Land, Buildings, Equipment and Software, Net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Land, buildings and equipment, net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164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88"/>
              </w:rPr>
              <w:t>Estimated</w:t>
            </w:r>
          </w:p>
        </w:tc>
        <w:tc>
          <w:tcPr>
            <w:tcW w:w="380" w:type="dxa"/>
            <w:vAlign w:val="bottom"/>
          </w:tcPr>
          <w:p>
            <w:pPr>
              <w:spacing w:after="0"/>
              <w:rPr>
                <w:sz w:val="15"/>
                <w:szCs w:val="15"/>
                <w:color w:val="auto"/>
              </w:rPr>
            </w:pPr>
          </w:p>
        </w:tc>
        <w:tc>
          <w:tcPr>
            <w:tcW w:w="1200" w:type="dxa"/>
            <w:vAlign w:val="bottom"/>
            <w:vMerge w:val="restart"/>
          </w:tcPr>
          <w:p>
            <w:pPr>
              <w:jc w:val="right"/>
              <w:ind w:right="54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vMerge w:val="restart"/>
          </w:tcPr>
          <w:p>
            <w:pPr>
              <w:jc w:val="right"/>
              <w:ind w:right="5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7"/>
        </w:trPr>
        <w:tc>
          <w:tcPr>
            <w:tcW w:w="5100" w:type="dxa"/>
            <w:vAlign w:val="bottom"/>
            <w:tcBorders>
              <w:bottom w:val="single" w:sz="8" w:color="E5E5E5"/>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Useful Lives (Years)</w:t>
            </w:r>
          </w:p>
        </w:tc>
        <w:tc>
          <w:tcPr>
            <w:tcW w:w="80" w:type="dxa"/>
            <w:vAlign w:val="bottom"/>
            <w:tcBorders>
              <w:bottom w:val="single" w:sz="8" w:color="E5E5E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Land</w:t>
            </w:r>
          </w:p>
        </w:tc>
        <w:tc>
          <w:tcPr>
            <w:tcW w:w="156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8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24</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6"/>
                <w:szCs w:val="16"/>
                <w:b w:val="1"/>
                <w:bCs w:val="1"/>
                <w:color w:val="auto"/>
              </w:rPr>
              <w:t>Building and building equipment</w:t>
            </w: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25 to 50</w:t>
            </w:r>
          </w:p>
        </w:tc>
        <w:tc>
          <w:tcPr>
            <w:tcW w:w="38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541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669</w:t>
            </w:r>
          </w:p>
        </w:tc>
        <w:tc>
          <w:tcPr>
            <w:tcW w:w="0" w:type="dxa"/>
            <w:vAlign w:val="bottom"/>
          </w:tcPr>
          <w:p>
            <w:pPr>
              <w:spacing w:after="0"/>
              <w:rPr>
                <w:sz w:val="1"/>
                <w:szCs w:val="1"/>
                <w:color w:val="auto"/>
              </w:rPr>
            </w:pPr>
          </w:p>
        </w:tc>
      </w:tr>
      <w:tr>
        <w:trPr>
          <w:trHeight w:val="239"/>
        </w:trPr>
        <w:tc>
          <w:tcPr>
            <w:tcW w:w="5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Leasehold improvements</w:t>
            </w:r>
          </w:p>
        </w:tc>
        <w:tc>
          <w:tcPr>
            <w:tcW w:w="1640" w:type="dxa"/>
            <w:vAlign w:val="bottom"/>
            <w:gridSpan w:val="2"/>
            <w:shd w:val="clear" w:color="auto" w:fill="E5E5E5"/>
          </w:tcPr>
          <w:p>
            <w:pPr>
              <w:jc w:val="center"/>
              <w:ind w:right="80"/>
              <w:spacing w:after="0"/>
              <w:rPr>
                <w:sz w:val="20"/>
                <w:szCs w:val="20"/>
                <w:color w:val="auto"/>
              </w:rPr>
            </w:pPr>
            <w:r>
              <w:rPr>
                <w:rFonts w:ascii="Arial" w:cs="Arial" w:eastAsia="Arial" w:hAnsi="Arial"/>
                <w:sz w:val="16"/>
                <w:szCs w:val="16"/>
                <w:b w:val="1"/>
                <w:bCs w:val="1"/>
                <w:color w:val="auto"/>
                <w:w w:val="94"/>
              </w:rPr>
              <w:t>1 to 12</w:t>
            </w:r>
          </w:p>
        </w:tc>
        <w:tc>
          <w:tcPr>
            <w:tcW w:w="380" w:type="dxa"/>
            <w:vAlign w:val="bottom"/>
            <w:shd w:val="clear" w:color="auto" w:fill="E5E5E5"/>
          </w:tcPr>
          <w:p>
            <w:pPr>
              <w:spacing w:after="0"/>
              <w:rPr>
                <w:sz w:val="20"/>
                <w:szCs w:val="20"/>
                <w:color w:val="auto"/>
              </w:rPr>
            </w:pPr>
          </w:p>
        </w:tc>
        <w:tc>
          <w:tcPr>
            <w:tcW w:w="1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92</w:t>
            </w:r>
          </w:p>
        </w:tc>
        <w:tc>
          <w:tcPr>
            <w:tcW w:w="6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6"/>
                <w:szCs w:val="16"/>
                <w:b w:val="1"/>
                <w:bCs w:val="1"/>
                <w:color w:val="auto"/>
              </w:rPr>
              <w:t>Plant machinery</w:t>
            </w: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5 to 12</w:t>
            </w:r>
          </w:p>
        </w:tc>
        <w:tc>
          <w:tcPr>
            <w:tcW w:w="38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687</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771</w:t>
            </w:r>
          </w:p>
        </w:tc>
        <w:tc>
          <w:tcPr>
            <w:tcW w:w="0" w:type="dxa"/>
            <w:vAlign w:val="bottom"/>
          </w:tcPr>
          <w:p>
            <w:pPr>
              <w:spacing w:after="0"/>
              <w:rPr>
                <w:sz w:val="1"/>
                <w:szCs w:val="1"/>
                <w:color w:val="auto"/>
              </w:rPr>
            </w:pPr>
          </w:p>
        </w:tc>
      </w:tr>
      <w:tr>
        <w:trPr>
          <w:trHeight w:val="239"/>
        </w:trPr>
        <w:tc>
          <w:tcPr>
            <w:tcW w:w="5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Office furniture and equipment</w:t>
            </w:r>
          </w:p>
        </w:tc>
        <w:tc>
          <w:tcPr>
            <w:tcW w:w="1640" w:type="dxa"/>
            <w:vAlign w:val="bottom"/>
            <w:gridSpan w:val="2"/>
            <w:shd w:val="clear" w:color="auto" w:fill="E5E5E5"/>
          </w:tcPr>
          <w:p>
            <w:pPr>
              <w:jc w:val="center"/>
              <w:ind w:right="80"/>
              <w:spacing w:after="0"/>
              <w:rPr>
                <w:sz w:val="20"/>
                <w:szCs w:val="20"/>
                <w:color w:val="auto"/>
              </w:rPr>
            </w:pPr>
            <w:r>
              <w:rPr>
                <w:rFonts w:ascii="Arial" w:cs="Arial" w:eastAsia="Arial" w:hAnsi="Arial"/>
                <w:sz w:val="16"/>
                <w:szCs w:val="16"/>
                <w:b w:val="1"/>
                <w:bCs w:val="1"/>
                <w:color w:val="auto"/>
                <w:w w:val="94"/>
              </w:rPr>
              <w:t>3 to 15</w:t>
            </w:r>
          </w:p>
        </w:tc>
        <w:tc>
          <w:tcPr>
            <w:tcW w:w="380" w:type="dxa"/>
            <w:vAlign w:val="bottom"/>
            <w:shd w:val="clear" w:color="auto" w:fill="E5E5E5"/>
          </w:tcPr>
          <w:p>
            <w:pPr>
              <w:spacing w:after="0"/>
              <w:rPr>
                <w:sz w:val="20"/>
                <w:szCs w:val="20"/>
                <w:color w:val="auto"/>
              </w:rPr>
            </w:pPr>
          </w:p>
        </w:tc>
        <w:tc>
          <w:tcPr>
            <w:tcW w:w="1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416</w:t>
            </w:r>
          </w:p>
        </w:tc>
        <w:tc>
          <w:tcPr>
            <w:tcW w:w="6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411</w:t>
            </w:r>
          </w:p>
        </w:tc>
        <w:tc>
          <w:tcPr>
            <w:tcW w:w="0" w:type="dxa"/>
            <w:vAlign w:val="bottom"/>
          </w:tcPr>
          <w:p>
            <w:pPr>
              <w:spacing w:after="0"/>
              <w:rPr>
                <w:sz w:val="1"/>
                <w:szCs w:val="1"/>
                <w:color w:val="auto"/>
              </w:rPr>
            </w:pPr>
          </w:p>
        </w:tc>
      </w:tr>
      <w:tr>
        <w:trPr>
          <w:trHeight w:val="233"/>
        </w:trPr>
        <w:tc>
          <w:tcPr>
            <w:tcW w:w="5100" w:type="dxa"/>
            <w:vAlign w:val="bottom"/>
          </w:tcPr>
          <w:p>
            <w:pPr>
              <w:ind w:left="60"/>
              <w:spacing w:after="0"/>
              <w:rPr>
                <w:sz w:val="20"/>
                <w:szCs w:val="20"/>
                <w:color w:val="auto"/>
              </w:rPr>
            </w:pPr>
            <w:r>
              <w:rPr>
                <w:rFonts w:ascii="Arial" w:cs="Arial" w:eastAsia="Arial" w:hAnsi="Arial"/>
                <w:sz w:val="16"/>
                <w:szCs w:val="16"/>
                <w:b w:val="1"/>
                <w:bCs w:val="1"/>
                <w:color w:val="auto"/>
              </w:rPr>
              <w:t>Finance leased assets</w:t>
            </w: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1 to 12</w:t>
            </w:r>
          </w:p>
        </w:tc>
        <w:tc>
          <w:tcPr>
            <w:tcW w:w="38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29</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33"/>
        </w:trPr>
        <w:tc>
          <w:tcPr>
            <w:tcW w:w="5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Other</w:t>
            </w:r>
          </w:p>
        </w:tc>
        <w:tc>
          <w:tcPr>
            <w:tcW w:w="1640" w:type="dxa"/>
            <w:vAlign w:val="bottom"/>
            <w:gridSpan w:val="2"/>
            <w:shd w:val="clear" w:color="auto" w:fill="E5E5E5"/>
          </w:tcPr>
          <w:p>
            <w:pPr>
              <w:jc w:val="center"/>
              <w:ind w:right="80"/>
              <w:spacing w:after="0"/>
              <w:rPr>
                <w:sz w:val="20"/>
                <w:szCs w:val="20"/>
                <w:color w:val="auto"/>
              </w:rPr>
            </w:pPr>
            <w:r>
              <w:rPr>
                <w:rFonts w:ascii="Arial" w:cs="Arial" w:eastAsia="Arial" w:hAnsi="Arial"/>
                <w:sz w:val="16"/>
                <w:szCs w:val="16"/>
                <w:b w:val="1"/>
                <w:bCs w:val="1"/>
                <w:color w:val="auto"/>
                <w:w w:val="94"/>
              </w:rPr>
              <w:t>4 to 20</w:t>
            </w:r>
          </w:p>
        </w:tc>
        <w:tc>
          <w:tcPr>
            <w:tcW w:w="380" w:type="dxa"/>
            <w:vAlign w:val="bottom"/>
            <w:shd w:val="clear" w:color="auto" w:fill="E5E5E5"/>
          </w:tcPr>
          <w:p>
            <w:pPr>
              <w:spacing w:after="0"/>
              <w:rPr>
                <w:sz w:val="20"/>
                <w:szCs w:val="20"/>
                <w:color w:val="auto"/>
              </w:rPr>
            </w:pPr>
          </w:p>
        </w:tc>
        <w:tc>
          <w:tcPr>
            <w:tcW w:w="1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27</w:t>
            </w:r>
          </w:p>
        </w:tc>
        <w:tc>
          <w:tcPr>
            <w:tcW w:w="6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Construction in progress</w:t>
            </w:r>
          </w:p>
        </w:tc>
        <w:tc>
          <w:tcPr>
            <w:tcW w:w="1560" w:type="dxa"/>
            <w:vAlign w:val="bottom"/>
            <w:tcBorders>
              <w:bottom w:val="single" w:sz="8" w:color="E5E5E5"/>
            </w:tcBorders>
          </w:tcPr>
          <w:p>
            <w:pPr>
              <w:spacing w:after="0"/>
              <w:rPr>
                <w:sz w:val="19"/>
                <w:szCs w:val="19"/>
                <w:color w:val="auto"/>
              </w:rPr>
            </w:pPr>
          </w:p>
        </w:tc>
        <w:tc>
          <w:tcPr>
            <w:tcW w:w="80" w:type="dxa"/>
            <w:vAlign w:val="bottom"/>
            <w:tcBorders>
              <w:bottom w:val="single" w:sz="8" w:color="E5E5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w:t>
            </w:r>
          </w:p>
        </w:tc>
        <w:tc>
          <w:tcPr>
            <w:tcW w:w="60" w:type="dxa"/>
            <w:vAlign w:val="bottom"/>
            <w:tcBorders>
              <w:bottom w:val="single" w:sz="8" w:color="E5E5E5"/>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23"/>
        </w:trPr>
        <w:tc>
          <w:tcPr>
            <w:tcW w:w="510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Subtotal</w:t>
            </w:r>
          </w:p>
        </w:tc>
        <w:tc>
          <w:tcPr>
            <w:tcW w:w="156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1,854</w:t>
            </w:r>
          </w:p>
        </w:tc>
        <w:tc>
          <w:tcPr>
            <w:tcW w:w="6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2,056</w:t>
            </w:r>
          </w:p>
        </w:tc>
        <w:tc>
          <w:tcPr>
            <w:tcW w:w="0" w:type="dxa"/>
            <w:vAlign w:val="bottom"/>
          </w:tcPr>
          <w:p>
            <w:pPr>
              <w:spacing w:after="0"/>
              <w:rPr>
                <w:sz w:val="1"/>
                <w:szCs w:val="1"/>
                <w:color w:val="auto"/>
              </w:rPr>
            </w:pPr>
          </w:p>
        </w:tc>
      </w:tr>
      <w:tr>
        <w:trPr>
          <w:trHeight w:val="222"/>
        </w:trPr>
        <w:tc>
          <w:tcPr>
            <w:tcW w:w="510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Accumulated depreciation</w:t>
            </w:r>
            <w:r>
              <w:rPr>
                <w:rFonts w:ascii="Arial" w:cs="Arial" w:eastAsia="Arial" w:hAnsi="Arial"/>
                <w:sz w:val="10"/>
                <w:szCs w:val="10"/>
                <w:b w:val="1"/>
                <w:bCs w:val="1"/>
                <w:color w:val="auto"/>
              </w:rPr>
              <w:t>(1)</w:t>
            </w:r>
          </w:p>
        </w:tc>
        <w:tc>
          <w:tcPr>
            <w:tcW w:w="1560" w:type="dxa"/>
            <w:vAlign w:val="bottom"/>
            <w:tcBorders>
              <w:bottom w:val="single" w:sz="8" w:color="E5E5E5"/>
            </w:tcBorders>
          </w:tcPr>
          <w:p>
            <w:pPr>
              <w:spacing w:after="0"/>
              <w:rPr>
                <w:sz w:val="19"/>
                <w:szCs w:val="19"/>
                <w:color w:val="auto"/>
              </w:rPr>
            </w:pPr>
          </w:p>
        </w:tc>
        <w:tc>
          <w:tcPr>
            <w:tcW w:w="80" w:type="dxa"/>
            <w:vAlign w:val="bottom"/>
            <w:tcBorders>
              <w:bottom w:val="single" w:sz="8" w:color="E5E5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(1,464)</w:t>
            </w:r>
          </w:p>
        </w:tc>
        <w:tc>
          <w:tcPr>
            <w:tcW w:w="60" w:type="dxa"/>
            <w:vAlign w:val="bottom"/>
            <w:tcBorders>
              <w:bottom w:val="single" w:sz="8" w:color="E5E5E5"/>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(1,805)</w:t>
            </w:r>
          </w:p>
        </w:tc>
        <w:tc>
          <w:tcPr>
            <w:tcW w:w="0" w:type="dxa"/>
            <w:vAlign w:val="bottom"/>
          </w:tcPr>
          <w:p>
            <w:pPr>
              <w:spacing w:after="0"/>
              <w:rPr>
                <w:sz w:val="1"/>
                <w:szCs w:val="1"/>
                <w:color w:val="auto"/>
              </w:rPr>
            </w:pPr>
          </w:p>
        </w:tc>
      </w:tr>
      <w:tr>
        <w:trPr>
          <w:trHeight w:val="232"/>
        </w:trPr>
        <w:tc>
          <w:tcPr>
            <w:tcW w:w="51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Land, buildings and equipment, net</w:t>
            </w:r>
          </w:p>
        </w:tc>
        <w:tc>
          <w:tcPr>
            <w:tcW w:w="1560" w:type="dxa"/>
            <w:vAlign w:val="bottom"/>
            <w:tcBorders>
              <w:bottom w:val="single" w:sz="8" w:color="E5E5E5"/>
            </w:tcBorders>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390</w:t>
            </w:r>
          </w:p>
        </w:tc>
        <w:tc>
          <w:tcPr>
            <w:tcW w:w="60" w:type="dxa"/>
            <w:vAlign w:val="bottom"/>
            <w:tcBorders>
              <w:bottom w:val="single" w:sz="8" w:color="E5E5E5"/>
            </w:tcBorders>
            <w:shd w:val="clear" w:color="auto" w:fill="E5E5E5"/>
          </w:tcPr>
          <w:p>
            <w:pPr>
              <w:spacing w:after="0"/>
              <w:rPr>
                <w:sz w:val="20"/>
                <w:szCs w:val="20"/>
                <w:color w:val="auto"/>
              </w:rPr>
            </w:pPr>
          </w:p>
        </w:tc>
        <w:tc>
          <w:tcPr>
            <w:tcW w:w="54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-42545</wp:posOffset>
            </wp:positionV>
            <wp:extent cx="2067560"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2067560" cy="501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_____________</w:t>
      </w:r>
    </w:p>
    <w:p>
      <w:pPr>
        <w:spacing w:after="0" w:line="60" w:lineRule="exact"/>
        <w:rPr>
          <w:sz w:val="20"/>
          <w:szCs w:val="20"/>
          <w:color w:val="auto"/>
        </w:rPr>
      </w:pPr>
    </w:p>
    <w:p>
      <w:pPr>
        <w:ind w:left="360" w:hanging="356"/>
        <w:spacing w:after="0"/>
        <w:tabs>
          <w:tab w:leader="none" w:pos="360" w:val="left"/>
        </w:tabs>
        <w:numPr>
          <w:ilvl w:val="0"/>
          <w:numId w:val="10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Depreciation expense was $75, $57 and $60 for the three years ended December 31, 2025, 2024 and 2023, respectively.</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We lease buildings, vehicles, and equipment, substantially all of which are accounted for as operating leases. Refer to Note 11 - Lessee for additional information regarding leased assets.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Internal Use Software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Additions to internal use software were $54, $17, and $8 for the three years ended December 31, 2025, 2024 and 2023, respectively. As of December 31, 2025 and 2024, capitalized costs related to internal use software, net of accumulated amortization, were $146 and $60, respectively, and are included in Other long-term assets. Useful lives of our internal use software generally vary from three to seven years. Refer to Note 14 - Supplementary Financial Information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120</w:t>
      </w:r>
    </w:p>
    <w:p>
      <w:pPr>
        <w:sectPr>
          <w:pgSz w:w="11880" w:h="15480" w:orient="portrait"/>
          <w:cols w:equalWidth="0" w:num="1">
            <w:col w:w="9960"/>
          </w:cols>
          <w:pgMar w:left="960" w:top="724" w:right="960" w:bottom="0" w:gutter="0" w:footer="0" w:header="0"/>
        </w:sectPr>
      </w:pPr>
    </w:p>
    <w:bookmarkStart w:id="130" w:name="page131"/>
    <w:bookmarkEnd w:id="130"/>
    <w:p>
      <w:pPr>
        <w:spacing w:after="0"/>
        <w:rPr>
          <w:sz w:val="20"/>
          <w:szCs w:val="20"/>
          <w:color w:val="auto"/>
        </w:rPr>
      </w:pPr>
      <w:r>
        <w:rPr>
          <w:rFonts w:ascii="Arial" w:cs="Arial" w:eastAsia="Arial" w:hAnsi="Arial"/>
          <w:sz w:val="23"/>
          <w:szCs w:val="23"/>
          <w:b w:val="1"/>
          <w:bCs w:val="1"/>
          <w:color w:val="DA2031"/>
        </w:rPr>
        <w:t>Note 11 – Lessee</w:t>
      </w:r>
    </w:p>
    <w:p>
      <w:pPr>
        <w:spacing w:after="0" w:line="123"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Operating Leases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have operating leases for real estate and vehicles in our domestic and international operations, and for certain equipment in our domestic operations. Additionally, we have identified embedded operating leases within certain supply chain contracts for warehouses, primarily within our domestic operations. Our leases have remaining terms of up to thirty-three years and a variety of renewal and/or termination options. The components of lease expense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22"/>
              <w:spacing w:after="0"/>
              <w:rPr>
                <w:sz w:val="20"/>
                <w:szCs w:val="20"/>
                <w:color w:val="auto"/>
              </w:rPr>
            </w:pPr>
            <w:r>
              <w:rPr>
                <w:rFonts w:ascii="Arial" w:cs="Arial" w:eastAsia="Arial" w:hAnsi="Arial"/>
                <w:sz w:val="16"/>
                <w:szCs w:val="16"/>
                <w:b w:val="1"/>
                <w:bCs w:val="1"/>
                <w:color w:val="auto"/>
                <w:w w:val="92"/>
              </w:rPr>
              <w:t>Year Ended December 31,</w:t>
            </w:r>
          </w:p>
        </w:tc>
        <w:tc>
          <w:tcPr>
            <w:tcW w:w="1200" w:type="dxa"/>
            <w:vAlign w:val="bottom"/>
            <w:tcBorders>
              <w:bottom w:val="single" w:sz="8" w:color="auto"/>
            </w:tcBorders>
          </w:tcPr>
          <w:p>
            <w:pPr>
              <w:spacing w:after="0"/>
              <w:rPr>
                <w:sz w:val="18"/>
                <w:szCs w:val="18"/>
                <w:color w:val="auto"/>
              </w:rPr>
            </w:pPr>
          </w:p>
        </w:tc>
      </w:tr>
      <w:tr>
        <w:trPr>
          <w:trHeight w:val="213"/>
        </w:trPr>
        <w:tc>
          <w:tcPr>
            <w:tcW w:w="5120" w:type="dxa"/>
            <w:vAlign w:val="bottom"/>
            <w:tcBorders>
              <w:bottom w:val="single" w:sz="8" w:color="E5E5E5"/>
            </w:tcBorders>
          </w:tcPr>
          <w:p>
            <w:pPr>
              <w:spacing w:after="0"/>
              <w:rPr>
                <w:sz w:val="18"/>
                <w:szCs w:val="18"/>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r>
      <w:tr>
        <w:trPr>
          <w:trHeight w:val="223"/>
        </w:trPr>
        <w:tc>
          <w:tcPr>
            <w:tcW w:w="5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Operating lease expense</w:t>
            </w:r>
          </w:p>
        </w:tc>
        <w:tc>
          <w:tcPr>
            <w:tcW w:w="1100" w:type="dxa"/>
            <w:vAlign w:val="bottom"/>
            <w:shd w:val="clear" w:color="auto" w:fill="E5E5E5"/>
          </w:tcPr>
          <w:p>
            <w:pPr>
              <w:jc w:val="right"/>
              <w:ind w:right="902"/>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113</w:t>
            </w:r>
          </w:p>
        </w:tc>
        <w:tc>
          <w:tcPr>
            <w:tcW w:w="520" w:type="dxa"/>
            <w:vAlign w:val="bottom"/>
            <w:gridSpan w:val="3"/>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w:t>
            </w:r>
          </w:p>
        </w:tc>
        <w:tc>
          <w:tcPr>
            <w:tcW w:w="44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83</w:t>
            </w:r>
          </w:p>
        </w:tc>
      </w:tr>
      <w:tr>
        <w:trPr>
          <w:trHeight w:val="227"/>
        </w:trPr>
        <w:tc>
          <w:tcPr>
            <w:tcW w:w="5120" w:type="dxa"/>
            <w:vAlign w:val="bottom"/>
          </w:tcPr>
          <w:p>
            <w:pPr>
              <w:ind w:left="60"/>
              <w:spacing w:after="0"/>
              <w:rPr>
                <w:sz w:val="20"/>
                <w:szCs w:val="20"/>
                <w:color w:val="auto"/>
              </w:rPr>
            </w:pPr>
            <w:r>
              <w:rPr>
                <w:rFonts w:ascii="Arial" w:cs="Arial" w:eastAsia="Arial" w:hAnsi="Arial"/>
                <w:sz w:val="16"/>
                <w:szCs w:val="16"/>
                <w:b w:val="1"/>
                <w:bCs w:val="1"/>
                <w:color w:val="auto"/>
              </w:rPr>
              <w:t>Short-term lease expense</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39"/>
        </w:trPr>
        <w:tc>
          <w:tcPr>
            <w:tcW w:w="5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Variable lease expense</w:t>
            </w:r>
            <w:r>
              <w:rPr>
                <w:rFonts w:ascii="Arial" w:cs="Arial" w:eastAsia="Arial" w:hAnsi="Arial"/>
                <w:sz w:val="10"/>
                <w:szCs w:val="10"/>
                <w:b w:val="1"/>
                <w:bCs w:val="1"/>
                <w:color w:val="auto"/>
              </w:rPr>
              <w:t>(1)</w:t>
            </w:r>
          </w:p>
        </w:tc>
        <w:tc>
          <w:tcPr>
            <w:tcW w:w="110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w:t>
            </w:r>
          </w:p>
        </w:tc>
        <w:tc>
          <w:tcPr>
            <w:tcW w:w="6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c>
          <w:tcPr>
            <w:tcW w:w="6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w:t>
            </w:r>
          </w:p>
        </w:tc>
      </w:tr>
      <w:tr>
        <w:trPr>
          <w:trHeight w:val="223"/>
        </w:trPr>
        <w:tc>
          <w:tcPr>
            <w:tcW w:w="51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Sublease income</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32"/>
        </w:trPr>
        <w:tc>
          <w:tcPr>
            <w:tcW w:w="51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Lease expense</w:t>
            </w:r>
          </w:p>
        </w:tc>
        <w:tc>
          <w:tcPr>
            <w:tcW w:w="1100" w:type="dxa"/>
            <w:vAlign w:val="bottom"/>
            <w:tcBorders>
              <w:bottom w:val="single" w:sz="8" w:color="auto"/>
            </w:tcBorders>
            <w:shd w:val="clear" w:color="auto" w:fill="E5E5E5"/>
          </w:tcPr>
          <w:p>
            <w:pPr>
              <w:jc w:val="right"/>
              <w:ind w:right="902"/>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189</w:t>
            </w:r>
          </w:p>
        </w:tc>
        <w:tc>
          <w:tcPr>
            <w:tcW w:w="60" w:type="dxa"/>
            <w:vAlign w:val="bottom"/>
            <w:tcBorders>
              <w:bottom w:val="single" w:sz="8" w:color="auto"/>
            </w:tcBorders>
            <w:shd w:val="clear" w:color="auto" w:fill="E5E5E5"/>
          </w:tcPr>
          <w:p>
            <w:pPr>
              <w:spacing w:after="0"/>
              <w:rPr>
                <w:sz w:val="20"/>
                <w:szCs w:val="20"/>
                <w:color w:val="auto"/>
              </w:rPr>
            </w:pPr>
          </w:p>
        </w:tc>
        <w:tc>
          <w:tcPr>
            <w:tcW w:w="80" w:type="dxa"/>
            <w:vAlign w:val="bottom"/>
            <w:tcBorders>
              <w:bottom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140</w:t>
            </w:r>
          </w:p>
        </w:tc>
        <w:tc>
          <w:tcPr>
            <w:tcW w:w="60" w:type="dxa"/>
            <w:vAlign w:val="bottom"/>
            <w:tcBorders>
              <w:bottom w:val="single" w:sz="8" w:color="E5E5E5"/>
            </w:tcBorders>
            <w:shd w:val="clear" w:color="auto" w:fill="E5E5E5"/>
          </w:tcPr>
          <w:p>
            <w:pPr>
              <w:spacing w:after="0"/>
              <w:rPr>
                <w:sz w:val="20"/>
                <w:szCs w:val="20"/>
                <w:color w:val="auto"/>
              </w:rPr>
            </w:pPr>
          </w:p>
        </w:tc>
        <w:tc>
          <w:tcPr>
            <w:tcW w:w="38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-42545</wp:posOffset>
            </wp:positionV>
            <wp:extent cx="3101975"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310197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70" w:lineRule="auto"/>
        <w:tabs>
          <w:tab w:leader="none" w:pos="360"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Variable lease expense is related to our leased real estate for offices and warehouses and primarily includes labor and operational costs, as well as taxes and insurance.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2025, we had no material operating leases that had not yet commenced.</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Operating lease ROU assets, net and operating lease liabilities were reported in the Consolidated Balance Sheets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7"/>
              </w:rPr>
              <w:t>December 31,</w:t>
            </w:r>
          </w:p>
        </w:tc>
        <w:tc>
          <w:tcPr>
            <w:tcW w:w="104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2024</w:t>
            </w:r>
          </w:p>
        </w:tc>
      </w:tr>
      <w:tr>
        <w:trPr>
          <w:trHeight w:val="232"/>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Other long-term assets</w:t>
            </w:r>
            <w:r>
              <w:rPr>
                <w:rFonts w:ascii="Arial" w:cs="Arial" w:eastAsia="Arial" w:hAnsi="Arial"/>
                <w:sz w:val="10"/>
                <w:szCs w:val="10"/>
                <w:b w:val="1"/>
                <w:bCs w:val="1"/>
                <w:color w:val="auto"/>
              </w:rPr>
              <w:t>(1)</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311</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179</w:t>
            </w:r>
          </w:p>
        </w:tc>
      </w:tr>
      <w:tr>
        <w:trPr>
          <w:trHeight w:val="204"/>
        </w:trPr>
        <w:tc>
          <w:tcPr>
            <w:tcW w:w="6760" w:type="dxa"/>
            <w:vAlign w:val="bottom"/>
            <w:tcBorders>
              <w:top w:val="single" w:sz="8" w:color="E5E5E5"/>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E5E5E5"/>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3"/>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r>
      <w:tr>
        <w:trPr>
          <w:trHeight w:val="223"/>
        </w:trPr>
        <w:tc>
          <w:tcPr>
            <w:tcW w:w="67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 long-term liabilities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w:t>
            </w:r>
          </w:p>
        </w:tc>
        <w:tc>
          <w:tcPr>
            <w:tcW w:w="60" w:type="dxa"/>
            <w:vAlign w:val="bottom"/>
            <w:tcBorders>
              <w:bottom w:val="single" w:sz="8" w:color="E5E5E5"/>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r>
      <w:tr>
        <w:trPr>
          <w:trHeight w:val="232"/>
        </w:trPr>
        <w:tc>
          <w:tcPr>
            <w:tcW w:w="6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Operating lease liabilities</w:t>
            </w:r>
          </w:p>
        </w:tc>
        <w:tc>
          <w:tcPr>
            <w:tcW w:w="1040" w:type="dxa"/>
            <w:vAlign w:val="bottom"/>
            <w:tcBorders>
              <w:bottom w:val="single" w:sz="8" w:color="auto"/>
            </w:tcBorders>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327</w:t>
            </w:r>
          </w:p>
        </w:tc>
        <w:tc>
          <w:tcPr>
            <w:tcW w:w="60" w:type="dxa"/>
            <w:vAlign w:val="bottom"/>
            <w:tcBorders>
              <w:bottom w:val="single" w:sz="8" w:color="E5E5E5"/>
            </w:tcBorders>
            <w:shd w:val="clear" w:color="auto" w:fill="E5E5E5"/>
          </w:tcPr>
          <w:p>
            <w:pPr>
              <w:spacing w:after="0"/>
              <w:rPr>
                <w:sz w:val="20"/>
                <w:szCs w:val="20"/>
                <w:color w:val="auto"/>
              </w:rPr>
            </w:pPr>
          </w:p>
        </w:tc>
        <w:tc>
          <w:tcPr>
            <w:tcW w:w="54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-634365</wp:posOffset>
            </wp:positionV>
            <wp:extent cx="2058035"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2058035" cy="50165"/>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-42545</wp:posOffset>
            </wp:positionV>
            <wp:extent cx="2058035"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205803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firstLine="4"/>
        <w:spacing w:after="0" w:line="270" w:lineRule="auto"/>
        <w:tabs>
          <w:tab w:leader="none" w:pos="257" w:val="left"/>
        </w:tabs>
        <w:numPr>
          <w:ilvl w:val="0"/>
          <w:numId w:val="1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During 2025, the Company modified a lease agreement for electric vehicles, which resulted in a change in the lease classification from financing to operating. Accordingly, we remeasured the right of use asset and the corresponding lease liability</w:t>
      </w:r>
      <w:r>
        <w:rPr>
          <w:rFonts w:ascii="Arial" w:cs="Arial" w:eastAsia="Arial" w:hAnsi="Arial"/>
          <w:sz w:val="16"/>
          <w:szCs w:val="16"/>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Supplemental information related to operating leases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w w:val="91"/>
              </w:rPr>
              <w:t>Year Ended 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DBDBDB"/>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37"/>
        </w:trPr>
        <w:tc>
          <w:tcPr>
            <w:tcW w:w="5120" w:type="dxa"/>
            <w:vAlign w:val="bottom"/>
            <w:shd w:val="clear" w:color="auto" w:fill="DBDBDB"/>
          </w:tcPr>
          <w:p>
            <w:pPr>
              <w:ind w:left="60"/>
              <w:spacing w:after="0" w:line="137" w:lineRule="exact"/>
              <w:rPr>
                <w:sz w:val="20"/>
                <w:szCs w:val="20"/>
                <w:color w:val="auto"/>
              </w:rPr>
            </w:pPr>
            <w:r>
              <w:rPr>
                <w:rFonts w:ascii="Arial" w:cs="Arial" w:eastAsia="Arial" w:hAnsi="Arial"/>
                <w:sz w:val="14"/>
                <w:szCs w:val="14"/>
                <w:b w:val="1"/>
                <w:bCs w:val="1"/>
                <w:color w:val="auto"/>
              </w:rPr>
              <w:t>Cash paid for amounts included in the measurement of lease liabilities -</w:t>
            </w:r>
          </w:p>
        </w:tc>
        <w:tc>
          <w:tcPr>
            <w:tcW w:w="960" w:type="dxa"/>
            <w:vAlign w:val="bottom"/>
            <w:vMerge w:val="restart"/>
            <w:shd w:val="clear" w:color="auto" w:fill="DBDBDB"/>
          </w:tcPr>
          <w:p>
            <w:pPr>
              <w:jc w:val="right"/>
              <w:ind w:right="762"/>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DBDBDB"/>
          </w:tcPr>
          <w:p>
            <w:pPr>
              <w:jc w:val="right"/>
              <w:ind w:right="82"/>
              <w:spacing w:after="0"/>
              <w:rPr>
                <w:sz w:val="20"/>
                <w:szCs w:val="20"/>
                <w:color w:val="auto"/>
              </w:rPr>
            </w:pPr>
            <w:r>
              <w:rPr>
                <w:rFonts w:ascii="Arial" w:cs="Arial" w:eastAsia="Arial" w:hAnsi="Arial"/>
                <w:sz w:val="16"/>
                <w:szCs w:val="16"/>
                <w:b w:val="1"/>
                <w:bCs w:val="1"/>
                <w:color w:val="auto"/>
              </w:rPr>
              <w:t>113</w:t>
            </w:r>
          </w:p>
        </w:tc>
        <w:tc>
          <w:tcPr>
            <w:tcW w:w="500" w:type="dxa"/>
            <w:vAlign w:val="bottom"/>
            <w:gridSpan w:val="3"/>
            <w:vMerge w:val="restart"/>
            <w:shd w:val="clear" w:color="auto" w:fill="DBDBDB"/>
          </w:tcPr>
          <w:p>
            <w:pPr>
              <w:jc w:val="right"/>
              <w:ind w:right="240"/>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72</w:t>
            </w:r>
          </w:p>
        </w:tc>
        <w:tc>
          <w:tcPr>
            <w:tcW w:w="440" w:type="dxa"/>
            <w:vAlign w:val="bottom"/>
            <w:gridSpan w:val="2"/>
            <w:vMerge w:val="restart"/>
            <w:shd w:val="clear" w:color="auto" w:fill="DBDBDB"/>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0" w:type="dxa"/>
            <w:vAlign w:val="bottom"/>
            <w:vMerge w:val="restart"/>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91</w:t>
            </w:r>
          </w:p>
        </w:tc>
        <w:tc>
          <w:tcPr>
            <w:tcW w:w="0" w:type="dxa"/>
            <w:vAlign w:val="bottom"/>
          </w:tcPr>
          <w:p>
            <w:pPr>
              <w:spacing w:after="0"/>
              <w:rPr>
                <w:sz w:val="1"/>
                <w:szCs w:val="1"/>
                <w:color w:val="auto"/>
              </w:rPr>
            </w:pPr>
          </w:p>
        </w:tc>
      </w:tr>
      <w:tr>
        <w:trPr>
          <w:trHeight w:val="217"/>
        </w:trPr>
        <w:tc>
          <w:tcPr>
            <w:tcW w:w="51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Operating cash flows</w:t>
            </w:r>
          </w:p>
        </w:tc>
        <w:tc>
          <w:tcPr>
            <w:tcW w:w="960" w:type="dxa"/>
            <w:vAlign w:val="bottom"/>
            <w:vMerge w:val="continue"/>
            <w:shd w:val="clear" w:color="auto" w:fill="DBDBDB"/>
          </w:tcPr>
          <w:p>
            <w:pPr>
              <w:spacing w:after="0"/>
              <w:rPr>
                <w:sz w:val="18"/>
                <w:szCs w:val="18"/>
                <w:color w:val="auto"/>
              </w:rPr>
            </w:pPr>
          </w:p>
        </w:tc>
        <w:tc>
          <w:tcPr>
            <w:tcW w:w="560" w:type="dxa"/>
            <w:vAlign w:val="bottom"/>
            <w:vMerge w:val="continue"/>
            <w:shd w:val="clear" w:color="auto" w:fill="DBDBDB"/>
          </w:tcPr>
          <w:p>
            <w:pPr>
              <w:spacing w:after="0"/>
              <w:rPr>
                <w:sz w:val="18"/>
                <w:szCs w:val="18"/>
                <w:color w:val="auto"/>
              </w:rPr>
            </w:pPr>
          </w:p>
        </w:tc>
        <w:tc>
          <w:tcPr>
            <w:tcW w:w="500" w:type="dxa"/>
            <w:vAlign w:val="bottom"/>
            <w:gridSpan w:val="3"/>
            <w:vMerge w:val="continue"/>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440" w:type="dxa"/>
            <w:vAlign w:val="bottom"/>
            <w:gridSpan w:val="2"/>
            <w:vMerge w:val="continue"/>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20" w:type="dxa"/>
            <w:vAlign w:val="bottom"/>
          </w:tcPr>
          <w:p>
            <w:pPr>
              <w:ind w:left="60"/>
              <w:spacing w:after="0"/>
              <w:rPr>
                <w:sz w:val="20"/>
                <w:szCs w:val="20"/>
                <w:color w:val="auto"/>
              </w:rPr>
            </w:pPr>
            <w:r>
              <w:rPr>
                <w:rFonts w:ascii="Arial" w:cs="Arial" w:eastAsia="Arial" w:hAnsi="Arial"/>
                <w:sz w:val="16"/>
                <w:szCs w:val="16"/>
                <w:b w:val="1"/>
                <w:bCs w:val="1"/>
                <w:color w:val="auto"/>
                <w:w w:val="98"/>
              </w:rPr>
              <w:t xml:space="preserve">Right-of-use assets obtained in exchange for new lease liabilities </w:t>
            </w:r>
            <w:r>
              <w:rPr>
                <w:rFonts w:ascii="Arial" w:cs="Arial" w:eastAsia="Arial" w:hAnsi="Arial"/>
                <w:sz w:val="10"/>
                <w:szCs w:val="10"/>
                <w:b w:val="1"/>
                <w:bCs w:val="1"/>
                <w:color w:val="auto"/>
                <w:w w:val="98"/>
              </w:rPr>
              <w:t>(1)</w:t>
            </w:r>
          </w:p>
        </w:tc>
        <w:tc>
          <w:tcPr>
            <w:tcW w:w="960" w:type="dxa"/>
            <w:vAlign w:val="bottom"/>
          </w:tcPr>
          <w:p>
            <w:pPr>
              <w:jc w:val="right"/>
              <w:ind w:right="762"/>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82"/>
              <w:spacing w:after="0"/>
              <w:rPr>
                <w:sz w:val="20"/>
                <w:szCs w:val="20"/>
                <w:color w:val="auto"/>
              </w:rPr>
            </w:pPr>
            <w:r>
              <w:rPr>
                <w:rFonts w:ascii="Arial" w:cs="Arial" w:eastAsia="Arial" w:hAnsi="Arial"/>
                <w:sz w:val="16"/>
                <w:szCs w:val="16"/>
                <w:b w:val="1"/>
                <w:bCs w:val="1"/>
                <w:color w:val="auto"/>
              </w:rPr>
              <w:t>60</w:t>
            </w:r>
          </w:p>
        </w:tc>
        <w:tc>
          <w:tcPr>
            <w:tcW w:w="5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22"/>
              <w:spacing w:after="0"/>
              <w:rPr>
                <w:sz w:val="20"/>
                <w:szCs w:val="20"/>
                <w:color w:val="auto"/>
              </w:rPr>
            </w:pPr>
            <w:r>
              <w:rPr>
                <w:rFonts w:ascii="Arial" w:cs="Arial" w:eastAsia="Arial" w:hAnsi="Arial"/>
                <w:sz w:val="16"/>
                <w:szCs w:val="16"/>
                <w:b w:val="1"/>
                <w:bCs w:val="1"/>
                <w:color w:val="auto"/>
              </w:rPr>
              <w:t>65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39"/>
        </w:trPr>
        <w:tc>
          <w:tcPr>
            <w:tcW w:w="51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Weighted-average remaining lease term</w:t>
            </w:r>
          </w:p>
        </w:tc>
        <w:tc>
          <w:tcPr>
            <w:tcW w:w="960" w:type="dxa"/>
            <w:vAlign w:val="bottom"/>
            <w:shd w:val="clear" w:color="auto" w:fill="DBDBDB"/>
          </w:tcPr>
          <w:p>
            <w:pPr>
              <w:spacing w:after="0"/>
              <w:rPr>
                <w:sz w:val="20"/>
                <w:szCs w:val="20"/>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97"/>
              </w:rPr>
              <w:t>7 years</w:t>
            </w:r>
          </w:p>
        </w:tc>
        <w:tc>
          <w:tcPr>
            <w:tcW w:w="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 years</w:t>
            </w:r>
          </w:p>
        </w:tc>
        <w:tc>
          <w:tcPr>
            <w:tcW w:w="6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 years</w:t>
            </w:r>
          </w:p>
        </w:tc>
        <w:tc>
          <w:tcPr>
            <w:tcW w:w="0" w:type="dxa"/>
            <w:vAlign w:val="bottom"/>
          </w:tcPr>
          <w:p>
            <w:pPr>
              <w:spacing w:after="0"/>
              <w:rPr>
                <w:sz w:val="1"/>
                <w:szCs w:val="1"/>
                <w:color w:val="auto"/>
              </w:rPr>
            </w:pPr>
          </w:p>
        </w:tc>
      </w:tr>
      <w:tr>
        <w:trPr>
          <w:trHeight w:val="221"/>
        </w:trPr>
        <w:tc>
          <w:tcPr>
            <w:tcW w:w="5120" w:type="dxa"/>
            <w:vAlign w:val="bottom"/>
          </w:tcPr>
          <w:p>
            <w:pPr>
              <w:ind w:left="60"/>
              <w:spacing w:after="0"/>
              <w:rPr>
                <w:sz w:val="20"/>
                <w:szCs w:val="20"/>
                <w:color w:val="auto"/>
              </w:rPr>
            </w:pPr>
            <w:r>
              <w:rPr>
                <w:rFonts w:ascii="Arial" w:cs="Arial" w:eastAsia="Arial" w:hAnsi="Arial"/>
                <w:sz w:val="16"/>
                <w:szCs w:val="16"/>
                <w:b w:val="1"/>
                <w:bCs w:val="1"/>
                <w:color w:val="auto"/>
              </w:rPr>
              <w:t>Weighted-average discount rate</w:t>
            </w:r>
            <w:r>
              <w:rPr>
                <w:rFonts w:ascii="Arial" w:cs="Arial" w:eastAsia="Arial" w:hAnsi="Arial"/>
                <w:sz w:val="10"/>
                <w:szCs w:val="10"/>
                <w:b w:val="1"/>
                <w:bCs w:val="1"/>
                <w:color w:val="auto"/>
              </w:rPr>
              <w:t>(2)</w:t>
            </w:r>
          </w:p>
        </w:tc>
        <w:tc>
          <w:tcPr>
            <w:tcW w:w="9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19.29 %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7.70 %</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6.07 %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the impact of new leases as well as remeasurements and modifications to existing leases.</w:t>
      </w:r>
    </w:p>
    <w:p>
      <w:pPr>
        <w:spacing w:after="0" w:line="2" w:lineRule="exact"/>
        <w:rPr>
          <w:rFonts w:ascii="Arial" w:cs="Arial" w:eastAsia="Arial" w:hAnsi="Arial"/>
          <w:sz w:val="16"/>
          <w:szCs w:val="16"/>
          <w:b w:val="1"/>
          <w:bCs w:val="1"/>
          <w:i w:val="1"/>
          <w:iCs w:val="1"/>
          <w:color w:val="auto"/>
        </w:rPr>
      </w:pPr>
    </w:p>
    <w:p>
      <w:pPr>
        <w:ind w:left="360" w:right="520" w:hanging="356"/>
        <w:spacing w:after="0" w:line="270" w:lineRule="auto"/>
        <w:tabs>
          <w:tab w:leader="none" w:pos="360" w:val="left"/>
        </w:tabs>
        <w:numPr>
          <w:ilvl w:val="0"/>
          <w:numId w:val="1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Increase in 2025 rate reflects the increase in the Company's incremental borrowing rate, as well as the remeasurement of the leases associated with the Lexmark Acquisition.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Maturities and additional information related to operating lease liabilities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380" w:type="dxa"/>
            <w:vAlign w:val="bottom"/>
            <w:tcBorders>
              <w:bottom w:val="single" w:sz="8" w:color="E5E5E5"/>
            </w:tcBorders>
          </w:tcPr>
          <w:p>
            <w:pPr>
              <w:spacing w:after="0"/>
              <w:rPr>
                <w:sz w:val="18"/>
                <w:szCs w:val="18"/>
                <w:color w:val="auto"/>
              </w:rPr>
            </w:pPr>
          </w:p>
        </w:tc>
        <w:tc>
          <w:tcPr>
            <w:tcW w:w="15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December 31, 2025</w:t>
            </w:r>
          </w:p>
        </w:tc>
      </w:tr>
      <w:tr>
        <w:trPr>
          <w:trHeight w:val="223"/>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12 months</w:t>
            </w:r>
          </w:p>
        </w:tc>
        <w:tc>
          <w:tcPr>
            <w:tcW w:w="700" w:type="dxa"/>
            <w:vAlign w:val="bottom"/>
            <w:shd w:val="clear" w:color="auto" w:fill="E5E5E5"/>
          </w:tcPr>
          <w:p>
            <w:pPr>
              <w:jc w:val="right"/>
              <w:ind w:right="48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122</w:t>
            </w:r>
          </w:p>
        </w:tc>
      </w:tr>
      <w:tr>
        <w:trPr>
          <w:trHeight w:val="227"/>
        </w:trPr>
        <w:tc>
          <w:tcPr>
            <w:tcW w:w="8380" w:type="dxa"/>
            <w:vAlign w:val="bottom"/>
          </w:tcPr>
          <w:p>
            <w:pPr>
              <w:ind w:left="60"/>
              <w:spacing w:after="0"/>
              <w:rPr>
                <w:sz w:val="20"/>
                <w:szCs w:val="20"/>
                <w:color w:val="auto"/>
              </w:rPr>
            </w:pPr>
            <w:r>
              <w:rPr>
                <w:rFonts w:ascii="Arial" w:cs="Arial" w:eastAsia="Arial" w:hAnsi="Arial"/>
                <w:sz w:val="16"/>
                <w:szCs w:val="16"/>
                <w:b w:val="1"/>
                <w:bCs w:val="1"/>
                <w:color w:val="auto"/>
              </w:rPr>
              <w:t>24 months</w:t>
            </w: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96</w:t>
            </w:r>
          </w:p>
        </w:tc>
      </w:tr>
      <w:tr>
        <w:trPr>
          <w:trHeight w:val="239"/>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36 months</w:t>
            </w:r>
          </w:p>
        </w:tc>
        <w:tc>
          <w:tcPr>
            <w:tcW w:w="70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77</w:t>
            </w:r>
          </w:p>
        </w:tc>
      </w:tr>
      <w:tr>
        <w:trPr>
          <w:trHeight w:val="227"/>
        </w:trPr>
        <w:tc>
          <w:tcPr>
            <w:tcW w:w="8380" w:type="dxa"/>
            <w:vAlign w:val="bottom"/>
          </w:tcPr>
          <w:p>
            <w:pPr>
              <w:ind w:left="60"/>
              <w:spacing w:after="0"/>
              <w:rPr>
                <w:sz w:val="20"/>
                <w:szCs w:val="20"/>
                <w:color w:val="auto"/>
              </w:rPr>
            </w:pPr>
            <w:r>
              <w:rPr>
                <w:rFonts w:ascii="Arial" w:cs="Arial" w:eastAsia="Arial" w:hAnsi="Arial"/>
                <w:sz w:val="16"/>
                <w:szCs w:val="16"/>
                <w:b w:val="1"/>
                <w:bCs w:val="1"/>
                <w:color w:val="auto"/>
              </w:rPr>
              <w:t>48 months</w:t>
            </w:r>
          </w:p>
        </w:tc>
        <w:tc>
          <w:tcPr>
            <w:tcW w:w="7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60</w:t>
            </w:r>
          </w:p>
        </w:tc>
      </w:tr>
      <w:tr>
        <w:trPr>
          <w:trHeight w:val="239"/>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60 months</w:t>
            </w:r>
          </w:p>
        </w:tc>
        <w:tc>
          <w:tcPr>
            <w:tcW w:w="70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r>
      <w:tr>
        <w:trPr>
          <w:trHeight w:val="223"/>
        </w:trPr>
        <w:tc>
          <w:tcPr>
            <w:tcW w:w="83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Thereafter</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w:t>
            </w:r>
          </w:p>
        </w:tc>
      </w:tr>
      <w:tr>
        <w:trPr>
          <w:trHeight w:val="223"/>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Lease payments</w:t>
            </w:r>
          </w:p>
        </w:tc>
        <w:tc>
          <w:tcPr>
            <w:tcW w:w="70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696</w:t>
            </w:r>
          </w:p>
        </w:tc>
      </w:tr>
      <w:tr>
        <w:trPr>
          <w:trHeight w:val="223"/>
        </w:trPr>
        <w:tc>
          <w:tcPr>
            <w:tcW w:w="83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Less: Imputed interest</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w:t>
            </w:r>
          </w:p>
        </w:tc>
      </w:tr>
      <w:tr>
        <w:trPr>
          <w:trHeight w:val="232"/>
        </w:trPr>
        <w:tc>
          <w:tcPr>
            <w:tcW w:w="8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Operating lease liabilities</w:t>
            </w:r>
          </w:p>
        </w:tc>
        <w:tc>
          <w:tcPr>
            <w:tcW w:w="700" w:type="dxa"/>
            <w:vAlign w:val="bottom"/>
            <w:tcBorders>
              <w:bottom w:val="single" w:sz="8" w:color="auto"/>
            </w:tcBorders>
            <w:shd w:val="clear" w:color="auto" w:fill="E5E5E5"/>
          </w:tcPr>
          <w:p>
            <w:pPr>
              <w:jc w:val="right"/>
              <w:ind w:right="482"/>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-43180</wp:posOffset>
            </wp:positionV>
            <wp:extent cx="1022985"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102298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121</w:t>
      </w:r>
    </w:p>
    <w:p>
      <w:pPr>
        <w:sectPr>
          <w:pgSz w:w="11880" w:h="15480" w:orient="portrait"/>
          <w:cols w:equalWidth="0" w:num="1">
            <w:col w:w="9960"/>
          </w:cols>
          <w:pgMar w:left="960" w:top="724" w:right="960" w:bottom="0" w:gutter="0" w:footer="0" w:header="0"/>
        </w:sectPr>
      </w:pPr>
    </w:p>
    <w:bookmarkStart w:id="131" w:name="page132"/>
    <w:bookmarkEnd w:id="131"/>
    <w:p>
      <w:pPr>
        <w:spacing w:after="0"/>
        <w:rPr>
          <w:sz w:val="20"/>
          <w:szCs w:val="20"/>
          <w:color w:val="auto"/>
        </w:rPr>
      </w:pPr>
      <w:r>
        <w:rPr>
          <w:rFonts w:ascii="Arial" w:cs="Arial" w:eastAsia="Arial" w:hAnsi="Arial"/>
          <w:sz w:val="19"/>
          <w:szCs w:val="19"/>
          <w:b w:val="1"/>
          <w:bCs w:val="1"/>
          <w:color w:val="DA2031"/>
        </w:rPr>
        <w:t>Finance Leases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Xerox has finance leases for equipment in the U.S. and Europe, as well as for vehicles and related infrastructure, within outsourced warehouse supply arrangements, in the U.S. These leases have remaining maturities up to six years.</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lease expense associated with our finance leases was $13, $13, and $8 for the three years ended December 31, 2025, 2024 or 2023,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2025, we had no additional financing leases that had not yet commenced.</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Finance lease ROU assets, net and operating lease liabilities were reported in the Consolidated Balance Sheets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7"/>
              </w:rPr>
              <w:t>December 31,</w:t>
            </w:r>
          </w:p>
        </w:tc>
        <w:tc>
          <w:tcPr>
            <w:tcW w:w="104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2024</w:t>
            </w:r>
          </w:p>
        </w:tc>
      </w:tr>
      <w:tr>
        <w:trPr>
          <w:trHeight w:val="232"/>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Land, buildings and equipment, net</w:t>
            </w:r>
            <w:r>
              <w:rPr>
                <w:rFonts w:ascii="Arial" w:cs="Arial" w:eastAsia="Arial" w:hAnsi="Arial"/>
                <w:sz w:val="10"/>
                <w:szCs w:val="10"/>
                <w:b w:val="1"/>
                <w:bCs w:val="1"/>
                <w:color w:val="auto"/>
              </w:rPr>
              <w:t>(1)</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55</w:t>
            </w:r>
          </w:p>
        </w:tc>
      </w:tr>
      <w:tr>
        <w:trPr>
          <w:trHeight w:val="204"/>
        </w:trPr>
        <w:tc>
          <w:tcPr>
            <w:tcW w:w="6760" w:type="dxa"/>
            <w:vAlign w:val="bottom"/>
            <w:tcBorders>
              <w:top w:val="single" w:sz="8" w:color="E5E5E5"/>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E5E5E5"/>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3"/>
        </w:trPr>
        <w:tc>
          <w:tcPr>
            <w:tcW w:w="67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r>
      <w:tr>
        <w:trPr>
          <w:trHeight w:val="222"/>
        </w:trPr>
        <w:tc>
          <w:tcPr>
            <w:tcW w:w="67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 long-term liabilities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r>
      <w:tr>
        <w:trPr>
          <w:trHeight w:val="232"/>
        </w:trPr>
        <w:tc>
          <w:tcPr>
            <w:tcW w:w="6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Finance lease liabilities</w:t>
            </w:r>
          </w:p>
        </w:tc>
        <w:tc>
          <w:tcPr>
            <w:tcW w:w="1040" w:type="dxa"/>
            <w:vAlign w:val="bottom"/>
            <w:tcBorders>
              <w:bottom w:val="single" w:sz="8" w:color="auto"/>
            </w:tcBorders>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E5E5E5"/>
            </w:tcBorders>
            <w:shd w:val="clear" w:color="auto" w:fill="E5E5E5"/>
          </w:tcPr>
          <w:p>
            <w:pPr>
              <w:spacing w:after="0"/>
              <w:rPr>
                <w:sz w:val="20"/>
                <w:szCs w:val="20"/>
                <w:color w:val="auto"/>
              </w:rPr>
            </w:pPr>
          </w:p>
        </w:tc>
        <w:tc>
          <w:tcPr>
            <w:tcW w:w="54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-634365</wp:posOffset>
            </wp:positionV>
            <wp:extent cx="2058035"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2058035" cy="50165"/>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-42545</wp:posOffset>
            </wp:positionV>
            <wp:extent cx="2058035"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205803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28" w:lineRule="exact"/>
        <w:rPr>
          <w:sz w:val="20"/>
          <w:szCs w:val="20"/>
          <w:color w:val="auto"/>
        </w:rPr>
      </w:pPr>
    </w:p>
    <w:p>
      <w:pPr>
        <w:ind w:firstLine="4"/>
        <w:spacing w:after="0" w:line="270" w:lineRule="auto"/>
        <w:tabs>
          <w:tab w:leader="none" w:pos="257" w:val="left"/>
        </w:tabs>
        <w:numPr>
          <w:ilvl w:val="0"/>
          <w:numId w:val="1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During 2025, the Company modified a lease agreement for electric vehicles, which resulted in a change in the lease classification from financing to operating. Accordingly, we remeasured the right of use asset and the corresponding lease liability.</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Supplemental information related to finance leases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w w:val="91"/>
              </w:rPr>
              <w:t>Year Ended December 31,</w:t>
            </w:r>
          </w:p>
        </w:tc>
        <w:tc>
          <w:tcPr>
            <w:tcW w:w="1200" w:type="dxa"/>
            <w:vAlign w:val="bottom"/>
            <w:tcBorders>
              <w:bottom w:val="single" w:sz="8" w:color="auto"/>
            </w:tcBorders>
          </w:tcPr>
          <w:p>
            <w:pPr>
              <w:spacing w:after="0"/>
              <w:rPr>
                <w:sz w:val="18"/>
                <w:szCs w:val="18"/>
                <w:color w:val="auto"/>
              </w:rPr>
            </w:pPr>
          </w:p>
        </w:tc>
      </w:tr>
      <w:tr>
        <w:trPr>
          <w:trHeight w:val="213"/>
        </w:trPr>
        <w:tc>
          <w:tcPr>
            <w:tcW w:w="5120" w:type="dxa"/>
            <w:vAlign w:val="bottom"/>
            <w:tcBorders>
              <w:bottom w:val="single" w:sz="8" w:color="DBDBDB"/>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r>
      <w:tr>
        <w:trPr>
          <w:trHeight w:val="267"/>
        </w:trPr>
        <w:tc>
          <w:tcPr>
            <w:tcW w:w="51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w w:val="93"/>
              </w:rPr>
              <w:t>Cash paid for amounts included in the measurement of lease liabilities</w:t>
            </w:r>
          </w:p>
        </w:tc>
        <w:tc>
          <w:tcPr>
            <w:tcW w:w="980" w:type="dxa"/>
            <w:vAlign w:val="bottom"/>
            <w:shd w:val="clear" w:color="auto" w:fill="DBDBDB"/>
          </w:tcPr>
          <w:p>
            <w:pPr>
              <w:jc w:val="right"/>
              <w:ind w:right="782"/>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DBDBDB"/>
          </w:tcPr>
          <w:p>
            <w:pPr>
              <w:jc w:val="right"/>
              <w:ind w:right="82"/>
              <w:spacing w:after="0"/>
              <w:rPr>
                <w:sz w:val="20"/>
                <w:szCs w:val="20"/>
                <w:color w:val="auto"/>
              </w:rPr>
            </w:pPr>
            <w:r>
              <w:rPr>
                <w:rFonts w:ascii="Arial" w:cs="Arial" w:eastAsia="Arial" w:hAnsi="Arial"/>
                <w:sz w:val="16"/>
                <w:szCs w:val="16"/>
                <w:b w:val="1"/>
                <w:bCs w:val="1"/>
                <w:color w:val="auto"/>
              </w:rPr>
              <w:t>13</w:t>
            </w:r>
          </w:p>
        </w:tc>
        <w:tc>
          <w:tcPr>
            <w:tcW w:w="620" w:type="dxa"/>
            <w:vAlign w:val="bottom"/>
            <w:gridSpan w:val="3"/>
            <w:shd w:val="clear" w:color="auto" w:fill="DBDBDB"/>
          </w:tcPr>
          <w:p>
            <w:pPr>
              <w:jc w:val="right"/>
              <w:ind w:right="3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12</w:t>
            </w:r>
          </w:p>
        </w:tc>
        <w:tc>
          <w:tcPr>
            <w:tcW w:w="44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8</w:t>
            </w:r>
          </w:p>
        </w:tc>
      </w:tr>
      <w:tr>
        <w:trPr>
          <w:trHeight w:val="227"/>
        </w:trPr>
        <w:tc>
          <w:tcPr>
            <w:tcW w:w="5120" w:type="dxa"/>
            <w:vAlign w:val="bottom"/>
          </w:tcPr>
          <w:p>
            <w:pPr>
              <w:ind w:left="60"/>
              <w:spacing w:after="0"/>
              <w:rPr>
                <w:sz w:val="20"/>
                <w:szCs w:val="20"/>
                <w:color w:val="auto"/>
              </w:rPr>
            </w:pPr>
            <w:r>
              <w:rPr>
                <w:rFonts w:ascii="Arial" w:cs="Arial" w:eastAsia="Arial" w:hAnsi="Arial"/>
                <w:sz w:val="16"/>
                <w:szCs w:val="16"/>
                <w:b w:val="1"/>
                <w:bCs w:val="1"/>
                <w:color w:val="auto"/>
                <w:w w:val="96"/>
              </w:rPr>
              <w:t xml:space="preserve">Finance lease assets obtained in exchange for new lease liabilities </w:t>
            </w:r>
            <w:r>
              <w:rPr>
                <w:rFonts w:ascii="Arial" w:cs="Arial" w:eastAsia="Arial" w:hAnsi="Arial"/>
                <w:sz w:val="10"/>
                <w:szCs w:val="10"/>
                <w:b w:val="1"/>
                <w:bCs w:val="1"/>
                <w:color w:val="auto"/>
                <w:w w:val="96"/>
              </w:rPr>
              <w:t>(1)</w:t>
            </w:r>
          </w:p>
        </w:tc>
        <w:tc>
          <w:tcPr>
            <w:tcW w:w="980" w:type="dxa"/>
            <w:vAlign w:val="bottom"/>
          </w:tcPr>
          <w:p>
            <w:pPr>
              <w:jc w:val="right"/>
              <w:ind w:right="782"/>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b w:val="1"/>
                <w:bCs w:val="1"/>
                <w:color w:val="auto"/>
              </w:rPr>
              <w:t>42</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b w:val="1"/>
                <w:bCs w:val="1"/>
                <w:color w:val="auto"/>
              </w:rPr>
              <w:t>7</w:t>
            </w:r>
          </w:p>
        </w:tc>
      </w:tr>
      <w:tr>
        <w:trPr>
          <w:trHeight w:val="239"/>
        </w:trPr>
        <w:tc>
          <w:tcPr>
            <w:tcW w:w="51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Weighted-average remaining lease term</w:t>
            </w:r>
          </w:p>
        </w:tc>
        <w:tc>
          <w:tcPr>
            <w:tcW w:w="980" w:type="dxa"/>
            <w:vAlign w:val="bottom"/>
            <w:shd w:val="clear" w:color="auto" w:fill="DBDBDB"/>
          </w:tcPr>
          <w:p>
            <w:pPr>
              <w:spacing w:after="0"/>
              <w:rPr>
                <w:sz w:val="20"/>
                <w:szCs w:val="20"/>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94"/>
              </w:rPr>
              <w:t>2 years</w:t>
            </w:r>
          </w:p>
        </w:tc>
        <w:tc>
          <w:tcPr>
            <w:tcW w:w="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 Years</w:t>
            </w:r>
          </w:p>
        </w:tc>
        <w:tc>
          <w:tcPr>
            <w:tcW w:w="6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 Years</w:t>
            </w:r>
          </w:p>
        </w:tc>
      </w:tr>
      <w:tr>
        <w:trPr>
          <w:trHeight w:val="221"/>
        </w:trPr>
        <w:tc>
          <w:tcPr>
            <w:tcW w:w="5120" w:type="dxa"/>
            <w:vAlign w:val="bottom"/>
          </w:tcPr>
          <w:p>
            <w:pPr>
              <w:ind w:left="60"/>
              <w:spacing w:after="0"/>
              <w:rPr>
                <w:sz w:val="20"/>
                <w:szCs w:val="20"/>
                <w:color w:val="auto"/>
              </w:rPr>
            </w:pPr>
            <w:r>
              <w:rPr>
                <w:rFonts w:ascii="Arial" w:cs="Arial" w:eastAsia="Arial" w:hAnsi="Arial"/>
                <w:sz w:val="16"/>
                <w:szCs w:val="16"/>
                <w:b w:val="1"/>
                <w:bCs w:val="1"/>
                <w:color w:val="auto"/>
              </w:rPr>
              <w:t>Weighted-average discount rate</w:t>
            </w:r>
          </w:p>
        </w:tc>
        <w:tc>
          <w:tcPr>
            <w:tcW w:w="9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9.45 %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10.53 %</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7.28 %</w:t>
            </w:r>
          </w:p>
        </w:tc>
      </w:tr>
      <w:tr>
        <w:trPr>
          <w:trHeight w:val="253"/>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5"/>
        </w:trPr>
        <w:tc>
          <w:tcPr>
            <w:tcW w:w="7260" w:type="dxa"/>
            <w:vAlign w:val="bottom"/>
            <w:gridSpan w:val="6"/>
          </w:tcPr>
          <w:p>
            <w:pPr>
              <w:spacing w:after="0"/>
              <w:rPr>
                <w:sz w:val="20"/>
                <w:szCs w:val="20"/>
                <w:color w:val="auto"/>
              </w:rPr>
            </w:pPr>
            <w:r>
              <w:rPr>
                <w:rFonts w:ascii="Arial" w:cs="Arial" w:eastAsia="Arial" w:hAnsi="Arial"/>
                <w:sz w:val="16"/>
                <w:szCs w:val="16"/>
                <w:b w:val="1"/>
                <w:bCs w:val="1"/>
                <w:i w:val="1"/>
                <w:iCs w:val="1"/>
                <w:color w:val="auto"/>
                <w:w w:val="92"/>
              </w:rPr>
              <w:t>(1)  Includes the impact of new leases as well as remeasurements and modifications to existing leases.</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Maturities and additional information related to finance lease liabilities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158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December 31, 2025</w:t>
            </w:r>
          </w:p>
        </w:tc>
      </w:tr>
      <w:tr>
        <w:trPr>
          <w:trHeight w:val="239"/>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12 months</w:t>
            </w:r>
          </w:p>
        </w:tc>
        <w:tc>
          <w:tcPr>
            <w:tcW w:w="740" w:type="dxa"/>
            <w:vAlign w:val="bottom"/>
            <w:shd w:val="clear" w:color="auto" w:fill="E5E5E5"/>
          </w:tcPr>
          <w:p>
            <w:pPr>
              <w:jc w:val="right"/>
              <w:ind w:right="52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r>
      <w:tr>
        <w:trPr>
          <w:trHeight w:val="227"/>
        </w:trPr>
        <w:tc>
          <w:tcPr>
            <w:tcW w:w="8380" w:type="dxa"/>
            <w:vAlign w:val="bottom"/>
          </w:tcPr>
          <w:p>
            <w:pPr>
              <w:ind w:left="60"/>
              <w:spacing w:after="0"/>
              <w:rPr>
                <w:sz w:val="20"/>
                <w:szCs w:val="20"/>
                <w:color w:val="auto"/>
              </w:rPr>
            </w:pPr>
            <w:r>
              <w:rPr>
                <w:rFonts w:ascii="Arial" w:cs="Arial" w:eastAsia="Arial" w:hAnsi="Arial"/>
                <w:sz w:val="16"/>
                <w:szCs w:val="16"/>
                <w:b w:val="1"/>
                <w:bCs w:val="1"/>
                <w:color w:val="auto"/>
              </w:rPr>
              <w:t>24 months</w:t>
            </w:r>
          </w:p>
        </w:tc>
        <w:tc>
          <w:tcPr>
            <w:tcW w:w="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239"/>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36 months</w:t>
            </w:r>
          </w:p>
        </w:tc>
        <w:tc>
          <w:tcPr>
            <w:tcW w:w="7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27"/>
        </w:trPr>
        <w:tc>
          <w:tcPr>
            <w:tcW w:w="8380" w:type="dxa"/>
            <w:vAlign w:val="bottom"/>
          </w:tcPr>
          <w:p>
            <w:pPr>
              <w:ind w:left="60"/>
              <w:spacing w:after="0"/>
              <w:rPr>
                <w:sz w:val="20"/>
                <w:szCs w:val="20"/>
                <w:color w:val="auto"/>
              </w:rPr>
            </w:pPr>
            <w:r>
              <w:rPr>
                <w:rFonts w:ascii="Arial" w:cs="Arial" w:eastAsia="Arial" w:hAnsi="Arial"/>
                <w:sz w:val="16"/>
                <w:szCs w:val="16"/>
                <w:b w:val="1"/>
                <w:bCs w:val="1"/>
                <w:color w:val="auto"/>
              </w:rPr>
              <w:t>48 months</w:t>
            </w:r>
          </w:p>
        </w:tc>
        <w:tc>
          <w:tcPr>
            <w:tcW w:w="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9"/>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60 months</w:t>
            </w:r>
          </w:p>
        </w:tc>
        <w:tc>
          <w:tcPr>
            <w:tcW w:w="7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83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Thereafter</w:t>
            </w: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8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Lease payments</w:t>
            </w:r>
          </w:p>
        </w:tc>
        <w:tc>
          <w:tcPr>
            <w:tcW w:w="7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r>
      <w:tr>
        <w:trPr>
          <w:trHeight w:val="223"/>
        </w:trPr>
        <w:tc>
          <w:tcPr>
            <w:tcW w:w="83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Less: Imputed interest</w:t>
            </w: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32"/>
        </w:trPr>
        <w:tc>
          <w:tcPr>
            <w:tcW w:w="8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Finance Lease Liabilities</w:t>
            </w:r>
          </w:p>
        </w:tc>
        <w:tc>
          <w:tcPr>
            <w:tcW w:w="740" w:type="dxa"/>
            <w:vAlign w:val="bottom"/>
            <w:tcBorders>
              <w:bottom w:val="single" w:sz="8" w:color="auto"/>
            </w:tcBorders>
            <w:shd w:val="clear" w:color="auto" w:fill="E5E5E5"/>
          </w:tcPr>
          <w:p>
            <w:pPr>
              <w:jc w:val="right"/>
              <w:ind w:right="522"/>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-43180</wp:posOffset>
            </wp:positionV>
            <wp:extent cx="1022985"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1022985" cy="5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122</w:t>
      </w:r>
    </w:p>
    <w:p>
      <w:pPr>
        <w:sectPr>
          <w:pgSz w:w="11880" w:h="15480" w:orient="portrait"/>
          <w:cols w:equalWidth="0" w:num="1">
            <w:col w:w="9960"/>
          </w:cols>
          <w:pgMar w:left="960" w:top="735" w:right="960" w:bottom="0" w:gutter="0" w:footer="0" w:header="0"/>
        </w:sectPr>
      </w:pPr>
    </w:p>
    <w:bookmarkStart w:id="132" w:name="page133"/>
    <w:bookmarkEnd w:id="132"/>
    <w:p>
      <w:pPr>
        <w:spacing w:after="0"/>
        <w:rPr>
          <w:sz w:val="20"/>
          <w:szCs w:val="20"/>
          <w:color w:val="auto"/>
        </w:rPr>
      </w:pPr>
      <w:r>
        <w:rPr>
          <w:rFonts w:ascii="Arial" w:cs="Arial" w:eastAsia="Arial" w:hAnsi="Arial"/>
          <w:sz w:val="23"/>
          <w:szCs w:val="23"/>
          <w:b w:val="1"/>
          <w:bCs w:val="1"/>
          <w:color w:val="DA2031"/>
        </w:rPr>
        <w:t>Note 12 - Goodwill, Net and Intangible Assets, Net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Goodwill, Net</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 xml:space="preserve">On January 1, 2025, we reassessed our operating and reportable segments and determined that the Company's operations had two operating and reportable segments - </w:t>
      </w:r>
      <w:r>
        <w:rPr>
          <w:rFonts w:ascii="Arial" w:cs="Arial" w:eastAsia="Arial" w:hAnsi="Arial"/>
          <w:sz w:val="18"/>
          <w:szCs w:val="18"/>
          <w:b w:val="1"/>
          <w:bCs w:val="1"/>
          <w:color w:val="DA2031"/>
        </w:rPr>
        <w:t>Print and Other</w:t>
      </w:r>
      <w:r>
        <w:rPr>
          <w:rFonts w:ascii="Arial" w:cs="Arial" w:eastAsia="Arial" w:hAnsi="Arial"/>
          <w:sz w:val="18"/>
          <w:szCs w:val="18"/>
          <w:b w:val="1"/>
          <w:bCs w:val="1"/>
          <w:color w:val="auto"/>
        </w:rPr>
        <w:t xml:space="preserve"> and </w:t>
      </w:r>
      <w:r>
        <w:rPr>
          <w:rFonts w:ascii="Arial" w:cs="Arial" w:eastAsia="Arial" w:hAnsi="Arial"/>
          <w:sz w:val="18"/>
          <w:szCs w:val="18"/>
          <w:b w:val="1"/>
          <w:bCs w:val="1"/>
          <w:color w:val="DA2031"/>
        </w:rPr>
        <w:t>IT Solutions</w:t>
      </w:r>
      <w:r>
        <w:rPr>
          <w:rFonts w:ascii="Arial" w:cs="Arial" w:eastAsia="Arial" w:hAnsi="Arial"/>
          <w:sz w:val="18"/>
          <w:szCs w:val="18"/>
          <w:b w:val="1"/>
          <w:bCs w:val="1"/>
          <w:color w:val="auto"/>
        </w:rPr>
        <w:t xml:space="preserve">. We also determined that there were no other businesses that met the requirements to be considered separate operating or reportable segments. As a result of this change, the carrying amount of Goodwill, net was reassessed and was allocated to our two reporting units - </w:t>
      </w:r>
      <w:r>
        <w:rPr>
          <w:rFonts w:ascii="Arial" w:cs="Arial" w:eastAsia="Arial" w:hAnsi="Arial"/>
          <w:sz w:val="18"/>
          <w:szCs w:val="18"/>
          <w:b w:val="1"/>
          <w:bCs w:val="1"/>
          <w:color w:val="DA2031"/>
        </w:rPr>
        <w:t>Print and Other</w:t>
      </w:r>
      <w:r>
        <w:rPr>
          <w:rFonts w:ascii="Arial" w:cs="Arial" w:eastAsia="Arial" w:hAnsi="Arial"/>
          <w:sz w:val="18"/>
          <w:szCs w:val="18"/>
          <w:b w:val="1"/>
          <w:bCs w:val="1"/>
          <w:color w:val="auto"/>
        </w:rPr>
        <w:t xml:space="preserve"> and </w:t>
      </w:r>
      <w:r>
        <w:rPr>
          <w:rFonts w:ascii="Arial" w:cs="Arial" w:eastAsia="Arial" w:hAnsi="Arial"/>
          <w:sz w:val="18"/>
          <w:szCs w:val="18"/>
          <w:b w:val="1"/>
          <w:bCs w:val="1"/>
          <w:color w:val="DA2031"/>
        </w:rPr>
        <w:t>IT Solutions</w:t>
      </w:r>
      <w:r>
        <w:rPr>
          <w:rFonts w:ascii="Arial" w:cs="Arial" w:eastAsia="Arial" w:hAnsi="Arial"/>
          <w:sz w:val="18"/>
          <w:szCs w:val="18"/>
          <w:b w:val="1"/>
          <w:bCs w:val="1"/>
          <w:color w:val="auto"/>
        </w:rPr>
        <w:t>, based on the relative fair value of each reporting unit. As part of the reassessment it was determined that Goodwill was not impaired either before or after the resegmentation. Prior to this reassessment, all Goodwill was allocated to our Print and Other reporting unit. The following presents the changes in the carrying amount of Goodwill, net: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5280" w:type="dxa"/>
            <w:vAlign w:val="bottom"/>
            <w:gridSpan w:val="4"/>
          </w:tcPr>
          <w:p>
            <w:pPr>
              <w:spacing w:after="0"/>
              <w:rPr>
                <w:sz w:val="20"/>
                <w:szCs w:val="20"/>
                <w:color w:val="auto"/>
              </w:rPr>
            </w:pPr>
            <w:r>
              <w:rPr>
                <w:rFonts w:ascii="Arial" w:cs="Arial" w:eastAsia="Arial" w:hAnsi="Arial"/>
                <w:sz w:val="17"/>
                <w:szCs w:val="17"/>
                <w:b w:val="1"/>
                <w:bCs w:val="1"/>
                <w:color w:val="auto"/>
              </w:rPr>
              <w:t>Print and Other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
        </w:trPr>
        <w:tc>
          <w:tcPr>
            <w:tcW w:w="60" w:type="dxa"/>
            <w:vAlign w:val="bottom"/>
            <w:tcBorders>
              <w:bottom w:val="single" w:sz="8" w:color="E5E5E5"/>
            </w:tcBorders>
          </w:tcPr>
          <w:p>
            <w:pPr>
              <w:spacing w:after="0" w:line="20" w:lineRule="exact"/>
              <w:rPr>
                <w:sz w:val="1"/>
                <w:szCs w:val="1"/>
                <w:color w:val="auto"/>
              </w:rPr>
            </w:pPr>
          </w:p>
        </w:tc>
        <w:tc>
          <w:tcPr>
            <w:tcW w:w="940" w:type="dxa"/>
            <w:vAlign w:val="bottom"/>
            <w:tcBorders>
              <w:top w:val="single" w:sz="8" w:color="auto"/>
              <w:bottom w:val="single" w:sz="8" w:color="E5E5E5"/>
            </w:tcBorders>
          </w:tcPr>
          <w:p>
            <w:pPr>
              <w:spacing w:after="0" w:line="20" w:lineRule="exact"/>
              <w:rPr>
                <w:sz w:val="1"/>
                <w:szCs w:val="1"/>
                <w:color w:val="auto"/>
              </w:rPr>
            </w:pPr>
          </w:p>
        </w:tc>
        <w:tc>
          <w:tcPr>
            <w:tcW w:w="60" w:type="dxa"/>
            <w:vAlign w:val="bottom"/>
            <w:tcBorders>
              <w:top w:val="single" w:sz="8" w:color="auto"/>
              <w:bottom w:val="single" w:sz="8" w:color="E5E5E5"/>
            </w:tcBorders>
          </w:tcPr>
          <w:p>
            <w:pPr>
              <w:spacing w:after="0" w:line="20" w:lineRule="exact"/>
              <w:rPr>
                <w:sz w:val="1"/>
                <w:szCs w:val="1"/>
                <w:color w:val="auto"/>
              </w:rPr>
            </w:pPr>
          </w:p>
        </w:tc>
        <w:tc>
          <w:tcPr>
            <w:tcW w:w="260" w:type="dxa"/>
            <w:vAlign w:val="bottom"/>
            <w:tcBorders>
              <w:top w:val="single" w:sz="8" w:color="auto"/>
              <w:bottom w:val="single" w:sz="8" w:color="E5E5E5"/>
            </w:tcBorders>
          </w:tcPr>
          <w:p>
            <w:pPr>
              <w:spacing w:after="0" w:line="20" w:lineRule="exact"/>
              <w:rPr>
                <w:sz w:val="1"/>
                <w:szCs w:val="1"/>
                <w:color w:val="auto"/>
              </w:rPr>
            </w:pPr>
          </w:p>
        </w:tc>
        <w:tc>
          <w:tcPr>
            <w:tcW w:w="402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E5E5E5"/>
            </w:tcBorders>
          </w:tcPr>
          <w:p>
            <w:pPr>
              <w:spacing w:after="0" w:line="20" w:lineRule="exact"/>
              <w:rPr>
                <w:sz w:val="1"/>
                <w:szCs w:val="1"/>
                <w:color w:val="auto"/>
              </w:rPr>
            </w:pPr>
          </w:p>
        </w:tc>
        <w:tc>
          <w:tcPr>
            <w:tcW w:w="1140" w:type="dxa"/>
            <w:vAlign w:val="bottom"/>
            <w:tcBorders>
              <w:bottom w:val="single" w:sz="8" w:color="E5E5E5"/>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E5E5E5"/>
            </w:tcBorders>
          </w:tcPr>
          <w:p>
            <w:pPr>
              <w:spacing w:after="0" w:line="20" w:lineRule="exact"/>
              <w:rPr>
                <w:sz w:val="1"/>
                <w:szCs w:val="1"/>
                <w:color w:val="auto"/>
              </w:rPr>
            </w:pPr>
          </w:p>
        </w:tc>
        <w:tc>
          <w:tcPr>
            <w:tcW w:w="1140" w:type="dxa"/>
            <w:vAlign w:val="bottom"/>
            <w:tcBorders>
              <w:bottom w:val="single" w:sz="8" w:color="E5E5E5"/>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Gross Goodwill - January 1st</w:t>
            </w: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3,808</w:t>
            </w:r>
          </w:p>
        </w:tc>
        <w:tc>
          <w:tcPr>
            <w:tcW w:w="0" w:type="dxa"/>
            <w:vAlign w:val="bottom"/>
          </w:tcPr>
          <w:p>
            <w:pPr>
              <w:spacing w:after="0"/>
              <w:rPr>
                <w:sz w:val="1"/>
                <w:szCs w:val="1"/>
                <w:color w:val="auto"/>
              </w:rPr>
            </w:pPr>
          </w:p>
        </w:tc>
      </w:tr>
      <w:tr>
        <w:trPr>
          <w:trHeight w:val="227"/>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Foreign currency translation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0" w:type="dxa"/>
            <w:vAlign w:val="bottom"/>
          </w:tcPr>
          <w:p>
            <w:pPr>
              <w:spacing w:after="0"/>
              <w:rPr>
                <w:sz w:val="1"/>
                <w:szCs w:val="1"/>
                <w:color w:val="auto"/>
              </w:rPr>
            </w:pPr>
          </w:p>
        </w:tc>
      </w:tr>
      <w:tr>
        <w:trPr>
          <w:trHeight w:val="239"/>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Lexmark</w:t>
            </w:r>
            <w:r>
              <w:rPr>
                <w:rFonts w:ascii="Arial" w:cs="Arial" w:eastAsia="Arial" w:hAnsi="Arial"/>
                <w:sz w:val="10"/>
                <w:szCs w:val="10"/>
                <w:b w:val="1"/>
                <w:bCs w:val="1"/>
                <w:color w:val="auto"/>
              </w:rPr>
              <w:t>(1)</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246</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E5E5E5"/>
            </w:tcBorders>
            <w:gridSpan w:val="5"/>
          </w:tcPr>
          <w:p>
            <w:pPr>
              <w:ind w:left="60"/>
              <w:spacing w:after="0"/>
              <w:rPr>
                <w:sz w:val="20"/>
                <w:szCs w:val="20"/>
                <w:color w:val="auto"/>
              </w:rPr>
            </w:pPr>
            <w:r>
              <w:rPr>
                <w:rFonts w:ascii="Arial" w:cs="Arial" w:eastAsia="Arial" w:hAnsi="Arial"/>
                <w:sz w:val="16"/>
                <w:szCs w:val="16"/>
                <w:b w:val="1"/>
                <w:bCs w:val="1"/>
                <w:color w:val="auto"/>
              </w:rPr>
              <w:t>Other</w:t>
            </w:r>
          </w:p>
        </w:tc>
        <w:tc>
          <w:tcPr>
            <w:tcW w:w="360" w:type="dxa"/>
            <w:vAlign w:val="bottom"/>
            <w:tcBorders>
              <w:bottom w:val="single" w:sz="8" w:color="E5E5E5"/>
            </w:tcBorders>
          </w:tcPr>
          <w:p>
            <w:pPr>
              <w:spacing w:after="0"/>
              <w:rPr>
                <w:sz w:val="19"/>
                <w:szCs w:val="19"/>
                <w:color w:val="auto"/>
              </w:rPr>
            </w:pPr>
          </w:p>
        </w:tc>
        <w:tc>
          <w:tcPr>
            <w:tcW w:w="114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E5E5E5"/>
            </w:tcBorders>
          </w:tcPr>
          <w:p>
            <w:pPr>
              <w:spacing w:after="0"/>
              <w:rPr>
                <w:sz w:val="19"/>
                <w:szCs w:val="19"/>
                <w:color w:val="auto"/>
              </w:rPr>
            </w:pPr>
          </w:p>
        </w:tc>
        <w:tc>
          <w:tcPr>
            <w:tcW w:w="114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3"/>
        </w:trPr>
        <w:tc>
          <w:tcPr>
            <w:tcW w:w="60" w:type="dxa"/>
            <w:vAlign w:val="bottom"/>
            <w:tcBorders>
              <w:bottom w:val="single" w:sz="8" w:color="E5E5E5"/>
            </w:tcBorders>
            <w:shd w:val="clear" w:color="auto" w:fill="E5E5E5"/>
          </w:tcPr>
          <w:p>
            <w:pPr>
              <w:spacing w:after="0"/>
              <w:rPr>
                <w:sz w:val="20"/>
                <w:szCs w:val="20"/>
                <w:color w:val="auto"/>
              </w:rPr>
            </w:pPr>
          </w:p>
        </w:tc>
        <w:tc>
          <w:tcPr>
            <w:tcW w:w="9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E5E5E5"/>
            </w:tcBorders>
            <w:shd w:val="clear" w:color="auto" w:fill="E5E5E5"/>
          </w:tcPr>
          <w:p>
            <w:pPr>
              <w:spacing w:after="0"/>
              <w:rPr>
                <w:sz w:val="20"/>
                <w:szCs w:val="20"/>
                <w:color w:val="auto"/>
              </w:rPr>
            </w:pPr>
          </w:p>
        </w:tc>
        <w:tc>
          <w:tcPr>
            <w:tcW w:w="402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spacing w:after="0"/>
              <w:rPr>
                <w:sz w:val="20"/>
                <w:szCs w:val="20"/>
                <w:color w:val="auto"/>
              </w:rPr>
            </w:pPr>
          </w:p>
        </w:tc>
        <w:tc>
          <w:tcPr>
            <w:tcW w:w="1140" w:type="dxa"/>
            <w:vAlign w:val="bottom"/>
            <w:tcBorders>
              <w:bottom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340" w:type="dxa"/>
            <w:vAlign w:val="bottom"/>
            <w:tcBorders>
              <w:bottom w:val="single" w:sz="8" w:color="E5E5E5"/>
            </w:tcBorders>
            <w:gridSpan w:val="5"/>
          </w:tcPr>
          <w:p>
            <w:pPr>
              <w:ind w:left="60"/>
              <w:spacing w:after="0"/>
              <w:rPr>
                <w:sz w:val="20"/>
                <w:szCs w:val="20"/>
                <w:color w:val="auto"/>
              </w:rPr>
            </w:pPr>
            <w:r>
              <w:rPr>
                <w:rFonts w:ascii="Arial" w:cs="Arial" w:eastAsia="Arial" w:hAnsi="Arial"/>
                <w:sz w:val="16"/>
                <w:szCs w:val="16"/>
                <w:b w:val="1"/>
                <w:bCs w:val="1"/>
                <w:color w:val="auto"/>
              </w:rPr>
              <w:t>Gross Goodwill - December 31st</w:t>
            </w:r>
          </w:p>
        </w:tc>
        <w:tc>
          <w:tcPr>
            <w:tcW w:w="36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4,146</w:t>
            </w:r>
          </w:p>
        </w:tc>
        <w:tc>
          <w:tcPr>
            <w:tcW w:w="0" w:type="dxa"/>
            <w:vAlign w:val="bottom"/>
          </w:tcPr>
          <w:p>
            <w:pPr>
              <w:spacing w:after="0"/>
              <w:rPr>
                <w:sz w:val="1"/>
                <w:szCs w:val="1"/>
                <w:color w:val="auto"/>
              </w:rPr>
            </w:pPr>
          </w:p>
        </w:tc>
      </w:tr>
      <w:tr>
        <w:trPr>
          <w:trHeight w:val="222"/>
        </w:trPr>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40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Accumulated impairment - January 1st</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(2,245)</w:t>
            </w:r>
          </w:p>
        </w:tc>
        <w:tc>
          <w:tcPr>
            <w:tcW w:w="0" w:type="dxa"/>
            <w:vAlign w:val="bottom"/>
          </w:tcPr>
          <w:p>
            <w:pPr>
              <w:spacing w:after="0"/>
              <w:rPr>
                <w:sz w:val="1"/>
                <w:szCs w:val="1"/>
                <w:color w:val="auto"/>
              </w:rPr>
            </w:pPr>
          </w:p>
        </w:tc>
      </w:tr>
      <w:tr>
        <w:trPr>
          <w:trHeight w:val="235"/>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Impairment loss</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E5E5E5"/>
            </w:tcBorders>
            <w:gridSpan w:val="5"/>
          </w:tcPr>
          <w:p>
            <w:pPr>
              <w:ind w:left="60"/>
              <w:spacing w:after="0"/>
              <w:rPr>
                <w:sz w:val="20"/>
                <w:szCs w:val="20"/>
                <w:color w:val="auto"/>
              </w:rPr>
            </w:pPr>
            <w:r>
              <w:rPr>
                <w:rFonts w:ascii="Arial" w:cs="Arial" w:eastAsia="Arial" w:hAnsi="Arial"/>
                <w:sz w:val="16"/>
                <w:szCs w:val="16"/>
                <w:b w:val="1"/>
                <w:bCs w:val="1"/>
                <w:color w:val="auto"/>
              </w:rPr>
              <w:t>Currency</w:t>
            </w:r>
          </w:p>
        </w:tc>
        <w:tc>
          <w:tcPr>
            <w:tcW w:w="360" w:type="dxa"/>
            <w:vAlign w:val="bottom"/>
            <w:tcBorders>
              <w:bottom w:val="single" w:sz="8" w:color="E5E5E5"/>
            </w:tcBorders>
          </w:tcPr>
          <w:p>
            <w:pPr>
              <w:spacing w:after="0"/>
              <w:rPr>
                <w:sz w:val="19"/>
                <w:szCs w:val="19"/>
                <w:color w:val="auto"/>
              </w:rPr>
            </w:pPr>
          </w:p>
        </w:tc>
        <w:tc>
          <w:tcPr>
            <w:tcW w:w="114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E5E5E5"/>
            </w:tcBorders>
          </w:tcPr>
          <w:p>
            <w:pPr>
              <w:spacing w:after="0"/>
              <w:rPr>
                <w:sz w:val="19"/>
                <w:szCs w:val="19"/>
                <w:color w:val="auto"/>
              </w:rPr>
            </w:pPr>
          </w:p>
        </w:tc>
        <w:tc>
          <w:tcPr>
            <w:tcW w:w="1140" w:type="dxa"/>
            <w:vAlign w:val="bottom"/>
            <w:tcBorders>
              <w:bottom w:val="single" w:sz="8" w:color="E5E5E5"/>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E5E5E5"/>
            </w:tcBorders>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Accumulated impairment - December 31st</w:t>
            </w:r>
          </w:p>
        </w:tc>
        <w:tc>
          <w:tcPr>
            <w:tcW w:w="360" w:type="dxa"/>
            <w:vAlign w:val="bottom"/>
            <w:tcBorders>
              <w:bottom w:val="single" w:sz="8" w:color="E5E5E5"/>
            </w:tcBorders>
            <w:shd w:val="clear" w:color="auto" w:fill="E5E5E5"/>
          </w:tcPr>
          <w:p>
            <w:pPr>
              <w:spacing w:after="0"/>
              <w:rPr>
                <w:sz w:val="18"/>
                <w:szCs w:val="18"/>
                <w:color w:val="auto"/>
              </w:rPr>
            </w:pPr>
          </w:p>
        </w:tc>
        <w:tc>
          <w:tcPr>
            <w:tcW w:w="114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E5E5E5"/>
            </w:tcBorders>
            <w:shd w:val="clear" w:color="auto" w:fill="E5E5E5"/>
          </w:tcPr>
          <w:p>
            <w:pPr>
              <w:spacing w:after="0"/>
              <w:rPr>
                <w:sz w:val="18"/>
                <w:szCs w:val="18"/>
                <w:color w:val="auto"/>
              </w:rPr>
            </w:pPr>
          </w:p>
        </w:tc>
        <w:tc>
          <w:tcPr>
            <w:tcW w:w="114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(2,302)</w:t>
            </w:r>
          </w:p>
        </w:tc>
        <w:tc>
          <w:tcPr>
            <w:tcW w:w="0" w:type="dxa"/>
            <w:vAlign w:val="bottom"/>
          </w:tcPr>
          <w:p>
            <w:pPr>
              <w:spacing w:after="0"/>
              <w:rPr>
                <w:sz w:val="1"/>
                <w:szCs w:val="1"/>
                <w:color w:val="auto"/>
              </w:rPr>
            </w:pPr>
          </w:p>
        </w:tc>
      </w:tr>
      <w:tr>
        <w:trPr>
          <w:trHeight w:val="213"/>
        </w:trPr>
        <w:tc>
          <w:tcPr>
            <w:tcW w:w="60" w:type="dxa"/>
            <w:vAlign w:val="bottom"/>
            <w:tcBorders>
              <w:bottom w:val="single" w:sz="8" w:color="E5E5E5"/>
            </w:tcBorders>
          </w:tcPr>
          <w:p>
            <w:pPr>
              <w:spacing w:after="0"/>
              <w:rPr>
                <w:sz w:val="18"/>
                <w:szCs w:val="18"/>
                <w:color w:val="auto"/>
              </w:rPr>
            </w:pPr>
          </w:p>
        </w:tc>
        <w:tc>
          <w:tcPr>
            <w:tcW w:w="940" w:type="dxa"/>
            <w:vAlign w:val="bottom"/>
            <w:tcBorders>
              <w:bottom w:val="single" w:sz="8" w:color="E5E5E5"/>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260" w:type="dxa"/>
            <w:vAlign w:val="bottom"/>
            <w:tcBorders>
              <w:bottom w:val="single" w:sz="8" w:color="E5E5E5"/>
            </w:tcBorders>
          </w:tcPr>
          <w:p>
            <w:pPr>
              <w:spacing w:after="0"/>
              <w:rPr>
                <w:sz w:val="18"/>
                <w:szCs w:val="18"/>
                <w:color w:val="auto"/>
              </w:rPr>
            </w:pPr>
          </w:p>
        </w:tc>
        <w:tc>
          <w:tcPr>
            <w:tcW w:w="4020" w:type="dxa"/>
            <w:vAlign w:val="bottom"/>
            <w:tcBorders>
              <w:bottom w:val="single" w:sz="8" w:color="E5E5E5"/>
            </w:tcBorders>
          </w:tcPr>
          <w:p>
            <w:pPr>
              <w:spacing w:after="0"/>
              <w:rPr>
                <w:sz w:val="18"/>
                <w:szCs w:val="18"/>
                <w:color w:val="auto"/>
              </w:rPr>
            </w:pPr>
          </w:p>
        </w:tc>
        <w:tc>
          <w:tcPr>
            <w:tcW w:w="360" w:type="dxa"/>
            <w:vAlign w:val="bottom"/>
            <w:tcBorders>
              <w:bottom w:val="single" w:sz="8" w:color="E5E5E5"/>
            </w:tcBorders>
          </w:tcPr>
          <w:p>
            <w:pPr>
              <w:spacing w:after="0"/>
              <w:rPr>
                <w:sz w:val="18"/>
                <w:szCs w:val="18"/>
                <w:color w:val="auto"/>
              </w:rPr>
            </w:pPr>
          </w:p>
        </w:tc>
        <w:tc>
          <w:tcPr>
            <w:tcW w:w="1140" w:type="dxa"/>
            <w:vAlign w:val="bottom"/>
            <w:tcBorders>
              <w:bottom w:val="single" w:sz="8" w:color="E5E5E5"/>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E5E5E5"/>
            </w:tcBorders>
          </w:tcPr>
          <w:p>
            <w:pPr>
              <w:spacing w:after="0"/>
              <w:rPr>
                <w:sz w:val="18"/>
                <w:szCs w:val="18"/>
                <w:color w:val="auto"/>
              </w:rPr>
            </w:pPr>
          </w:p>
        </w:tc>
        <w:tc>
          <w:tcPr>
            <w:tcW w:w="1140" w:type="dxa"/>
            <w:vAlign w:val="bottom"/>
            <w:tcBorders>
              <w:bottom w:val="single" w:sz="8" w:color="E5E5E5"/>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340" w:type="dxa"/>
            <w:vAlign w:val="bottom"/>
            <w:tcBorders>
              <w:bottom w:val="single" w:sz="8" w:color="E5E5E5"/>
            </w:tcBorders>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Goodwill, net - December 31</w:t>
            </w:r>
            <w:r>
              <w:rPr>
                <w:rFonts w:ascii="Arial" w:cs="Arial" w:eastAsia="Arial" w:hAnsi="Arial"/>
                <w:sz w:val="10"/>
                <w:szCs w:val="10"/>
                <w:b w:val="1"/>
                <w:bCs w:val="1"/>
                <w:color w:val="auto"/>
              </w:rPr>
              <w:t>st</w:t>
            </w: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1,844</w:t>
            </w: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5280" w:type="dxa"/>
            <w:vAlign w:val="bottom"/>
            <w:gridSpan w:val="4"/>
          </w:tcPr>
          <w:p>
            <w:pPr>
              <w:spacing w:after="0"/>
              <w:rPr>
                <w:sz w:val="20"/>
                <w:szCs w:val="20"/>
                <w:color w:val="auto"/>
              </w:rPr>
            </w:pPr>
            <w:r>
              <w:rPr>
                <w:rFonts w:ascii="Arial" w:cs="Arial" w:eastAsia="Arial" w:hAnsi="Arial"/>
                <w:sz w:val="17"/>
                <w:szCs w:val="17"/>
                <w:b w:val="1"/>
                <w:bCs w:val="1"/>
                <w:color w:val="auto"/>
              </w:rPr>
              <w:t>IT Solutions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
        </w:trPr>
        <w:tc>
          <w:tcPr>
            <w:tcW w:w="60" w:type="dxa"/>
            <w:vAlign w:val="bottom"/>
            <w:tcBorders>
              <w:bottom w:val="single" w:sz="8" w:color="E5E5E5"/>
            </w:tcBorders>
          </w:tcPr>
          <w:p>
            <w:pPr>
              <w:spacing w:after="0" w:line="20" w:lineRule="exact"/>
              <w:rPr>
                <w:sz w:val="1"/>
                <w:szCs w:val="1"/>
                <w:color w:val="auto"/>
              </w:rPr>
            </w:pPr>
          </w:p>
        </w:tc>
        <w:tc>
          <w:tcPr>
            <w:tcW w:w="940" w:type="dxa"/>
            <w:vAlign w:val="bottom"/>
            <w:tcBorders>
              <w:top w:val="single" w:sz="8" w:color="auto"/>
              <w:bottom w:val="single" w:sz="8" w:color="E5E5E5"/>
            </w:tcBorders>
          </w:tcPr>
          <w:p>
            <w:pPr>
              <w:spacing w:after="0" w:line="20" w:lineRule="exact"/>
              <w:rPr>
                <w:sz w:val="1"/>
                <w:szCs w:val="1"/>
                <w:color w:val="auto"/>
              </w:rPr>
            </w:pPr>
          </w:p>
        </w:tc>
        <w:tc>
          <w:tcPr>
            <w:tcW w:w="60" w:type="dxa"/>
            <w:vAlign w:val="bottom"/>
            <w:tcBorders>
              <w:top w:val="single" w:sz="8" w:color="auto"/>
              <w:bottom w:val="single" w:sz="8" w:color="E5E5E5"/>
            </w:tcBorders>
          </w:tcPr>
          <w:p>
            <w:pPr>
              <w:spacing w:after="0" w:line="20" w:lineRule="exact"/>
              <w:rPr>
                <w:sz w:val="1"/>
                <w:szCs w:val="1"/>
                <w:color w:val="auto"/>
              </w:rPr>
            </w:pPr>
          </w:p>
        </w:tc>
        <w:tc>
          <w:tcPr>
            <w:tcW w:w="260" w:type="dxa"/>
            <w:vAlign w:val="bottom"/>
            <w:tcBorders>
              <w:bottom w:val="single" w:sz="8" w:color="E5E5E5"/>
            </w:tcBorders>
          </w:tcPr>
          <w:p>
            <w:pPr>
              <w:spacing w:after="0" w:line="20" w:lineRule="exact"/>
              <w:rPr>
                <w:sz w:val="1"/>
                <w:szCs w:val="1"/>
                <w:color w:val="auto"/>
              </w:rPr>
            </w:pPr>
          </w:p>
        </w:tc>
        <w:tc>
          <w:tcPr>
            <w:tcW w:w="402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E5E5E5"/>
            </w:tcBorders>
          </w:tcPr>
          <w:p>
            <w:pPr>
              <w:spacing w:after="0" w:line="20" w:lineRule="exact"/>
              <w:rPr>
                <w:sz w:val="1"/>
                <w:szCs w:val="1"/>
                <w:color w:val="auto"/>
              </w:rPr>
            </w:pPr>
          </w:p>
        </w:tc>
        <w:tc>
          <w:tcPr>
            <w:tcW w:w="1140" w:type="dxa"/>
            <w:vAlign w:val="bottom"/>
            <w:tcBorders>
              <w:bottom w:val="single" w:sz="8" w:color="E5E5E5"/>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E5E5E5"/>
            </w:tcBorders>
          </w:tcPr>
          <w:p>
            <w:pPr>
              <w:spacing w:after="0" w:line="20" w:lineRule="exact"/>
              <w:rPr>
                <w:sz w:val="1"/>
                <w:szCs w:val="1"/>
                <w:color w:val="auto"/>
              </w:rPr>
            </w:pPr>
          </w:p>
        </w:tc>
        <w:tc>
          <w:tcPr>
            <w:tcW w:w="1140" w:type="dxa"/>
            <w:vAlign w:val="bottom"/>
            <w:tcBorders>
              <w:bottom w:val="single" w:sz="8" w:color="E5E5E5"/>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Gross Goodwill - January 1st</w:t>
            </w: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374</w:t>
            </w:r>
          </w:p>
        </w:tc>
        <w:tc>
          <w:tcPr>
            <w:tcW w:w="0" w:type="dxa"/>
            <w:vAlign w:val="bottom"/>
          </w:tcPr>
          <w:p>
            <w:pPr>
              <w:spacing w:after="0"/>
              <w:rPr>
                <w:sz w:val="1"/>
                <w:szCs w:val="1"/>
                <w:color w:val="auto"/>
              </w:rPr>
            </w:pPr>
          </w:p>
        </w:tc>
      </w:tr>
      <w:tr>
        <w:trPr>
          <w:trHeight w:val="227"/>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Foreign currency translation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E5E5E5"/>
            </w:tcBorders>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ITsavvy</w:t>
            </w:r>
            <w:r>
              <w:rPr>
                <w:rFonts w:ascii="Arial" w:cs="Arial" w:eastAsia="Arial" w:hAnsi="Arial"/>
                <w:sz w:val="10"/>
                <w:szCs w:val="10"/>
                <w:b w:val="1"/>
                <w:bCs w:val="1"/>
                <w:color w:val="auto"/>
              </w:rPr>
              <w:t>(1)</w:t>
            </w: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94"/>
        </w:trPr>
        <w:tc>
          <w:tcPr>
            <w:tcW w:w="5340" w:type="dxa"/>
            <w:vAlign w:val="bottom"/>
            <w:tcBorders>
              <w:bottom w:val="single" w:sz="8" w:color="E5E5E5"/>
            </w:tcBorders>
            <w:gridSpan w:val="5"/>
          </w:tcPr>
          <w:p>
            <w:pPr>
              <w:ind w:left="60"/>
              <w:spacing w:after="0"/>
              <w:rPr>
                <w:sz w:val="20"/>
                <w:szCs w:val="20"/>
                <w:color w:val="auto"/>
              </w:rPr>
            </w:pPr>
            <w:r>
              <w:rPr>
                <w:rFonts w:ascii="Arial" w:cs="Arial" w:eastAsia="Arial" w:hAnsi="Arial"/>
                <w:sz w:val="16"/>
                <w:szCs w:val="16"/>
                <w:b w:val="1"/>
                <w:bCs w:val="1"/>
                <w:color w:val="auto"/>
              </w:rPr>
              <w:t>Gross Goodwill - December 31st</w:t>
            </w:r>
          </w:p>
        </w:tc>
        <w:tc>
          <w:tcPr>
            <w:tcW w:w="36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0" w:type="dxa"/>
            <w:vAlign w:val="bottom"/>
          </w:tcPr>
          <w:p>
            <w:pPr>
              <w:spacing w:after="0"/>
              <w:rPr>
                <w:sz w:val="1"/>
                <w:szCs w:val="1"/>
                <w:color w:val="auto"/>
              </w:rPr>
            </w:pPr>
          </w:p>
        </w:tc>
      </w:tr>
      <w:tr>
        <w:trPr>
          <w:trHeight w:val="222"/>
        </w:trPr>
        <w:tc>
          <w:tcPr>
            <w:tcW w:w="6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40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Accumulated impairment - January 1st</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4"/>
        </w:trPr>
        <w:tc>
          <w:tcPr>
            <w:tcW w:w="5340" w:type="dxa"/>
            <w:vAlign w:val="bottom"/>
            <w:tcBorders>
              <w:bottom w:val="single" w:sz="8" w:color="E5E5E5"/>
            </w:tcBorders>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Impairment loss</w:t>
            </w: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E5E5E5"/>
            </w:tcBorders>
            <w:shd w:val="clear" w:color="auto" w:fill="E5E5E5"/>
          </w:tcPr>
          <w:p>
            <w:pPr>
              <w:spacing w:after="0"/>
              <w:rPr>
                <w:sz w:val="21"/>
                <w:szCs w:val="21"/>
                <w:color w:val="auto"/>
              </w:rPr>
            </w:pP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4"/>
        </w:trPr>
        <w:tc>
          <w:tcPr>
            <w:tcW w:w="5340" w:type="dxa"/>
            <w:vAlign w:val="bottom"/>
            <w:tcBorders>
              <w:bottom w:val="single" w:sz="8" w:color="E5E5E5"/>
            </w:tcBorders>
            <w:gridSpan w:val="5"/>
          </w:tcPr>
          <w:p>
            <w:pPr>
              <w:ind w:left="60"/>
              <w:spacing w:after="0"/>
              <w:rPr>
                <w:sz w:val="20"/>
                <w:szCs w:val="20"/>
                <w:color w:val="auto"/>
              </w:rPr>
            </w:pPr>
            <w:r>
              <w:rPr>
                <w:rFonts w:ascii="Arial" w:cs="Arial" w:eastAsia="Arial" w:hAnsi="Arial"/>
                <w:sz w:val="16"/>
                <w:szCs w:val="16"/>
                <w:b w:val="1"/>
                <w:bCs w:val="1"/>
                <w:color w:val="auto"/>
              </w:rPr>
              <w:t>Accumulated impairment - December 31st</w:t>
            </w:r>
          </w:p>
        </w:tc>
        <w:tc>
          <w:tcPr>
            <w:tcW w:w="36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60" w:type="dxa"/>
            <w:vAlign w:val="bottom"/>
            <w:tcBorders>
              <w:bottom w:val="single" w:sz="8" w:color="E5E5E5"/>
            </w:tcBorders>
            <w:shd w:val="clear" w:color="auto" w:fill="E5E5E5"/>
          </w:tcPr>
          <w:p>
            <w:pPr>
              <w:spacing w:after="0"/>
              <w:rPr>
                <w:sz w:val="20"/>
                <w:szCs w:val="20"/>
                <w:color w:val="auto"/>
              </w:rPr>
            </w:pPr>
          </w:p>
        </w:tc>
        <w:tc>
          <w:tcPr>
            <w:tcW w:w="9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E5E5E5"/>
            </w:tcBorders>
            <w:shd w:val="clear" w:color="auto" w:fill="E5E5E5"/>
          </w:tcPr>
          <w:p>
            <w:pPr>
              <w:spacing w:after="0"/>
              <w:rPr>
                <w:sz w:val="20"/>
                <w:szCs w:val="20"/>
                <w:color w:val="auto"/>
              </w:rPr>
            </w:pPr>
          </w:p>
        </w:tc>
        <w:tc>
          <w:tcPr>
            <w:tcW w:w="402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spacing w:after="0"/>
              <w:rPr>
                <w:sz w:val="20"/>
                <w:szCs w:val="20"/>
                <w:color w:val="auto"/>
              </w:rPr>
            </w:pPr>
          </w:p>
        </w:tc>
        <w:tc>
          <w:tcPr>
            <w:tcW w:w="1140" w:type="dxa"/>
            <w:vAlign w:val="bottom"/>
            <w:tcBorders>
              <w:bottom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340" w:type="dxa"/>
            <w:vAlign w:val="bottom"/>
            <w:gridSpan w:val="5"/>
          </w:tcPr>
          <w:p>
            <w:pPr>
              <w:ind w:left="60"/>
              <w:spacing w:after="0" w:line="174" w:lineRule="exact"/>
              <w:rPr>
                <w:sz w:val="20"/>
                <w:szCs w:val="20"/>
                <w:color w:val="auto"/>
              </w:rPr>
            </w:pPr>
            <w:r>
              <w:rPr>
                <w:rFonts w:ascii="Arial" w:cs="Arial" w:eastAsia="Arial" w:hAnsi="Arial"/>
                <w:sz w:val="16"/>
                <w:szCs w:val="16"/>
                <w:b w:val="1"/>
                <w:bCs w:val="1"/>
                <w:color w:val="auto"/>
              </w:rPr>
              <w:t>Goodwill, net - December 31</w:t>
            </w:r>
            <w:r>
              <w:rPr>
                <w:rFonts w:ascii="Arial" w:cs="Arial" w:eastAsia="Arial" w:hAnsi="Arial"/>
                <w:sz w:val="10"/>
                <w:szCs w:val="10"/>
                <w:b w:val="1"/>
                <w:bCs w:val="1"/>
                <w:color w:val="auto"/>
              </w:rPr>
              <w:t>st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jc w:val="right"/>
              <w:ind w:right="142"/>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378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8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Xerox</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0" w:type="dxa"/>
            <w:vAlign w:val="bottom"/>
          </w:tcPr>
          <w:p>
            <w:pPr>
              <w:spacing w:after="0"/>
              <w:rPr>
                <w:sz w:val="21"/>
                <w:szCs w:val="21"/>
                <w:color w:val="auto"/>
              </w:rPr>
            </w:pPr>
          </w:p>
        </w:tc>
        <w:tc>
          <w:tcPr>
            <w:tcW w:w="5280" w:type="dxa"/>
            <w:vAlign w:val="bottom"/>
            <w:gridSpan w:val="4"/>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0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
        </w:trPr>
        <w:tc>
          <w:tcPr>
            <w:tcW w:w="60" w:type="dxa"/>
            <w:vAlign w:val="bottom"/>
            <w:tcBorders>
              <w:bottom w:val="single" w:sz="8" w:color="E5E5E5"/>
            </w:tcBorders>
          </w:tcPr>
          <w:p>
            <w:pPr>
              <w:spacing w:after="0" w:line="20" w:lineRule="exact"/>
              <w:rPr>
                <w:sz w:val="1"/>
                <w:szCs w:val="1"/>
                <w:color w:val="auto"/>
              </w:rPr>
            </w:pPr>
          </w:p>
        </w:tc>
        <w:tc>
          <w:tcPr>
            <w:tcW w:w="940" w:type="dxa"/>
            <w:vAlign w:val="bottom"/>
            <w:tcBorders>
              <w:top w:val="single" w:sz="8" w:color="auto"/>
              <w:bottom w:val="single" w:sz="8" w:color="E5E5E5"/>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E5E5E5"/>
            </w:tcBorders>
          </w:tcPr>
          <w:p>
            <w:pPr>
              <w:spacing w:after="0" w:line="20" w:lineRule="exact"/>
              <w:rPr>
                <w:sz w:val="1"/>
                <w:szCs w:val="1"/>
                <w:color w:val="auto"/>
              </w:rPr>
            </w:pPr>
          </w:p>
        </w:tc>
        <w:tc>
          <w:tcPr>
            <w:tcW w:w="402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Gross Goodwill - January 1st</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4,182</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3,940</w:t>
            </w: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4,013</w:t>
            </w:r>
          </w:p>
        </w:tc>
        <w:tc>
          <w:tcPr>
            <w:tcW w:w="0" w:type="dxa"/>
            <w:vAlign w:val="bottom"/>
          </w:tcPr>
          <w:p>
            <w:pPr>
              <w:spacing w:after="0"/>
              <w:rPr>
                <w:sz w:val="1"/>
                <w:szCs w:val="1"/>
                <w:color w:val="auto"/>
              </w:rPr>
            </w:pPr>
          </w:p>
        </w:tc>
      </w:tr>
      <w:tr>
        <w:trPr>
          <w:trHeight w:val="227"/>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Foreign currency translation - Gross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39"/>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Acquisitions</w:t>
            </w:r>
            <w:r>
              <w:rPr>
                <w:rFonts w:ascii="Arial" w:cs="Arial" w:eastAsia="Arial" w:hAnsi="Arial"/>
                <w:sz w:val="10"/>
                <w:szCs w:val="10"/>
                <w:b w:val="1"/>
                <w:bCs w:val="1"/>
                <w:color w:val="auto"/>
              </w:rPr>
              <w:t>(1)</w:t>
            </w:r>
            <w:r>
              <w:rPr>
                <w:rFonts w:ascii="Arial" w:cs="Arial" w:eastAsia="Arial" w:hAnsi="Arial"/>
                <w:sz w:val="16"/>
                <w:szCs w:val="16"/>
                <w:b w:val="1"/>
                <w:bCs w:val="1"/>
                <w:color w:val="auto"/>
              </w:rPr>
              <w:t>:</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280" w:type="dxa"/>
            <w:vAlign w:val="bottom"/>
            <w:gridSpan w:val="4"/>
          </w:tcPr>
          <w:p>
            <w:pPr>
              <w:ind w:left="220"/>
              <w:spacing w:after="0"/>
              <w:rPr>
                <w:sz w:val="20"/>
                <w:szCs w:val="20"/>
                <w:color w:val="auto"/>
              </w:rPr>
            </w:pPr>
            <w:r>
              <w:rPr>
                <w:rFonts w:ascii="Arial" w:cs="Arial" w:eastAsia="Arial" w:hAnsi="Arial"/>
                <w:sz w:val="16"/>
                <w:szCs w:val="16"/>
                <w:b w:val="1"/>
                <w:bCs w:val="1"/>
                <w:color w:val="auto"/>
              </w:rPr>
              <w:t>Lexmark</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5280" w:type="dxa"/>
            <w:vAlign w:val="bottom"/>
            <w:gridSpan w:val="4"/>
            <w:shd w:val="clear" w:color="auto" w:fill="E5E5E5"/>
          </w:tcPr>
          <w:p>
            <w:pPr>
              <w:ind w:left="220"/>
              <w:spacing w:after="0"/>
              <w:rPr>
                <w:sz w:val="20"/>
                <w:szCs w:val="20"/>
                <w:color w:val="auto"/>
              </w:rPr>
            </w:pPr>
            <w:r>
              <w:rPr>
                <w:rFonts w:ascii="Arial" w:cs="Arial" w:eastAsia="Arial" w:hAnsi="Arial"/>
                <w:sz w:val="16"/>
                <w:szCs w:val="16"/>
                <w:b w:val="1"/>
                <w:bCs w:val="1"/>
                <w:color w:val="auto"/>
              </w:rPr>
              <w:t>ITsavvy</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286</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280" w:type="dxa"/>
            <w:vAlign w:val="bottom"/>
            <w:gridSpan w:val="4"/>
          </w:tcPr>
          <w:p>
            <w:pPr>
              <w:ind w:left="220"/>
              <w:spacing w:after="0"/>
              <w:rPr>
                <w:sz w:val="20"/>
                <w:szCs w:val="20"/>
                <w:color w:val="auto"/>
              </w:rPr>
            </w:pPr>
            <w:r>
              <w:rPr>
                <w:rFonts w:ascii="Arial" w:cs="Arial" w:eastAsia="Arial" w:hAnsi="Arial"/>
                <w:sz w:val="16"/>
                <w:szCs w:val="16"/>
                <w:b w:val="1"/>
                <w:bCs w:val="1"/>
                <w:color w:val="auto"/>
              </w:rPr>
              <w:t>U.K. Acquisitions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39"/>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Other</w:t>
            </w: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E5E5E5"/>
            </w:tcBorders>
            <w:gridSpan w:val="5"/>
          </w:tcPr>
          <w:p>
            <w:pPr>
              <w:ind w:left="60"/>
              <w:spacing w:after="0"/>
              <w:rPr>
                <w:sz w:val="20"/>
                <w:szCs w:val="20"/>
                <w:color w:val="auto"/>
              </w:rPr>
            </w:pPr>
            <w:r>
              <w:rPr>
                <w:rFonts w:ascii="Arial" w:cs="Arial" w:eastAsia="Arial" w:hAnsi="Arial"/>
                <w:sz w:val="16"/>
                <w:szCs w:val="16"/>
                <w:b w:val="1"/>
                <w:bCs w:val="1"/>
                <w:color w:val="auto"/>
              </w:rPr>
              <w:t>Dispositions</w:t>
            </w:r>
            <w:r>
              <w:rPr>
                <w:rFonts w:ascii="Arial" w:cs="Arial" w:eastAsia="Arial" w:hAnsi="Arial"/>
                <w:sz w:val="10"/>
                <w:szCs w:val="10"/>
                <w:b w:val="1"/>
                <w:bCs w:val="1"/>
                <w:color w:val="auto"/>
              </w:rPr>
              <w:t>(2)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213"/>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Gross Goodwill - December 31st</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4,524</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4,182</w:t>
            </w:r>
          </w:p>
        </w:tc>
        <w:tc>
          <w:tcPr>
            <w:tcW w:w="6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3,940</w:t>
            </w:r>
          </w:p>
        </w:tc>
        <w:tc>
          <w:tcPr>
            <w:tcW w:w="0" w:type="dxa"/>
            <w:vAlign w:val="bottom"/>
          </w:tcPr>
          <w:p>
            <w:pPr>
              <w:spacing w:after="0"/>
              <w:rPr>
                <w:sz w:val="1"/>
                <w:szCs w:val="1"/>
                <w:color w:val="auto"/>
              </w:rPr>
            </w:pPr>
          </w:p>
        </w:tc>
      </w:tr>
      <w:tr>
        <w:trPr>
          <w:trHeight w:val="222"/>
        </w:trPr>
        <w:tc>
          <w:tcPr>
            <w:tcW w:w="60" w:type="dxa"/>
            <w:vAlign w:val="bottom"/>
            <w:tcBorders>
              <w:top w:val="single" w:sz="8" w:color="E5E5E5"/>
            </w:tcBorders>
          </w:tcPr>
          <w:p>
            <w:pPr>
              <w:spacing w:after="0"/>
              <w:rPr>
                <w:sz w:val="19"/>
                <w:szCs w:val="19"/>
                <w:color w:val="auto"/>
              </w:rPr>
            </w:pPr>
          </w:p>
        </w:tc>
        <w:tc>
          <w:tcPr>
            <w:tcW w:w="940" w:type="dxa"/>
            <w:vAlign w:val="bottom"/>
            <w:tcBorders>
              <w:top w:val="single" w:sz="8" w:color="E5E5E5"/>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260" w:type="dxa"/>
            <w:vAlign w:val="bottom"/>
            <w:tcBorders>
              <w:top w:val="single" w:sz="8" w:color="E5E5E5"/>
            </w:tcBorders>
          </w:tcPr>
          <w:p>
            <w:pPr>
              <w:spacing w:after="0"/>
              <w:rPr>
                <w:sz w:val="19"/>
                <w:szCs w:val="19"/>
                <w:color w:val="auto"/>
              </w:rPr>
            </w:pPr>
          </w:p>
        </w:tc>
        <w:tc>
          <w:tcPr>
            <w:tcW w:w="4020" w:type="dxa"/>
            <w:vAlign w:val="bottom"/>
            <w:tcBorders>
              <w:top w:val="single" w:sz="8" w:color="E5E5E5"/>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Accumulated impairment - January 1st</w:t>
            </w: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(2,245)</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(1,193)</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(1,193)</w:t>
            </w:r>
          </w:p>
        </w:tc>
        <w:tc>
          <w:tcPr>
            <w:tcW w:w="0" w:type="dxa"/>
            <w:vAlign w:val="bottom"/>
          </w:tcPr>
          <w:p>
            <w:pPr>
              <w:spacing w:after="0"/>
              <w:rPr>
                <w:sz w:val="1"/>
                <w:szCs w:val="1"/>
                <w:color w:val="auto"/>
              </w:rPr>
            </w:pPr>
          </w:p>
        </w:tc>
      </w:tr>
      <w:tr>
        <w:trPr>
          <w:trHeight w:val="227"/>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Impairment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(1,058)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E5E5E5"/>
            </w:tcBorders>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Foreign currency translation - Impairment</w:t>
            </w: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4"/>
        </w:trPr>
        <w:tc>
          <w:tcPr>
            <w:tcW w:w="5340" w:type="dxa"/>
            <w:vAlign w:val="bottom"/>
            <w:gridSpan w:val="5"/>
          </w:tcPr>
          <w:p>
            <w:pPr>
              <w:ind w:left="60"/>
              <w:spacing w:after="0"/>
              <w:rPr>
                <w:sz w:val="20"/>
                <w:szCs w:val="20"/>
                <w:color w:val="auto"/>
              </w:rPr>
            </w:pPr>
            <w:r>
              <w:rPr>
                <w:rFonts w:ascii="Arial" w:cs="Arial" w:eastAsia="Arial" w:hAnsi="Arial"/>
                <w:sz w:val="16"/>
                <w:szCs w:val="16"/>
                <w:b w:val="1"/>
                <w:bCs w:val="1"/>
                <w:color w:val="auto"/>
              </w:rPr>
              <w:t>Accumulated impairment - December 31st</w:t>
            </w: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(2,302)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(2,245)</w:t>
            </w:r>
          </w:p>
        </w:tc>
        <w:tc>
          <w:tcPr>
            <w:tcW w:w="60" w:type="dxa"/>
            <w:vAlign w:val="bottom"/>
          </w:tcPr>
          <w:p>
            <w:pPr>
              <w:spacing w:after="0"/>
              <w:rPr>
                <w:sz w:val="16"/>
                <w:szCs w:val="16"/>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0" w:type="dxa"/>
            <w:vAlign w:val="bottom"/>
          </w:tcPr>
          <w:p>
            <w:pPr>
              <w:spacing w:after="0"/>
              <w:rPr>
                <w:sz w:val="1"/>
                <w:szCs w:val="1"/>
                <w:color w:val="auto"/>
              </w:rPr>
            </w:pPr>
          </w:p>
        </w:tc>
      </w:tr>
      <w:tr>
        <w:trPr>
          <w:trHeight w:val="233"/>
        </w:trPr>
        <w:tc>
          <w:tcPr>
            <w:tcW w:w="60" w:type="dxa"/>
            <w:vAlign w:val="bottom"/>
            <w:tcBorders>
              <w:top w:val="single" w:sz="8" w:color="E5E5E5"/>
              <w:bottom w:val="single" w:sz="8" w:color="E5E5E5"/>
            </w:tcBorders>
            <w:shd w:val="clear" w:color="auto" w:fill="E5E5E5"/>
          </w:tcPr>
          <w:p>
            <w:pPr>
              <w:spacing w:after="0"/>
              <w:rPr>
                <w:sz w:val="20"/>
                <w:szCs w:val="20"/>
                <w:color w:val="auto"/>
              </w:rPr>
            </w:pPr>
          </w:p>
        </w:tc>
        <w:tc>
          <w:tcPr>
            <w:tcW w:w="940" w:type="dxa"/>
            <w:vAlign w:val="bottom"/>
            <w:tcBorders>
              <w:top w:val="single" w:sz="8" w:color="E5E5E5"/>
              <w:bottom w:val="single" w:sz="8" w:color="E5E5E5"/>
            </w:tcBorders>
            <w:shd w:val="clear" w:color="auto" w:fill="E5E5E5"/>
          </w:tcPr>
          <w:p>
            <w:pPr>
              <w:spacing w:after="0"/>
              <w:rPr>
                <w:sz w:val="20"/>
                <w:szCs w:val="20"/>
                <w:color w:val="auto"/>
              </w:rPr>
            </w:pPr>
          </w:p>
        </w:tc>
        <w:tc>
          <w:tcPr>
            <w:tcW w:w="60" w:type="dxa"/>
            <w:vAlign w:val="bottom"/>
            <w:tcBorders>
              <w:top w:val="single" w:sz="8" w:color="E5E5E5"/>
              <w:bottom w:val="single" w:sz="8" w:color="E5E5E5"/>
            </w:tcBorders>
            <w:shd w:val="clear" w:color="auto" w:fill="E5E5E5"/>
          </w:tcPr>
          <w:p>
            <w:pPr>
              <w:spacing w:after="0"/>
              <w:rPr>
                <w:sz w:val="20"/>
                <w:szCs w:val="20"/>
                <w:color w:val="auto"/>
              </w:rPr>
            </w:pPr>
          </w:p>
        </w:tc>
        <w:tc>
          <w:tcPr>
            <w:tcW w:w="260" w:type="dxa"/>
            <w:vAlign w:val="bottom"/>
            <w:tcBorders>
              <w:top w:val="single" w:sz="8" w:color="E5E5E5"/>
              <w:bottom w:val="single" w:sz="8" w:color="E5E5E5"/>
            </w:tcBorders>
            <w:shd w:val="clear" w:color="auto" w:fill="E5E5E5"/>
          </w:tcPr>
          <w:p>
            <w:pPr>
              <w:spacing w:after="0"/>
              <w:rPr>
                <w:sz w:val="20"/>
                <w:szCs w:val="20"/>
                <w:color w:val="auto"/>
              </w:rPr>
            </w:pPr>
          </w:p>
        </w:tc>
        <w:tc>
          <w:tcPr>
            <w:tcW w:w="4020" w:type="dxa"/>
            <w:vAlign w:val="bottom"/>
            <w:tcBorders>
              <w:top w:val="single" w:sz="8" w:color="E5E5E5"/>
              <w:bottom w:val="single" w:sz="8" w:color="E5E5E5"/>
            </w:tcBorders>
            <w:shd w:val="clear" w:color="auto" w:fill="E5E5E5"/>
          </w:tcPr>
          <w:p>
            <w:pPr>
              <w:spacing w:after="0"/>
              <w:rPr>
                <w:sz w:val="20"/>
                <w:szCs w:val="20"/>
                <w:color w:val="auto"/>
              </w:rPr>
            </w:pPr>
          </w:p>
        </w:tc>
        <w:tc>
          <w:tcPr>
            <w:tcW w:w="360" w:type="dxa"/>
            <w:vAlign w:val="bottom"/>
            <w:tcBorders>
              <w:top w:val="single" w:sz="8" w:color="auto"/>
              <w:bottom w:val="single" w:sz="8" w:color="auto"/>
            </w:tcBorders>
            <w:shd w:val="clear" w:color="auto" w:fill="E5E5E5"/>
          </w:tcPr>
          <w:p>
            <w:pPr>
              <w:spacing w:after="0"/>
              <w:rPr>
                <w:sz w:val="20"/>
                <w:szCs w:val="20"/>
                <w:color w:val="auto"/>
              </w:rPr>
            </w:pPr>
          </w:p>
        </w:tc>
        <w:tc>
          <w:tcPr>
            <w:tcW w:w="1140" w:type="dxa"/>
            <w:vAlign w:val="bottom"/>
            <w:tcBorders>
              <w:top w:val="single" w:sz="8" w:color="auto"/>
              <w:bottom w:val="single" w:sz="8" w:color="auto"/>
            </w:tcBorders>
            <w:shd w:val="clear" w:color="auto" w:fill="E5E5E5"/>
          </w:tcPr>
          <w:p>
            <w:pPr>
              <w:spacing w:after="0"/>
              <w:rPr>
                <w:sz w:val="20"/>
                <w:szCs w:val="20"/>
                <w:color w:val="auto"/>
              </w:rPr>
            </w:pPr>
          </w:p>
        </w:tc>
        <w:tc>
          <w:tcPr>
            <w:tcW w:w="60" w:type="dxa"/>
            <w:vAlign w:val="bottom"/>
            <w:tcBorders>
              <w:top w:val="single" w:sz="8" w:color="E5E5E5"/>
              <w:bottom w:val="single" w:sz="8" w:color="E5E5E5"/>
            </w:tcBorders>
            <w:shd w:val="clear" w:color="auto" w:fill="E5E5E5"/>
          </w:tcPr>
          <w:p>
            <w:pPr>
              <w:spacing w:after="0"/>
              <w:rPr>
                <w:sz w:val="20"/>
                <w:szCs w:val="20"/>
                <w:color w:val="auto"/>
              </w:rPr>
            </w:pPr>
          </w:p>
        </w:tc>
        <w:tc>
          <w:tcPr>
            <w:tcW w:w="360" w:type="dxa"/>
            <w:vAlign w:val="bottom"/>
            <w:tcBorders>
              <w:top w:val="single" w:sz="8" w:color="auto"/>
              <w:bottom w:val="single" w:sz="8" w:color="auto"/>
            </w:tcBorders>
            <w:shd w:val="clear" w:color="auto" w:fill="E5E5E5"/>
          </w:tcPr>
          <w:p>
            <w:pPr>
              <w:spacing w:after="0"/>
              <w:rPr>
                <w:sz w:val="20"/>
                <w:szCs w:val="20"/>
                <w:color w:val="auto"/>
              </w:rPr>
            </w:pPr>
          </w:p>
        </w:tc>
        <w:tc>
          <w:tcPr>
            <w:tcW w:w="1140" w:type="dxa"/>
            <w:vAlign w:val="bottom"/>
            <w:tcBorders>
              <w:top w:val="single" w:sz="8" w:color="auto"/>
              <w:bottom w:val="single" w:sz="8" w:color="auto"/>
            </w:tcBorders>
            <w:shd w:val="clear" w:color="auto" w:fill="E5E5E5"/>
          </w:tcPr>
          <w:p>
            <w:pPr>
              <w:spacing w:after="0"/>
              <w:rPr>
                <w:sz w:val="20"/>
                <w:szCs w:val="20"/>
                <w:color w:val="auto"/>
              </w:rPr>
            </w:pPr>
          </w:p>
        </w:tc>
        <w:tc>
          <w:tcPr>
            <w:tcW w:w="60" w:type="dxa"/>
            <w:vAlign w:val="bottom"/>
            <w:tcBorders>
              <w:top w:val="single" w:sz="8" w:color="E5E5E5"/>
              <w:bottom w:val="single" w:sz="8" w:color="E5E5E5"/>
            </w:tcBorders>
            <w:shd w:val="clear" w:color="auto" w:fill="E5E5E5"/>
          </w:tcPr>
          <w:p>
            <w:pPr>
              <w:spacing w:after="0"/>
              <w:rPr>
                <w:sz w:val="20"/>
                <w:szCs w:val="20"/>
                <w:color w:val="auto"/>
              </w:rPr>
            </w:pPr>
          </w:p>
        </w:tc>
        <w:tc>
          <w:tcPr>
            <w:tcW w:w="360" w:type="dxa"/>
            <w:vAlign w:val="bottom"/>
            <w:tcBorders>
              <w:top w:val="single" w:sz="8" w:color="auto"/>
              <w:bottom w:val="single" w:sz="8" w:color="auto"/>
            </w:tcBorders>
            <w:shd w:val="clear" w:color="auto" w:fill="E5E5E5"/>
          </w:tcPr>
          <w:p>
            <w:pPr>
              <w:spacing w:after="0"/>
              <w:rPr>
                <w:sz w:val="20"/>
                <w:szCs w:val="20"/>
                <w:color w:val="auto"/>
              </w:rPr>
            </w:pPr>
          </w:p>
        </w:tc>
        <w:tc>
          <w:tcPr>
            <w:tcW w:w="1140" w:type="dxa"/>
            <w:vAlign w:val="bottom"/>
            <w:tcBorders>
              <w:top w:val="single" w:sz="8" w:color="auto"/>
              <w:bottom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340" w:type="dxa"/>
            <w:vAlign w:val="bottom"/>
            <w:gridSpan w:val="5"/>
          </w:tcPr>
          <w:p>
            <w:pPr>
              <w:ind w:left="60"/>
              <w:spacing w:after="0" w:line="174" w:lineRule="exact"/>
              <w:rPr>
                <w:sz w:val="20"/>
                <w:szCs w:val="20"/>
                <w:color w:val="auto"/>
              </w:rPr>
            </w:pPr>
            <w:r>
              <w:rPr>
                <w:rFonts w:ascii="Arial" w:cs="Arial" w:eastAsia="Arial" w:hAnsi="Arial"/>
                <w:sz w:val="16"/>
                <w:szCs w:val="16"/>
                <w:b w:val="1"/>
                <w:bCs w:val="1"/>
                <w:color w:val="auto"/>
              </w:rPr>
              <w:t>Goodwill, net - December 31</w:t>
            </w:r>
            <w:r>
              <w:rPr>
                <w:rFonts w:ascii="Arial" w:cs="Arial" w:eastAsia="Arial" w:hAnsi="Arial"/>
                <w:sz w:val="10"/>
                <w:szCs w:val="10"/>
                <w:b w:val="1"/>
                <w:bCs w:val="1"/>
                <w:color w:val="auto"/>
              </w:rPr>
              <w:t>st</w:t>
            </w:r>
          </w:p>
        </w:tc>
        <w:tc>
          <w:tcPr>
            <w:tcW w:w="360" w:type="dxa"/>
            <w:vAlign w:val="bottom"/>
          </w:tcPr>
          <w:p>
            <w:pPr>
              <w:jc w:val="right"/>
              <w:ind w:right="142"/>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2,222</w:t>
            </w:r>
          </w:p>
        </w:tc>
        <w:tc>
          <w:tcPr>
            <w:tcW w:w="420" w:type="dxa"/>
            <w:vAlign w:val="bottom"/>
            <w:gridSpan w:val="2"/>
          </w:tcPr>
          <w:p>
            <w:pPr>
              <w:jc w:val="right"/>
              <w:ind w:right="220"/>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1,937</w:t>
            </w:r>
          </w:p>
        </w:tc>
        <w:tc>
          <w:tcPr>
            <w:tcW w:w="60" w:type="dxa"/>
            <w:vAlign w:val="bottom"/>
          </w:tcPr>
          <w:p>
            <w:pPr>
              <w:spacing w:after="0"/>
              <w:rPr>
                <w:sz w:val="15"/>
                <w:szCs w:val="15"/>
                <w:color w:val="auto"/>
              </w:rPr>
            </w:pPr>
          </w:p>
        </w:tc>
        <w:tc>
          <w:tcPr>
            <w:tcW w:w="360" w:type="dxa"/>
            <w:vAlign w:val="bottom"/>
          </w:tcPr>
          <w:p>
            <w:pPr>
              <w:jc w:val="right"/>
              <w:ind w:right="142"/>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2,747</w:t>
            </w:r>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w w:val="99"/>
              </w:rPr>
              <w:t>_____________</w:t>
            </w: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5344795</wp:posOffset>
            </wp:positionH>
            <wp:positionV relativeFrom="paragraph">
              <wp:posOffset>-4489450</wp:posOffset>
            </wp:positionV>
            <wp:extent cx="1002665" cy="755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1002665" cy="7556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-2764790</wp:posOffset>
            </wp:positionV>
            <wp:extent cx="1002665" cy="755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1002665" cy="75565"/>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-190500</wp:posOffset>
            </wp:positionV>
            <wp:extent cx="2979420" cy="755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2979420" cy="75565"/>
                    </a:xfrm>
                    <a:prstGeom prst="rect">
                      <a:avLst/>
                    </a:prstGeom>
                    <a:noFill/>
                  </pic:spPr>
                </pic:pic>
              </a:graphicData>
            </a:graphic>
          </wp:anchor>
        </w:drawing>
      </w:r>
    </w:p>
    <w:p>
      <w:pPr>
        <w:ind w:left="360" w:hanging="356"/>
        <w:spacing w:after="0" w:line="242" w:lineRule="auto"/>
        <w:tabs>
          <w:tab w:leader="none" w:pos="360" w:val="left"/>
        </w:tabs>
        <w:numPr>
          <w:ilvl w:val="0"/>
          <w:numId w:val="1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2025 activity reflects the acquisition of Lexmark, as well as measurement period adjustments for ITsavvy. Refer to Note 6 - Acquisitions and Divestitures for additional information related to acquisitions of Lexmark and ITsavvy.</w:t>
      </w:r>
    </w:p>
    <w:p>
      <w:pPr>
        <w:spacing w:after="0" w:line="1" w:lineRule="exact"/>
        <w:rPr>
          <w:rFonts w:ascii="Arial" w:cs="Arial" w:eastAsia="Arial" w:hAnsi="Arial"/>
          <w:sz w:val="16"/>
          <w:szCs w:val="16"/>
          <w:b w:val="1"/>
          <w:bCs w:val="1"/>
          <w:i w:val="1"/>
          <w:iCs w:val="1"/>
          <w:color w:val="auto"/>
        </w:rPr>
      </w:pPr>
    </w:p>
    <w:p>
      <w:pPr>
        <w:jc w:val="both"/>
        <w:ind w:left="360" w:hanging="356"/>
        <w:spacing w:after="0" w:line="310" w:lineRule="auto"/>
        <w:tabs>
          <w:tab w:leader="none" w:pos="360" w:val="left"/>
        </w:tabs>
        <w:numPr>
          <w:ilvl w:val="0"/>
          <w:numId w:val="1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Reflects the write off of $10 of Goodwill associated with the sales of our business operations in Argentina and Chile, as well as other immaterial dispositions during 2024, and the write-off of $115 of Goodwill associated with the donation of our Palo Alto Research Center (PARC) during 2023. Refer to Note 6 - Acquisitions and Divestitures for additional information related to these dispositions.</w:t>
      </w:r>
    </w:p>
    <w:p>
      <w:pPr>
        <w:sectPr>
          <w:pgSz w:w="11880" w:h="15480" w:orient="portrait"/>
          <w:cols w:equalWidth="0" w:num="1">
            <w:col w:w="9960"/>
          </w:cols>
          <w:pgMar w:left="960" w:top="551" w:right="960" w:bottom="0" w:gutter="0" w:footer="0" w:header="0"/>
        </w:sectPr>
      </w:pPr>
    </w:p>
    <w:p>
      <w:pPr>
        <w:spacing w:after="0" w:line="31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123</w:t>
      </w:r>
    </w:p>
    <w:p>
      <w:pPr>
        <w:sectPr>
          <w:pgSz w:w="11880" w:h="15480" w:orient="portrait"/>
          <w:cols w:equalWidth="0" w:num="1">
            <w:col w:w="9960"/>
          </w:cols>
          <w:pgMar w:left="960" w:top="551" w:right="960" w:bottom="0" w:gutter="0" w:footer="0" w:header="0"/>
          <w:type w:val="continuous"/>
        </w:sectPr>
      </w:pPr>
    </w:p>
    <w:bookmarkStart w:id="133" w:name="page134"/>
    <w:bookmarkEnd w:id="133"/>
    <w:p>
      <w:pPr>
        <w:jc w:val="both"/>
        <w:spacing w:after="0" w:line="269" w:lineRule="auto"/>
        <w:rPr>
          <w:sz w:val="20"/>
          <w:szCs w:val="20"/>
          <w:color w:val="auto"/>
        </w:rPr>
      </w:pPr>
      <w:r>
        <w:rPr>
          <w:rFonts w:ascii="Arial" w:cs="Arial" w:eastAsia="Arial" w:hAnsi="Arial"/>
          <w:sz w:val="19"/>
          <w:szCs w:val="19"/>
          <w:b w:val="1"/>
          <w:bCs w:val="1"/>
          <w:color w:val="auto"/>
        </w:rPr>
        <w:t>During 2024, we concluded that a quantitative test of Goodwill was required. Based on that test, we determined that the estimated fair value of the Print and Other reporting unit (the only reporting unit with Goodwill) had declined below its carrying value and, as a result, we recognized an after-tax non-cash impairment charge of $1,015 ($1,058 pre-tax) related to our Goodwill for the year ended December 31, 2024.</w:t>
      </w:r>
    </w:p>
    <w:p>
      <w:pPr>
        <w:spacing w:after="0" w:line="48"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The estimated fair value of the Print and Other and IT Solutions reporting units, for all periods discussed above, is based on estimates and assumptions that are considered Level 3 inputs under the fair value hierarchy.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Intangible Assets, Net</w:t>
      </w:r>
    </w:p>
    <w:p>
      <w:pPr>
        <w:spacing w:after="0" w:line="112"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auto"/>
        </w:rPr>
        <w:t>Intangible assets, net were $921 at December 31, 2025. Approximately, $778 related to our Print and Other segment and $143 related to our IT Solutions segment. Approximately $163 of Intangible assets, net were allocated to the IT Solutions segment on January 1, 2025, the date that we reassessed our operating and reportable segments.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Intangible assets were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2"/>
              <w:spacing w:after="0"/>
              <w:rPr>
                <w:sz w:val="20"/>
                <w:szCs w:val="20"/>
                <w:color w:val="auto"/>
              </w:rPr>
            </w:pPr>
            <w:r>
              <w:rPr>
                <w:rFonts w:ascii="Arial" w:cs="Arial" w:eastAsia="Arial" w:hAnsi="Arial"/>
                <w:sz w:val="16"/>
                <w:szCs w:val="16"/>
                <w:b w:val="1"/>
                <w:bCs w:val="1"/>
                <w:color w:val="auto"/>
              </w:rPr>
              <w:t>December 31, 2025</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2"/>
              <w:spacing w:after="0"/>
              <w:rPr>
                <w:sz w:val="20"/>
                <w:szCs w:val="20"/>
                <w:color w:val="auto"/>
              </w:rPr>
            </w:pPr>
            <w:r>
              <w:rPr>
                <w:rFonts w:ascii="Arial" w:cs="Arial" w:eastAsia="Arial" w:hAnsi="Arial"/>
                <w:sz w:val="16"/>
                <w:szCs w:val="16"/>
                <w:b w:val="1"/>
                <w:bCs w:val="1"/>
                <w:color w:val="auto"/>
              </w:rPr>
              <w:t>December 31, 2024</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00" w:type="dxa"/>
            <w:vAlign w:val="bottom"/>
          </w:tcPr>
          <w:p>
            <w:pPr>
              <w:spacing w:after="0"/>
              <w:rPr>
                <w:sz w:val="13"/>
                <w:szCs w:val="13"/>
                <w:color w:val="auto"/>
              </w:rPr>
            </w:pPr>
          </w:p>
        </w:tc>
        <w:tc>
          <w:tcPr>
            <w:tcW w:w="1120" w:type="dxa"/>
            <w:vAlign w:val="bottom"/>
            <w:gridSpan w:val="2"/>
          </w:tcPr>
          <w:p>
            <w:pPr>
              <w:jc w:val="center"/>
              <w:ind w:right="60"/>
              <w:spacing w:after="0" w:line="157" w:lineRule="exact"/>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3"/>
                <w:szCs w:val="13"/>
                <w:color w:val="auto"/>
              </w:rPr>
            </w:pPr>
          </w:p>
        </w:tc>
        <w:tc>
          <w:tcPr>
            <w:tcW w:w="80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90"/>
              </w:rPr>
              <w:t>Gross</w:t>
            </w:r>
          </w:p>
        </w:tc>
        <w:tc>
          <w:tcPr>
            <w:tcW w:w="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90"/>
              </w:rPr>
              <w:t>Gross</w:t>
            </w:r>
          </w:p>
        </w:tc>
        <w:tc>
          <w:tcPr>
            <w:tcW w:w="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120" w:type="dxa"/>
            <w:vAlign w:val="bottom"/>
            <w:gridSpan w:val="2"/>
          </w:tcPr>
          <w:p>
            <w:pPr>
              <w:jc w:val="center"/>
              <w:ind w:right="60"/>
              <w:spacing w:after="0" w:line="155" w:lineRule="exact"/>
              <w:rPr>
                <w:sz w:val="20"/>
                <w:szCs w:val="20"/>
                <w:color w:val="auto"/>
              </w:rPr>
            </w:pPr>
            <w:r>
              <w:rPr>
                <w:rFonts w:ascii="Arial" w:cs="Arial" w:eastAsia="Arial" w:hAnsi="Arial"/>
                <w:sz w:val="16"/>
                <w:szCs w:val="16"/>
                <w:b w:val="1"/>
                <w:bCs w:val="1"/>
                <w:color w:val="auto"/>
                <w:w w:val="91"/>
              </w:rPr>
              <w:t>Average</w:t>
            </w:r>
          </w:p>
        </w:tc>
        <w:tc>
          <w:tcPr>
            <w:tcW w:w="180" w:type="dxa"/>
            <w:vAlign w:val="bottom"/>
          </w:tcPr>
          <w:p>
            <w:pPr>
              <w:spacing w:after="0"/>
              <w:rPr>
                <w:sz w:val="13"/>
                <w:szCs w:val="13"/>
                <w:color w:val="auto"/>
              </w:rPr>
            </w:pPr>
          </w:p>
        </w:tc>
        <w:tc>
          <w:tcPr>
            <w:tcW w:w="800" w:type="dxa"/>
            <w:vAlign w:val="bottom"/>
          </w:tcPr>
          <w:p>
            <w:pPr>
              <w:jc w:val="center"/>
              <w:ind w:right="102"/>
              <w:spacing w:after="0" w:line="155" w:lineRule="exact"/>
              <w:rPr>
                <w:sz w:val="20"/>
                <w:szCs w:val="20"/>
                <w:color w:val="auto"/>
              </w:rPr>
            </w:pPr>
            <w:r>
              <w:rPr>
                <w:rFonts w:ascii="Arial" w:cs="Arial" w:eastAsia="Arial" w:hAnsi="Arial"/>
                <w:sz w:val="16"/>
                <w:szCs w:val="16"/>
                <w:b w:val="1"/>
                <w:bCs w:val="1"/>
                <w:color w:val="auto"/>
                <w:w w:val="88"/>
              </w:rPr>
              <w:t>Carrying</w:t>
            </w: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2"/>
              <w:spacing w:after="0" w:line="155" w:lineRule="exact"/>
              <w:rPr>
                <w:sz w:val="20"/>
                <w:szCs w:val="20"/>
                <w:color w:val="auto"/>
              </w:rPr>
            </w:pPr>
            <w:r>
              <w:rPr>
                <w:rFonts w:ascii="Arial" w:cs="Arial" w:eastAsia="Arial" w:hAnsi="Arial"/>
                <w:sz w:val="16"/>
                <w:szCs w:val="16"/>
                <w:b w:val="1"/>
                <w:bCs w:val="1"/>
                <w:color w:val="auto"/>
                <w:w w:val="88"/>
              </w:rPr>
              <w:t>Carrying</w:t>
            </w: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500" w:type="dxa"/>
            <w:vAlign w:val="bottom"/>
            <w:tcBorders>
              <w:bottom w:val="single" w:sz="8" w:color="E5E5E5"/>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Amortization</w:t>
            </w:r>
          </w:p>
        </w:tc>
        <w:tc>
          <w:tcPr>
            <w:tcW w:w="6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Amount</w:t>
            </w:r>
          </w:p>
        </w:tc>
        <w:tc>
          <w:tcPr>
            <w:tcW w:w="80" w:type="dxa"/>
            <w:vAlign w:val="bottom"/>
            <w:tcBorders>
              <w:bottom w:val="single" w:sz="8" w:color="E5E5E5"/>
            </w:tcBorders>
          </w:tcPr>
          <w:p>
            <w:pPr>
              <w:spacing w:after="0"/>
              <w:rPr>
                <w:sz w:val="17"/>
                <w:szCs w:val="17"/>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Amortization</w:t>
            </w: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Amount</w:t>
            </w:r>
          </w:p>
        </w:tc>
        <w:tc>
          <w:tcPr>
            <w:tcW w:w="80" w:type="dxa"/>
            <w:vAlign w:val="bottom"/>
            <w:tcBorders>
              <w:bottom w:val="single" w:sz="8" w:color="E5E5E5"/>
            </w:tcBorders>
          </w:tcPr>
          <w:p>
            <w:pPr>
              <w:spacing w:after="0"/>
              <w:rPr>
                <w:sz w:val="17"/>
                <w:szCs w:val="17"/>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Amortization</w:t>
            </w: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223"/>
        </w:trPr>
        <w:tc>
          <w:tcPr>
            <w:tcW w:w="25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Customer relationships</w:t>
            </w:r>
            <w:r>
              <w:rPr>
                <w:rFonts w:ascii="Arial" w:cs="Arial" w:eastAsia="Arial" w:hAnsi="Arial"/>
                <w:sz w:val="10"/>
                <w:szCs w:val="10"/>
                <w:b w:val="1"/>
                <w:bCs w:val="1"/>
                <w:color w:val="auto"/>
              </w:rPr>
              <w:t>(1)</w:t>
            </w:r>
          </w:p>
        </w:tc>
        <w:tc>
          <w:tcPr>
            <w:tcW w:w="1120" w:type="dxa"/>
            <w:vAlign w:val="bottom"/>
            <w:gridSpan w:val="2"/>
            <w:shd w:val="clear" w:color="auto" w:fill="E5E5E5"/>
          </w:tcPr>
          <w:p>
            <w:pPr>
              <w:jc w:val="center"/>
              <w:ind w:right="60"/>
              <w:spacing w:after="0"/>
              <w:rPr>
                <w:sz w:val="20"/>
                <w:szCs w:val="20"/>
                <w:color w:val="auto"/>
              </w:rPr>
            </w:pPr>
            <w:r>
              <w:rPr>
                <w:rFonts w:ascii="Arial" w:cs="Arial" w:eastAsia="Arial" w:hAnsi="Arial"/>
                <w:sz w:val="16"/>
                <w:szCs w:val="16"/>
                <w:b w:val="1"/>
                <w:bCs w:val="1"/>
                <w:color w:val="auto"/>
                <w:w w:val="90"/>
              </w:rPr>
              <w:t>10 years</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856</w:t>
            </w:r>
          </w:p>
        </w:tc>
        <w:tc>
          <w:tcPr>
            <w:tcW w:w="50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163</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693</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324</w:t>
            </w:r>
          </w:p>
        </w:tc>
        <w:tc>
          <w:tcPr>
            <w:tcW w:w="50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106</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218</w:t>
            </w:r>
          </w:p>
        </w:tc>
        <w:tc>
          <w:tcPr>
            <w:tcW w:w="0" w:type="dxa"/>
            <w:vAlign w:val="bottom"/>
          </w:tcPr>
          <w:p>
            <w:pPr>
              <w:spacing w:after="0"/>
              <w:rPr>
                <w:sz w:val="1"/>
                <w:szCs w:val="1"/>
                <w:color w:val="auto"/>
              </w:rPr>
            </w:pPr>
          </w:p>
        </w:tc>
      </w:tr>
      <w:tr>
        <w:trPr>
          <w:trHeight w:val="227"/>
        </w:trPr>
        <w:tc>
          <w:tcPr>
            <w:tcW w:w="2500" w:type="dxa"/>
            <w:vAlign w:val="bottom"/>
          </w:tcPr>
          <w:p>
            <w:pPr>
              <w:ind w:left="60"/>
              <w:spacing w:after="0"/>
              <w:rPr>
                <w:sz w:val="20"/>
                <w:szCs w:val="20"/>
                <w:color w:val="auto"/>
              </w:rPr>
            </w:pPr>
            <w:r>
              <w:rPr>
                <w:rFonts w:ascii="Arial" w:cs="Arial" w:eastAsia="Arial" w:hAnsi="Arial"/>
                <w:sz w:val="16"/>
                <w:szCs w:val="16"/>
                <w:b w:val="1"/>
                <w:bCs w:val="1"/>
                <w:color w:val="auto"/>
              </w:rPr>
              <w:t>Distribution network</w:t>
            </w:r>
            <w:r>
              <w:rPr>
                <w:rFonts w:ascii="Arial" w:cs="Arial" w:eastAsia="Arial" w:hAnsi="Arial"/>
                <w:sz w:val="10"/>
                <w:szCs w:val="10"/>
                <w:b w:val="1"/>
                <w:bCs w:val="1"/>
                <w:color w:val="auto"/>
              </w:rPr>
              <w:t>(1)</w:t>
            </w:r>
          </w:p>
        </w:tc>
        <w:tc>
          <w:tcPr>
            <w:tcW w:w="11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25 years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25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Trademarks</w:t>
            </w:r>
            <w:r>
              <w:rPr>
                <w:rFonts w:ascii="Arial" w:cs="Arial" w:eastAsia="Arial" w:hAnsi="Arial"/>
                <w:sz w:val="10"/>
                <w:szCs w:val="10"/>
                <w:b w:val="1"/>
                <w:bCs w:val="1"/>
                <w:color w:val="auto"/>
              </w:rPr>
              <w:t>(1)</w:t>
            </w:r>
          </w:p>
        </w:tc>
        <w:tc>
          <w:tcPr>
            <w:tcW w:w="1120" w:type="dxa"/>
            <w:vAlign w:val="bottom"/>
            <w:gridSpan w:val="2"/>
            <w:shd w:val="clear" w:color="auto" w:fill="E5E5E5"/>
          </w:tcPr>
          <w:p>
            <w:pPr>
              <w:jc w:val="center"/>
              <w:ind w:right="60"/>
              <w:spacing w:after="0"/>
              <w:rPr>
                <w:sz w:val="20"/>
                <w:szCs w:val="20"/>
                <w:color w:val="auto"/>
              </w:rPr>
            </w:pPr>
            <w:r>
              <w:rPr>
                <w:rFonts w:ascii="Arial" w:cs="Arial" w:eastAsia="Arial" w:hAnsi="Arial"/>
                <w:sz w:val="16"/>
                <w:szCs w:val="16"/>
                <w:b w:val="1"/>
                <w:bCs w:val="1"/>
                <w:color w:val="auto"/>
                <w:w w:val="90"/>
              </w:rPr>
              <w:t>8 years</w:t>
            </w:r>
          </w:p>
        </w:tc>
        <w:tc>
          <w:tcPr>
            <w:tcW w:w="18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142</w:t>
            </w:r>
          </w:p>
        </w:tc>
        <w:tc>
          <w:tcPr>
            <w:tcW w:w="8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114</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Technology and non-compete</w:t>
            </w:r>
          </w:p>
        </w:tc>
        <w:tc>
          <w:tcPr>
            <w:tcW w:w="1120" w:type="dxa"/>
            <w:vAlign w:val="bottom"/>
            <w:tcBorders>
              <w:bottom w:val="single" w:sz="8" w:color="E5E5E5"/>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7 years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80" w:type="dxa"/>
            <w:vAlign w:val="bottom"/>
            <w:tcBorders>
              <w:bottom w:val="single" w:sz="8" w:color="E5E5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114</w:t>
            </w:r>
          </w:p>
        </w:tc>
        <w:tc>
          <w:tcPr>
            <w:tcW w:w="6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5E5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25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Intangible Assets</w:t>
            </w:r>
          </w:p>
        </w:tc>
        <w:tc>
          <w:tcPr>
            <w:tcW w:w="1060" w:type="dxa"/>
            <w:vAlign w:val="bottom"/>
            <w:tcBorders>
              <w:bottom w:val="single" w:sz="8" w:color="E5E5E5"/>
            </w:tcBorders>
            <w:shd w:val="clear" w:color="auto" w:fill="E5E5E5"/>
          </w:tcPr>
          <w:p>
            <w:pPr>
              <w:spacing w:after="0"/>
              <w:rPr>
                <w:sz w:val="20"/>
                <w:szCs w:val="20"/>
                <w:color w:val="auto"/>
              </w:rPr>
            </w:pPr>
          </w:p>
        </w:tc>
        <w:tc>
          <w:tcPr>
            <w:tcW w:w="6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1,256</w:t>
            </w:r>
          </w:p>
        </w:tc>
        <w:tc>
          <w:tcPr>
            <w:tcW w:w="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335</w:t>
            </w:r>
          </w:p>
        </w:tc>
        <w:tc>
          <w:tcPr>
            <w:tcW w:w="8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921</w:t>
            </w:r>
          </w:p>
        </w:tc>
        <w:tc>
          <w:tcPr>
            <w:tcW w:w="6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497</w:t>
            </w:r>
          </w:p>
        </w:tc>
        <w:tc>
          <w:tcPr>
            <w:tcW w:w="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261</w:t>
            </w:r>
          </w:p>
        </w:tc>
        <w:tc>
          <w:tcPr>
            <w:tcW w:w="8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-42545</wp:posOffset>
            </wp:positionV>
            <wp:extent cx="4044315" cy="5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4044315" cy="5016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60" w:right="260" w:hanging="356"/>
        <w:spacing w:after="0" w:line="270" w:lineRule="auto"/>
        <w:tabs>
          <w:tab w:leader="none" w:pos="360" w:val="left"/>
        </w:tabs>
        <w:numPr>
          <w:ilvl w:val="0"/>
          <w:numId w:val="1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2025 and 2024 balances reflect the acquisitions of Lexmark and ITsavvy, respectively. Refer to Note 6 - Acquisitions and Divestitures for additional information related to acquisitions of Lexmark and ITsavvy.</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Excluding the impact of future acquisitions, amortization expense is expected to approximate $123 in 2026, 2027, 2028, 2029 and 2030,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 13 – Restructuring Programs</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In connection with our Reinvention we engage in restructuring actions in order to reduce our cost structure and realign it to the changing nature of our business. Additionally, as a result of the Lexmark Acquisition, we have begun efforts to integrate and consolidate certain operations of the legacy Xerox and Lexmark businesses. Our restructuring actions may also include the off-shoring and/or outsourcing of certain operations, services and other functions, exit from certain product lines and geographies, as well as reducing our real estate footprint. Refer to Note 6 - Acquisitions and Divestitures for additional information related to the Lexmark Acquisition.</w:t>
      </w:r>
    </w:p>
    <w:p>
      <w:pPr>
        <w:spacing w:after="0" w:line="59"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Restructuring and related costs, net reflect the following components for the three years ended December 31, 2025, 2024 and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4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4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Restructuring charges, net</w:t>
            </w:r>
          </w:p>
        </w:tc>
        <w:tc>
          <w:tcPr>
            <w:tcW w:w="1060" w:type="dxa"/>
            <w:vAlign w:val="bottom"/>
            <w:shd w:val="clear" w:color="auto" w:fill="DBDBDB"/>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82</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114</w:t>
            </w:r>
          </w:p>
        </w:tc>
      </w:tr>
      <w:tr>
        <w:trPr>
          <w:trHeight w:val="233"/>
        </w:trPr>
        <w:tc>
          <w:tcPr>
            <w:tcW w:w="5340" w:type="dxa"/>
            <w:vAlign w:val="bottom"/>
          </w:tcPr>
          <w:p>
            <w:pPr>
              <w:ind w:left="60"/>
              <w:spacing w:after="0"/>
              <w:rPr>
                <w:sz w:val="20"/>
                <w:szCs w:val="20"/>
                <w:color w:val="auto"/>
              </w:rPr>
            </w:pPr>
            <w:r>
              <w:rPr>
                <w:rFonts w:ascii="Arial" w:cs="Arial" w:eastAsia="Arial" w:hAnsi="Arial"/>
                <w:sz w:val="16"/>
                <w:szCs w:val="16"/>
                <w:b w:val="1"/>
                <w:bCs w:val="1"/>
                <w:color w:val="auto"/>
              </w:rPr>
              <w:t>Asset impairment charges, net</w:t>
            </w:r>
            <w:r>
              <w:rPr>
                <w:rFonts w:ascii="Arial" w:cs="Arial" w:eastAsia="Arial" w:hAnsi="Arial"/>
                <w:sz w:val="10"/>
                <w:szCs w:val="10"/>
                <w:b w:val="1"/>
                <w:bCs w:val="1"/>
                <w:color w:val="auto"/>
              </w:rPr>
              <w:t>(1)</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r>
        <w:trPr>
          <w:trHeight w:val="243"/>
        </w:trPr>
        <w:tc>
          <w:tcPr>
            <w:tcW w:w="53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Related costs, net</w:t>
            </w:r>
          </w:p>
        </w:tc>
        <w:tc>
          <w:tcPr>
            <w:tcW w:w="1060" w:type="dxa"/>
            <w:vAlign w:val="bottom"/>
            <w:tcBorders>
              <w:bottom w:val="single" w:sz="8" w:color="auto"/>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25</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b w:val="1"/>
                <w:bCs w:val="1"/>
                <w:color w:val="auto"/>
              </w:rPr>
              <w:t>21</w:t>
            </w:r>
          </w:p>
        </w:tc>
      </w:tr>
      <w:tr>
        <w:trPr>
          <w:trHeight w:val="173"/>
        </w:trPr>
        <w:tc>
          <w:tcPr>
            <w:tcW w:w="534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Total Restructuring and related costs, net</w:t>
            </w:r>
          </w:p>
        </w:tc>
        <w:tc>
          <w:tcPr>
            <w:tcW w:w="1060" w:type="dxa"/>
            <w:vAlign w:val="bottom"/>
          </w:tcPr>
          <w:p>
            <w:pPr>
              <w:jc w:val="right"/>
              <w:ind w:right="842"/>
              <w:spacing w:after="0" w:line="174" w:lineRule="exact"/>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66</w:t>
            </w:r>
          </w:p>
        </w:tc>
        <w:tc>
          <w:tcPr>
            <w:tcW w:w="420" w:type="dxa"/>
            <w:vAlign w:val="bottom"/>
            <w:gridSpan w:val="2"/>
          </w:tcPr>
          <w:p>
            <w:pPr>
              <w:jc w:val="right"/>
              <w:ind w:right="220"/>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112</w:t>
            </w:r>
          </w:p>
        </w:tc>
        <w:tc>
          <w:tcPr>
            <w:tcW w:w="420" w:type="dxa"/>
            <w:vAlign w:val="bottom"/>
            <w:gridSpan w:val="2"/>
          </w:tcPr>
          <w:p>
            <w:pPr>
              <w:jc w:val="right"/>
              <w:ind w:right="220"/>
              <w:spacing w:after="0" w:line="174"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167</w:t>
            </w:r>
          </w:p>
        </w:tc>
      </w:tr>
      <w:tr>
        <w:trPr>
          <w:trHeight w:val="20"/>
        </w:trPr>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-43180</wp:posOffset>
            </wp:positionV>
            <wp:extent cx="2954020"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2954020" cy="501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(1)  Impairments are net of cash receipts.</w:t>
      </w:r>
    </w:p>
    <w:p>
      <w:pPr>
        <w:spacing w:after="0" w:line="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Restructuring charges, net primarily include employee severance costs and other contractual termination costs resulting from restructuring actions and initiatives. In those geographies where the Company has a formal severance plan or a history of consistently providing severance benefits representing a substantive on-going benefit arrangement, employee severance and related costs are accounted for in accordance with ASC 712 and are recognized when the obligation is both probable and reasonably estimable. Severance payments provided under one-time benefit arrangements related to restructuring activities are accounted for in accordance with ASC 420 and are recognized when the Company has communicated the termination plan to the affected employees, the benefits are fixed or determinable, and the Company does not have the ability to withdraw the offer. To the extent employees are required to render future service beyond a minimum retention period, severance costs are recognized ratably over the future service period as restructuring related costs. Contractual termination costs, including facility exit</w:t>
      </w:r>
    </w:p>
    <w:p>
      <w:pPr>
        <w:sectPr>
          <w:pgSz w:w="11880" w:h="15480" w:orient="portrait"/>
          <w:cols w:equalWidth="0" w:num="1">
            <w:col w:w="9960"/>
          </w:cols>
          <w:pgMar w:left="960" w:top="562" w:right="96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124</w:t>
      </w:r>
    </w:p>
    <w:p>
      <w:pPr>
        <w:sectPr>
          <w:pgSz w:w="11880" w:h="15480" w:orient="portrait"/>
          <w:cols w:equalWidth="0" w:num="1">
            <w:col w:w="9960"/>
          </w:cols>
          <w:pgMar w:left="960" w:top="562" w:right="960" w:bottom="0" w:gutter="0" w:footer="0" w:header="0"/>
          <w:type w:val="continuous"/>
        </w:sectPr>
      </w:pPr>
    </w:p>
    <w:bookmarkStart w:id="134" w:name="page135"/>
    <w:bookmarkEnd w:id="134"/>
    <w:p>
      <w:pPr>
        <w:jc w:val="both"/>
        <w:spacing w:after="0" w:line="297" w:lineRule="auto"/>
        <w:rPr>
          <w:sz w:val="20"/>
          <w:szCs w:val="20"/>
          <w:color w:val="auto"/>
        </w:rPr>
      </w:pPr>
      <w:r>
        <w:rPr>
          <w:rFonts w:ascii="Arial" w:cs="Arial" w:eastAsia="Arial" w:hAnsi="Arial"/>
          <w:sz w:val="19"/>
          <w:szCs w:val="19"/>
          <w:b w:val="1"/>
          <w:bCs w:val="1"/>
          <w:color w:val="auto"/>
        </w:rPr>
        <w:t>costs and other contract termination costs, are recognized when a liability has been incurred in accordance with applicable accounting guidance.</w:t>
      </w:r>
    </w:p>
    <w:p>
      <w:pPr>
        <w:spacing w:after="0" w:line="2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Asset impairment charges, net primarily include impairments that may result from employee reductions, migration of facilities from higher-cost to lower-cost countries, and the consolidation of facilities, and is net of any gains we may realize on the disposal of those assets. Restructuring activities may also include the disposal or abandonment of assets, including leased right-of-use assets, that require an acceleration of depreciation or an impairment charge reflecting the excess of an asset's book value over fair value or other recoveries.</w:t>
      </w:r>
    </w:p>
    <w:p>
      <w:pPr>
        <w:spacing w:after="0" w:line="36"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color w:val="auto"/>
        </w:rPr>
        <w:t>Restructuring related costs include severance costs paid in connection with contractual outsourcing arrangements as well as professional support services associated with our business transformation initiatives.</w:t>
      </w:r>
    </w:p>
    <w:p>
      <w:pPr>
        <w:jc w:val="both"/>
        <w:spacing w:after="0" w:line="281" w:lineRule="auto"/>
        <w:rPr>
          <w:sz w:val="20"/>
          <w:szCs w:val="20"/>
          <w:color w:val="auto"/>
        </w:rPr>
      </w:pPr>
      <w:r>
        <w:rPr>
          <w:rFonts w:ascii="Arial" w:cs="Arial" w:eastAsia="Arial" w:hAnsi="Arial"/>
          <w:sz w:val="18"/>
          <w:szCs w:val="18"/>
          <w:b w:val="1"/>
          <w:bCs w:val="1"/>
          <w:color w:val="auto"/>
        </w:rPr>
        <w:t>The recognition of restructuring and related costs requires the Company to make certain judgments and estimates regarding the nature, timing and amount of costs associated with planned initiatives. To the extent our actual results differ from our estimates and assumptions, we may be required to revise the estimated liabilities, requiring the recognition of additional restructuring costs or the reduction of liabilities already recognized. At the end of each reporting period, we evaluate the remaining accrued balances to ensure they are properly stated, and the utilization of the reserves are for their intended purpose in accordance with developed exit plans.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Restructuring Charges, Net</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Restructuring charges, net primarily relate to the Print and Other segment as amounts related to the IT Solutions segment were immaterial for all periods presented. A summary of our restructuring program activity for the three years ended December 31, 2025, 2024 and 2023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w w:val="98"/>
              </w:rPr>
              <w:t>Severance Cost</w:t>
            </w:r>
          </w:p>
        </w:tc>
        <w:tc>
          <w:tcPr>
            <w:tcW w:w="6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4"/>
              </w:rPr>
              <w:t>Severance Costs</w:t>
            </w:r>
          </w:p>
        </w:tc>
        <w:tc>
          <w:tcPr>
            <w:tcW w:w="6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Severance Costs</w:t>
            </w:r>
          </w:p>
        </w:tc>
        <w:tc>
          <w:tcPr>
            <w:tcW w:w="8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Other Contractual</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62"/>
              <w:spacing w:after="0" w:line="155" w:lineRule="exact"/>
              <w:rPr>
                <w:sz w:val="20"/>
                <w:szCs w:val="20"/>
                <w:color w:val="auto"/>
              </w:rPr>
            </w:pPr>
            <w:r>
              <w:rPr>
                <w:rFonts w:ascii="Arial" w:cs="Arial" w:eastAsia="Arial" w:hAnsi="Arial"/>
                <w:sz w:val="16"/>
                <w:szCs w:val="16"/>
                <w:b w:val="1"/>
                <w:bCs w:val="1"/>
                <w:color w:val="auto"/>
                <w:w w:val="87"/>
              </w:rPr>
              <w:t>Termination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306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87"/>
              </w:rPr>
              <w:t>Prior Actions</w:t>
            </w:r>
          </w:p>
        </w:tc>
        <w:tc>
          <w:tcPr>
            <w:tcW w:w="6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Reinvention</w:t>
            </w:r>
          </w:p>
        </w:tc>
        <w:tc>
          <w:tcPr>
            <w:tcW w:w="6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4"/>
              </w:rPr>
              <w:t>Integration</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1"/>
              </w:rPr>
              <w:t>Costs</w:t>
            </w:r>
            <w:r>
              <w:rPr>
                <w:rFonts w:ascii="Arial" w:cs="Arial" w:eastAsia="Arial" w:hAnsi="Arial"/>
                <w:sz w:val="10"/>
                <w:szCs w:val="10"/>
                <w:b w:val="1"/>
                <w:bCs w:val="1"/>
                <w:color w:val="auto"/>
                <w:w w:val="91"/>
              </w:rPr>
              <w:t>(2)</w:t>
            </w:r>
          </w:p>
        </w:tc>
        <w:tc>
          <w:tcPr>
            <w:tcW w:w="80" w:type="dxa"/>
            <w:vAlign w:val="bottom"/>
            <w:tcBorders>
              <w:bottom w:val="single" w:sz="8" w:color="E5E5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2022</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39</w:t>
            </w:r>
          </w:p>
        </w:tc>
        <w:tc>
          <w:tcPr>
            <w:tcW w:w="240" w:type="dxa"/>
            <w:vAlign w:val="bottom"/>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27"/>
        </w:trPr>
        <w:tc>
          <w:tcPr>
            <w:tcW w:w="3060" w:type="dxa"/>
            <w:vAlign w:val="bottom"/>
          </w:tcPr>
          <w:p>
            <w:pPr>
              <w:ind w:left="280"/>
              <w:spacing w:after="0"/>
              <w:rPr>
                <w:sz w:val="20"/>
                <w:szCs w:val="20"/>
                <w:color w:val="auto"/>
              </w:rPr>
            </w:pPr>
            <w:r>
              <w:rPr>
                <w:rFonts w:ascii="Arial" w:cs="Arial" w:eastAsia="Arial" w:hAnsi="Arial"/>
                <w:sz w:val="16"/>
                <w:szCs w:val="16"/>
                <w:b w:val="1"/>
                <w:bCs w:val="1"/>
                <w:color w:val="auto"/>
              </w:rPr>
              <w:t>Restructuring provision</w:t>
            </w:r>
          </w:p>
        </w:tc>
        <w:tc>
          <w:tcPr>
            <w:tcW w:w="18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0" w:type="dxa"/>
            <w:vAlign w:val="bottom"/>
          </w:tcPr>
          <w:p>
            <w:pPr>
              <w:spacing w:after="0"/>
              <w:rPr>
                <w:sz w:val="1"/>
                <w:szCs w:val="1"/>
                <w:color w:val="auto"/>
              </w:rPr>
            </w:pPr>
          </w:p>
        </w:tc>
      </w:tr>
      <w:tr>
        <w:trPr>
          <w:trHeight w:val="228"/>
        </w:trPr>
        <w:tc>
          <w:tcPr>
            <w:tcW w:w="306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rPr>
              <w:t>Reversals of prior charges</w:t>
            </w:r>
          </w:p>
        </w:tc>
        <w:tc>
          <w:tcPr>
            <w:tcW w:w="180" w:type="dxa"/>
            <w:vAlign w:val="bottom"/>
            <w:tcBorders>
              <w:bottom w:val="single" w:sz="8" w:color="auto"/>
            </w:tcBorders>
            <w:shd w:val="clear" w:color="auto" w:fill="E5E5E5"/>
          </w:tcPr>
          <w:p>
            <w:pPr>
              <w:spacing w:after="0"/>
              <w:rPr>
                <w:sz w:val="19"/>
                <w:szCs w:val="19"/>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6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23"/>
        </w:trPr>
        <w:tc>
          <w:tcPr>
            <w:tcW w:w="3060" w:type="dxa"/>
            <w:vAlign w:val="bottom"/>
          </w:tcPr>
          <w:p>
            <w:pPr>
              <w:ind w:left="60"/>
              <w:spacing w:after="0"/>
              <w:rPr>
                <w:sz w:val="20"/>
                <w:szCs w:val="20"/>
                <w:color w:val="auto"/>
              </w:rPr>
            </w:pPr>
            <w:r>
              <w:rPr>
                <w:rFonts w:ascii="Arial" w:cs="Arial" w:eastAsia="Arial" w:hAnsi="Arial"/>
                <w:sz w:val="16"/>
                <w:szCs w:val="16"/>
                <w:b w:val="1"/>
                <w:bCs w:val="1"/>
                <w:color w:val="auto"/>
              </w:rPr>
              <w:t>Net Current Period Charges</w:t>
            </w:r>
            <w:r>
              <w:rPr>
                <w:rFonts w:ascii="Arial" w:cs="Arial" w:eastAsia="Arial" w:hAnsi="Arial"/>
                <w:sz w:val="10"/>
                <w:szCs w:val="10"/>
                <w:b w:val="1"/>
                <w:bCs w:val="1"/>
                <w:color w:val="auto"/>
              </w:rPr>
              <w:t>(1)</w:t>
            </w:r>
          </w:p>
        </w:tc>
        <w:tc>
          <w:tcPr>
            <w:tcW w:w="18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42"/>
        </w:trPr>
        <w:tc>
          <w:tcPr>
            <w:tcW w:w="306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w w:val="94"/>
              </w:rPr>
              <w:t>Charges against reserve and currency</w:t>
            </w:r>
          </w:p>
        </w:tc>
        <w:tc>
          <w:tcPr>
            <w:tcW w:w="180" w:type="dxa"/>
            <w:vAlign w:val="bottom"/>
            <w:tcBorders>
              <w:bottom w:val="single" w:sz="8" w:color="auto"/>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6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02"/>
        </w:trPr>
        <w:tc>
          <w:tcPr>
            <w:tcW w:w="3060" w:type="dxa"/>
            <w:vAlign w:val="bottom"/>
          </w:tcPr>
          <w:p>
            <w:pPr>
              <w:ind w:left="60"/>
              <w:spacing w:after="0"/>
              <w:rPr>
                <w:sz w:val="20"/>
                <w:szCs w:val="20"/>
                <w:color w:val="auto"/>
              </w:rPr>
            </w:pPr>
            <w:r>
              <w:rPr>
                <w:rFonts w:ascii="Arial" w:cs="Arial" w:eastAsia="Arial" w:hAnsi="Arial"/>
                <w:sz w:val="16"/>
                <w:szCs w:val="16"/>
                <w:b w:val="1"/>
                <w:bCs w:val="1"/>
                <w:color w:val="auto"/>
              </w:rPr>
              <w:t>Balance at December 31, 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25</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8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0" w:type="dxa"/>
            <w:vAlign w:val="bottom"/>
          </w:tcPr>
          <w:p>
            <w:pPr>
              <w:spacing w:after="0"/>
              <w:rPr>
                <w:sz w:val="1"/>
                <w:szCs w:val="1"/>
                <w:color w:val="auto"/>
              </w:rPr>
            </w:pPr>
          </w:p>
        </w:tc>
      </w:tr>
      <w:tr>
        <w:trPr>
          <w:trHeight w:val="235"/>
        </w:trPr>
        <w:tc>
          <w:tcPr>
            <w:tcW w:w="306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Restructuring provision</w:t>
            </w:r>
          </w:p>
        </w:tc>
        <w:tc>
          <w:tcPr>
            <w:tcW w:w="180" w:type="dxa"/>
            <w:vAlign w:val="bottom"/>
            <w:shd w:val="clear" w:color="auto" w:fill="E5E5E5"/>
          </w:tcPr>
          <w:p>
            <w:pPr>
              <w:spacing w:after="0"/>
              <w:rPr>
                <w:sz w:val="20"/>
                <w:szCs w:val="20"/>
                <w:color w:val="auto"/>
              </w:rPr>
            </w:pP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w:t>
            </w:r>
          </w:p>
        </w:tc>
        <w:tc>
          <w:tcPr>
            <w:tcW w:w="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22"/>
        </w:trPr>
        <w:tc>
          <w:tcPr>
            <w:tcW w:w="3060" w:type="dxa"/>
            <w:vAlign w:val="bottom"/>
            <w:tcBorders>
              <w:bottom w:val="single" w:sz="8" w:color="E5E5E5"/>
            </w:tcBorders>
          </w:tcPr>
          <w:p>
            <w:pPr>
              <w:ind w:left="280"/>
              <w:spacing w:after="0"/>
              <w:rPr>
                <w:sz w:val="20"/>
                <w:szCs w:val="20"/>
                <w:color w:val="auto"/>
              </w:rPr>
            </w:pPr>
            <w:r>
              <w:rPr>
                <w:rFonts w:ascii="Arial" w:cs="Arial" w:eastAsia="Arial" w:hAnsi="Arial"/>
                <w:sz w:val="16"/>
                <w:szCs w:val="16"/>
                <w:b w:val="1"/>
                <w:bCs w:val="1"/>
                <w:color w:val="auto"/>
              </w:rPr>
              <w:t>Reversals of prior charges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23"/>
        </w:trPr>
        <w:tc>
          <w:tcPr>
            <w:tcW w:w="30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Net Current Period Charges</w:t>
            </w:r>
            <w:r>
              <w:rPr>
                <w:rFonts w:ascii="Arial" w:cs="Arial" w:eastAsia="Arial" w:hAnsi="Arial"/>
                <w:sz w:val="10"/>
                <w:szCs w:val="10"/>
                <w:b w:val="1"/>
                <w:bCs w:val="1"/>
                <w:color w:val="auto"/>
              </w:rPr>
              <w:t>(1)</w:t>
            </w:r>
          </w:p>
        </w:tc>
        <w:tc>
          <w:tcPr>
            <w:tcW w:w="18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63</w:t>
            </w:r>
          </w:p>
        </w:tc>
        <w:tc>
          <w:tcPr>
            <w:tcW w:w="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E5E5E5"/>
            </w:tcBorders>
          </w:tcPr>
          <w:p>
            <w:pPr>
              <w:ind w:left="280"/>
              <w:spacing w:after="0"/>
              <w:rPr>
                <w:sz w:val="20"/>
                <w:szCs w:val="20"/>
                <w:color w:val="auto"/>
              </w:rPr>
            </w:pPr>
            <w:r>
              <w:rPr>
                <w:rFonts w:ascii="Arial" w:cs="Arial" w:eastAsia="Arial" w:hAnsi="Arial"/>
                <w:sz w:val="16"/>
                <w:szCs w:val="16"/>
                <w:b w:val="1"/>
                <w:bCs w:val="1"/>
                <w:color w:val="auto"/>
                <w:w w:val="94"/>
              </w:rPr>
              <w:t>Charges against reserve and currency</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6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23"/>
        </w:trPr>
        <w:tc>
          <w:tcPr>
            <w:tcW w:w="30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2024</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240" w:type="dxa"/>
            <w:vAlign w:val="bottom"/>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w:t>
            </w:r>
          </w:p>
        </w:tc>
        <w:tc>
          <w:tcPr>
            <w:tcW w:w="28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227"/>
        </w:trPr>
        <w:tc>
          <w:tcPr>
            <w:tcW w:w="3060" w:type="dxa"/>
            <w:vAlign w:val="bottom"/>
          </w:tcPr>
          <w:p>
            <w:pPr>
              <w:ind w:left="280"/>
              <w:spacing w:after="0"/>
              <w:rPr>
                <w:sz w:val="20"/>
                <w:szCs w:val="20"/>
                <w:color w:val="auto"/>
              </w:rPr>
            </w:pPr>
            <w:r>
              <w:rPr>
                <w:rFonts w:ascii="Arial" w:cs="Arial" w:eastAsia="Arial" w:hAnsi="Arial"/>
                <w:sz w:val="16"/>
                <w:szCs w:val="16"/>
                <w:b w:val="1"/>
                <w:bCs w:val="1"/>
                <w:color w:val="auto"/>
              </w:rPr>
              <w:t>Restructuring provision</w:t>
            </w:r>
          </w:p>
        </w:tc>
        <w:tc>
          <w:tcPr>
            <w:tcW w:w="18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r>
        <w:trPr>
          <w:trHeight w:val="228"/>
        </w:trPr>
        <w:tc>
          <w:tcPr>
            <w:tcW w:w="306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rPr>
              <w:t>Reversals of prior charges</w:t>
            </w:r>
          </w:p>
        </w:tc>
        <w:tc>
          <w:tcPr>
            <w:tcW w:w="180" w:type="dxa"/>
            <w:vAlign w:val="bottom"/>
            <w:tcBorders>
              <w:bottom w:val="single" w:sz="8" w:color="auto"/>
            </w:tcBorders>
            <w:shd w:val="clear" w:color="auto" w:fill="E5E5E5"/>
          </w:tcPr>
          <w:p>
            <w:pPr>
              <w:spacing w:after="0"/>
              <w:rPr>
                <w:sz w:val="19"/>
                <w:szCs w:val="19"/>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(36)</w:t>
            </w:r>
          </w:p>
        </w:tc>
        <w:tc>
          <w:tcPr>
            <w:tcW w:w="6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23"/>
        </w:trPr>
        <w:tc>
          <w:tcPr>
            <w:tcW w:w="3060" w:type="dxa"/>
            <w:vAlign w:val="bottom"/>
          </w:tcPr>
          <w:p>
            <w:pPr>
              <w:ind w:left="60"/>
              <w:spacing w:after="0"/>
              <w:rPr>
                <w:sz w:val="20"/>
                <w:szCs w:val="20"/>
                <w:color w:val="auto"/>
              </w:rPr>
            </w:pPr>
            <w:r>
              <w:rPr>
                <w:rFonts w:ascii="Arial" w:cs="Arial" w:eastAsia="Arial" w:hAnsi="Arial"/>
                <w:sz w:val="16"/>
                <w:szCs w:val="16"/>
                <w:b w:val="1"/>
                <w:bCs w:val="1"/>
                <w:color w:val="auto"/>
              </w:rPr>
              <w:t>Net Current Period Charges</w:t>
            </w:r>
            <w:r>
              <w:rPr>
                <w:rFonts w:ascii="Arial" w:cs="Arial" w:eastAsia="Arial" w:hAnsi="Arial"/>
                <w:sz w:val="10"/>
                <w:szCs w:val="10"/>
                <w:b w:val="1"/>
                <w:bCs w:val="1"/>
                <w:color w:val="auto"/>
              </w:rPr>
              <w:t>(1)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w w:val="94"/>
              </w:rPr>
              <w:t>Charges against reserve and currency</w:t>
            </w:r>
          </w:p>
        </w:tc>
        <w:tc>
          <w:tcPr>
            <w:tcW w:w="180" w:type="dxa"/>
            <w:vAlign w:val="bottom"/>
            <w:tcBorders>
              <w:bottom w:val="single" w:sz="8" w:color="auto"/>
            </w:tcBorders>
            <w:shd w:val="clear" w:color="auto" w:fill="E5E5E5"/>
          </w:tcPr>
          <w:p>
            <w:pPr>
              <w:spacing w:after="0"/>
              <w:rPr>
                <w:sz w:val="19"/>
                <w:szCs w:val="19"/>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(52)</w:t>
            </w:r>
          </w:p>
        </w:tc>
        <w:tc>
          <w:tcPr>
            <w:tcW w:w="6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193"/>
        </w:trPr>
        <w:tc>
          <w:tcPr>
            <w:tcW w:w="3060" w:type="dxa"/>
            <w:vAlign w:val="bottom"/>
          </w:tcPr>
          <w:p>
            <w:pPr>
              <w:ind w:left="60"/>
              <w:spacing w:after="0"/>
              <w:rPr>
                <w:sz w:val="20"/>
                <w:szCs w:val="20"/>
                <w:color w:val="auto"/>
              </w:rPr>
            </w:pPr>
            <w:r>
              <w:rPr>
                <w:rFonts w:ascii="Arial" w:cs="Arial" w:eastAsia="Arial" w:hAnsi="Arial"/>
                <w:sz w:val="16"/>
                <w:szCs w:val="16"/>
                <w:b w:val="1"/>
                <w:bCs w:val="1"/>
                <w:color w:val="auto"/>
              </w:rPr>
              <w:t>Balance at December 31, 2025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8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30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-42545</wp:posOffset>
            </wp:positionV>
            <wp:extent cx="4404995"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440499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jc w:val="both"/>
        <w:ind w:left="360" w:hanging="312"/>
        <w:spacing w:after="0" w:line="242" w:lineRule="auto"/>
        <w:tabs>
          <w:tab w:leader="none" w:pos="360" w:val="left"/>
        </w:tabs>
        <w:numPr>
          <w:ilvl w:val="0"/>
          <w:numId w:val="1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net amount recognized within the Consolidated Statements of (Loss) Income for the years shown for restructuring charges. Reversals of prior charges primarily include net changes in estimated reserves from prior period initiatives accrued for in prior periods, including Reinvention and Integration.</w:t>
      </w:r>
    </w:p>
    <w:p>
      <w:pPr>
        <w:spacing w:after="0" w:line="2" w:lineRule="exact"/>
        <w:rPr>
          <w:rFonts w:ascii="Arial" w:cs="Arial" w:eastAsia="Arial" w:hAnsi="Arial"/>
          <w:sz w:val="16"/>
          <w:szCs w:val="16"/>
          <w:b w:val="1"/>
          <w:bCs w:val="1"/>
          <w:i w:val="1"/>
          <w:iCs w:val="1"/>
          <w:color w:val="auto"/>
        </w:rPr>
      </w:pPr>
    </w:p>
    <w:p>
      <w:pPr>
        <w:jc w:val="both"/>
        <w:ind w:left="360" w:hanging="312"/>
        <w:spacing w:after="0" w:line="256" w:lineRule="auto"/>
        <w:tabs>
          <w:tab w:leader="none" w:pos="360" w:val="left"/>
        </w:tabs>
        <w:numPr>
          <w:ilvl w:val="0"/>
          <w:numId w:val="1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Primarily includes additional costs incurred upon the exit from our facilities including decommissioning costs and associated contractual termination costs. We expect that the majority of these costs reserved for in 2025 will be paid upon the exercise of an early termination clause in </w:t>
      </w:r>
      <w:r>
        <w:rPr>
          <w:rFonts w:ascii="Arial" w:cs="Arial" w:eastAsia="Arial" w:hAnsi="Arial"/>
          <w:sz w:val="16"/>
          <w:szCs w:val="16"/>
          <w:b w:val="1"/>
          <w:bCs w:val="1"/>
          <w:color w:val="auto"/>
        </w:rPr>
        <w:t>2027</w:t>
      </w:r>
      <w:r>
        <w:rPr>
          <w:rFonts w:ascii="Arial" w:cs="Arial" w:eastAsia="Arial" w:hAnsi="Arial"/>
          <w:sz w:val="16"/>
          <w:szCs w:val="16"/>
          <w:b w:val="1"/>
          <w:bCs w:val="1"/>
          <w:i w:val="1"/>
          <w:iCs w:val="1"/>
          <w:color w:val="auto"/>
        </w:rPr>
        <w:t>.</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At December 31, 2025, we expect to pay $67 of the restructuring reserve over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summarizes the reconciliation to the Consolidated Statements of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202"/>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20" w:type="dxa"/>
            <w:vAlign w:val="bottom"/>
            <w:tcBorders>
              <w:bottom w:val="single" w:sz="8" w:color="E5E5E5"/>
            </w:tcBorders>
          </w:tcPr>
          <w:p>
            <w:pPr>
              <w:spacing w:after="0"/>
              <w:rPr>
                <w:sz w:val="18"/>
                <w:szCs w:val="18"/>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Restructuring cash payments</w:t>
            </w:r>
          </w:p>
        </w:tc>
        <w:tc>
          <w:tcPr>
            <w:tcW w:w="1060" w:type="dxa"/>
            <w:vAlign w:val="bottom"/>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44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r>
      <w:tr>
        <w:trPr>
          <w:trHeight w:val="223"/>
        </w:trPr>
        <w:tc>
          <w:tcPr>
            <w:tcW w:w="53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Effects of foreign currency and other non-cash items</w:t>
            </w: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32"/>
        </w:trPr>
        <w:tc>
          <w:tcPr>
            <w:tcW w:w="5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Charges against reserve and currency</w:t>
            </w:r>
          </w:p>
        </w:tc>
        <w:tc>
          <w:tcPr>
            <w:tcW w:w="1060" w:type="dxa"/>
            <w:vAlign w:val="bottom"/>
            <w:tcBorders>
              <w:bottom w:val="single" w:sz="8" w:color="auto"/>
            </w:tcBorders>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(65)</w:t>
            </w:r>
          </w:p>
        </w:tc>
        <w:tc>
          <w:tcPr>
            <w:tcW w:w="6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(82)</w:t>
            </w:r>
          </w:p>
        </w:tc>
        <w:tc>
          <w:tcPr>
            <w:tcW w:w="8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-43180</wp:posOffset>
            </wp:positionV>
            <wp:extent cx="2972435" cy="5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2972435" cy="50165"/>
                    </a:xfrm>
                    <a:prstGeom prst="rect">
                      <a:avLst/>
                    </a:prstGeom>
                    <a:noFill/>
                  </pic:spPr>
                </pic:pic>
              </a:graphicData>
            </a:graphic>
          </wp:anchor>
        </w:drawing>
      </w:r>
    </w:p>
    <w:p>
      <w:pPr>
        <w:sectPr>
          <w:pgSz w:w="11880" w:h="15480" w:orient="portrait"/>
          <w:cols w:equalWidth="0" w:num="1">
            <w:col w:w="9960"/>
          </w:cols>
          <w:pgMar w:left="960" w:top="5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125</w:t>
      </w:r>
    </w:p>
    <w:p>
      <w:pPr>
        <w:sectPr>
          <w:pgSz w:w="11880" w:h="15480" w:orient="portrait"/>
          <w:cols w:equalWidth="0" w:num="1">
            <w:col w:w="9960"/>
          </w:cols>
          <w:pgMar w:left="960" w:top="562" w:right="96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19"/>
          <w:szCs w:val="19"/>
          <w:b w:val="1"/>
          <w:bCs w:val="1"/>
          <w:color w:val="DA2031"/>
        </w:rPr>
        <w:t>Asset Impairment Charges, Net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associated with asset impairments represent the write-down of the related assets to their new cost basis.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Impairments are net of any potential sublease income or other recovery amounts.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In connection with strategic actions taken as a result of the Company's Reinvention, 2025 activity included the impairment of an operating lease ROU asset, as well as the sales of facilities in the U.S. and Europe, while 2024 primarily related to impairments associated with geographic simplification.</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2023 activity includes the impairment associated with the Company's sale of its Russian Subsidiary, which was completed in October 2023 and the impairment associated with the Company's sale of its Xerox Research Center of Canada (XRCC), the Canadian research division of Xerox, to Myant Capital Partners, which was completed in July 2023. 2023 also includes impairments associated with strategic actions taken as a result of the Company's Reinvention, including the outsourcing of certain back-office functions and geographic simplification.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27"/>
        </w:trPr>
        <w:tc>
          <w:tcPr>
            <w:tcW w:w="5320" w:type="dxa"/>
            <w:vAlign w:val="bottom"/>
            <w:tcBorders>
              <w:bottom w:val="single" w:sz="8" w:color="E5E5E5"/>
            </w:tcBorders>
          </w:tcPr>
          <w:p>
            <w:pPr>
              <w:spacing w:after="0"/>
              <w:rPr>
                <w:sz w:val="19"/>
                <w:szCs w:val="19"/>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Lease right of use assets</w:t>
            </w:r>
            <w:r>
              <w:rPr>
                <w:rFonts w:ascii="Arial" w:cs="Arial" w:eastAsia="Arial" w:hAnsi="Arial"/>
                <w:sz w:val="10"/>
                <w:szCs w:val="10"/>
                <w:b w:val="1"/>
                <w:bCs w:val="1"/>
                <w:color w:val="auto"/>
              </w:rPr>
              <w:t>(1)</w:t>
            </w:r>
          </w:p>
        </w:tc>
        <w:tc>
          <w:tcPr>
            <w:tcW w:w="1060" w:type="dxa"/>
            <w:vAlign w:val="bottom"/>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53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Owned assets</w:t>
            </w:r>
            <w:r>
              <w:rPr>
                <w:rFonts w:ascii="Arial" w:cs="Arial" w:eastAsia="Arial" w:hAnsi="Arial"/>
                <w:sz w:val="10"/>
                <w:szCs w:val="10"/>
                <w:b w:val="1"/>
                <w:bCs w:val="1"/>
                <w:color w:val="auto"/>
              </w:rPr>
              <w:t>(2)</w:t>
            </w: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r>
      <w:tr>
        <w:trPr>
          <w:trHeight w:val="223"/>
        </w:trPr>
        <w:tc>
          <w:tcPr>
            <w:tcW w:w="53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Asset impairments</w:t>
            </w:r>
          </w:p>
        </w:tc>
        <w:tc>
          <w:tcPr>
            <w:tcW w:w="1060" w:type="dxa"/>
            <w:vAlign w:val="bottom"/>
            <w:shd w:val="clear" w:color="auto" w:fill="E5E5E5"/>
          </w:tcPr>
          <w:p>
            <w:pPr>
              <w:spacing w:after="0"/>
              <w:rPr>
                <w:sz w:val="19"/>
                <w:szCs w:val="19"/>
                <w:color w:val="auto"/>
              </w:rPr>
            </w:pPr>
          </w:p>
        </w:tc>
        <w:tc>
          <w:tcPr>
            <w:tcW w:w="4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27</w:t>
            </w: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Adjustments/Reversals</w:t>
            </w:r>
            <w:r>
              <w:rPr>
                <w:rFonts w:ascii="Arial" w:cs="Arial" w:eastAsia="Arial" w:hAnsi="Arial"/>
                <w:sz w:val="10"/>
                <w:szCs w:val="10"/>
                <w:b w:val="1"/>
                <w:bCs w:val="1"/>
                <w:color w:val="auto"/>
              </w:rPr>
              <w:t>(3)</w:t>
            </w:r>
          </w:p>
        </w:tc>
        <w:tc>
          <w:tcPr>
            <w:tcW w:w="1060" w:type="dxa"/>
            <w:vAlign w:val="bottom"/>
          </w:tcPr>
          <w:p>
            <w:pPr>
              <w:spacing w:after="0"/>
              <w:rPr>
                <w:sz w:val="19"/>
                <w:szCs w:val="19"/>
                <w:color w:val="auto"/>
              </w:rPr>
            </w:pPr>
          </w:p>
        </w:tc>
        <w:tc>
          <w:tcPr>
            <w:tcW w:w="440" w:type="dxa"/>
            <w:vAlign w:val="bottom"/>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248"/>
        </w:trPr>
        <w:tc>
          <w:tcPr>
            <w:tcW w:w="5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Less: Proceeds from the sales of owned assets</w:t>
            </w:r>
            <w:r>
              <w:rPr>
                <w:rFonts w:ascii="Arial" w:cs="Arial" w:eastAsia="Arial" w:hAnsi="Arial"/>
                <w:sz w:val="10"/>
                <w:szCs w:val="10"/>
                <w:b w:val="1"/>
                <w:bCs w:val="1"/>
                <w:color w:val="auto"/>
              </w:rPr>
              <w:t>(4)</w:t>
            </w:r>
          </w:p>
        </w:tc>
        <w:tc>
          <w:tcPr>
            <w:tcW w:w="1060" w:type="dxa"/>
            <w:vAlign w:val="bottom"/>
            <w:tcBorders>
              <w:bottom w:val="single" w:sz="8" w:color="auto"/>
            </w:tcBorders>
            <w:shd w:val="clear" w:color="auto" w:fill="E5E5E5"/>
          </w:tcPr>
          <w:p>
            <w:pPr>
              <w:spacing w:after="0"/>
              <w:rPr>
                <w:sz w:val="21"/>
                <w:szCs w:val="21"/>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(51)</w:t>
            </w: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174"/>
        </w:trPr>
        <w:tc>
          <w:tcPr>
            <w:tcW w:w="53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Net asset impairment (credit) charge</w:t>
            </w:r>
          </w:p>
        </w:tc>
        <w:tc>
          <w:tcPr>
            <w:tcW w:w="1060" w:type="dxa"/>
            <w:vAlign w:val="bottom"/>
          </w:tcPr>
          <w:p>
            <w:pPr>
              <w:jc w:val="right"/>
              <w:ind w:right="842"/>
              <w:spacing w:after="0" w:line="175" w:lineRule="exact"/>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(15)</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25</w:t>
            </w:r>
          </w:p>
        </w:tc>
        <w:tc>
          <w:tcPr>
            <w:tcW w:w="44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32</w:t>
            </w:r>
          </w:p>
        </w:tc>
      </w:tr>
      <w:tr>
        <w:trPr>
          <w:trHeight w:val="20"/>
        </w:trPr>
        <w:tc>
          <w:tcPr>
            <w:tcW w:w="5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-42545</wp:posOffset>
            </wp:positionV>
            <wp:extent cx="2972435"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297243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r>
        <w:rPr>
          <w:rFonts w:ascii="Times New Roman" w:cs="Times New Roman" w:eastAsia="Times New Roman" w:hAnsi="Times New Roman"/>
          <w:sz w:val="16"/>
          <w:szCs w:val="16"/>
          <w:color w:val="auto"/>
        </w:rPr>
        <w:t>_</w:t>
      </w:r>
    </w:p>
    <w:p>
      <w:pPr>
        <w:spacing w:after="0" w:line="11" w:lineRule="exact"/>
        <w:rPr>
          <w:sz w:val="20"/>
          <w:szCs w:val="20"/>
          <w:color w:val="auto"/>
        </w:rPr>
      </w:pPr>
    </w:p>
    <w:p>
      <w:pPr>
        <w:ind w:left="360" w:hanging="356"/>
        <w:spacing w:after="0"/>
        <w:tabs>
          <w:tab w:leader="none" w:pos="360" w:val="left"/>
        </w:tabs>
        <w:numPr>
          <w:ilvl w:val="0"/>
          <w:numId w:val="1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Primarily related to the exit and abandonment of leased facilities, net of recoveries and any potential sublease income.</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Primarily related to the exit and abandonment of owned facilities.</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adjustment and reversals of impairments taken in prior periods.</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proceeds on the sales of exited surplus facilities and land.</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Related Cost, Net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connection with our restructuring programs, we also incurred certain related costs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27"/>
        </w:trPr>
        <w:tc>
          <w:tcPr>
            <w:tcW w:w="5380" w:type="dxa"/>
            <w:vAlign w:val="bottom"/>
            <w:tcBorders>
              <w:bottom w:val="single" w:sz="8" w:color="E5E5E5"/>
            </w:tcBorders>
          </w:tcPr>
          <w:p>
            <w:pPr>
              <w:spacing w:after="0"/>
              <w:rPr>
                <w:sz w:val="19"/>
                <w:szCs w:val="19"/>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r>
      <w:tr>
        <w:trPr>
          <w:trHeight w:val="223"/>
        </w:trPr>
        <w:tc>
          <w:tcPr>
            <w:tcW w:w="5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Retention-related severance/bonuses</w:t>
            </w:r>
            <w:r>
              <w:rPr>
                <w:rFonts w:ascii="Arial" w:cs="Arial" w:eastAsia="Arial" w:hAnsi="Arial"/>
                <w:sz w:val="10"/>
                <w:szCs w:val="10"/>
                <w:b w:val="1"/>
                <w:bCs w:val="1"/>
                <w:color w:val="auto"/>
              </w:rPr>
              <w:t>(1)</w:t>
            </w:r>
          </w:p>
        </w:tc>
        <w:tc>
          <w:tcPr>
            <w:tcW w:w="1100" w:type="dxa"/>
            <w:vAlign w:val="bottom"/>
            <w:shd w:val="clear" w:color="auto" w:fill="E5E5E5"/>
          </w:tcPr>
          <w:p>
            <w:pPr>
              <w:jc w:val="right"/>
              <w:ind w:right="882"/>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9"/>
                <w:szCs w:val="19"/>
                <w:color w:val="auto"/>
              </w:rPr>
            </w:pPr>
          </w:p>
        </w:tc>
        <w:tc>
          <w:tcPr>
            <w:tcW w:w="340" w:type="dxa"/>
            <w:vAlign w:val="bottom"/>
            <w:shd w:val="clear" w:color="auto" w:fill="DBDBDB"/>
          </w:tcPr>
          <w:p>
            <w:pPr>
              <w:jc w:val="right"/>
              <w:ind w:right="122"/>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r>
      <w:tr>
        <w:trPr>
          <w:trHeight w:val="227"/>
        </w:trPr>
        <w:tc>
          <w:tcPr>
            <w:tcW w:w="5380" w:type="dxa"/>
            <w:vAlign w:val="bottom"/>
          </w:tcPr>
          <w:p>
            <w:pPr>
              <w:ind w:left="60"/>
              <w:spacing w:after="0"/>
              <w:rPr>
                <w:sz w:val="20"/>
                <w:szCs w:val="20"/>
                <w:color w:val="auto"/>
              </w:rPr>
            </w:pPr>
            <w:r>
              <w:rPr>
                <w:rFonts w:ascii="Arial" w:cs="Arial" w:eastAsia="Arial" w:hAnsi="Arial"/>
                <w:sz w:val="16"/>
                <w:szCs w:val="16"/>
                <w:b w:val="1"/>
                <w:bCs w:val="1"/>
                <w:color w:val="auto"/>
              </w:rPr>
              <w:t>Contractual severance costs</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8"/>
        </w:trPr>
        <w:tc>
          <w:tcPr>
            <w:tcW w:w="5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Consulting and other costs</w:t>
            </w:r>
            <w:r>
              <w:rPr>
                <w:rFonts w:ascii="Arial" w:cs="Arial" w:eastAsia="Arial" w:hAnsi="Arial"/>
                <w:sz w:val="10"/>
                <w:szCs w:val="10"/>
                <w:b w:val="1"/>
                <w:bCs w:val="1"/>
                <w:color w:val="auto"/>
              </w:rPr>
              <w:t>(2)</w:t>
            </w:r>
          </w:p>
        </w:tc>
        <w:tc>
          <w:tcPr>
            <w:tcW w:w="1100" w:type="dxa"/>
            <w:vAlign w:val="bottom"/>
            <w:tcBorders>
              <w:bottom w:val="single" w:sz="8" w:color="auto"/>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3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60" w:type="dxa"/>
            <w:vAlign w:val="bottom"/>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23</w:t>
            </w:r>
          </w:p>
        </w:tc>
      </w:tr>
      <w:tr>
        <w:trPr>
          <w:trHeight w:val="174"/>
        </w:trPr>
        <w:tc>
          <w:tcPr>
            <w:tcW w:w="538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w:t>
            </w:r>
          </w:p>
        </w:tc>
        <w:tc>
          <w:tcPr>
            <w:tcW w:w="1100" w:type="dxa"/>
            <w:vAlign w:val="bottom"/>
          </w:tcPr>
          <w:p>
            <w:pPr>
              <w:jc w:val="right"/>
              <w:ind w:right="882"/>
              <w:spacing w:after="0" w:line="175" w:lineRule="exact"/>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25</w:t>
            </w:r>
          </w:p>
        </w:tc>
        <w:tc>
          <w:tcPr>
            <w:tcW w:w="400" w:type="dxa"/>
            <w:vAlign w:val="bottom"/>
            <w:gridSpan w:val="2"/>
          </w:tcPr>
          <w:p>
            <w:pPr>
              <w:jc w:val="right"/>
              <w:ind w:right="122"/>
              <w:spacing w:after="0" w:line="175" w:lineRule="exact"/>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21</w:t>
            </w:r>
          </w:p>
        </w:tc>
      </w:tr>
      <w:tr>
        <w:trPr>
          <w:trHeight w:val="20"/>
        </w:trPr>
        <w:tc>
          <w:tcPr>
            <w:tcW w:w="5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-42545</wp:posOffset>
            </wp:positionV>
            <wp:extent cx="2935605"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293560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42" w:lineRule="auto"/>
        <w:tabs>
          <w:tab w:leader="none" w:pos="360" w:val="left"/>
        </w:tabs>
        <w:numPr>
          <w:ilvl w:val="0"/>
          <w:numId w:val="1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retention related severance and bonuses for employees expected to continue working beyond their minimum retention period before termination.</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professional support services associated with our business transformation initiatives.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For the years ended December 31, 2025, 2024 and 2023, cash payments for restructuring related costs were approximately $0, $28 and $26, respectively, while the reserve was $4 and $4 at December 31, 2025 and 2024, respectively. The balance at December 31, 2025 is expected to be paid over the next twelve months.</w:t>
      </w:r>
    </w:p>
    <w:p>
      <w:pPr>
        <w:sectPr>
          <w:pgSz w:w="11880" w:h="15480" w:orient="portrait"/>
          <w:cols w:equalWidth="0" w:num="1">
            <w:col w:w="9960"/>
          </w:cols>
          <w:pgMar w:left="960" w:top="56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126</w:t>
      </w:r>
    </w:p>
    <w:p>
      <w:pPr>
        <w:sectPr>
          <w:pgSz w:w="11880" w:h="15480" w:orient="portrait"/>
          <w:cols w:equalWidth="0" w:num="1">
            <w:col w:w="9960"/>
          </w:cols>
          <w:pgMar w:left="960" w:top="561" w:right="96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3"/>
          <w:szCs w:val="23"/>
          <w:b w:val="1"/>
          <w:bCs w:val="1"/>
          <w:color w:val="DA2031"/>
        </w:rPr>
        <w:t>Note 14 - Supplementary Financial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components of Other assets and liabilities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18"/>
                <w:szCs w:val="18"/>
                <w:color w:val="auto"/>
              </w:rPr>
            </w:pPr>
          </w:p>
        </w:tc>
      </w:tr>
      <w:tr>
        <w:trPr>
          <w:trHeight w:val="227"/>
        </w:trPr>
        <w:tc>
          <w:tcPr>
            <w:tcW w:w="60" w:type="dxa"/>
            <w:vAlign w:val="bottom"/>
            <w:tcBorders>
              <w:bottom w:val="single" w:sz="8" w:color="DDDDDD"/>
            </w:tcBorders>
          </w:tcPr>
          <w:p>
            <w:pPr>
              <w:spacing w:after="0"/>
              <w:rPr>
                <w:sz w:val="19"/>
                <w:szCs w:val="19"/>
                <w:color w:val="auto"/>
              </w:rPr>
            </w:pPr>
          </w:p>
        </w:tc>
        <w:tc>
          <w:tcPr>
            <w:tcW w:w="156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spacing w:after="0"/>
              <w:rPr>
                <w:sz w:val="19"/>
                <w:szCs w:val="19"/>
                <w:color w:val="auto"/>
              </w:rPr>
            </w:pPr>
          </w:p>
        </w:tc>
        <w:tc>
          <w:tcPr>
            <w:tcW w:w="220" w:type="dxa"/>
            <w:vAlign w:val="bottom"/>
            <w:tcBorders>
              <w:bottom w:val="single" w:sz="8" w:color="DDDDDD"/>
            </w:tcBorders>
          </w:tcPr>
          <w:p>
            <w:pPr>
              <w:spacing w:after="0"/>
              <w:rPr>
                <w:sz w:val="19"/>
                <w:szCs w:val="19"/>
                <w:color w:val="auto"/>
              </w:rPr>
            </w:pPr>
          </w:p>
        </w:tc>
        <w:tc>
          <w:tcPr>
            <w:tcW w:w="1540" w:type="dxa"/>
            <w:vAlign w:val="bottom"/>
            <w:tcBorders>
              <w:bottom w:val="single" w:sz="8" w:color="DDDDDD"/>
            </w:tcBorders>
          </w:tcPr>
          <w:p>
            <w:pPr>
              <w:spacing w:after="0"/>
              <w:rPr>
                <w:sz w:val="19"/>
                <w:szCs w:val="19"/>
                <w:color w:val="auto"/>
              </w:rPr>
            </w:pPr>
          </w:p>
        </w:tc>
        <w:tc>
          <w:tcPr>
            <w:tcW w:w="330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174"/>
        </w:trPr>
        <w:tc>
          <w:tcPr>
            <w:tcW w:w="6880" w:type="dxa"/>
            <w:vAlign w:val="bottom"/>
            <w:gridSpan w:val="6"/>
            <w:shd w:val="clear" w:color="auto" w:fill="DDDDDD"/>
          </w:tcPr>
          <w:p>
            <w:pPr>
              <w:ind w:left="60"/>
              <w:spacing w:after="0" w:line="174" w:lineRule="exact"/>
              <w:rPr>
                <w:sz w:val="20"/>
                <w:szCs w:val="20"/>
                <w:color w:val="auto"/>
              </w:rPr>
            </w:pPr>
            <w:r>
              <w:rPr>
                <w:rFonts w:ascii="Arial" w:cs="Arial" w:eastAsia="Arial" w:hAnsi="Arial"/>
                <w:sz w:val="16"/>
                <w:szCs w:val="16"/>
                <w:b w:val="1"/>
                <w:bCs w:val="1"/>
                <w:color w:val="auto"/>
              </w:rPr>
              <w:t>Other Current Assets</w:t>
            </w:r>
          </w:p>
        </w:tc>
        <w:tc>
          <w:tcPr>
            <w:tcW w:w="98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r>
      <w:tr>
        <w:trPr>
          <w:trHeight w:val="29"/>
        </w:trPr>
        <w:tc>
          <w:tcPr>
            <w:tcW w:w="60" w:type="dxa"/>
            <w:vAlign w:val="bottom"/>
            <w:tcBorders>
              <w:top w:val="single" w:sz="8" w:color="DDDDDD"/>
            </w:tcBorders>
            <w:shd w:val="clear" w:color="auto" w:fill="DDDDDD"/>
          </w:tcPr>
          <w:p>
            <w:pPr>
              <w:spacing w:after="0"/>
              <w:rPr>
                <w:sz w:val="2"/>
                <w:szCs w:val="2"/>
                <w:color w:val="auto"/>
              </w:rPr>
            </w:pPr>
          </w:p>
        </w:tc>
        <w:tc>
          <w:tcPr>
            <w:tcW w:w="1560" w:type="dxa"/>
            <w:vAlign w:val="bottom"/>
            <w:tcBorders>
              <w:top w:val="single" w:sz="8" w:color="auto"/>
            </w:tcBorders>
            <w:shd w:val="clear" w:color="auto" w:fill="DDDDDD"/>
          </w:tcPr>
          <w:p>
            <w:pPr>
              <w:spacing w:after="0"/>
              <w:rPr>
                <w:sz w:val="2"/>
                <w:szCs w:val="2"/>
                <w:color w:val="auto"/>
              </w:rPr>
            </w:pPr>
          </w:p>
        </w:tc>
        <w:tc>
          <w:tcPr>
            <w:tcW w:w="200" w:type="dxa"/>
            <w:vAlign w:val="bottom"/>
            <w:tcBorders>
              <w:top w:val="single" w:sz="8" w:color="DDDDDD"/>
            </w:tcBorders>
            <w:shd w:val="clear" w:color="auto" w:fill="DDDDDD"/>
          </w:tcPr>
          <w:p>
            <w:pPr>
              <w:spacing w:after="0"/>
              <w:rPr>
                <w:sz w:val="2"/>
                <w:szCs w:val="2"/>
                <w:color w:val="auto"/>
              </w:rPr>
            </w:pPr>
          </w:p>
        </w:tc>
        <w:tc>
          <w:tcPr>
            <w:tcW w:w="220" w:type="dxa"/>
            <w:vAlign w:val="bottom"/>
            <w:tcBorders>
              <w:top w:val="single" w:sz="8" w:color="DDDDDD"/>
            </w:tcBorders>
            <w:shd w:val="clear" w:color="auto" w:fill="DDDDDD"/>
          </w:tcPr>
          <w:p>
            <w:pPr>
              <w:spacing w:after="0"/>
              <w:rPr>
                <w:sz w:val="2"/>
                <w:szCs w:val="2"/>
                <w:color w:val="auto"/>
              </w:rPr>
            </w:pPr>
          </w:p>
        </w:tc>
        <w:tc>
          <w:tcPr>
            <w:tcW w:w="1540" w:type="dxa"/>
            <w:vAlign w:val="bottom"/>
            <w:tcBorders>
              <w:top w:val="single" w:sz="8" w:color="DDDDDD"/>
            </w:tcBorders>
            <w:shd w:val="clear" w:color="auto" w:fill="DDDDDD"/>
          </w:tcPr>
          <w:p>
            <w:pPr>
              <w:spacing w:after="0"/>
              <w:rPr>
                <w:sz w:val="2"/>
                <w:szCs w:val="2"/>
                <w:color w:val="auto"/>
              </w:rPr>
            </w:pPr>
          </w:p>
        </w:tc>
        <w:tc>
          <w:tcPr>
            <w:tcW w:w="3300" w:type="dxa"/>
            <w:vAlign w:val="bottom"/>
            <w:tcBorders>
              <w:top w:val="single" w:sz="8" w:color="DDDDDD"/>
            </w:tcBorders>
            <w:shd w:val="clear" w:color="auto" w:fill="DDDDDD"/>
          </w:tcPr>
          <w:p>
            <w:pPr>
              <w:spacing w:after="0"/>
              <w:rPr>
                <w:sz w:val="2"/>
                <w:szCs w:val="2"/>
                <w:color w:val="auto"/>
              </w:rPr>
            </w:pPr>
          </w:p>
        </w:tc>
        <w:tc>
          <w:tcPr>
            <w:tcW w:w="980" w:type="dxa"/>
            <w:vAlign w:val="bottom"/>
            <w:tcBorders>
              <w:top w:val="single" w:sz="8" w:color="DDDDDD"/>
            </w:tcBorders>
            <w:shd w:val="clear" w:color="auto" w:fill="DDDDDD"/>
          </w:tcPr>
          <w:p>
            <w:pPr>
              <w:spacing w:after="0"/>
              <w:rPr>
                <w:sz w:val="2"/>
                <w:szCs w:val="2"/>
                <w:color w:val="auto"/>
              </w:rPr>
            </w:pPr>
          </w:p>
        </w:tc>
        <w:tc>
          <w:tcPr>
            <w:tcW w:w="520" w:type="dxa"/>
            <w:vAlign w:val="bottom"/>
            <w:tcBorders>
              <w:top w:val="single" w:sz="8" w:color="DDDDDD"/>
            </w:tcBorders>
            <w:shd w:val="clear" w:color="auto" w:fill="DDDDDD"/>
          </w:tcPr>
          <w:p>
            <w:pPr>
              <w:spacing w:after="0"/>
              <w:rPr>
                <w:sz w:val="2"/>
                <w:szCs w:val="2"/>
                <w:color w:val="auto"/>
              </w:rPr>
            </w:pPr>
          </w:p>
        </w:tc>
        <w:tc>
          <w:tcPr>
            <w:tcW w:w="80" w:type="dxa"/>
            <w:vAlign w:val="bottom"/>
            <w:tcBorders>
              <w:top w:val="single" w:sz="8" w:color="DDDDDD"/>
            </w:tcBorders>
            <w:shd w:val="clear" w:color="auto" w:fill="DDDDDD"/>
          </w:tcPr>
          <w:p>
            <w:pPr>
              <w:spacing w:after="0"/>
              <w:rPr>
                <w:sz w:val="2"/>
                <w:szCs w:val="2"/>
                <w:color w:val="auto"/>
              </w:rPr>
            </w:pPr>
          </w:p>
        </w:tc>
        <w:tc>
          <w:tcPr>
            <w:tcW w:w="520" w:type="dxa"/>
            <w:vAlign w:val="bottom"/>
            <w:tcBorders>
              <w:top w:val="single" w:sz="8" w:color="DDDDDD"/>
            </w:tcBorders>
            <w:shd w:val="clear" w:color="auto" w:fill="DDDDDD"/>
          </w:tcPr>
          <w:p>
            <w:pPr>
              <w:spacing w:after="0"/>
              <w:rPr>
                <w:sz w:val="2"/>
                <w:szCs w:val="2"/>
                <w:color w:val="auto"/>
              </w:rPr>
            </w:pPr>
          </w:p>
        </w:tc>
        <w:tc>
          <w:tcPr>
            <w:tcW w:w="980" w:type="dxa"/>
            <w:vAlign w:val="bottom"/>
            <w:tcBorders>
              <w:top w:val="single" w:sz="8" w:color="DDDDDD"/>
            </w:tcBorders>
            <w:shd w:val="clear" w:color="auto" w:fill="DDDDDD"/>
          </w:tcPr>
          <w:p>
            <w:pPr>
              <w:spacing w:after="0"/>
              <w:rPr>
                <w:sz w:val="2"/>
                <w:szCs w:val="2"/>
                <w:color w:val="auto"/>
              </w:rPr>
            </w:pPr>
          </w:p>
        </w:tc>
      </w:tr>
      <w:tr>
        <w:trPr>
          <w:trHeight w:val="227"/>
        </w:trPr>
        <w:tc>
          <w:tcPr>
            <w:tcW w:w="6880" w:type="dxa"/>
            <w:vAlign w:val="bottom"/>
            <w:gridSpan w:val="6"/>
          </w:tcPr>
          <w:p>
            <w:pPr>
              <w:ind w:left="60"/>
              <w:spacing w:after="0"/>
              <w:rPr>
                <w:sz w:val="20"/>
                <w:szCs w:val="20"/>
                <w:color w:val="auto"/>
              </w:rPr>
            </w:pPr>
            <w:r>
              <w:rPr>
                <w:rFonts w:ascii="Arial" w:cs="Arial" w:eastAsia="Arial" w:hAnsi="Arial"/>
                <w:sz w:val="16"/>
                <w:szCs w:val="16"/>
                <w:b w:val="1"/>
                <w:bCs w:val="1"/>
                <w:color w:val="auto"/>
              </w:rPr>
              <w:t>Income taxes receivable</w:t>
            </w:r>
          </w:p>
        </w:tc>
        <w:tc>
          <w:tcPr>
            <w:tcW w:w="980" w:type="dxa"/>
            <w:vAlign w:val="bottom"/>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239"/>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Royalties, license fees and software maintenance</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19</w:t>
            </w:r>
          </w:p>
        </w:tc>
      </w:tr>
      <w:tr>
        <w:trPr>
          <w:trHeight w:val="227"/>
        </w:trPr>
        <w:tc>
          <w:tcPr>
            <w:tcW w:w="6880" w:type="dxa"/>
            <w:vAlign w:val="bottom"/>
            <w:gridSpan w:val="6"/>
          </w:tcPr>
          <w:p>
            <w:pPr>
              <w:ind w:left="60"/>
              <w:spacing w:after="0"/>
              <w:rPr>
                <w:sz w:val="20"/>
                <w:szCs w:val="20"/>
                <w:color w:val="auto"/>
              </w:rPr>
            </w:pPr>
            <w:r>
              <w:rPr>
                <w:rFonts w:ascii="Arial" w:cs="Arial" w:eastAsia="Arial" w:hAnsi="Arial"/>
                <w:sz w:val="16"/>
                <w:szCs w:val="16"/>
                <w:b w:val="1"/>
                <w:bCs w:val="1"/>
                <w:color w:val="auto"/>
              </w:rPr>
              <w:t>Restricted cash</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39"/>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Prepaid expenses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112</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39</w:t>
            </w:r>
          </w:p>
        </w:tc>
      </w:tr>
      <w:tr>
        <w:trPr>
          <w:trHeight w:val="227"/>
        </w:trPr>
        <w:tc>
          <w:tcPr>
            <w:tcW w:w="6880" w:type="dxa"/>
            <w:vAlign w:val="bottom"/>
            <w:gridSpan w:val="6"/>
          </w:tcPr>
          <w:p>
            <w:pPr>
              <w:ind w:left="60"/>
              <w:spacing w:after="0"/>
              <w:rPr>
                <w:sz w:val="20"/>
                <w:szCs w:val="20"/>
                <w:color w:val="auto"/>
              </w:rPr>
            </w:pPr>
            <w:r>
              <w:rPr>
                <w:rFonts w:ascii="Arial" w:cs="Arial" w:eastAsia="Arial" w:hAnsi="Arial"/>
                <w:sz w:val="16"/>
                <w:szCs w:val="16"/>
                <w:b w:val="1"/>
                <w:bCs w:val="1"/>
                <w:color w:val="auto"/>
              </w:rPr>
              <w:t>Advances and deposits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239"/>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Contract assets and other deferred contract costs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w:t>
            </w:r>
          </w:p>
        </w:tc>
      </w:tr>
      <w:tr>
        <w:trPr>
          <w:trHeight w:val="223"/>
        </w:trPr>
        <w:tc>
          <w:tcPr>
            <w:tcW w:w="6880" w:type="dxa"/>
            <w:vAlign w:val="bottom"/>
            <w:tcBorders>
              <w:bottom w:val="single" w:sz="8" w:color="DDDDDD"/>
            </w:tcBorders>
            <w:gridSpan w:val="6"/>
          </w:tcPr>
          <w:p>
            <w:pPr>
              <w:ind w:left="60"/>
              <w:spacing w:after="0"/>
              <w:rPr>
                <w:sz w:val="20"/>
                <w:szCs w:val="20"/>
                <w:color w:val="auto"/>
              </w:rPr>
            </w:pPr>
            <w:r>
              <w:rPr>
                <w:rFonts w:ascii="Arial" w:cs="Arial" w:eastAsia="Arial" w:hAnsi="Arial"/>
                <w:sz w:val="16"/>
                <w:szCs w:val="16"/>
                <w:b w:val="1"/>
                <w:bCs w:val="1"/>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r>
      <w:tr>
        <w:trPr>
          <w:trHeight w:val="232"/>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Total Other Current Assets</w:t>
            </w:r>
          </w:p>
        </w:tc>
        <w:tc>
          <w:tcPr>
            <w:tcW w:w="980" w:type="dxa"/>
            <w:vAlign w:val="bottom"/>
            <w:shd w:val="clear" w:color="auto" w:fill="DDDDDD"/>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362</w:t>
            </w:r>
          </w:p>
        </w:tc>
        <w:tc>
          <w:tcPr>
            <w:tcW w:w="600" w:type="dxa"/>
            <w:vAlign w:val="bottom"/>
            <w:gridSpan w:val="2"/>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212</w:t>
            </w:r>
          </w:p>
        </w:tc>
      </w:tr>
      <w:tr>
        <w:trPr>
          <w:trHeight w:val="204"/>
        </w:trPr>
        <w:tc>
          <w:tcPr>
            <w:tcW w:w="60" w:type="dxa"/>
            <w:vAlign w:val="bottom"/>
            <w:tcBorders>
              <w:top w:val="single" w:sz="8" w:color="DDDDDD"/>
            </w:tcBorders>
          </w:tcPr>
          <w:p>
            <w:pPr>
              <w:spacing w:after="0"/>
              <w:rPr>
                <w:sz w:val="17"/>
                <w:szCs w:val="17"/>
                <w:color w:val="auto"/>
              </w:rPr>
            </w:pPr>
          </w:p>
        </w:tc>
        <w:tc>
          <w:tcPr>
            <w:tcW w:w="1560" w:type="dxa"/>
            <w:vAlign w:val="bottom"/>
            <w:tcBorders>
              <w:top w:val="single" w:sz="8" w:color="DDDDDD"/>
            </w:tcBorders>
          </w:tcPr>
          <w:p>
            <w:pPr>
              <w:spacing w:after="0"/>
              <w:rPr>
                <w:sz w:val="17"/>
                <w:szCs w:val="17"/>
                <w:color w:val="auto"/>
              </w:rPr>
            </w:pPr>
          </w:p>
        </w:tc>
        <w:tc>
          <w:tcPr>
            <w:tcW w:w="200" w:type="dxa"/>
            <w:vAlign w:val="bottom"/>
            <w:tcBorders>
              <w:top w:val="single" w:sz="8" w:color="DDDDDD"/>
            </w:tcBorders>
          </w:tcPr>
          <w:p>
            <w:pPr>
              <w:spacing w:after="0"/>
              <w:rPr>
                <w:sz w:val="17"/>
                <w:szCs w:val="17"/>
                <w:color w:val="auto"/>
              </w:rPr>
            </w:pPr>
          </w:p>
        </w:tc>
        <w:tc>
          <w:tcPr>
            <w:tcW w:w="220" w:type="dxa"/>
            <w:vAlign w:val="bottom"/>
            <w:tcBorders>
              <w:top w:val="single" w:sz="8" w:color="DDDDDD"/>
            </w:tcBorders>
          </w:tcPr>
          <w:p>
            <w:pPr>
              <w:spacing w:after="0"/>
              <w:rPr>
                <w:sz w:val="17"/>
                <w:szCs w:val="17"/>
                <w:color w:val="auto"/>
              </w:rPr>
            </w:pPr>
          </w:p>
        </w:tc>
        <w:tc>
          <w:tcPr>
            <w:tcW w:w="1540" w:type="dxa"/>
            <w:vAlign w:val="bottom"/>
            <w:tcBorders>
              <w:top w:val="single" w:sz="8" w:color="DDDDDD"/>
            </w:tcBorders>
          </w:tcPr>
          <w:p>
            <w:pPr>
              <w:spacing w:after="0"/>
              <w:rPr>
                <w:sz w:val="17"/>
                <w:szCs w:val="17"/>
                <w:color w:val="auto"/>
              </w:rPr>
            </w:pPr>
          </w:p>
        </w:tc>
        <w:tc>
          <w:tcPr>
            <w:tcW w:w="3300" w:type="dxa"/>
            <w:vAlign w:val="bottom"/>
            <w:tcBorders>
              <w:top w:val="single" w:sz="8" w:color="DDDDDD"/>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DDDDDD"/>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3"/>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98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4"/>
              </w:rPr>
              <w:t>Income taxes receivable</w:t>
            </w:r>
          </w:p>
        </w:tc>
        <w:tc>
          <w:tcPr>
            <w:tcW w:w="5060" w:type="dxa"/>
            <w:vAlign w:val="bottom"/>
            <w:tcBorders>
              <w:top w:val="single" w:sz="8" w:color="DDDDDD"/>
            </w:tcBorders>
            <w:gridSpan w:val="3"/>
          </w:tcPr>
          <w:p>
            <w:pPr>
              <w:spacing w:after="0"/>
              <w:rPr>
                <w:sz w:val="19"/>
                <w:szCs w:val="19"/>
                <w:color w:val="auto"/>
              </w:rPr>
            </w:pPr>
          </w:p>
        </w:tc>
        <w:tc>
          <w:tcPr>
            <w:tcW w:w="980" w:type="dxa"/>
            <w:vAlign w:val="bottom"/>
            <w:tcBorders>
              <w:top w:val="single" w:sz="8" w:color="DDDDDD"/>
            </w:tcBorders>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54</w:t>
            </w:r>
          </w:p>
        </w:tc>
        <w:tc>
          <w:tcPr>
            <w:tcW w:w="600" w:type="dxa"/>
            <w:vAlign w:val="bottom"/>
            <w:tcBorders>
              <w:top w:val="single" w:sz="8" w:color="DDDDDD"/>
            </w:tcBorders>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45</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Prepaid pension costs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578</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421</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Internal use software, net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Restricted cash</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22</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Customer contract costs, net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139</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Operating lease right-of-use assets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311</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179</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Deferred compensation plan investments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Investments in affiliates, at equity</w:t>
            </w:r>
            <w:r>
              <w:rPr>
                <w:rFonts w:ascii="Arial" w:cs="Arial" w:eastAsia="Arial" w:hAnsi="Arial"/>
                <w:sz w:val="10"/>
                <w:szCs w:val="10"/>
                <w:b w:val="1"/>
                <w:bCs w:val="1"/>
                <w:color w:val="auto"/>
              </w:rPr>
              <w:t>(1)</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55</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49</w:t>
            </w:r>
          </w:p>
        </w:tc>
      </w:tr>
      <w:tr>
        <w:trPr>
          <w:trHeight w:val="227"/>
        </w:trPr>
        <w:tc>
          <w:tcPr>
            <w:tcW w:w="6880" w:type="dxa"/>
            <w:vAlign w:val="bottom"/>
            <w:gridSpan w:val="6"/>
          </w:tcPr>
          <w:p>
            <w:pPr>
              <w:ind w:left="60"/>
              <w:spacing w:after="0"/>
              <w:rPr>
                <w:sz w:val="20"/>
                <w:szCs w:val="20"/>
                <w:color w:val="auto"/>
              </w:rPr>
            </w:pPr>
            <w:r>
              <w:rPr>
                <w:rFonts w:ascii="Arial" w:cs="Arial" w:eastAsia="Arial" w:hAnsi="Arial"/>
                <w:sz w:val="16"/>
                <w:szCs w:val="16"/>
                <w:b w:val="1"/>
                <w:bCs w:val="1"/>
                <w:color w:val="auto"/>
              </w:rPr>
              <w:t>Investments at cost - Xerox Holdings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248"/>
        </w:trPr>
        <w:tc>
          <w:tcPr>
            <w:tcW w:w="6880" w:type="dxa"/>
            <w:vAlign w:val="bottom"/>
            <w:tcBorders>
              <w:bottom w:val="single" w:sz="8" w:color="DDDDDD"/>
            </w:tcBorders>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Other</w:t>
            </w:r>
          </w:p>
        </w:tc>
        <w:tc>
          <w:tcPr>
            <w:tcW w:w="980" w:type="dxa"/>
            <w:vAlign w:val="bottom"/>
            <w:tcBorders>
              <w:bottom w:val="single" w:sz="8" w:color="auto"/>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97</w:t>
            </w:r>
          </w:p>
        </w:tc>
        <w:tc>
          <w:tcPr>
            <w:tcW w:w="8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spacing w:after="0"/>
              <w:rPr>
                <w:sz w:val="21"/>
                <w:szCs w:val="21"/>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89</w:t>
            </w:r>
          </w:p>
        </w:tc>
      </w:tr>
      <w:tr>
        <w:trPr>
          <w:trHeight w:val="213"/>
        </w:trPr>
        <w:tc>
          <w:tcPr>
            <w:tcW w:w="6880" w:type="dxa"/>
            <w:vAlign w:val="bottom"/>
            <w:gridSpan w:val="6"/>
          </w:tcPr>
          <w:p>
            <w:pPr>
              <w:ind w:left="60"/>
              <w:spacing w:after="0" w:line="175" w:lineRule="exact"/>
              <w:rPr>
                <w:sz w:val="20"/>
                <w:szCs w:val="20"/>
                <w:color w:val="auto"/>
              </w:rPr>
            </w:pPr>
            <w:r>
              <w:rPr>
                <w:rFonts w:ascii="Arial" w:cs="Arial" w:eastAsia="Arial" w:hAnsi="Arial"/>
                <w:sz w:val="16"/>
                <w:szCs w:val="16"/>
                <w:b w:val="1"/>
                <w:bCs w:val="1"/>
                <w:color w:val="auto"/>
              </w:rPr>
              <w:t>Total Other Long-term Assets</w:t>
            </w:r>
            <w:r>
              <w:rPr>
                <w:rFonts w:ascii="Arial" w:cs="Arial" w:eastAsia="Arial" w:hAnsi="Arial"/>
                <w:sz w:val="10"/>
                <w:szCs w:val="10"/>
                <w:b w:val="1"/>
                <w:bCs w:val="1"/>
                <w:color w:val="auto"/>
              </w:rPr>
              <w:t>(2)</w:t>
            </w:r>
          </w:p>
        </w:tc>
        <w:tc>
          <w:tcPr>
            <w:tcW w:w="980" w:type="dxa"/>
            <w:vAlign w:val="bottom"/>
          </w:tcPr>
          <w:p>
            <w:pPr>
              <w:jc w:val="right"/>
              <w:ind w:right="762"/>
              <w:spacing w:after="0" w:line="175"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1,479</w:t>
            </w:r>
          </w:p>
        </w:tc>
        <w:tc>
          <w:tcPr>
            <w:tcW w:w="600" w:type="dxa"/>
            <w:vAlign w:val="bottom"/>
            <w:gridSpan w:val="2"/>
          </w:tcPr>
          <w:p>
            <w:pPr>
              <w:jc w:val="right"/>
              <w:ind w:right="302"/>
              <w:spacing w:after="0" w:line="17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1,057</w:t>
            </w:r>
          </w:p>
        </w:tc>
      </w:tr>
      <w:tr>
        <w:trPr>
          <w:trHeight w:val="204"/>
        </w:trPr>
        <w:tc>
          <w:tcPr>
            <w:tcW w:w="60" w:type="dxa"/>
            <w:vAlign w:val="bottom"/>
            <w:tcBorders>
              <w:top w:val="single" w:sz="8" w:color="DDDDDD"/>
            </w:tcBorders>
            <w:shd w:val="clear" w:color="auto" w:fill="DDDDDD"/>
          </w:tcPr>
          <w:p>
            <w:pPr>
              <w:spacing w:after="0"/>
              <w:rPr>
                <w:sz w:val="17"/>
                <w:szCs w:val="17"/>
                <w:color w:val="auto"/>
              </w:rPr>
            </w:pPr>
          </w:p>
        </w:tc>
        <w:tc>
          <w:tcPr>
            <w:tcW w:w="1560" w:type="dxa"/>
            <w:vAlign w:val="bottom"/>
            <w:tcBorders>
              <w:top w:val="single" w:sz="8" w:color="DDDDDD"/>
            </w:tcBorders>
            <w:shd w:val="clear" w:color="auto" w:fill="DDDDDD"/>
          </w:tcPr>
          <w:p>
            <w:pPr>
              <w:spacing w:after="0"/>
              <w:rPr>
                <w:sz w:val="17"/>
                <w:szCs w:val="17"/>
                <w:color w:val="auto"/>
              </w:rPr>
            </w:pPr>
          </w:p>
        </w:tc>
        <w:tc>
          <w:tcPr>
            <w:tcW w:w="200" w:type="dxa"/>
            <w:vAlign w:val="bottom"/>
            <w:tcBorders>
              <w:top w:val="single" w:sz="8" w:color="DDDDDD"/>
            </w:tcBorders>
            <w:shd w:val="clear" w:color="auto" w:fill="DDDDDD"/>
          </w:tcPr>
          <w:p>
            <w:pPr>
              <w:spacing w:after="0"/>
              <w:rPr>
                <w:sz w:val="17"/>
                <w:szCs w:val="17"/>
                <w:color w:val="auto"/>
              </w:rPr>
            </w:pPr>
          </w:p>
        </w:tc>
        <w:tc>
          <w:tcPr>
            <w:tcW w:w="220" w:type="dxa"/>
            <w:vAlign w:val="bottom"/>
            <w:tcBorders>
              <w:top w:val="single" w:sz="8" w:color="DDDDDD"/>
            </w:tcBorders>
            <w:shd w:val="clear" w:color="auto" w:fill="DDDDDD"/>
          </w:tcPr>
          <w:p>
            <w:pPr>
              <w:spacing w:after="0"/>
              <w:rPr>
                <w:sz w:val="17"/>
                <w:szCs w:val="17"/>
                <w:color w:val="auto"/>
              </w:rPr>
            </w:pPr>
          </w:p>
        </w:tc>
        <w:tc>
          <w:tcPr>
            <w:tcW w:w="1540" w:type="dxa"/>
            <w:vAlign w:val="bottom"/>
            <w:tcBorders>
              <w:top w:val="single" w:sz="8" w:color="DDDDDD"/>
            </w:tcBorders>
            <w:shd w:val="clear" w:color="auto" w:fill="DDDDDD"/>
          </w:tcPr>
          <w:p>
            <w:pPr>
              <w:spacing w:after="0"/>
              <w:rPr>
                <w:sz w:val="17"/>
                <w:szCs w:val="17"/>
                <w:color w:val="auto"/>
              </w:rPr>
            </w:pPr>
          </w:p>
        </w:tc>
        <w:tc>
          <w:tcPr>
            <w:tcW w:w="3300" w:type="dxa"/>
            <w:vAlign w:val="bottom"/>
            <w:tcBorders>
              <w:top w:val="single" w:sz="8" w:color="DDDDDD"/>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spacing w:after="0"/>
              <w:rPr>
                <w:sz w:val="17"/>
                <w:szCs w:val="17"/>
                <w:color w:val="auto"/>
              </w:rPr>
            </w:pPr>
          </w:p>
        </w:tc>
        <w:tc>
          <w:tcPr>
            <w:tcW w:w="52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520" w:type="dxa"/>
            <w:vAlign w:val="bottom"/>
            <w:tcBorders>
              <w:top w:val="single" w:sz="8" w:color="auto"/>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spacing w:after="0"/>
              <w:rPr>
                <w:sz w:val="17"/>
                <w:szCs w:val="17"/>
                <w:color w:val="auto"/>
              </w:rPr>
            </w:pPr>
          </w:p>
        </w:tc>
      </w:tr>
      <w:tr>
        <w:trPr>
          <w:trHeight w:val="184"/>
        </w:trPr>
        <w:tc>
          <w:tcPr>
            <w:tcW w:w="6880" w:type="dxa"/>
            <w:vAlign w:val="bottom"/>
            <w:gridSpan w:val="6"/>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9"/>
        </w:trPr>
        <w:tc>
          <w:tcPr>
            <w:tcW w:w="6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3"/>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Income taxes payable</w:t>
            </w:r>
          </w:p>
        </w:tc>
        <w:tc>
          <w:tcPr>
            <w:tcW w:w="980" w:type="dxa"/>
            <w:vAlign w:val="bottom"/>
            <w:shd w:val="clear" w:color="auto" w:fill="DDDDDD"/>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75</w:t>
            </w:r>
          </w:p>
        </w:tc>
        <w:tc>
          <w:tcPr>
            <w:tcW w:w="600" w:type="dxa"/>
            <w:vAlign w:val="bottom"/>
            <w:gridSpan w:val="2"/>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33</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Other taxes payable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Operating lease obligations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64</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45</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Interest payable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Restructuring reserves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86</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Dividends payable - Xerox Holdings</w:t>
            </w:r>
            <w:r>
              <w:rPr>
                <w:rFonts w:ascii="Arial" w:cs="Arial" w:eastAsia="Arial" w:hAnsi="Arial"/>
                <w:sz w:val="10"/>
                <w:szCs w:val="10"/>
                <w:b w:val="1"/>
                <w:bCs w:val="1"/>
                <w:color w:val="auto"/>
              </w:rPr>
              <w:t>(3)</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239"/>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Distributor and reseller rebates/commissions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447</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118</w:t>
            </w:r>
          </w:p>
        </w:tc>
      </w:tr>
      <w:tr>
        <w:trPr>
          <w:trHeight w:val="227"/>
        </w:trPr>
        <w:tc>
          <w:tcPr>
            <w:tcW w:w="6880" w:type="dxa"/>
            <w:vAlign w:val="bottom"/>
            <w:gridSpan w:val="6"/>
          </w:tcPr>
          <w:p>
            <w:pPr>
              <w:ind w:left="60"/>
              <w:spacing w:after="0"/>
              <w:rPr>
                <w:sz w:val="20"/>
                <w:szCs w:val="20"/>
                <w:color w:val="auto"/>
              </w:rPr>
            </w:pPr>
            <w:r>
              <w:rPr>
                <w:rFonts w:ascii="Arial" w:cs="Arial" w:eastAsia="Arial" w:hAnsi="Arial"/>
                <w:sz w:val="16"/>
                <w:szCs w:val="16"/>
                <w:b w:val="1"/>
                <w:bCs w:val="1"/>
                <w:color w:val="auto"/>
              </w:rPr>
              <w:t>Unearned income and other revenue deferrals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133</w:t>
            </w:r>
          </w:p>
        </w:tc>
      </w:tr>
      <w:tr>
        <w:trPr>
          <w:trHeight w:val="239"/>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Administration and overhead</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41</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44</w:t>
            </w:r>
          </w:p>
        </w:tc>
      </w:tr>
      <w:tr>
        <w:trPr>
          <w:trHeight w:val="223"/>
        </w:trPr>
        <w:tc>
          <w:tcPr>
            <w:tcW w:w="6880" w:type="dxa"/>
            <w:vAlign w:val="bottom"/>
            <w:tcBorders>
              <w:bottom w:val="single" w:sz="8" w:color="DDDDDD"/>
            </w:tcBorders>
            <w:gridSpan w:val="6"/>
          </w:tcPr>
          <w:p>
            <w:pPr>
              <w:ind w:left="60"/>
              <w:spacing w:after="0"/>
              <w:rPr>
                <w:sz w:val="20"/>
                <w:szCs w:val="20"/>
                <w:color w:val="auto"/>
              </w:rPr>
            </w:pPr>
            <w:r>
              <w:rPr>
                <w:rFonts w:ascii="Arial" w:cs="Arial" w:eastAsia="Arial" w:hAnsi="Arial"/>
                <w:sz w:val="16"/>
                <w:szCs w:val="16"/>
                <w:b w:val="1"/>
                <w:bCs w:val="1"/>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w:t>
            </w: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w:t>
            </w:r>
          </w:p>
        </w:tc>
      </w:tr>
      <w:tr>
        <w:trPr>
          <w:trHeight w:val="232"/>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Total Accrued Expenses and Other Current Liabilities</w:t>
            </w:r>
            <w:r>
              <w:rPr>
                <w:rFonts w:ascii="Arial" w:cs="Arial" w:eastAsia="Arial" w:hAnsi="Arial"/>
                <w:sz w:val="10"/>
                <w:szCs w:val="10"/>
                <w:b w:val="1"/>
                <w:bCs w:val="1"/>
                <w:color w:val="auto"/>
              </w:rPr>
              <w:t>(4)</w:t>
            </w:r>
          </w:p>
        </w:tc>
        <w:tc>
          <w:tcPr>
            <w:tcW w:w="980" w:type="dxa"/>
            <w:vAlign w:val="bottom"/>
            <w:shd w:val="clear" w:color="auto" w:fill="DDDDDD"/>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1,258</w:t>
            </w:r>
          </w:p>
        </w:tc>
        <w:tc>
          <w:tcPr>
            <w:tcW w:w="600" w:type="dxa"/>
            <w:vAlign w:val="bottom"/>
            <w:gridSpan w:val="2"/>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784</w:t>
            </w:r>
          </w:p>
        </w:tc>
      </w:tr>
      <w:tr>
        <w:trPr>
          <w:trHeight w:val="204"/>
        </w:trPr>
        <w:tc>
          <w:tcPr>
            <w:tcW w:w="60" w:type="dxa"/>
            <w:vAlign w:val="bottom"/>
            <w:tcBorders>
              <w:top w:val="single" w:sz="8" w:color="DDDDDD"/>
            </w:tcBorders>
          </w:tcPr>
          <w:p>
            <w:pPr>
              <w:spacing w:after="0"/>
              <w:rPr>
                <w:sz w:val="17"/>
                <w:szCs w:val="17"/>
                <w:color w:val="auto"/>
              </w:rPr>
            </w:pPr>
          </w:p>
        </w:tc>
        <w:tc>
          <w:tcPr>
            <w:tcW w:w="1560" w:type="dxa"/>
            <w:vAlign w:val="bottom"/>
            <w:tcBorders>
              <w:top w:val="single" w:sz="8" w:color="DDDDDD"/>
            </w:tcBorders>
          </w:tcPr>
          <w:p>
            <w:pPr>
              <w:spacing w:after="0"/>
              <w:rPr>
                <w:sz w:val="17"/>
                <w:szCs w:val="17"/>
                <w:color w:val="auto"/>
              </w:rPr>
            </w:pPr>
          </w:p>
        </w:tc>
        <w:tc>
          <w:tcPr>
            <w:tcW w:w="200" w:type="dxa"/>
            <w:vAlign w:val="bottom"/>
            <w:tcBorders>
              <w:top w:val="single" w:sz="8" w:color="DDDDDD"/>
            </w:tcBorders>
          </w:tcPr>
          <w:p>
            <w:pPr>
              <w:spacing w:after="0"/>
              <w:rPr>
                <w:sz w:val="17"/>
                <w:szCs w:val="17"/>
                <w:color w:val="auto"/>
              </w:rPr>
            </w:pPr>
          </w:p>
        </w:tc>
        <w:tc>
          <w:tcPr>
            <w:tcW w:w="220" w:type="dxa"/>
            <w:vAlign w:val="bottom"/>
            <w:tcBorders>
              <w:top w:val="single" w:sz="8" w:color="DDDDDD"/>
            </w:tcBorders>
          </w:tcPr>
          <w:p>
            <w:pPr>
              <w:spacing w:after="0"/>
              <w:rPr>
                <w:sz w:val="17"/>
                <w:szCs w:val="17"/>
                <w:color w:val="auto"/>
              </w:rPr>
            </w:pPr>
          </w:p>
        </w:tc>
        <w:tc>
          <w:tcPr>
            <w:tcW w:w="1540" w:type="dxa"/>
            <w:vAlign w:val="bottom"/>
            <w:tcBorders>
              <w:top w:val="single" w:sz="8" w:color="DDDDDD"/>
            </w:tcBorders>
          </w:tcPr>
          <w:p>
            <w:pPr>
              <w:spacing w:after="0"/>
              <w:rPr>
                <w:sz w:val="17"/>
                <w:szCs w:val="17"/>
                <w:color w:val="auto"/>
              </w:rPr>
            </w:pPr>
          </w:p>
        </w:tc>
        <w:tc>
          <w:tcPr>
            <w:tcW w:w="3300" w:type="dxa"/>
            <w:vAlign w:val="bottom"/>
            <w:tcBorders>
              <w:top w:val="single" w:sz="8" w:color="DDDDDD"/>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DDDDDD"/>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3"/>
        </w:trPr>
        <w:tc>
          <w:tcPr>
            <w:tcW w:w="6880" w:type="dxa"/>
            <w:vAlign w:val="bottom"/>
            <w:gridSpan w:val="6"/>
            <w:shd w:val="clear" w:color="auto" w:fill="DDDDDD"/>
          </w:tcPr>
          <w:p>
            <w:pPr>
              <w:ind w:left="60"/>
              <w:spacing w:after="0"/>
              <w:rPr>
                <w:sz w:val="20"/>
                <w:szCs w:val="20"/>
                <w:color w:val="auto"/>
              </w:rPr>
            </w:pPr>
            <w:r>
              <w:rPr>
                <w:rFonts w:ascii="Arial" w:cs="Arial" w:eastAsia="Arial" w:hAnsi="Arial"/>
                <w:sz w:val="16"/>
                <w:szCs w:val="16"/>
                <w:b w:val="1"/>
                <w:bCs w:val="1"/>
                <w:color w:val="auto"/>
              </w:rPr>
              <w:t>Other Long-term Liabilities</w:t>
            </w:r>
          </w:p>
        </w:tc>
        <w:tc>
          <w:tcPr>
            <w:tcW w:w="98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19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Deferred taxes</w:t>
            </w:r>
          </w:p>
        </w:tc>
        <w:tc>
          <w:tcPr>
            <w:tcW w:w="4840" w:type="dxa"/>
            <w:vAlign w:val="bottom"/>
            <w:tcBorders>
              <w:top w:val="single" w:sz="8" w:color="DDDDDD"/>
            </w:tcBorders>
            <w:gridSpan w:val="2"/>
          </w:tcPr>
          <w:p>
            <w:pPr>
              <w:spacing w:after="0"/>
              <w:rPr>
                <w:sz w:val="19"/>
                <w:szCs w:val="19"/>
                <w:color w:val="auto"/>
              </w:rPr>
            </w:pPr>
          </w:p>
        </w:tc>
        <w:tc>
          <w:tcPr>
            <w:tcW w:w="980" w:type="dxa"/>
            <w:vAlign w:val="bottom"/>
            <w:tcBorders>
              <w:top w:val="single" w:sz="8" w:color="DDDDDD"/>
            </w:tcBorders>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138</w:t>
            </w:r>
          </w:p>
        </w:tc>
        <w:tc>
          <w:tcPr>
            <w:tcW w:w="600" w:type="dxa"/>
            <w:vAlign w:val="bottom"/>
            <w:tcBorders>
              <w:top w:val="single" w:sz="8" w:color="DDDDDD"/>
            </w:tcBorders>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85</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Income taxes payable</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Operating lease obligations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Environmental reserves</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12</w:t>
            </w:r>
          </w:p>
        </w:tc>
      </w:tr>
      <w:tr>
        <w:trPr>
          <w:trHeight w:val="227"/>
        </w:trPr>
        <w:tc>
          <w:tcPr>
            <w:tcW w:w="60" w:type="dxa"/>
            <w:vAlign w:val="bottom"/>
          </w:tcPr>
          <w:p>
            <w:pPr>
              <w:spacing w:after="0"/>
              <w:rPr>
                <w:sz w:val="19"/>
                <w:szCs w:val="19"/>
                <w:color w:val="auto"/>
              </w:rPr>
            </w:pPr>
          </w:p>
        </w:tc>
        <w:tc>
          <w:tcPr>
            <w:tcW w:w="6820" w:type="dxa"/>
            <w:vAlign w:val="bottom"/>
            <w:gridSpan w:val="5"/>
          </w:tcPr>
          <w:p>
            <w:pPr>
              <w:spacing w:after="0"/>
              <w:rPr>
                <w:sz w:val="20"/>
                <w:szCs w:val="20"/>
                <w:color w:val="auto"/>
              </w:rPr>
            </w:pPr>
            <w:r>
              <w:rPr>
                <w:rFonts w:ascii="Arial" w:cs="Arial" w:eastAsia="Arial" w:hAnsi="Arial"/>
                <w:sz w:val="16"/>
                <w:szCs w:val="16"/>
                <w:b w:val="1"/>
                <w:bCs w:val="1"/>
                <w:color w:val="auto"/>
              </w:rPr>
              <w:t>Restructuring reserves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239"/>
        </w:trPr>
        <w:tc>
          <w:tcPr>
            <w:tcW w:w="60" w:type="dxa"/>
            <w:vAlign w:val="bottom"/>
            <w:shd w:val="clear" w:color="auto" w:fill="DDDDDD"/>
          </w:tcPr>
          <w:p>
            <w:pPr>
              <w:spacing w:after="0"/>
              <w:rPr>
                <w:sz w:val="20"/>
                <w:szCs w:val="20"/>
                <w:color w:val="auto"/>
              </w:rPr>
            </w:pPr>
          </w:p>
        </w:tc>
        <w:tc>
          <w:tcPr>
            <w:tcW w:w="6820" w:type="dxa"/>
            <w:vAlign w:val="bottom"/>
            <w:gridSpan w:val="5"/>
            <w:shd w:val="clear" w:color="auto" w:fill="DDDDDD"/>
          </w:tcPr>
          <w:p>
            <w:pPr>
              <w:spacing w:after="0"/>
              <w:rPr>
                <w:sz w:val="20"/>
                <w:szCs w:val="20"/>
                <w:color w:val="auto"/>
              </w:rPr>
            </w:pPr>
            <w:r>
              <w:rPr>
                <w:rFonts w:ascii="Arial" w:cs="Arial" w:eastAsia="Arial" w:hAnsi="Arial"/>
                <w:sz w:val="16"/>
                <w:szCs w:val="16"/>
                <w:b w:val="1"/>
                <w:bCs w:val="1"/>
                <w:color w:val="auto"/>
              </w:rPr>
              <w:t>Unearned income</w:t>
            </w:r>
          </w:p>
        </w:tc>
        <w:tc>
          <w:tcPr>
            <w:tcW w:w="980" w:type="dxa"/>
            <w:vAlign w:val="bottom"/>
            <w:shd w:val="clear" w:color="auto" w:fill="DDDDDD"/>
          </w:tcPr>
          <w:p>
            <w:pPr>
              <w:spacing w:after="0"/>
              <w:rPr>
                <w:sz w:val="20"/>
                <w:szCs w:val="20"/>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109</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19</w:t>
            </w:r>
          </w:p>
        </w:tc>
      </w:tr>
      <w:tr>
        <w:trPr>
          <w:trHeight w:val="223"/>
        </w:trPr>
        <w:tc>
          <w:tcPr>
            <w:tcW w:w="60" w:type="dxa"/>
            <w:vAlign w:val="bottom"/>
            <w:tcBorders>
              <w:bottom w:val="single" w:sz="8" w:color="DDDDDD"/>
            </w:tcBorders>
          </w:tcPr>
          <w:p>
            <w:pPr>
              <w:spacing w:after="0"/>
              <w:rPr>
                <w:sz w:val="19"/>
                <w:szCs w:val="19"/>
                <w:color w:val="auto"/>
              </w:rPr>
            </w:pPr>
          </w:p>
        </w:tc>
        <w:tc>
          <w:tcPr>
            <w:tcW w:w="6820" w:type="dxa"/>
            <w:vAlign w:val="bottom"/>
            <w:tcBorders>
              <w:bottom w:val="single" w:sz="8" w:color="DDDDDD"/>
            </w:tcBorders>
            <w:gridSpan w:val="5"/>
          </w:tcPr>
          <w:p>
            <w:pPr>
              <w:spacing w:after="0"/>
              <w:rPr>
                <w:sz w:val="20"/>
                <w:szCs w:val="20"/>
                <w:color w:val="auto"/>
              </w:rPr>
            </w:pPr>
            <w:r>
              <w:rPr>
                <w:rFonts w:ascii="Arial" w:cs="Arial" w:eastAsia="Arial" w:hAnsi="Arial"/>
                <w:sz w:val="16"/>
                <w:szCs w:val="16"/>
                <w:b w:val="1"/>
                <w:bCs w:val="1"/>
                <w:color w:val="auto"/>
              </w:rPr>
              <w:t>Other</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r>
      <w:tr>
        <w:trPr>
          <w:trHeight w:val="232"/>
        </w:trPr>
        <w:tc>
          <w:tcPr>
            <w:tcW w:w="60" w:type="dxa"/>
            <w:vAlign w:val="bottom"/>
            <w:tcBorders>
              <w:bottom w:val="single" w:sz="8" w:color="DDDDDD"/>
            </w:tcBorders>
            <w:shd w:val="clear" w:color="auto" w:fill="DDDDDD"/>
          </w:tcPr>
          <w:p>
            <w:pPr>
              <w:spacing w:after="0"/>
              <w:rPr>
                <w:sz w:val="20"/>
                <w:szCs w:val="20"/>
                <w:color w:val="auto"/>
              </w:rPr>
            </w:pPr>
          </w:p>
        </w:tc>
        <w:tc>
          <w:tcPr>
            <w:tcW w:w="6820" w:type="dxa"/>
            <w:vAlign w:val="bottom"/>
            <w:tcBorders>
              <w:bottom w:val="single" w:sz="8" w:color="DDDDDD"/>
            </w:tcBorders>
            <w:gridSpan w:val="5"/>
            <w:shd w:val="clear" w:color="auto" w:fill="DDDDDD"/>
          </w:tcPr>
          <w:p>
            <w:pPr>
              <w:spacing w:after="0"/>
              <w:rPr>
                <w:sz w:val="20"/>
                <w:szCs w:val="20"/>
                <w:color w:val="auto"/>
              </w:rPr>
            </w:pPr>
            <w:r>
              <w:rPr>
                <w:rFonts w:ascii="Arial" w:cs="Arial" w:eastAsia="Arial" w:hAnsi="Arial"/>
                <w:sz w:val="16"/>
                <w:szCs w:val="16"/>
                <w:b w:val="1"/>
                <w:bCs w:val="1"/>
                <w:color w:val="auto"/>
              </w:rPr>
              <w:t>Total Other Long-term Liabilities</w:t>
            </w:r>
          </w:p>
        </w:tc>
        <w:tc>
          <w:tcPr>
            <w:tcW w:w="980" w:type="dxa"/>
            <w:vAlign w:val="bottom"/>
            <w:tcBorders>
              <w:bottom w:val="single" w:sz="8" w:color="auto"/>
            </w:tcBorders>
            <w:shd w:val="clear" w:color="auto" w:fill="DDDDDD"/>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685</w:t>
            </w:r>
          </w:p>
        </w:tc>
        <w:tc>
          <w:tcPr>
            <w:tcW w:w="80" w:type="dxa"/>
            <w:vAlign w:val="bottom"/>
            <w:tcBorders>
              <w:bottom w:val="single" w:sz="8" w:color="DDDDDD"/>
            </w:tcBorders>
            <w:shd w:val="clear" w:color="auto" w:fill="DDDDDD"/>
          </w:tcPr>
          <w:p>
            <w:pPr>
              <w:spacing w:after="0"/>
              <w:rPr>
                <w:sz w:val="20"/>
                <w:szCs w:val="20"/>
                <w:color w:val="auto"/>
              </w:rPr>
            </w:pPr>
          </w:p>
        </w:tc>
        <w:tc>
          <w:tcPr>
            <w:tcW w:w="520" w:type="dxa"/>
            <w:vAlign w:val="bottom"/>
            <w:tcBorders>
              <w:bottom w:val="single" w:sz="8" w:color="auto"/>
            </w:tcBorders>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-5377180</wp:posOffset>
            </wp:positionV>
            <wp:extent cx="2000250" cy="755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2000250" cy="7556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-3455670</wp:posOffset>
            </wp:positionV>
            <wp:extent cx="2000250" cy="755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2000250" cy="7556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-1533525</wp:posOffset>
            </wp:positionV>
            <wp:extent cx="2000250" cy="75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2000250" cy="7556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-55880</wp:posOffset>
            </wp:positionV>
            <wp:extent cx="2000250" cy="75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200025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42" w:lineRule="auto"/>
        <w:tabs>
          <w:tab w:leader="none" w:pos="360" w:val="left"/>
        </w:tabs>
        <w:numPr>
          <w:ilvl w:val="0"/>
          <w:numId w:val="1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Investments in affiliates, at equity largely consists of several minor investments in entities in the Middle East region. Xerox's ownership interest in investments in corporate joint ventures and other companies is generally between 20% and 50%.</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Xerox's balances of $1,438 and $1,017 at December 31, 2025 and 2024, respectively, excludes Investments at cost.</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dividends payable by Xerox Holdings Corporation on Common and Preferred Stock.</w:t>
      </w:r>
    </w:p>
    <w:p>
      <w:pPr>
        <w:spacing w:after="0" w:line="2"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Xerox's balances of $1,245 and $741 at December 31, 2025 and 2024, respectively, excludes dividends payable of $13 and $43,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127</w:t>
      </w:r>
    </w:p>
    <w:p>
      <w:pPr>
        <w:sectPr>
          <w:pgSz w:w="11880" w:h="15480" w:orient="portrait"/>
          <w:cols w:equalWidth="0" w:num="1">
            <w:col w:w="9960"/>
          </w:cols>
          <w:pgMar w:left="960" w:top="724" w:right="960" w:bottom="0" w:gutter="0" w:footer="0" w:header="0"/>
        </w:sectPr>
      </w:pPr>
    </w:p>
    <w:bookmarkStart w:id="137" w:name="page138"/>
    <w:bookmarkEnd w:id="137"/>
    <w:p>
      <w:pPr>
        <w:spacing w:after="0"/>
        <w:rPr>
          <w:sz w:val="20"/>
          <w:szCs w:val="20"/>
          <w:color w:val="auto"/>
        </w:rPr>
      </w:pPr>
      <w:r>
        <w:rPr>
          <w:rFonts w:ascii="Arial" w:cs="Arial" w:eastAsia="Arial" w:hAnsi="Arial"/>
          <w:sz w:val="19"/>
          <w:szCs w:val="19"/>
          <w:b w:val="1"/>
          <w:bCs w:val="1"/>
          <w:color w:val="DA2031"/>
        </w:rPr>
        <w:t>Cash, Cash Equivalents and Restricted Cash</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Restricted cash primarily relates to escrow cash deposits made in Brazil associated with ongoing litigation. As more fully discussed in Note 20 - Contingencies and Litigation, various litigation matters in Brazil require us to make cash deposits to escrow as a condition of the continuing litigation. Restricted cash amounts are classified in our Consolidated Balance Sheets based on when the cash will be contractually or judicially released.</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cash equivalents and restricted cash amounts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6"/>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19"/>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Cash and cash equivalents</w:t>
            </w:r>
          </w:p>
        </w:tc>
        <w:tc>
          <w:tcPr>
            <w:tcW w:w="1000" w:type="dxa"/>
            <w:vAlign w:val="bottom"/>
            <w:tcBorders>
              <w:bottom w:val="single" w:sz="8" w:color="auto"/>
            </w:tcBorders>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512</w:t>
            </w:r>
          </w:p>
        </w:tc>
        <w:tc>
          <w:tcPr>
            <w:tcW w:w="8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576</w:t>
            </w:r>
          </w:p>
        </w:tc>
      </w:tr>
      <w:tr>
        <w:trPr>
          <w:trHeight w:val="186"/>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Restricted cash</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0"/>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Litigation deposits in Brazil</w:t>
            </w:r>
          </w:p>
        </w:tc>
        <w:tc>
          <w:tcPr>
            <w:tcW w:w="1000" w:type="dxa"/>
            <w:vAlign w:val="bottom"/>
            <w:shd w:val="clear" w:color="auto" w:fill="E5E5E5"/>
          </w:tcPr>
          <w:p>
            <w:pPr>
              <w:spacing w:after="0"/>
              <w:rPr>
                <w:sz w:val="19"/>
                <w:szCs w:val="19"/>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r>
      <w:tr>
        <w:trPr>
          <w:trHeight w:val="21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Escrow and cash collections related to secured borrowings and receivable sales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33"/>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Other restricted cash</w:t>
            </w:r>
          </w:p>
        </w:tc>
        <w:tc>
          <w:tcPr>
            <w:tcW w:w="1000" w:type="dxa"/>
            <w:vAlign w:val="bottom"/>
            <w:tcBorders>
              <w:bottom w:val="single" w:sz="8" w:color="auto"/>
            </w:tcBorders>
            <w:shd w:val="clear" w:color="auto" w:fill="E5E5E5"/>
          </w:tcPr>
          <w:p>
            <w:pPr>
              <w:spacing w:after="0"/>
              <w:rPr>
                <w:sz w:val="20"/>
                <w:szCs w:val="20"/>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32</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spacing w:after="0"/>
              <w:rPr>
                <w:sz w:val="20"/>
                <w:szCs w:val="20"/>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22</w:t>
            </w:r>
          </w:p>
        </w:tc>
      </w:tr>
      <w:tr>
        <w:trPr>
          <w:trHeight w:val="179"/>
        </w:trPr>
        <w:tc>
          <w:tcPr>
            <w:tcW w:w="6880" w:type="dxa"/>
            <w:vAlign w:val="bottom"/>
            <w:tcBorders>
              <w:bottom w:val="single" w:sz="8" w:color="E5E5E5"/>
            </w:tcBorders>
          </w:tcPr>
          <w:p>
            <w:pPr>
              <w:ind w:left="60"/>
              <w:spacing w:after="0" w:line="179" w:lineRule="exact"/>
              <w:rPr>
                <w:sz w:val="20"/>
                <w:szCs w:val="20"/>
                <w:color w:val="auto"/>
              </w:rPr>
            </w:pPr>
            <w:r>
              <w:rPr>
                <w:rFonts w:ascii="Arial" w:cs="Arial" w:eastAsia="Arial" w:hAnsi="Arial"/>
                <w:sz w:val="16"/>
                <w:szCs w:val="16"/>
                <w:b w:val="1"/>
                <w:bCs w:val="1"/>
                <w:color w:val="auto"/>
              </w:rPr>
              <w:t>Total Restricted cash</w:t>
            </w: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53</w:t>
            </w:r>
          </w:p>
        </w:tc>
        <w:tc>
          <w:tcPr>
            <w:tcW w:w="80" w:type="dxa"/>
            <w:vAlign w:val="bottom"/>
            <w:tcBorders>
              <w:bottom w:val="single" w:sz="8" w:color="E5E5E5"/>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55</w:t>
            </w:r>
          </w:p>
        </w:tc>
      </w:tr>
      <w:tr>
        <w:trPr>
          <w:trHeight w:val="217"/>
        </w:trPr>
        <w:tc>
          <w:tcPr>
            <w:tcW w:w="6880" w:type="dxa"/>
            <w:vAlign w:val="bottom"/>
            <w:tcBorders>
              <w:bottom w:val="single" w:sz="8" w:color="E5E5E5"/>
            </w:tcBorders>
            <w:shd w:val="clear" w:color="auto" w:fill="E5E5E5"/>
          </w:tcPr>
          <w:p>
            <w:pPr>
              <w:ind w:left="60"/>
              <w:spacing w:after="0" w:line="179" w:lineRule="exact"/>
              <w:rPr>
                <w:sz w:val="20"/>
                <w:szCs w:val="20"/>
                <w:color w:val="auto"/>
              </w:rPr>
            </w:pPr>
            <w:r>
              <w:rPr>
                <w:rFonts w:ascii="Arial" w:cs="Arial" w:eastAsia="Arial" w:hAnsi="Arial"/>
                <w:sz w:val="16"/>
                <w:szCs w:val="16"/>
                <w:b w:val="1"/>
                <w:bCs w:val="1"/>
                <w:color w:val="auto"/>
              </w:rPr>
              <w:t>Cash, cash equivalents and restricted cash</w:t>
            </w:r>
          </w:p>
        </w:tc>
        <w:tc>
          <w:tcPr>
            <w:tcW w:w="1000" w:type="dxa"/>
            <w:vAlign w:val="bottom"/>
            <w:tcBorders>
              <w:bottom w:val="single" w:sz="8" w:color="auto"/>
            </w:tcBorders>
            <w:shd w:val="clear" w:color="auto" w:fill="E5E5E5"/>
          </w:tcPr>
          <w:p>
            <w:pPr>
              <w:jc w:val="right"/>
              <w:ind w:right="782"/>
              <w:spacing w:after="0" w:line="179" w:lineRule="exact"/>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E5E5E5"/>
          </w:tcPr>
          <w:p>
            <w:pPr>
              <w:jc w:val="right"/>
              <w:spacing w:after="0" w:line="179" w:lineRule="exact"/>
              <w:rPr>
                <w:sz w:val="20"/>
                <w:szCs w:val="20"/>
                <w:color w:val="auto"/>
              </w:rPr>
            </w:pPr>
            <w:r>
              <w:rPr>
                <w:rFonts w:ascii="Arial" w:cs="Arial" w:eastAsia="Arial" w:hAnsi="Arial"/>
                <w:sz w:val="16"/>
                <w:szCs w:val="16"/>
                <w:b w:val="1"/>
                <w:bCs w:val="1"/>
                <w:color w:val="auto"/>
              </w:rPr>
              <w:t>565</w:t>
            </w:r>
          </w:p>
        </w:tc>
        <w:tc>
          <w:tcPr>
            <w:tcW w:w="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02"/>
              <w:spacing w:after="0" w:line="179"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line="179" w:lineRule="exact"/>
              <w:rPr>
                <w:sz w:val="20"/>
                <w:szCs w:val="20"/>
                <w:color w:val="auto"/>
              </w:rPr>
            </w:pPr>
            <w:r>
              <w:rPr>
                <w:rFonts w:ascii="Arial" w:cs="Arial" w:eastAsia="Arial" w:hAnsi="Arial"/>
                <w:sz w:val="16"/>
                <w:szCs w:val="16"/>
                <w:b w:val="1"/>
                <w:bCs w:val="1"/>
                <w:color w:val="auto"/>
              </w:rPr>
              <w:t>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cash is reported in the Consolidated Balance Sheets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6"/>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09"/>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Other current assets</w:t>
            </w:r>
          </w:p>
        </w:tc>
        <w:tc>
          <w:tcPr>
            <w:tcW w:w="1000" w:type="dxa"/>
            <w:vAlign w:val="bottom"/>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r>
      <w:tr>
        <w:trPr>
          <w:trHeight w:val="222"/>
        </w:trPr>
        <w:tc>
          <w:tcPr>
            <w:tcW w:w="68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tcBorders>
              <w:bottom w:val="single" w:sz="8" w:color="E5E5E5"/>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r>
      <w:tr>
        <w:trPr>
          <w:trHeight w:val="232"/>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Restricted cash</w:t>
            </w:r>
          </w:p>
        </w:tc>
        <w:tc>
          <w:tcPr>
            <w:tcW w:w="1000" w:type="dxa"/>
            <w:vAlign w:val="bottom"/>
            <w:tcBorders>
              <w:bottom w:val="single" w:sz="8" w:color="auto"/>
            </w:tcBorders>
            <w:shd w:val="clear" w:color="auto" w:fill="E5E5E5"/>
          </w:tcPr>
          <w:p>
            <w:pPr>
              <w:jc w:val="right"/>
              <w:ind w:right="782"/>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Supplemental Cash Flow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Summarized cash flow information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vMerge w:val="restart"/>
          </w:tcPr>
          <w:p>
            <w:pPr>
              <w:ind w:left="1580"/>
              <w:spacing w:after="0"/>
              <w:rPr>
                <w:sz w:val="20"/>
                <w:szCs w:val="20"/>
                <w:color w:val="auto"/>
              </w:rPr>
            </w:pPr>
            <w:r>
              <w:rPr>
                <w:rFonts w:ascii="Arial" w:cs="Arial" w:eastAsia="Arial" w:hAnsi="Arial"/>
                <w:sz w:val="16"/>
                <w:szCs w:val="16"/>
                <w:b w:val="1"/>
                <w:bCs w:val="1"/>
                <w:color w:val="auto"/>
              </w:rPr>
              <w:t>Source/(Use)</w:t>
            </w:r>
          </w:p>
        </w:tc>
        <w:tc>
          <w:tcPr>
            <w:tcW w:w="80" w:type="dxa"/>
            <w:vAlign w:val="bottom"/>
          </w:tcPr>
          <w:p>
            <w:pPr>
              <w:spacing w:after="0"/>
              <w:rPr>
                <w:sz w:val="16"/>
                <w:szCs w:val="16"/>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w w:val="92"/>
              </w:rPr>
              <w:t>Location in Statement of</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40" w:type="dxa"/>
            <w:vAlign w:val="bottom"/>
            <w:gridSpan w:val="6"/>
            <w:vMerge w:val="restart"/>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Cash Flows</w:t>
            </w:r>
          </w:p>
        </w:tc>
        <w:tc>
          <w:tcPr>
            <w:tcW w:w="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E5E5E5"/>
            </w:tcBorders>
          </w:tcPr>
          <w:p>
            <w:pPr>
              <w:spacing w:after="0"/>
              <w:rPr>
                <w:sz w:val="22"/>
                <w:szCs w:val="22"/>
                <w:color w:val="auto"/>
              </w:rPr>
            </w:pPr>
          </w:p>
        </w:tc>
        <w:tc>
          <w:tcPr>
            <w:tcW w:w="80" w:type="dxa"/>
            <w:vAlign w:val="bottom"/>
            <w:tcBorders>
              <w:bottom w:val="single" w:sz="8" w:color="E5E5E5"/>
            </w:tcBorders>
          </w:tcPr>
          <w:p>
            <w:pPr>
              <w:spacing w:after="0"/>
              <w:rPr>
                <w:sz w:val="22"/>
                <w:szCs w:val="22"/>
                <w:color w:val="auto"/>
              </w:rPr>
            </w:pPr>
          </w:p>
        </w:tc>
        <w:tc>
          <w:tcPr>
            <w:tcW w:w="1800" w:type="dxa"/>
            <w:vAlign w:val="bottom"/>
            <w:tcBorders>
              <w:bottom w:val="single" w:sz="8" w:color="E5E5E5"/>
            </w:tcBorders>
          </w:tcPr>
          <w:p>
            <w:pPr>
              <w:spacing w:after="0"/>
              <w:rPr>
                <w:sz w:val="22"/>
                <w:szCs w:val="22"/>
                <w:color w:val="auto"/>
              </w:rPr>
            </w:pPr>
          </w:p>
        </w:tc>
        <w:tc>
          <w:tcPr>
            <w:tcW w:w="60" w:type="dxa"/>
            <w:vAlign w:val="bottom"/>
            <w:tcBorders>
              <w:bottom w:val="single" w:sz="8" w:color="E5E5E5"/>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E5E5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8"/>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Provision for receivables</w:t>
            </w:r>
            <w:r>
              <w:rPr>
                <w:rFonts w:ascii="Arial" w:cs="Arial" w:eastAsia="Arial" w:hAnsi="Arial"/>
                <w:sz w:val="10"/>
                <w:szCs w:val="10"/>
                <w:b w:val="1"/>
                <w:bCs w:val="1"/>
                <w:color w:val="auto"/>
              </w:rPr>
              <w:t>(1)</w:t>
            </w:r>
          </w:p>
        </w:tc>
        <w:tc>
          <w:tcPr>
            <w:tcW w:w="80" w:type="dxa"/>
            <w:vAlign w:val="bottom"/>
            <w:shd w:val="clear" w:color="auto" w:fill="E5E5E5"/>
          </w:tcPr>
          <w:p>
            <w:pPr>
              <w:spacing w:after="0"/>
              <w:rPr>
                <w:sz w:val="20"/>
                <w:szCs w:val="20"/>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Operating</w:t>
            </w:r>
          </w:p>
        </w:tc>
        <w:tc>
          <w:tcPr>
            <w:tcW w:w="920" w:type="dxa"/>
            <w:vAlign w:val="bottom"/>
            <w:gridSpan w:val="2"/>
            <w:shd w:val="clear" w:color="auto" w:fill="E5E5E5"/>
          </w:tcPr>
          <w:p>
            <w:pPr>
              <w:jc w:val="right"/>
              <w:ind w:right="642"/>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42"/>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Provision for inventory</w:t>
            </w:r>
          </w:p>
        </w:tc>
        <w:tc>
          <w:tcPr>
            <w:tcW w:w="8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Depreciation of buildings and equipment</w:t>
            </w:r>
          </w:p>
        </w:tc>
        <w:tc>
          <w:tcPr>
            <w:tcW w:w="80" w:type="dxa"/>
            <w:vAlign w:val="bottom"/>
            <w:shd w:val="clear" w:color="auto" w:fill="E5E5E5"/>
          </w:tcPr>
          <w:p>
            <w:pPr>
              <w:spacing w:after="0"/>
              <w:rPr>
                <w:sz w:val="22"/>
                <w:szCs w:val="22"/>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w:t>
            </w:r>
          </w:p>
        </w:tc>
        <w:tc>
          <w:tcPr>
            <w:tcW w:w="80" w:type="dxa"/>
            <w:vAlign w:val="bottom"/>
            <w:shd w:val="clear" w:color="auto" w:fill="E5E5E5"/>
          </w:tcPr>
          <w:p>
            <w:pPr>
              <w:spacing w:after="0"/>
              <w:rPr>
                <w:sz w:val="22"/>
                <w:szCs w:val="22"/>
                <w:color w:val="auto"/>
              </w:rPr>
            </w:pPr>
          </w:p>
        </w:tc>
        <w:tc>
          <w:tcPr>
            <w:tcW w:w="30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c>
          <w:tcPr>
            <w:tcW w:w="8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47"/>
        </w:trPr>
        <w:tc>
          <w:tcPr>
            <w:tcW w:w="4080" w:type="dxa"/>
            <w:vAlign w:val="bottom"/>
          </w:tcPr>
          <w:p>
            <w:pPr>
              <w:ind w:left="60"/>
              <w:spacing w:after="0" w:line="147" w:lineRule="exact"/>
              <w:rPr>
                <w:sz w:val="20"/>
                <w:szCs w:val="20"/>
                <w:color w:val="auto"/>
              </w:rPr>
            </w:pPr>
            <w:r>
              <w:rPr>
                <w:rFonts w:ascii="Arial" w:cs="Arial" w:eastAsia="Arial" w:hAnsi="Arial"/>
                <w:sz w:val="16"/>
                <w:szCs w:val="16"/>
                <w:b w:val="1"/>
                <w:bCs w:val="1"/>
                <w:color w:val="auto"/>
              </w:rPr>
              <w:t>Depreciation and obsolescence of equipment on</w:t>
            </w:r>
          </w:p>
        </w:tc>
        <w:tc>
          <w:tcPr>
            <w:tcW w:w="80" w:type="dxa"/>
            <w:vAlign w:val="bottom"/>
          </w:tcPr>
          <w:p>
            <w:pPr>
              <w:spacing w:after="0"/>
              <w:rPr>
                <w:sz w:val="12"/>
                <w:szCs w:val="12"/>
                <w:color w:val="auto"/>
              </w:rPr>
            </w:pPr>
          </w:p>
        </w:tc>
        <w:tc>
          <w:tcPr>
            <w:tcW w:w="1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w:t>
            </w:r>
          </w:p>
        </w:tc>
        <w:tc>
          <w:tcPr>
            <w:tcW w:w="0" w:type="dxa"/>
            <w:vAlign w:val="bottom"/>
          </w:tcPr>
          <w:p>
            <w:pPr>
              <w:spacing w:after="0"/>
              <w:rPr>
                <w:sz w:val="1"/>
                <w:szCs w:val="1"/>
                <w:color w:val="auto"/>
              </w:rPr>
            </w:pPr>
          </w:p>
        </w:tc>
      </w:tr>
      <w:tr>
        <w:trPr>
          <w:trHeight w:val="211"/>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operating leases</w:t>
            </w:r>
          </w:p>
        </w:tc>
        <w:tc>
          <w:tcPr>
            <w:tcW w:w="8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Amortization of internal use software</w:t>
            </w:r>
          </w:p>
        </w:tc>
        <w:tc>
          <w:tcPr>
            <w:tcW w:w="80" w:type="dxa"/>
            <w:vAlign w:val="bottom"/>
            <w:shd w:val="clear" w:color="auto" w:fill="E5E5E5"/>
          </w:tcPr>
          <w:p>
            <w:pPr>
              <w:spacing w:after="0"/>
              <w:rPr>
                <w:sz w:val="21"/>
                <w:szCs w:val="21"/>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42"/>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Amortization of acquired intangible assets</w:t>
            </w:r>
          </w:p>
        </w:tc>
        <w:tc>
          <w:tcPr>
            <w:tcW w:w="8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Amortization of patents</w:t>
            </w:r>
            <w:r>
              <w:rPr>
                <w:rFonts w:ascii="Arial" w:cs="Arial" w:eastAsia="Arial" w:hAnsi="Arial"/>
                <w:sz w:val="10"/>
                <w:szCs w:val="10"/>
                <w:b w:val="1"/>
                <w:bCs w:val="1"/>
                <w:color w:val="auto"/>
              </w:rPr>
              <w:t>(2)</w:t>
            </w:r>
          </w:p>
        </w:tc>
        <w:tc>
          <w:tcPr>
            <w:tcW w:w="80" w:type="dxa"/>
            <w:vAlign w:val="bottom"/>
            <w:shd w:val="clear" w:color="auto" w:fill="E5E5E5"/>
          </w:tcPr>
          <w:p>
            <w:pPr>
              <w:spacing w:after="0"/>
              <w:rPr>
                <w:sz w:val="22"/>
                <w:szCs w:val="22"/>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E5E5E5"/>
          </w:tcPr>
          <w:p>
            <w:pPr>
              <w:spacing w:after="0"/>
              <w:rPr>
                <w:sz w:val="22"/>
                <w:szCs w:val="22"/>
                <w:color w:val="auto"/>
              </w:rPr>
            </w:pPr>
          </w:p>
        </w:tc>
        <w:tc>
          <w:tcPr>
            <w:tcW w:w="30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42"/>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Amortization of customer contract costs</w:t>
            </w:r>
            <w:r>
              <w:rPr>
                <w:rFonts w:ascii="Arial" w:cs="Arial" w:eastAsia="Arial" w:hAnsi="Arial"/>
                <w:sz w:val="10"/>
                <w:szCs w:val="10"/>
                <w:b w:val="1"/>
                <w:bCs w:val="1"/>
                <w:color w:val="auto"/>
              </w:rPr>
              <w:t>(3)</w:t>
            </w:r>
          </w:p>
        </w:tc>
        <w:tc>
          <w:tcPr>
            <w:tcW w:w="8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Operating</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Cost of additions to land, buildings and equipment</w:t>
            </w:r>
          </w:p>
        </w:tc>
        <w:tc>
          <w:tcPr>
            <w:tcW w:w="80" w:type="dxa"/>
            <w:vAlign w:val="bottom"/>
            <w:shd w:val="clear" w:color="auto" w:fill="E5E5E5"/>
          </w:tcPr>
          <w:p>
            <w:pPr>
              <w:spacing w:after="0"/>
              <w:rPr>
                <w:sz w:val="22"/>
                <w:szCs w:val="22"/>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Investing</w:t>
            </w:r>
          </w:p>
        </w:tc>
        <w:tc>
          <w:tcPr>
            <w:tcW w:w="6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w:t>
            </w:r>
          </w:p>
        </w:tc>
        <w:tc>
          <w:tcPr>
            <w:tcW w:w="80" w:type="dxa"/>
            <w:vAlign w:val="bottom"/>
            <w:shd w:val="clear" w:color="auto" w:fill="E5E5E5"/>
          </w:tcPr>
          <w:p>
            <w:pPr>
              <w:spacing w:after="0"/>
              <w:rPr>
                <w:sz w:val="22"/>
                <w:szCs w:val="22"/>
                <w:color w:val="auto"/>
              </w:rPr>
            </w:pPr>
          </w:p>
        </w:tc>
        <w:tc>
          <w:tcPr>
            <w:tcW w:w="30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42"/>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Cost of additions to internal use software</w:t>
            </w:r>
          </w:p>
        </w:tc>
        <w:tc>
          <w:tcPr>
            <w:tcW w:w="8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Investing</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153"/>
        </w:trPr>
        <w:tc>
          <w:tcPr>
            <w:tcW w:w="4080" w:type="dxa"/>
            <w:vAlign w:val="bottom"/>
            <w:shd w:val="clear" w:color="auto" w:fill="E5E5E5"/>
          </w:tcPr>
          <w:p>
            <w:pPr>
              <w:ind w:left="60"/>
              <w:spacing w:after="0" w:line="153" w:lineRule="exact"/>
              <w:rPr>
                <w:sz w:val="20"/>
                <w:szCs w:val="20"/>
                <w:color w:val="auto"/>
              </w:rPr>
            </w:pPr>
            <w:r>
              <w:rPr>
                <w:rFonts w:ascii="Arial" w:cs="Arial" w:eastAsia="Arial" w:hAnsi="Arial"/>
                <w:sz w:val="16"/>
                <w:szCs w:val="16"/>
                <w:b w:val="1"/>
                <w:bCs w:val="1"/>
                <w:color w:val="auto"/>
                <w:w w:val="99"/>
              </w:rPr>
              <w:t>Payments to acquire noncontrolling interests - Xerox</w:t>
            </w:r>
          </w:p>
        </w:tc>
        <w:tc>
          <w:tcPr>
            <w:tcW w:w="80" w:type="dxa"/>
            <w:vAlign w:val="bottom"/>
            <w:shd w:val="clear" w:color="auto" w:fill="E5E5E5"/>
          </w:tcPr>
          <w:p>
            <w:pPr>
              <w:spacing w:after="0"/>
              <w:rPr>
                <w:sz w:val="13"/>
                <w:szCs w:val="13"/>
                <w:color w:val="auto"/>
              </w:rPr>
            </w:pPr>
          </w:p>
        </w:tc>
        <w:tc>
          <w:tcPr>
            <w:tcW w:w="1800" w:type="dxa"/>
            <w:vAlign w:val="bottom"/>
            <w:vMerge w:val="restart"/>
            <w:shd w:val="clear" w:color="auto" w:fill="E5E5E5"/>
          </w:tcPr>
          <w:p>
            <w:pPr>
              <w:ind w:left="40"/>
              <w:spacing w:after="0"/>
              <w:rPr>
                <w:sz w:val="20"/>
                <w:szCs w:val="20"/>
                <w:color w:val="auto"/>
              </w:rPr>
            </w:pPr>
            <w:r>
              <w:rPr>
                <w:rFonts w:ascii="Arial" w:cs="Arial" w:eastAsia="Arial" w:hAnsi="Arial"/>
                <w:sz w:val="16"/>
                <w:szCs w:val="16"/>
                <w:b w:val="1"/>
                <w:bCs w:val="1"/>
                <w:color w:val="auto"/>
              </w:rPr>
              <w:t>Investing</w:t>
            </w:r>
          </w:p>
        </w:tc>
        <w:tc>
          <w:tcPr>
            <w:tcW w:w="6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4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7"/>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Holdings</w:t>
            </w:r>
          </w:p>
        </w:tc>
        <w:tc>
          <w:tcPr>
            <w:tcW w:w="80" w:type="dxa"/>
            <w:vAlign w:val="bottom"/>
            <w:shd w:val="clear" w:color="auto" w:fill="E5E5E5"/>
          </w:tcPr>
          <w:p>
            <w:pPr>
              <w:spacing w:after="0"/>
              <w:rPr>
                <w:sz w:val="18"/>
                <w:szCs w:val="18"/>
                <w:color w:val="auto"/>
              </w:rPr>
            </w:pPr>
          </w:p>
        </w:tc>
        <w:tc>
          <w:tcPr>
            <w:tcW w:w="180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0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94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Common stock dividends - Xerox Holdings</w:t>
            </w:r>
          </w:p>
        </w:tc>
        <w:tc>
          <w:tcPr>
            <w:tcW w:w="8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Preferred stock dividends - Xerox Holdings</w:t>
            </w:r>
          </w:p>
        </w:tc>
        <w:tc>
          <w:tcPr>
            <w:tcW w:w="80" w:type="dxa"/>
            <w:vAlign w:val="bottom"/>
            <w:shd w:val="clear" w:color="auto" w:fill="E5E5E5"/>
          </w:tcPr>
          <w:p>
            <w:pPr>
              <w:spacing w:after="0"/>
              <w:rPr>
                <w:sz w:val="22"/>
                <w:szCs w:val="22"/>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E5E5E5"/>
          </w:tcPr>
          <w:p>
            <w:pPr>
              <w:spacing w:after="0"/>
              <w:rPr>
                <w:sz w:val="22"/>
                <w:szCs w:val="22"/>
                <w:color w:val="auto"/>
              </w:rPr>
            </w:pPr>
          </w:p>
        </w:tc>
        <w:tc>
          <w:tcPr>
            <w:tcW w:w="30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147"/>
        </w:trPr>
        <w:tc>
          <w:tcPr>
            <w:tcW w:w="4080" w:type="dxa"/>
            <w:vAlign w:val="bottom"/>
          </w:tcPr>
          <w:p>
            <w:pPr>
              <w:ind w:left="60"/>
              <w:spacing w:after="0" w:line="147" w:lineRule="exact"/>
              <w:rPr>
                <w:sz w:val="20"/>
                <w:szCs w:val="20"/>
                <w:color w:val="auto"/>
              </w:rPr>
            </w:pPr>
            <w:r>
              <w:rPr>
                <w:rFonts w:ascii="Arial" w:cs="Arial" w:eastAsia="Arial" w:hAnsi="Arial"/>
                <w:sz w:val="16"/>
                <w:szCs w:val="16"/>
                <w:b w:val="1"/>
                <w:bCs w:val="1"/>
                <w:color w:val="auto"/>
              </w:rPr>
              <w:t>Repurchases related to stock-based compensation -</w:t>
            </w:r>
          </w:p>
        </w:tc>
        <w:tc>
          <w:tcPr>
            <w:tcW w:w="80" w:type="dxa"/>
            <w:vAlign w:val="bottom"/>
          </w:tcPr>
          <w:p>
            <w:pPr>
              <w:spacing w:after="0"/>
              <w:rPr>
                <w:sz w:val="12"/>
                <w:szCs w:val="12"/>
                <w:color w:val="auto"/>
              </w:rPr>
            </w:pPr>
          </w:p>
        </w:tc>
        <w:tc>
          <w:tcPr>
            <w:tcW w:w="1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11"/>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Xerox Holdings</w:t>
            </w:r>
          </w:p>
        </w:tc>
        <w:tc>
          <w:tcPr>
            <w:tcW w:w="8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Payments to noncontrolling interests</w:t>
            </w:r>
          </w:p>
        </w:tc>
        <w:tc>
          <w:tcPr>
            <w:tcW w:w="80" w:type="dxa"/>
            <w:vAlign w:val="bottom"/>
            <w:shd w:val="clear" w:color="auto" w:fill="E5E5E5"/>
          </w:tcPr>
          <w:p>
            <w:pPr>
              <w:spacing w:after="0"/>
              <w:rPr>
                <w:sz w:val="21"/>
                <w:szCs w:val="21"/>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42"/>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Proceeds from issuance of warrants</w:t>
            </w:r>
          </w:p>
        </w:tc>
        <w:tc>
          <w:tcPr>
            <w:tcW w:w="8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3"/>
        </w:trPr>
        <w:tc>
          <w:tcPr>
            <w:tcW w:w="4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Commitment fees</w:t>
            </w:r>
          </w:p>
        </w:tc>
        <w:tc>
          <w:tcPr>
            <w:tcW w:w="80" w:type="dxa"/>
            <w:vAlign w:val="bottom"/>
            <w:shd w:val="clear" w:color="auto" w:fill="E5E5E5"/>
          </w:tcPr>
          <w:p>
            <w:pPr>
              <w:spacing w:after="0"/>
              <w:rPr>
                <w:sz w:val="22"/>
                <w:szCs w:val="22"/>
                <w:color w:val="auto"/>
              </w:rPr>
            </w:pPr>
          </w:p>
        </w:tc>
        <w:tc>
          <w:tcPr>
            <w:tcW w:w="180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shd w:val="clear" w:color="auto" w:fill="E5E5E5"/>
          </w:tcPr>
          <w:p>
            <w:pPr>
              <w:spacing w:after="0"/>
              <w:rPr>
                <w:sz w:val="22"/>
                <w:szCs w:val="22"/>
                <w:color w:val="auto"/>
              </w:rPr>
            </w:pPr>
          </w:p>
        </w:tc>
        <w:tc>
          <w:tcPr>
            <w:tcW w:w="30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2"/>
                <w:szCs w:val="22"/>
                <w:color w:val="auto"/>
              </w:rPr>
            </w:pPr>
          </w:p>
        </w:tc>
        <w:tc>
          <w:tcPr>
            <w:tcW w:w="320" w:type="dxa"/>
            <w:vAlign w:val="bottom"/>
            <w:shd w:val="clear" w:color="auto" w:fill="E5E5E5"/>
          </w:tcPr>
          <w:p>
            <w:pPr>
              <w:spacing w:after="0"/>
              <w:rPr>
                <w:sz w:val="22"/>
                <w:szCs w:val="22"/>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4080" w:type="dxa"/>
            <w:vAlign w:val="bottom"/>
          </w:tcPr>
          <w:p>
            <w:pPr>
              <w:ind w:left="60"/>
              <w:spacing w:after="0"/>
              <w:rPr>
                <w:sz w:val="20"/>
                <w:szCs w:val="20"/>
                <w:color w:val="auto"/>
              </w:rPr>
            </w:pPr>
            <w:r>
              <w:rPr>
                <w:rFonts w:ascii="Arial" w:cs="Arial" w:eastAsia="Arial" w:hAnsi="Arial"/>
                <w:sz w:val="16"/>
                <w:szCs w:val="16"/>
                <w:b w:val="1"/>
                <w:bCs w:val="1"/>
                <w:color w:val="auto"/>
              </w:rPr>
              <w:t>Finance lease obligations payment</w:t>
            </w:r>
          </w:p>
        </w:tc>
        <w:tc>
          <w:tcPr>
            <w:tcW w:w="80" w:type="dxa"/>
            <w:vAlign w:val="bottom"/>
          </w:tcPr>
          <w:p>
            <w:pPr>
              <w:spacing w:after="0"/>
              <w:rPr>
                <w:sz w:val="20"/>
                <w:szCs w:val="20"/>
                <w:color w:val="auto"/>
              </w:rPr>
            </w:pPr>
          </w:p>
        </w:tc>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Financing</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w:t>
      </w:r>
    </w:p>
    <w:p>
      <w:pPr>
        <w:ind w:left="360" w:hanging="356"/>
        <w:spacing w:after="0" w:line="242" w:lineRule="auto"/>
        <w:tabs>
          <w:tab w:leader="none" w:pos="360" w:val="left"/>
        </w:tabs>
        <w:numPr>
          <w:ilvl w:val="0"/>
          <w:numId w:val="1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Provision for receivables includes adjustments for customer accommodations and contract terminations of $1, $2, and $8 for the three years ended December 31, 2025, 2024 and 2023, respectively.</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Amortization of patents is reported in Decrease (increase) in other current and long-term assets on the Consolidated Statements of Cash Flows.</w:t>
      </w:r>
    </w:p>
    <w:p>
      <w:pPr>
        <w:spacing w:after="0" w:line="1"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Amortization of customer contract costs is reported in Decrease (increase) in other current and long-term assets on the Consolidated Statements of Cash Flows. Refer to Note 3 - Revenue - Contract Costs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128</w:t>
      </w:r>
    </w:p>
    <w:p>
      <w:pPr>
        <w:sectPr>
          <w:pgSz w:w="11880" w:h="15480" w:orient="portrait"/>
          <w:cols w:equalWidth="0" w:num="1">
            <w:col w:w="9960"/>
          </w:cols>
          <w:pgMar w:left="960" w:top="735" w:right="960" w:bottom="0" w:gutter="0" w:footer="0" w:header="0"/>
        </w:sectPr>
      </w:pPr>
    </w:p>
    <w:bookmarkStart w:id="138" w:name="page139"/>
    <w:bookmarkEnd w:id="138"/>
    <w:p>
      <w:pPr>
        <w:spacing w:after="0"/>
        <w:rPr>
          <w:sz w:val="20"/>
          <w:szCs w:val="20"/>
          <w:color w:val="auto"/>
        </w:rPr>
      </w:pPr>
      <w:r>
        <w:rPr>
          <w:rFonts w:ascii="Arial" w:cs="Arial" w:eastAsia="Arial" w:hAnsi="Arial"/>
          <w:sz w:val="19"/>
          <w:szCs w:val="19"/>
          <w:b w:val="1"/>
          <w:bCs w:val="1"/>
          <w:color w:val="DA2031"/>
        </w:rPr>
        <w:t>Supplier Finance Programs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We have a program through a financial institution that enables vendors and suppliers, at their option, to receive early payment for their invoices. All outstanding amounts related to the program are recorded within Accounts payable in our Consolidated Balance Sheets, and the associated payments are included in operating activities within our Consolidated Statements of Cash Flows. The program operates in a similar manner to a purchasing card program, however with this program we directly receive invoices associated with those vendors and suppliers participating in the program and confirm and validate those invoices and the amounts due before submitting the invoices to the financial institution for early payment at a discounted amount. The financial institution subsequently invoices us for the stated or full amount of the invoices paid early and we are required to make payment within 45 days of the statement date. The overall impact of the program generally results in paying our supplier and vendor invoices consistent with their original terms. This program is generally available to all non-inventory vendors and suppliers.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Activity related to the Company's supplier finance program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Borders>
              <w:bottom w:val="single" w:sz="8" w:color="DBDBDB"/>
            </w:tcBorders>
          </w:tcPr>
          <w:p>
            <w:pPr>
              <w:spacing w:after="0"/>
              <w:rPr>
                <w:sz w:val="18"/>
                <w:szCs w:val="18"/>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Balance at January 1st,</w:t>
            </w:r>
          </w:p>
        </w:tc>
        <w:tc>
          <w:tcPr>
            <w:tcW w:w="1080" w:type="dxa"/>
            <w:vAlign w:val="bottom"/>
            <w:shd w:val="clear" w:color="auto" w:fill="DBDBDB"/>
          </w:tcPr>
          <w:p>
            <w:pPr>
              <w:jc w:val="right"/>
              <w:ind w:right="86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30</w:t>
            </w:r>
          </w:p>
        </w:tc>
        <w:tc>
          <w:tcPr>
            <w:tcW w:w="1100" w:type="dxa"/>
            <w:vAlign w:val="bottom"/>
            <w:gridSpan w:val="2"/>
            <w:shd w:val="clear" w:color="auto" w:fill="DBDBDB"/>
          </w:tcPr>
          <w:p>
            <w:pPr>
              <w:jc w:val="right"/>
              <w:ind w:right="802"/>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40</w:t>
            </w:r>
          </w:p>
        </w:tc>
        <w:tc>
          <w:tcPr>
            <w:tcW w:w="4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40</w:t>
            </w:r>
          </w:p>
        </w:tc>
      </w:tr>
      <w:tr>
        <w:trPr>
          <w:trHeight w:val="227"/>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Amounts invoiced</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125</w:t>
            </w:r>
          </w:p>
        </w:tc>
      </w:tr>
      <w:tr>
        <w:trPr>
          <w:trHeight w:val="248"/>
        </w:trPr>
        <w:tc>
          <w:tcPr>
            <w:tcW w:w="53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b w:val="1"/>
                <w:bCs w:val="1"/>
                <w:color w:val="auto"/>
              </w:rPr>
              <w:t>Invoices paid</w:t>
            </w:r>
          </w:p>
        </w:tc>
        <w:tc>
          <w:tcPr>
            <w:tcW w:w="1080" w:type="dxa"/>
            <w:vAlign w:val="bottom"/>
            <w:tcBorders>
              <w:bottom w:val="single" w:sz="8" w:color="auto"/>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(98)</w:t>
            </w:r>
          </w:p>
        </w:tc>
        <w:tc>
          <w:tcPr>
            <w:tcW w:w="8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(120)</w:t>
            </w:r>
          </w:p>
        </w:tc>
        <w:tc>
          <w:tcPr>
            <w:tcW w:w="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(125)</w:t>
            </w:r>
          </w:p>
        </w:tc>
      </w:tr>
      <w:tr>
        <w:trPr>
          <w:trHeight w:val="174"/>
        </w:trPr>
        <w:tc>
          <w:tcPr>
            <w:tcW w:w="53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Balance at December 31st,</w:t>
            </w:r>
          </w:p>
        </w:tc>
        <w:tc>
          <w:tcPr>
            <w:tcW w:w="1080" w:type="dxa"/>
            <w:vAlign w:val="bottom"/>
          </w:tcPr>
          <w:p>
            <w:pPr>
              <w:jc w:val="right"/>
              <w:ind w:right="862"/>
              <w:spacing w:after="0" w:line="175"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18</w:t>
            </w:r>
          </w:p>
        </w:tc>
        <w:tc>
          <w:tcPr>
            <w:tcW w:w="1100" w:type="dxa"/>
            <w:vAlign w:val="bottom"/>
            <w:gridSpan w:val="2"/>
          </w:tcPr>
          <w:p>
            <w:pPr>
              <w:jc w:val="right"/>
              <w:ind w:right="802"/>
              <w:spacing w:after="0" w:line="175" w:lineRule="exact"/>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30</w:t>
            </w:r>
          </w:p>
        </w:tc>
        <w:tc>
          <w:tcPr>
            <w:tcW w:w="420" w:type="dxa"/>
            <w:vAlign w:val="bottom"/>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40</w:t>
            </w:r>
          </w:p>
        </w:tc>
      </w:tr>
      <w:tr>
        <w:trPr>
          <w:trHeight w:val="20"/>
        </w:trPr>
        <w:tc>
          <w:tcPr>
            <w:tcW w:w="5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-42545</wp:posOffset>
            </wp:positionV>
            <wp:extent cx="2963545" cy="50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2963545" cy="5016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 15 – Debt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Short-term borrowings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6"/>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09"/>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Short-term debt and current portion of long-term debt</w:t>
            </w:r>
          </w:p>
        </w:tc>
        <w:tc>
          <w:tcPr>
            <w:tcW w:w="10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r>
      <w:tr>
        <w:trPr>
          <w:trHeight w:val="21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Xerox Holdings Corporation</w:t>
            </w:r>
          </w:p>
        </w:tc>
        <w:tc>
          <w:tcPr>
            <w:tcW w:w="1000" w:type="dxa"/>
            <w:vAlign w:val="bottom"/>
          </w:tcPr>
          <w:p>
            <w:pPr>
              <w:jc w:val="right"/>
              <w:ind w:right="78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388</w:t>
            </w:r>
          </w:p>
        </w:tc>
      </w:tr>
      <w:tr>
        <w:trPr>
          <w:trHeight w:val="224"/>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Xerox Corporation</w:t>
            </w:r>
          </w:p>
        </w:tc>
        <w:tc>
          <w:tcPr>
            <w:tcW w:w="1000" w:type="dxa"/>
            <w:vAlign w:val="bottom"/>
            <w:shd w:val="clear" w:color="auto" w:fill="E5E5E5"/>
          </w:tcPr>
          <w:p>
            <w:pPr>
              <w:spacing w:after="0"/>
              <w:rPr>
                <w:sz w:val="19"/>
                <w:szCs w:val="19"/>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109</w:t>
            </w:r>
          </w:p>
        </w:tc>
        <w:tc>
          <w:tcPr>
            <w:tcW w:w="8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130</w:t>
            </w:r>
          </w:p>
        </w:tc>
      </w:tr>
      <w:tr>
        <w:trPr>
          <w:trHeight w:val="208"/>
        </w:trPr>
        <w:tc>
          <w:tcPr>
            <w:tcW w:w="68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Xerox - Other Subsidiaries</w:t>
            </w:r>
            <w:r>
              <w:rPr>
                <w:rFonts w:ascii="Arial" w:cs="Arial" w:eastAsia="Arial" w:hAnsi="Arial"/>
                <w:sz w:val="10"/>
                <w:szCs w:val="10"/>
                <w:b w:val="1"/>
                <w:bCs w:val="1"/>
                <w:color w:val="auto"/>
              </w:rPr>
              <w:t>(1)</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w:t>
            </w:r>
          </w:p>
        </w:tc>
      </w:tr>
      <w:tr>
        <w:trPr>
          <w:trHeight w:val="218"/>
        </w:trPr>
        <w:tc>
          <w:tcPr>
            <w:tcW w:w="6880" w:type="dxa"/>
            <w:vAlign w:val="bottom"/>
            <w:tcBorders>
              <w:bottom w:val="single" w:sz="8" w:color="E5E5E5"/>
            </w:tcBorders>
            <w:shd w:val="clear" w:color="auto" w:fill="E5E5E5"/>
          </w:tcPr>
          <w:p>
            <w:pPr>
              <w:ind w:left="60"/>
              <w:spacing w:after="0" w:line="180" w:lineRule="exact"/>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shd w:val="clear" w:color="auto" w:fill="E5E5E5"/>
          </w:tcPr>
          <w:p>
            <w:pPr>
              <w:jc w:val="right"/>
              <w:ind w:right="782"/>
              <w:spacing w:after="0" w:line="180" w:lineRule="exact"/>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E5E5E5"/>
          </w:tcPr>
          <w:p>
            <w:pPr>
              <w:jc w:val="right"/>
              <w:spacing w:after="0" w:line="180" w:lineRule="exact"/>
              <w:rPr>
                <w:sz w:val="20"/>
                <w:szCs w:val="20"/>
                <w:color w:val="auto"/>
              </w:rPr>
            </w:pPr>
            <w:r>
              <w:rPr>
                <w:rFonts w:ascii="Arial" w:cs="Arial" w:eastAsia="Arial" w:hAnsi="Arial"/>
                <w:sz w:val="16"/>
                <w:szCs w:val="16"/>
                <w:b w:val="1"/>
                <w:bCs w:val="1"/>
                <w:color w:val="auto"/>
              </w:rPr>
              <w:t>231</w:t>
            </w:r>
          </w:p>
        </w:tc>
        <w:tc>
          <w:tcPr>
            <w:tcW w:w="8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02"/>
              <w:spacing w:after="0" w:line="180"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line="180" w:lineRule="exact"/>
              <w:rPr>
                <w:sz w:val="20"/>
                <w:szCs w:val="20"/>
                <w:color w:val="auto"/>
              </w:rPr>
            </w:pPr>
            <w:r>
              <w:rPr>
                <w:rFonts w:ascii="Arial" w:cs="Arial" w:eastAsia="Arial" w:hAnsi="Arial"/>
                <w:sz w:val="16"/>
                <w:szCs w:val="16"/>
                <w:b w:val="1"/>
                <w:bCs w:val="1"/>
                <w:color w:val="auto"/>
              </w:rPr>
              <w:t>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(1)  Represents subsidiaries of Xerox Corporation.</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We classify our debt based on the contractual maturity dates of the underlying debt instruments or as of the earliest put date available to the debt holders. We defer costs associated with debt issuance over the applicable term, or to the first put date in the case of convertible debt or debt with a put feature. These costs are amortized as interest expense in our Consolidated Statements of (Loss)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129</w:t>
      </w:r>
    </w:p>
    <w:p>
      <w:pPr>
        <w:sectPr>
          <w:pgSz w:w="11880" w:h="15480" w:orient="portrait"/>
          <w:cols w:equalWidth="0" w:num="1">
            <w:col w:w="9960"/>
          </w:cols>
          <w:pgMar w:left="960" w:top="735" w:right="960" w:bottom="0" w:gutter="0" w:footer="0" w:header="0"/>
        </w:sectPr>
      </w:pPr>
    </w:p>
    <w:bookmarkStart w:id="139" w:name="page140"/>
    <w:bookmarkEnd w:id="139"/>
    <w:p>
      <w:pPr>
        <w:spacing w:after="0"/>
        <w:rPr>
          <w:sz w:val="20"/>
          <w:szCs w:val="20"/>
          <w:color w:val="auto"/>
        </w:rPr>
      </w:pPr>
      <w:r>
        <w:rPr>
          <w:rFonts w:ascii="Arial" w:cs="Arial" w:eastAsia="Arial" w:hAnsi="Arial"/>
          <w:sz w:val="19"/>
          <w:szCs w:val="19"/>
          <w:b w:val="1"/>
          <w:bCs w:val="1"/>
          <w:color w:val="auto"/>
        </w:rPr>
        <w:t>Long-term debt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line="157" w:lineRule="exact"/>
              <w:rPr>
                <w:sz w:val="20"/>
                <w:szCs w:val="20"/>
                <w:color w:val="auto"/>
              </w:rPr>
            </w:pPr>
            <w:r>
              <w:rPr>
                <w:rFonts w:ascii="Arial" w:cs="Arial" w:eastAsia="Arial" w:hAnsi="Arial"/>
                <w:sz w:val="16"/>
                <w:szCs w:val="16"/>
                <w:b w:val="1"/>
                <w:bCs w:val="1"/>
                <w:color w:val="auto"/>
                <w:w w:val="90"/>
              </w:rPr>
              <w:t>Weighted Average</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Stated Rate</w:t>
            </w:r>
          </w:p>
        </w:tc>
        <w:tc>
          <w:tcPr>
            <w:tcW w:w="80" w:type="dxa"/>
            <w:vAlign w:val="bottom"/>
          </w:tcPr>
          <w:p>
            <w:pPr>
              <w:spacing w:after="0"/>
              <w:rPr>
                <w:sz w:val="13"/>
                <w:szCs w:val="13"/>
                <w:color w:val="auto"/>
              </w:rPr>
            </w:pPr>
          </w:p>
        </w:tc>
        <w:tc>
          <w:tcPr>
            <w:tcW w:w="174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1"/>
              </w:rPr>
              <w:t>Interest Rates at</w:t>
            </w:r>
          </w:p>
        </w:tc>
        <w:tc>
          <w:tcPr>
            <w:tcW w:w="360" w:type="dxa"/>
            <w:vAlign w:val="bottom"/>
          </w:tcPr>
          <w:p>
            <w:pPr>
              <w:spacing w:after="0"/>
              <w:rPr>
                <w:sz w:val="13"/>
                <w:szCs w:val="13"/>
                <w:color w:val="auto"/>
              </w:rPr>
            </w:pPr>
          </w:p>
        </w:tc>
        <w:tc>
          <w:tcPr>
            <w:tcW w:w="1140" w:type="dxa"/>
            <w:vAlign w:val="bottom"/>
            <w:vMerge w:val="restart"/>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vMerge w:val="restart"/>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2025</w:t>
            </w:r>
            <w:r>
              <w:rPr>
                <w:rFonts w:ascii="Arial" w:cs="Arial" w:eastAsia="Arial" w:hAnsi="Arial"/>
                <w:sz w:val="10"/>
                <w:szCs w:val="10"/>
                <w:b w:val="1"/>
                <w:bCs w:val="1"/>
                <w:color w:val="auto"/>
              </w:rPr>
              <w:t>(1)</w:t>
            </w: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DDDDDD"/>
            </w:tcBorders>
            <w:gridSpan w:val="5"/>
            <w:shd w:val="clear" w:color="auto" w:fill="DDDDDD"/>
          </w:tcPr>
          <w:p>
            <w:pPr>
              <w:ind w:left="60"/>
              <w:spacing w:after="0" w:line="174" w:lineRule="exact"/>
              <w:rPr>
                <w:sz w:val="20"/>
                <w:szCs w:val="20"/>
                <w:color w:val="auto"/>
              </w:rPr>
            </w:pPr>
            <w:r>
              <w:rPr>
                <w:rFonts w:ascii="Arial" w:cs="Arial" w:eastAsia="Arial" w:hAnsi="Arial"/>
                <w:sz w:val="16"/>
                <w:szCs w:val="16"/>
                <w:b w:val="1"/>
                <w:bCs w:val="1"/>
                <w:color w:val="auto"/>
              </w:rPr>
              <w:t>Xerox Holdings Corporation</w:t>
            </w:r>
          </w:p>
        </w:tc>
        <w:tc>
          <w:tcPr>
            <w:tcW w:w="140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1680" w:type="dxa"/>
            <w:vAlign w:val="bottom"/>
            <w:tcBorders>
              <w:top w:val="single" w:sz="8" w:color="auto"/>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360" w:type="dxa"/>
            <w:vAlign w:val="bottom"/>
            <w:tcBorders>
              <w:top w:val="single" w:sz="8" w:color="auto"/>
            </w:tcBorders>
            <w:shd w:val="clear" w:color="auto" w:fill="DDDDDD"/>
          </w:tcPr>
          <w:p>
            <w:pPr>
              <w:spacing w:after="0"/>
              <w:rPr>
                <w:sz w:val="17"/>
                <w:szCs w:val="17"/>
                <w:color w:val="auto"/>
              </w:rPr>
            </w:pPr>
          </w:p>
        </w:tc>
        <w:tc>
          <w:tcPr>
            <w:tcW w:w="114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520" w:type="dxa"/>
            <w:vAlign w:val="bottom"/>
            <w:tcBorders>
              <w:top w:val="single" w:sz="8" w:color="auto"/>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210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Senior Notes due 2025</w:t>
            </w:r>
          </w:p>
        </w:tc>
        <w:tc>
          <w:tcPr>
            <w:tcW w:w="1500" w:type="dxa"/>
            <w:vAlign w:val="bottom"/>
            <w:tcBorders>
              <w:top w:val="single" w:sz="8" w:color="DDDDDD"/>
            </w:tcBorders>
          </w:tcPr>
          <w:p>
            <w:pPr>
              <w:spacing w:after="0"/>
              <w:rPr>
                <w:sz w:val="19"/>
                <w:szCs w:val="19"/>
                <w:color w:val="auto"/>
              </w:rPr>
            </w:pPr>
          </w:p>
        </w:tc>
        <w:tc>
          <w:tcPr>
            <w:tcW w:w="140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5.00 %</w:t>
            </w:r>
          </w:p>
        </w:tc>
        <w:tc>
          <w:tcPr>
            <w:tcW w:w="80" w:type="dxa"/>
            <w:vAlign w:val="bottom"/>
            <w:tcBorders>
              <w:top w:val="single" w:sz="8" w:color="DDDDDD"/>
            </w:tcBorders>
          </w:tcPr>
          <w:p>
            <w:pPr>
              <w:spacing w:after="0"/>
              <w:rPr>
                <w:sz w:val="19"/>
                <w:szCs w:val="19"/>
                <w:color w:val="auto"/>
              </w:rPr>
            </w:pPr>
          </w:p>
        </w:tc>
        <w:tc>
          <w:tcPr>
            <w:tcW w:w="1740" w:type="dxa"/>
            <w:vAlign w:val="bottom"/>
            <w:tcBorders>
              <w:top w:val="single" w:sz="8" w:color="DDDDDD"/>
            </w:tcBorders>
            <w:gridSpan w:val="2"/>
          </w:tcPr>
          <w:p>
            <w:pPr>
              <w:jc w:val="right"/>
              <w:ind w:right="80"/>
              <w:spacing w:after="0"/>
              <w:rPr>
                <w:sz w:val="20"/>
                <w:szCs w:val="20"/>
                <w:color w:val="auto"/>
              </w:rPr>
            </w:pPr>
            <w:r>
              <w:rPr>
                <w:rFonts w:ascii="Arial" w:cs="Arial" w:eastAsia="Arial" w:hAnsi="Arial"/>
                <w:sz w:val="16"/>
                <w:szCs w:val="16"/>
                <w:b w:val="1"/>
                <w:bCs w:val="1"/>
                <w:color w:val="auto"/>
              </w:rPr>
              <w:t>— %</w:t>
            </w:r>
          </w:p>
        </w:tc>
        <w:tc>
          <w:tcPr>
            <w:tcW w:w="360" w:type="dxa"/>
            <w:vAlign w:val="bottom"/>
            <w:tcBorders>
              <w:top w:val="single" w:sz="8" w:color="DDDDDD"/>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DDDDDD"/>
            </w:tcBorders>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DDDDDD"/>
            </w:tcBorders>
          </w:tcPr>
          <w:p>
            <w:pPr>
              <w:jc w:val="right"/>
              <w:spacing w:after="0"/>
              <w:rPr>
                <w:sz w:val="20"/>
                <w:szCs w:val="20"/>
                <w:color w:val="auto"/>
              </w:rPr>
            </w:pPr>
            <w:r>
              <w:rPr>
                <w:rFonts w:ascii="Arial" w:cs="Arial" w:eastAsia="Arial" w:hAnsi="Arial"/>
                <w:sz w:val="16"/>
                <w:szCs w:val="16"/>
                <w:b w:val="1"/>
                <w:bCs w:val="1"/>
                <w:color w:val="auto"/>
              </w:rPr>
              <w:t>388</w:t>
            </w:r>
          </w:p>
        </w:tc>
        <w:tc>
          <w:tcPr>
            <w:tcW w:w="0" w:type="dxa"/>
            <w:vAlign w:val="bottom"/>
          </w:tcPr>
          <w:p>
            <w:pPr>
              <w:spacing w:after="0"/>
              <w:rPr>
                <w:sz w:val="1"/>
                <w:szCs w:val="1"/>
                <w:color w:val="auto"/>
              </w:rPr>
            </w:pPr>
          </w:p>
        </w:tc>
      </w:tr>
      <w:tr>
        <w:trPr>
          <w:trHeight w:val="239"/>
        </w:trPr>
        <w:tc>
          <w:tcPr>
            <w:tcW w:w="60" w:type="dxa"/>
            <w:vAlign w:val="bottom"/>
            <w:shd w:val="clear" w:color="auto" w:fill="DDDDDD"/>
          </w:tcPr>
          <w:p>
            <w:pPr>
              <w:spacing w:after="0"/>
              <w:rPr>
                <w:sz w:val="20"/>
                <w:szCs w:val="20"/>
                <w:color w:val="auto"/>
              </w:rPr>
            </w:pPr>
          </w:p>
        </w:tc>
        <w:tc>
          <w:tcPr>
            <w:tcW w:w="3600" w:type="dxa"/>
            <w:vAlign w:val="bottom"/>
            <w:gridSpan w:val="4"/>
            <w:shd w:val="clear" w:color="auto" w:fill="DDDDDD"/>
          </w:tcPr>
          <w:p>
            <w:pPr>
              <w:spacing w:after="0"/>
              <w:rPr>
                <w:sz w:val="20"/>
                <w:szCs w:val="20"/>
                <w:color w:val="auto"/>
              </w:rPr>
            </w:pPr>
            <w:r>
              <w:rPr>
                <w:rFonts w:ascii="Arial" w:cs="Arial" w:eastAsia="Arial" w:hAnsi="Arial"/>
                <w:sz w:val="16"/>
                <w:szCs w:val="16"/>
                <w:b w:val="1"/>
                <w:bCs w:val="1"/>
                <w:color w:val="auto"/>
              </w:rPr>
              <w:t>Senior Notes due 2026</w:t>
            </w:r>
          </w:p>
        </w:tc>
        <w:tc>
          <w:tcPr>
            <w:tcW w:w="14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13.00 %</w:t>
            </w:r>
          </w:p>
        </w:tc>
        <w:tc>
          <w:tcPr>
            <w:tcW w:w="176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18.61 %</w:t>
            </w: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125</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6"/>
                <w:szCs w:val="16"/>
                <w:b w:val="1"/>
                <w:bCs w:val="1"/>
                <w:color w:val="auto"/>
              </w:rPr>
              <w:t>Senior Notes due 2028</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5.50 %</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5.40 %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0" w:type="dxa"/>
            <w:vAlign w:val="bottom"/>
          </w:tcPr>
          <w:p>
            <w:pPr>
              <w:spacing w:after="0"/>
              <w:rPr>
                <w:sz w:val="1"/>
                <w:szCs w:val="1"/>
                <w:color w:val="auto"/>
              </w:rPr>
            </w:pPr>
          </w:p>
        </w:tc>
      </w:tr>
      <w:tr>
        <w:trPr>
          <w:trHeight w:val="239"/>
        </w:trPr>
        <w:tc>
          <w:tcPr>
            <w:tcW w:w="60" w:type="dxa"/>
            <w:vAlign w:val="bottom"/>
            <w:shd w:val="clear" w:color="auto" w:fill="DDDDDD"/>
          </w:tcPr>
          <w:p>
            <w:pPr>
              <w:spacing w:after="0"/>
              <w:rPr>
                <w:sz w:val="20"/>
                <w:szCs w:val="20"/>
                <w:color w:val="auto"/>
              </w:rPr>
            </w:pPr>
          </w:p>
        </w:tc>
        <w:tc>
          <w:tcPr>
            <w:tcW w:w="3600" w:type="dxa"/>
            <w:vAlign w:val="bottom"/>
            <w:gridSpan w:val="4"/>
            <w:shd w:val="clear" w:color="auto" w:fill="DDDDDD"/>
          </w:tcPr>
          <w:p>
            <w:pPr>
              <w:spacing w:after="0"/>
              <w:rPr>
                <w:sz w:val="20"/>
                <w:szCs w:val="20"/>
                <w:color w:val="auto"/>
              </w:rPr>
            </w:pPr>
            <w:r>
              <w:rPr>
                <w:rFonts w:ascii="Arial" w:cs="Arial" w:eastAsia="Arial" w:hAnsi="Arial"/>
                <w:sz w:val="16"/>
                <w:szCs w:val="16"/>
                <w:b w:val="1"/>
                <w:bCs w:val="1"/>
                <w:color w:val="auto"/>
              </w:rPr>
              <w:t>Senior Notes due 2029</w:t>
            </w:r>
          </w:p>
        </w:tc>
        <w:tc>
          <w:tcPr>
            <w:tcW w:w="14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8.88 %</w:t>
            </w:r>
          </w:p>
        </w:tc>
        <w:tc>
          <w:tcPr>
            <w:tcW w:w="176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8.88 %</w:t>
            </w: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500</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500</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6"/>
                <w:szCs w:val="16"/>
                <w:b w:val="1"/>
                <w:bCs w:val="1"/>
                <w:color w:val="auto"/>
              </w:rPr>
              <w:t>Senior Notes due 2030</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13.00 %</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13.00 %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8"/>
        </w:trPr>
        <w:tc>
          <w:tcPr>
            <w:tcW w:w="60" w:type="dxa"/>
            <w:vAlign w:val="bottom"/>
            <w:tcBorders>
              <w:bottom w:val="single" w:sz="8" w:color="DDDDDD"/>
            </w:tcBorders>
            <w:shd w:val="clear" w:color="auto" w:fill="DDDDDD"/>
          </w:tcPr>
          <w:p>
            <w:pPr>
              <w:spacing w:after="0"/>
              <w:rPr>
                <w:sz w:val="21"/>
                <w:szCs w:val="21"/>
                <w:color w:val="auto"/>
              </w:rPr>
            </w:pPr>
          </w:p>
        </w:tc>
        <w:tc>
          <w:tcPr>
            <w:tcW w:w="3600" w:type="dxa"/>
            <w:vAlign w:val="bottom"/>
            <w:tcBorders>
              <w:bottom w:val="single" w:sz="8" w:color="DDDDDD"/>
            </w:tcBorders>
            <w:gridSpan w:val="4"/>
            <w:shd w:val="clear" w:color="auto" w:fill="DDDDDD"/>
          </w:tcPr>
          <w:p>
            <w:pPr>
              <w:spacing w:after="0"/>
              <w:rPr>
                <w:sz w:val="20"/>
                <w:szCs w:val="20"/>
                <w:color w:val="auto"/>
              </w:rPr>
            </w:pPr>
            <w:r>
              <w:rPr>
                <w:rFonts w:ascii="Arial" w:cs="Arial" w:eastAsia="Arial" w:hAnsi="Arial"/>
                <w:sz w:val="16"/>
                <w:szCs w:val="16"/>
                <w:b w:val="1"/>
                <w:bCs w:val="1"/>
                <w:color w:val="auto"/>
              </w:rPr>
              <w:t>Convertible Senior Notes due 2030</w:t>
            </w:r>
          </w:p>
        </w:tc>
        <w:tc>
          <w:tcPr>
            <w:tcW w:w="14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3.75 %</w:t>
            </w:r>
          </w:p>
        </w:tc>
        <w:tc>
          <w:tcPr>
            <w:tcW w:w="176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3.75 %</w:t>
            </w:r>
          </w:p>
        </w:tc>
        <w:tc>
          <w:tcPr>
            <w:tcW w:w="6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400</w:t>
            </w:r>
          </w:p>
        </w:tc>
        <w:tc>
          <w:tcPr>
            <w:tcW w:w="8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spacing w:after="0"/>
              <w:rPr>
                <w:sz w:val="21"/>
                <w:szCs w:val="21"/>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400</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600" w:type="dxa"/>
            <w:vAlign w:val="bottom"/>
            <w:gridSpan w:val="4"/>
          </w:tcPr>
          <w:p>
            <w:pPr>
              <w:ind w:left="460"/>
              <w:spacing w:after="0"/>
              <w:rPr>
                <w:sz w:val="20"/>
                <w:szCs w:val="20"/>
                <w:color w:val="auto"/>
              </w:rPr>
            </w:pPr>
            <w:r>
              <w:rPr>
                <w:rFonts w:ascii="Arial" w:cs="Arial" w:eastAsia="Arial" w:hAnsi="Arial"/>
                <w:sz w:val="16"/>
                <w:szCs w:val="16"/>
                <w:b w:val="1"/>
                <w:bCs w:val="1"/>
                <w:color w:val="auto"/>
              </w:rPr>
              <w:t>Subtotal - Xerox Holdings Corporation</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2,038</w:t>
            </w:r>
          </w:p>
        </w:tc>
        <w:tc>
          <w:tcPr>
            <w:tcW w:w="0" w:type="dxa"/>
            <w:vAlign w:val="bottom"/>
          </w:tcPr>
          <w:p>
            <w:pPr>
              <w:spacing w:after="0"/>
              <w:rPr>
                <w:sz w:val="1"/>
                <w:szCs w:val="1"/>
                <w:color w:val="auto"/>
              </w:rPr>
            </w:pPr>
          </w:p>
        </w:tc>
      </w:tr>
      <w:tr>
        <w:trPr>
          <w:trHeight w:val="215"/>
        </w:trPr>
        <w:tc>
          <w:tcPr>
            <w:tcW w:w="60" w:type="dxa"/>
            <w:vAlign w:val="bottom"/>
            <w:tcBorders>
              <w:bottom w:val="single" w:sz="8" w:color="DDDDDD"/>
            </w:tcBorders>
            <w:shd w:val="clear" w:color="auto" w:fill="DDDDDD"/>
          </w:tcPr>
          <w:p>
            <w:pPr>
              <w:spacing w:after="0"/>
              <w:rPr>
                <w:sz w:val="18"/>
                <w:szCs w:val="18"/>
                <w:color w:val="auto"/>
              </w:rPr>
            </w:pPr>
          </w:p>
        </w:tc>
        <w:tc>
          <w:tcPr>
            <w:tcW w:w="1360" w:type="dxa"/>
            <w:vAlign w:val="bottom"/>
            <w:tcBorders>
              <w:bottom w:val="single" w:sz="8" w:color="auto"/>
            </w:tcBorders>
            <w:shd w:val="clear" w:color="auto" w:fill="DDDDDD"/>
          </w:tcPr>
          <w:p>
            <w:pPr>
              <w:spacing w:after="0"/>
              <w:rPr>
                <w:sz w:val="20"/>
                <w:szCs w:val="20"/>
                <w:color w:val="auto"/>
              </w:rPr>
            </w:pPr>
            <w:r>
              <w:rPr>
                <w:rFonts w:ascii="Arial" w:cs="Arial" w:eastAsia="Arial" w:hAnsi="Arial"/>
                <w:sz w:val="16"/>
                <w:szCs w:val="16"/>
                <w:b w:val="1"/>
                <w:bCs w:val="1"/>
                <w:color w:val="auto"/>
                <w:w w:val="95"/>
              </w:rPr>
              <w:t>Xerox Corporation</w:t>
            </w:r>
          </w:p>
        </w:tc>
        <w:tc>
          <w:tcPr>
            <w:tcW w:w="2240" w:type="dxa"/>
            <w:vAlign w:val="bottom"/>
            <w:tcBorders>
              <w:bottom w:val="single" w:sz="8" w:color="DDDDDD"/>
            </w:tcBorders>
            <w:gridSpan w:val="3"/>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1680" w:type="dxa"/>
            <w:vAlign w:val="bottom"/>
            <w:tcBorders>
              <w:bottom w:val="single" w:sz="8" w:color="DDDDDD"/>
            </w:tcBorders>
            <w:shd w:val="clear" w:color="auto" w:fill="DDDDDD"/>
          </w:tcPr>
          <w:p>
            <w:pPr>
              <w:spacing w:after="0"/>
              <w:rPr>
                <w:sz w:val="18"/>
                <w:szCs w:val="18"/>
                <w:color w:val="auto"/>
              </w:rPr>
            </w:pPr>
          </w:p>
        </w:tc>
        <w:tc>
          <w:tcPr>
            <w:tcW w:w="6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520" w:type="dxa"/>
            <w:vAlign w:val="bottom"/>
            <w:tcBorders>
              <w:bottom w:val="single" w:sz="8" w:color="DDDDDD"/>
            </w:tcBorders>
            <w:shd w:val="clear" w:color="auto" w:fill="DDDDDD"/>
          </w:tcPr>
          <w:p>
            <w:pPr>
              <w:spacing w:after="0"/>
              <w:rPr>
                <w:sz w:val="18"/>
                <w:szCs w:val="18"/>
                <w:color w:val="auto"/>
              </w:rPr>
            </w:pPr>
          </w:p>
        </w:tc>
        <w:tc>
          <w:tcPr>
            <w:tcW w:w="98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6"/>
                <w:szCs w:val="16"/>
                <w:b w:val="1"/>
                <w:bCs w:val="1"/>
                <w:color w:val="auto"/>
              </w:rPr>
              <w:t>Term Loan B due 2029</w:t>
            </w:r>
            <w:r>
              <w:rPr>
                <w:rFonts w:ascii="Arial" w:cs="Arial" w:eastAsia="Arial" w:hAnsi="Arial"/>
                <w:sz w:val="10"/>
                <w:szCs w:val="10"/>
                <w:b w:val="1"/>
                <w:bCs w:val="1"/>
                <w:color w:val="auto"/>
              </w:rPr>
              <w:t>(2)(3)</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7.71 %</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7.71 %</w:t>
            </w:r>
          </w:p>
        </w:tc>
        <w:tc>
          <w:tcPr>
            <w:tcW w:w="60" w:type="dxa"/>
            <w:vAlign w:val="bottom"/>
          </w:tcPr>
          <w:p>
            <w:pPr>
              <w:spacing w:after="0"/>
              <w:rPr>
                <w:sz w:val="19"/>
                <w:szCs w:val="19"/>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706</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0" w:type="dxa"/>
            <w:vAlign w:val="bottom"/>
          </w:tcPr>
          <w:p>
            <w:pPr>
              <w:spacing w:after="0"/>
              <w:rPr>
                <w:sz w:val="1"/>
                <w:szCs w:val="1"/>
                <w:color w:val="auto"/>
              </w:rPr>
            </w:pPr>
          </w:p>
        </w:tc>
      </w:tr>
      <w:tr>
        <w:trPr>
          <w:trHeight w:val="239"/>
        </w:trPr>
        <w:tc>
          <w:tcPr>
            <w:tcW w:w="3660" w:type="dxa"/>
            <w:vAlign w:val="bottom"/>
            <w:gridSpan w:val="5"/>
            <w:shd w:val="clear" w:color="auto" w:fill="DDDDDD"/>
          </w:tcPr>
          <w:p>
            <w:pPr>
              <w:ind w:left="60"/>
              <w:spacing w:after="0"/>
              <w:rPr>
                <w:sz w:val="20"/>
                <w:szCs w:val="20"/>
                <w:color w:val="auto"/>
              </w:rPr>
            </w:pPr>
            <w:r>
              <w:rPr>
                <w:rFonts w:ascii="Arial" w:cs="Arial" w:eastAsia="Arial" w:hAnsi="Arial"/>
                <w:sz w:val="16"/>
                <w:szCs w:val="16"/>
                <w:b w:val="1"/>
                <w:bCs w:val="1"/>
                <w:color w:val="auto"/>
              </w:rPr>
              <w:t>Secured Promissory Note due 2025</w:t>
            </w:r>
            <w:r>
              <w:rPr>
                <w:rFonts w:ascii="Arial" w:cs="Arial" w:eastAsia="Arial" w:hAnsi="Arial"/>
                <w:sz w:val="10"/>
                <w:szCs w:val="10"/>
                <w:b w:val="1"/>
                <w:bCs w:val="1"/>
                <w:color w:val="auto"/>
              </w:rPr>
              <w:t>(2)</w:t>
            </w:r>
          </w:p>
        </w:tc>
        <w:tc>
          <w:tcPr>
            <w:tcW w:w="14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 %</w:t>
            </w:r>
          </w:p>
        </w:tc>
        <w:tc>
          <w:tcPr>
            <w:tcW w:w="80" w:type="dxa"/>
            <w:vAlign w:val="bottom"/>
            <w:shd w:val="clear" w:color="auto" w:fill="DDDDDD"/>
          </w:tcPr>
          <w:p>
            <w:pPr>
              <w:spacing w:after="0"/>
              <w:rPr>
                <w:sz w:val="20"/>
                <w:szCs w:val="20"/>
                <w:color w:val="auto"/>
              </w:rPr>
            </w:pPr>
          </w:p>
        </w:tc>
        <w:tc>
          <w:tcPr>
            <w:tcW w:w="1740" w:type="dxa"/>
            <w:vAlign w:val="bottom"/>
            <w:gridSpan w:val="2"/>
            <w:shd w:val="clear" w:color="auto" w:fill="DDDDDD"/>
          </w:tcPr>
          <w:p>
            <w:pPr>
              <w:jc w:val="right"/>
              <w:ind w:right="80"/>
              <w:spacing w:after="0"/>
              <w:rPr>
                <w:sz w:val="20"/>
                <w:szCs w:val="20"/>
                <w:color w:val="auto"/>
              </w:rPr>
            </w:pPr>
            <w:r>
              <w:rPr>
                <w:rFonts w:ascii="Arial" w:cs="Arial" w:eastAsia="Arial" w:hAnsi="Arial"/>
                <w:sz w:val="16"/>
                <w:szCs w:val="16"/>
                <w:b w:val="1"/>
                <w:bCs w:val="1"/>
                <w:color w:val="auto"/>
              </w:rPr>
              <w:t>— %</w:t>
            </w: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227"/>
        </w:trPr>
        <w:tc>
          <w:tcPr>
            <w:tcW w:w="3660" w:type="dxa"/>
            <w:vAlign w:val="bottom"/>
            <w:gridSpan w:val="5"/>
          </w:tcPr>
          <w:p>
            <w:pPr>
              <w:ind w:left="60"/>
              <w:spacing w:after="0"/>
              <w:rPr>
                <w:sz w:val="20"/>
                <w:szCs w:val="20"/>
                <w:color w:val="auto"/>
              </w:rPr>
            </w:pPr>
            <w:r>
              <w:rPr>
                <w:rFonts w:ascii="Arial" w:cs="Arial" w:eastAsia="Arial" w:hAnsi="Arial"/>
                <w:sz w:val="16"/>
                <w:szCs w:val="16"/>
                <w:b w:val="1"/>
                <w:bCs w:val="1"/>
                <w:color w:val="auto"/>
              </w:rPr>
              <w:t>Secured Promissory Note due 2026</w:t>
            </w:r>
            <w:r>
              <w:rPr>
                <w:rFonts w:ascii="Arial" w:cs="Arial" w:eastAsia="Arial" w:hAnsi="Arial"/>
                <w:sz w:val="10"/>
                <w:szCs w:val="10"/>
                <w:b w:val="1"/>
                <w:bCs w:val="1"/>
                <w:color w:val="auto"/>
              </w:rPr>
              <w:t>(2)</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5.53 %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239"/>
        </w:trPr>
        <w:tc>
          <w:tcPr>
            <w:tcW w:w="3660" w:type="dxa"/>
            <w:vAlign w:val="bottom"/>
            <w:gridSpan w:val="5"/>
            <w:shd w:val="clear" w:color="auto" w:fill="DDDDDD"/>
          </w:tcPr>
          <w:p>
            <w:pPr>
              <w:ind w:left="60"/>
              <w:spacing w:after="0"/>
              <w:rPr>
                <w:sz w:val="20"/>
                <w:szCs w:val="20"/>
                <w:color w:val="auto"/>
              </w:rPr>
            </w:pPr>
            <w:r>
              <w:rPr>
                <w:rFonts w:ascii="Arial" w:cs="Arial" w:eastAsia="Arial" w:hAnsi="Arial"/>
                <w:sz w:val="16"/>
                <w:szCs w:val="16"/>
                <w:b w:val="1"/>
                <w:bCs w:val="1"/>
                <w:color w:val="auto"/>
              </w:rPr>
              <w:t>Senior Secured Notes due 2030</w:t>
            </w:r>
            <w:r>
              <w:rPr>
                <w:rFonts w:ascii="Arial" w:cs="Arial" w:eastAsia="Arial" w:hAnsi="Arial"/>
                <w:sz w:val="10"/>
                <w:szCs w:val="10"/>
                <w:b w:val="1"/>
                <w:bCs w:val="1"/>
                <w:color w:val="auto"/>
              </w:rPr>
              <w:t>(2)</w:t>
            </w:r>
          </w:p>
        </w:tc>
        <w:tc>
          <w:tcPr>
            <w:tcW w:w="14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10.25 %</w:t>
            </w:r>
          </w:p>
        </w:tc>
        <w:tc>
          <w:tcPr>
            <w:tcW w:w="176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10.50 %</w:t>
            </w: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400</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660" w:type="dxa"/>
            <w:vAlign w:val="bottom"/>
            <w:gridSpan w:val="5"/>
          </w:tcPr>
          <w:p>
            <w:pPr>
              <w:ind w:left="60"/>
              <w:spacing w:after="0"/>
              <w:rPr>
                <w:sz w:val="20"/>
                <w:szCs w:val="20"/>
                <w:color w:val="auto"/>
              </w:rPr>
            </w:pPr>
            <w:r>
              <w:rPr>
                <w:rFonts w:ascii="Arial" w:cs="Arial" w:eastAsia="Arial" w:hAnsi="Arial"/>
                <w:sz w:val="16"/>
                <w:szCs w:val="16"/>
                <w:b w:val="1"/>
                <w:bCs w:val="1"/>
                <w:color w:val="auto"/>
              </w:rPr>
              <w:t>Senior Secured Notes due 2031</w:t>
            </w:r>
            <w:r>
              <w:rPr>
                <w:rFonts w:ascii="Arial" w:cs="Arial" w:eastAsia="Arial" w:hAnsi="Arial"/>
                <w:sz w:val="10"/>
                <w:szCs w:val="10"/>
                <w:b w:val="1"/>
                <w:bCs w:val="1"/>
                <w:color w:val="auto"/>
              </w:rPr>
              <w:t>(2)</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13.50 %</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14.16 %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660" w:type="dxa"/>
            <w:vAlign w:val="bottom"/>
            <w:gridSpan w:val="5"/>
            <w:shd w:val="clear" w:color="auto" w:fill="DDDDDD"/>
          </w:tcPr>
          <w:p>
            <w:pPr>
              <w:ind w:left="60"/>
              <w:spacing w:after="0"/>
              <w:rPr>
                <w:sz w:val="20"/>
                <w:szCs w:val="20"/>
                <w:color w:val="auto"/>
              </w:rPr>
            </w:pPr>
            <w:r>
              <w:rPr>
                <w:rFonts w:ascii="Arial" w:cs="Arial" w:eastAsia="Arial" w:hAnsi="Arial"/>
                <w:sz w:val="16"/>
                <w:szCs w:val="16"/>
                <w:b w:val="1"/>
                <w:bCs w:val="1"/>
                <w:color w:val="auto"/>
              </w:rPr>
              <w:t>Senior Notes due 2035</w:t>
            </w:r>
          </w:p>
        </w:tc>
        <w:tc>
          <w:tcPr>
            <w:tcW w:w="14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4.80 %</w:t>
            </w:r>
          </w:p>
        </w:tc>
        <w:tc>
          <w:tcPr>
            <w:tcW w:w="176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4.84 %</w:t>
            </w: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250</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250</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DDDDDD"/>
            </w:tcBorders>
            <w:gridSpan w:val="5"/>
          </w:tcPr>
          <w:p>
            <w:pPr>
              <w:ind w:left="60"/>
              <w:spacing w:after="0"/>
              <w:rPr>
                <w:sz w:val="20"/>
                <w:szCs w:val="20"/>
                <w:color w:val="auto"/>
              </w:rPr>
            </w:pPr>
            <w:r>
              <w:rPr>
                <w:rFonts w:ascii="Arial" w:cs="Arial" w:eastAsia="Arial" w:hAnsi="Arial"/>
                <w:sz w:val="16"/>
                <w:szCs w:val="16"/>
                <w:b w:val="1"/>
                <w:bCs w:val="1"/>
                <w:color w:val="auto"/>
              </w:rPr>
              <w:t>Senior Notes due 2039</w:t>
            </w:r>
          </w:p>
        </w:tc>
        <w:tc>
          <w:tcPr>
            <w:tcW w:w="1400" w:type="dxa"/>
            <w:vAlign w:val="bottom"/>
            <w:tcBorders>
              <w:bottom w:val="single" w:sz="8" w:color="DDDDDD"/>
            </w:tcBorders>
          </w:tcPr>
          <w:p>
            <w:pPr>
              <w:jc w:val="right"/>
              <w:spacing w:after="0"/>
              <w:rPr>
                <w:sz w:val="20"/>
                <w:szCs w:val="20"/>
                <w:color w:val="auto"/>
              </w:rPr>
            </w:pPr>
            <w:r>
              <w:rPr>
                <w:rFonts w:ascii="Arial" w:cs="Arial" w:eastAsia="Arial" w:hAnsi="Arial"/>
                <w:sz w:val="16"/>
                <w:szCs w:val="16"/>
                <w:b w:val="1"/>
                <w:bCs w:val="1"/>
                <w:color w:val="auto"/>
              </w:rPr>
              <w:t>6.75 %</w:t>
            </w:r>
          </w:p>
        </w:tc>
        <w:tc>
          <w:tcPr>
            <w:tcW w:w="1760" w:type="dxa"/>
            <w:vAlign w:val="bottom"/>
            <w:tcBorders>
              <w:bottom w:val="single" w:sz="8" w:color="DDDDDD"/>
            </w:tcBorders>
            <w:gridSpan w:val="2"/>
          </w:tcPr>
          <w:p>
            <w:pPr>
              <w:jc w:val="right"/>
              <w:spacing w:after="0"/>
              <w:rPr>
                <w:sz w:val="20"/>
                <w:szCs w:val="20"/>
                <w:color w:val="auto"/>
              </w:rPr>
            </w:pPr>
            <w:r>
              <w:rPr>
                <w:rFonts w:ascii="Arial" w:cs="Arial" w:eastAsia="Arial" w:hAnsi="Arial"/>
                <w:sz w:val="16"/>
                <w:szCs w:val="16"/>
                <w:b w:val="1"/>
                <w:bCs w:val="1"/>
                <w:color w:val="auto"/>
              </w:rPr>
              <w:t>6.78 %</w:t>
            </w:r>
          </w:p>
        </w:tc>
        <w:tc>
          <w:tcPr>
            <w:tcW w:w="6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w:t>
            </w: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w:t>
            </w:r>
          </w:p>
        </w:tc>
        <w:tc>
          <w:tcPr>
            <w:tcW w:w="0" w:type="dxa"/>
            <w:vAlign w:val="bottom"/>
          </w:tcPr>
          <w:p>
            <w:pPr>
              <w:spacing w:after="0"/>
              <w:rPr>
                <w:sz w:val="1"/>
                <w:szCs w:val="1"/>
                <w:color w:val="auto"/>
              </w:rPr>
            </w:pPr>
          </w:p>
        </w:tc>
      </w:tr>
      <w:tr>
        <w:trPr>
          <w:trHeight w:val="223"/>
        </w:trPr>
        <w:tc>
          <w:tcPr>
            <w:tcW w:w="60" w:type="dxa"/>
            <w:vAlign w:val="bottom"/>
            <w:shd w:val="clear" w:color="auto" w:fill="DDDDDD"/>
          </w:tcPr>
          <w:p>
            <w:pPr>
              <w:spacing w:after="0"/>
              <w:rPr>
                <w:sz w:val="19"/>
                <w:szCs w:val="19"/>
                <w:color w:val="auto"/>
              </w:rPr>
            </w:pPr>
          </w:p>
        </w:tc>
        <w:tc>
          <w:tcPr>
            <w:tcW w:w="3600" w:type="dxa"/>
            <w:vAlign w:val="bottom"/>
            <w:gridSpan w:val="4"/>
            <w:shd w:val="clear" w:color="auto" w:fill="DDDDDD"/>
          </w:tcPr>
          <w:p>
            <w:pPr>
              <w:ind w:left="460"/>
              <w:spacing w:after="0"/>
              <w:rPr>
                <w:sz w:val="20"/>
                <w:szCs w:val="20"/>
                <w:color w:val="auto"/>
              </w:rPr>
            </w:pPr>
            <w:r>
              <w:rPr>
                <w:rFonts w:ascii="Arial" w:cs="Arial" w:eastAsia="Arial" w:hAnsi="Arial"/>
                <w:sz w:val="16"/>
                <w:szCs w:val="16"/>
                <w:b w:val="1"/>
                <w:bCs w:val="1"/>
                <w:color w:val="auto"/>
              </w:rPr>
              <w:t>Subtotal - Xerox Corporation</w:t>
            </w:r>
          </w:p>
        </w:tc>
        <w:tc>
          <w:tcPr>
            <w:tcW w:w="14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6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360" w:type="dxa"/>
            <w:vAlign w:val="bottom"/>
            <w:shd w:val="clear" w:color="auto" w:fill="DDDDDD"/>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2,316</w:t>
            </w:r>
          </w:p>
        </w:tc>
        <w:tc>
          <w:tcPr>
            <w:tcW w:w="600" w:type="dxa"/>
            <w:vAlign w:val="bottom"/>
            <w:gridSpan w:val="2"/>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1,343</w:t>
            </w:r>
          </w:p>
        </w:tc>
        <w:tc>
          <w:tcPr>
            <w:tcW w:w="0" w:type="dxa"/>
            <w:vAlign w:val="bottom"/>
          </w:tcPr>
          <w:p>
            <w:pPr>
              <w:spacing w:after="0"/>
              <w:rPr>
                <w:sz w:val="1"/>
                <w:szCs w:val="1"/>
                <w:color w:val="auto"/>
              </w:rPr>
            </w:pPr>
          </w:p>
        </w:tc>
      </w:tr>
      <w:tr>
        <w:trPr>
          <w:trHeight w:val="184"/>
        </w:trPr>
        <w:tc>
          <w:tcPr>
            <w:tcW w:w="3660" w:type="dxa"/>
            <w:vAlign w:val="bottom"/>
            <w:gridSpan w:val="5"/>
          </w:tcPr>
          <w:p>
            <w:pPr>
              <w:ind w:left="60"/>
              <w:spacing w:after="0"/>
              <w:rPr>
                <w:sz w:val="20"/>
                <w:szCs w:val="20"/>
                <w:color w:val="auto"/>
              </w:rPr>
            </w:pPr>
            <w:r>
              <w:rPr>
                <w:rFonts w:ascii="Arial" w:cs="Arial" w:eastAsia="Arial" w:hAnsi="Arial"/>
                <w:sz w:val="16"/>
                <w:szCs w:val="16"/>
                <w:b w:val="1"/>
                <w:bCs w:val="1"/>
                <w:color w:val="auto"/>
              </w:rPr>
              <w:t>Xerox - Other Subsidiaries</w:t>
            </w:r>
            <w:r>
              <w:rPr>
                <w:rFonts w:ascii="Arial" w:cs="Arial" w:eastAsia="Arial" w:hAnsi="Arial"/>
                <w:sz w:val="10"/>
                <w:szCs w:val="10"/>
                <w:b w:val="1"/>
                <w:bCs w:val="1"/>
                <w:color w:val="auto"/>
              </w:rPr>
              <w:t>(2)</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3600" w:type="dxa"/>
            <w:vAlign w:val="bottom"/>
            <w:gridSpan w:val="4"/>
            <w:shd w:val="clear" w:color="auto" w:fill="DDDDDD"/>
          </w:tcPr>
          <w:p>
            <w:pPr>
              <w:spacing w:after="0"/>
              <w:rPr>
                <w:sz w:val="20"/>
                <w:szCs w:val="20"/>
                <w:color w:val="auto"/>
              </w:rPr>
            </w:pPr>
            <w:r>
              <w:rPr>
                <w:rFonts w:ascii="Arial" w:cs="Arial" w:eastAsia="Arial" w:hAnsi="Arial"/>
                <w:sz w:val="16"/>
                <w:szCs w:val="16"/>
                <w:b w:val="1"/>
                <w:bCs w:val="1"/>
                <w:color w:val="auto"/>
              </w:rPr>
              <w:t>France</w:t>
            </w:r>
          </w:p>
        </w:tc>
        <w:tc>
          <w:tcPr>
            <w:tcW w:w="14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6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22"/>
        </w:trPr>
        <w:tc>
          <w:tcPr>
            <w:tcW w:w="60" w:type="dxa"/>
            <w:vAlign w:val="bottom"/>
            <w:tcBorders>
              <w:bottom w:val="single" w:sz="8" w:color="DDDDDD"/>
            </w:tcBorders>
          </w:tcPr>
          <w:p>
            <w:pPr>
              <w:spacing w:after="0"/>
              <w:rPr>
                <w:sz w:val="19"/>
                <w:szCs w:val="19"/>
                <w:color w:val="auto"/>
              </w:rPr>
            </w:pPr>
          </w:p>
        </w:tc>
        <w:tc>
          <w:tcPr>
            <w:tcW w:w="3600" w:type="dxa"/>
            <w:vAlign w:val="bottom"/>
            <w:tcBorders>
              <w:bottom w:val="single" w:sz="8" w:color="DDDDDD"/>
            </w:tcBorders>
            <w:gridSpan w:val="4"/>
          </w:tcPr>
          <w:p>
            <w:pPr>
              <w:spacing w:after="0"/>
              <w:rPr>
                <w:sz w:val="20"/>
                <w:szCs w:val="20"/>
                <w:color w:val="auto"/>
              </w:rPr>
            </w:pPr>
            <w:r>
              <w:rPr>
                <w:rFonts w:ascii="Arial" w:cs="Arial" w:eastAsia="Arial" w:hAnsi="Arial"/>
                <w:sz w:val="16"/>
                <w:szCs w:val="16"/>
                <w:b w:val="1"/>
                <w:bCs w:val="1"/>
                <w:color w:val="auto"/>
              </w:rPr>
              <w:t>Lexmark</w:t>
            </w:r>
          </w:p>
        </w:tc>
        <w:tc>
          <w:tcPr>
            <w:tcW w:w="1400" w:type="dxa"/>
            <w:vAlign w:val="bottom"/>
            <w:tcBorders>
              <w:bottom w:val="single" w:sz="8" w:color="DDDDDD"/>
            </w:tcBorders>
          </w:tcPr>
          <w:p>
            <w:pPr>
              <w:spacing w:after="0"/>
              <w:rPr>
                <w:sz w:val="19"/>
                <w:szCs w:val="19"/>
                <w:color w:val="auto"/>
              </w:rPr>
            </w:pPr>
          </w:p>
        </w:tc>
        <w:tc>
          <w:tcPr>
            <w:tcW w:w="80" w:type="dxa"/>
            <w:vAlign w:val="bottom"/>
            <w:tcBorders>
              <w:bottom w:val="single" w:sz="8" w:color="DDDDDD"/>
            </w:tcBorders>
          </w:tcPr>
          <w:p>
            <w:pPr>
              <w:spacing w:after="0"/>
              <w:rPr>
                <w:sz w:val="19"/>
                <w:szCs w:val="19"/>
                <w:color w:val="auto"/>
              </w:rPr>
            </w:pPr>
          </w:p>
        </w:tc>
        <w:tc>
          <w:tcPr>
            <w:tcW w:w="1680" w:type="dxa"/>
            <w:vAlign w:val="bottom"/>
            <w:tcBorders>
              <w:bottom w:val="single" w:sz="8" w:color="DDDDDD"/>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60" w:type="dxa"/>
            <w:vAlign w:val="bottom"/>
            <w:tcBorders>
              <w:bottom w:val="single" w:sz="8" w:color="DDDDDD"/>
            </w:tcBorders>
            <w:shd w:val="clear" w:color="auto" w:fill="DDDDDD"/>
          </w:tcPr>
          <w:p>
            <w:pPr>
              <w:spacing w:after="0"/>
              <w:rPr>
                <w:sz w:val="20"/>
                <w:szCs w:val="20"/>
                <w:color w:val="auto"/>
              </w:rPr>
            </w:pPr>
          </w:p>
        </w:tc>
        <w:tc>
          <w:tcPr>
            <w:tcW w:w="3600" w:type="dxa"/>
            <w:vAlign w:val="bottom"/>
            <w:tcBorders>
              <w:bottom w:val="single" w:sz="8" w:color="DDDDDD"/>
            </w:tcBorders>
            <w:gridSpan w:val="4"/>
            <w:shd w:val="clear" w:color="auto" w:fill="DDDDDD"/>
          </w:tcPr>
          <w:p>
            <w:pPr>
              <w:ind w:left="460"/>
              <w:spacing w:after="0"/>
              <w:rPr>
                <w:sz w:val="20"/>
                <w:szCs w:val="20"/>
                <w:color w:val="auto"/>
              </w:rPr>
            </w:pPr>
            <w:r>
              <w:rPr>
                <w:rFonts w:ascii="Arial" w:cs="Arial" w:eastAsia="Arial" w:hAnsi="Arial"/>
                <w:sz w:val="16"/>
                <w:szCs w:val="16"/>
                <w:b w:val="1"/>
                <w:bCs w:val="1"/>
                <w:color w:val="auto"/>
              </w:rPr>
              <w:t>Subtotal Xerox - Other Subsidiaries</w:t>
            </w:r>
          </w:p>
        </w:tc>
        <w:tc>
          <w:tcPr>
            <w:tcW w:w="140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168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DDDDDD"/>
            </w:tcBorders>
            <w:shd w:val="clear" w:color="auto" w:fill="DDDDDD"/>
          </w:tcPr>
          <w:p>
            <w:pPr>
              <w:spacing w:after="0"/>
              <w:rPr>
                <w:sz w:val="20"/>
                <w:szCs w:val="20"/>
                <w:color w:val="auto"/>
              </w:rPr>
            </w:pPr>
          </w:p>
        </w:tc>
        <w:tc>
          <w:tcPr>
            <w:tcW w:w="520" w:type="dxa"/>
            <w:vAlign w:val="bottom"/>
            <w:tcBorders>
              <w:bottom w:val="single" w:sz="8" w:color="auto"/>
            </w:tcBorders>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600" w:type="dxa"/>
            <w:vAlign w:val="bottom"/>
            <w:gridSpan w:val="4"/>
          </w:tcPr>
          <w:p>
            <w:pPr>
              <w:spacing w:after="0"/>
              <w:rPr>
                <w:sz w:val="20"/>
                <w:szCs w:val="20"/>
                <w:color w:val="auto"/>
              </w:rPr>
            </w:pPr>
            <w:r>
              <w:rPr>
                <w:rFonts w:ascii="Arial" w:cs="Arial" w:eastAsia="Arial" w:hAnsi="Arial"/>
                <w:sz w:val="16"/>
                <w:szCs w:val="16"/>
                <w:b w:val="1"/>
                <w:bCs w:val="1"/>
                <w:color w:val="auto"/>
              </w:rPr>
              <w:t>Principal debt balance</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4,344</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3,451</w:t>
            </w:r>
          </w:p>
        </w:tc>
        <w:tc>
          <w:tcPr>
            <w:tcW w:w="0" w:type="dxa"/>
            <w:vAlign w:val="bottom"/>
          </w:tcPr>
          <w:p>
            <w:pPr>
              <w:spacing w:after="0"/>
              <w:rPr>
                <w:sz w:val="1"/>
                <w:szCs w:val="1"/>
                <w:color w:val="auto"/>
              </w:rPr>
            </w:pPr>
          </w:p>
        </w:tc>
      </w:tr>
      <w:tr>
        <w:trPr>
          <w:trHeight w:val="235"/>
        </w:trPr>
        <w:tc>
          <w:tcPr>
            <w:tcW w:w="60" w:type="dxa"/>
            <w:vAlign w:val="bottom"/>
            <w:shd w:val="clear" w:color="auto" w:fill="DDDDDD"/>
          </w:tcPr>
          <w:p>
            <w:pPr>
              <w:spacing w:after="0"/>
              <w:rPr>
                <w:sz w:val="20"/>
                <w:szCs w:val="20"/>
                <w:color w:val="auto"/>
              </w:rPr>
            </w:pPr>
          </w:p>
        </w:tc>
        <w:tc>
          <w:tcPr>
            <w:tcW w:w="3600" w:type="dxa"/>
            <w:vAlign w:val="bottom"/>
            <w:gridSpan w:val="4"/>
            <w:shd w:val="clear" w:color="auto" w:fill="DDDDDD"/>
          </w:tcPr>
          <w:p>
            <w:pPr>
              <w:spacing w:after="0"/>
              <w:rPr>
                <w:sz w:val="20"/>
                <w:szCs w:val="20"/>
                <w:color w:val="auto"/>
              </w:rPr>
            </w:pPr>
            <w:r>
              <w:rPr>
                <w:rFonts w:ascii="Arial" w:cs="Arial" w:eastAsia="Arial" w:hAnsi="Arial"/>
                <w:sz w:val="16"/>
                <w:szCs w:val="16"/>
                <w:b w:val="1"/>
                <w:bCs w:val="1"/>
                <w:color w:val="auto"/>
                <w:w w:val="93"/>
              </w:rPr>
              <w:t>Xerox Holdings Corporation - Debt issuance costs</w:t>
            </w:r>
          </w:p>
        </w:tc>
        <w:tc>
          <w:tcPr>
            <w:tcW w:w="14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6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6"/>
                <w:szCs w:val="16"/>
                <w:b w:val="1"/>
                <w:bCs w:val="1"/>
                <w:color w:val="auto"/>
              </w:rPr>
              <w:t>Xerox Corporation - Debt issuance costs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48"/>
        </w:trPr>
        <w:tc>
          <w:tcPr>
            <w:tcW w:w="60" w:type="dxa"/>
            <w:vAlign w:val="bottom"/>
            <w:tcBorders>
              <w:bottom w:val="single" w:sz="8" w:color="DDDDDD"/>
            </w:tcBorders>
            <w:shd w:val="clear" w:color="auto" w:fill="DDDDDD"/>
          </w:tcPr>
          <w:p>
            <w:pPr>
              <w:spacing w:after="0"/>
              <w:rPr>
                <w:sz w:val="21"/>
                <w:szCs w:val="21"/>
                <w:color w:val="auto"/>
              </w:rPr>
            </w:pPr>
          </w:p>
        </w:tc>
        <w:tc>
          <w:tcPr>
            <w:tcW w:w="3600" w:type="dxa"/>
            <w:vAlign w:val="bottom"/>
            <w:tcBorders>
              <w:bottom w:val="single" w:sz="8" w:color="DDDDDD"/>
            </w:tcBorders>
            <w:gridSpan w:val="4"/>
            <w:shd w:val="clear" w:color="auto" w:fill="DDDDDD"/>
          </w:tcPr>
          <w:p>
            <w:pPr>
              <w:spacing w:after="0"/>
              <w:rPr>
                <w:sz w:val="20"/>
                <w:szCs w:val="20"/>
                <w:color w:val="auto"/>
              </w:rPr>
            </w:pPr>
            <w:r>
              <w:rPr>
                <w:rFonts w:ascii="Arial" w:cs="Arial" w:eastAsia="Arial" w:hAnsi="Arial"/>
                <w:sz w:val="16"/>
                <w:szCs w:val="16"/>
                <w:b w:val="1"/>
                <w:bCs w:val="1"/>
                <w:color w:val="auto"/>
                <w:w w:val="97"/>
              </w:rPr>
              <w:t>Xerox - Other subsidiaries - Debt issuance costs</w:t>
            </w:r>
          </w:p>
        </w:tc>
        <w:tc>
          <w:tcPr>
            <w:tcW w:w="1400" w:type="dxa"/>
            <w:vAlign w:val="bottom"/>
            <w:tcBorders>
              <w:bottom w:val="single" w:sz="8" w:color="DDDDDD"/>
            </w:tcBorders>
            <w:shd w:val="clear" w:color="auto" w:fill="DDDDDD"/>
          </w:tcPr>
          <w:p>
            <w:pPr>
              <w:spacing w:after="0"/>
              <w:rPr>
                <w:sz w:val="21"/>
                <w:szCs w:val="21"/>
                <w:color w:val="auto"/>
              </w:rPr>
            </w:pPr>
          </w:p>
        </w:tc>
        <w:tc>
          <w:tcPr>
            <w:tcW w:w="80" w:type="dxa"/>
            <w:vAlign w:val="bottom"/>
            <w:tcBorders>
              <w:bottom w:val="single" w:sz="8" w:color="DDDDDD"/>
            </w:tcBorders>
            <w:shd w:val="clear" w:color="auto" w:fill="DDDDDD"/>
          </w:tcPr>
          <w:p>
            <w:pPr>
              <w:spacing w:after="0"/>
              <w:rPr>
                <w:sz w:val="21"/>
                <w:szCs w:val="21"/>
                <w:color w:val="auto"/>
              </w:rPr>
            </w:pPr>
          </w:p>
        </w:tc>
        <w:tc>
          <w:tcPr>
            <w:tcW w:w="1680" w:type="dxa"/>
            <w:vAlign w:val="bottom"/>
            <w:tcBorders>
              <w:bottom w:val="single" w:sz="8" w:color="DDDDDD"/>
            </w:tcBorders>
            <w:shd w:val="clear" w:color="auto" w:fill="DDDDDD"/>
          </w:tcPr>
          <w:p>
            <w:pPr>
              <w:spacing w:after="0"/>
              <w:rPr>
                <w:sz w:val="21"/>
                <w:szCs w:val="21"/>
                <w:color w:val="auto"/>
              </w:rPr>
            </w:pPr>
          </w:p>
        </w:tc>
        <w:tc>
          <w:tcPr>
            <w:tcW w:w="6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spacing w:after="0"/>
              <w:rPr>
                <w:sz w:val="21"/>
                <w:szCs w:val="21"/>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600" w:type="dxa"/>
            <w:vAlign w:val="bottom"/>
            <w:gridSpan w:val="4"/>
          </w:tcPr>
          <w:p>
            <w:pPr>
              <w:ind w:left="460"/>
              <w:spacing w:after="0"/>
              <w:rPr>
                <w:sz w:val="20"/>
                <w:szCs w:val="20"/>
                <w:color w:val="auto"/>
              </w:rPr>
            </w:pPr>
            <w:r>
              <w:rPr>
                <w:rFonts w:ascii="Arial" w:cs="Arial" w:eastAsia="Arial" w:hAnsi="Arial"/>
                <w:sz w:val="16"/>
                <w:szCs w:val="16"/>
                <w:b w:val="1"/>
                <w:bCs w:val="1"/>
                <w:color w:val="auto"/>
              </w:rPr>
              <w:t>Subtotal - Debt issuance costs</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60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35"/>
        </w:trPr>
        <w:tc>
          <w:tcPr>
            <w:tcW w:w="60" w:type="dxa"/>
            <w:vAlign w:val="bottom"/>
            <w:shd w:val="clear" w:color="auto" w:fill="DDDDDD"/>
          </w:tcPr>
          <w:p>
            <w:pPr>
              <w:spacing w:after="0"/>
              <w:rPr>
                <w:sz w:val="20"/>
                <w:szCs w:val="20"/>
                <w:color w:val="auto"/>
              </w:rPr>
            </w:pPr>
          </w:p>
        </w:tc>
        <w:tc>
          <w:tcPr>
            <w:tcW w:w="3600" w:type="dxa"/>
            <w:vAlign w:val="bottom"/>
            <w:gridSpan w:val="4"/>
            <w:shd w:val="clear" w:color="auto" w:fill="DDDDDD"/>
          </w:tcPr>
          <w:p>
            <w:pPr>
              <w:spacing w:after="0"/>
              <w:rPr>
                <w:sz w:val="20"/>
                <w:szCs w:val="20"/>
                <w:color w:val="auto"/>
              </w:rPr>
            </w:pPr>
            <w:r>
              <w:rPr>
                <w:rFonts w:ascii="Arial" w:cs="Arial" w:eastAsia="Arial" w:hAnsi="Arial"/>
                <w:sz w:val="16"/>
                <w:szCs w:val="16"/>
                <w:b w:val="1"/>
                <w:bCs w:val="1"/>
                <w:color w:val="auto"/>
              </w:rPr>
              <w:t>Unamortized (discount) premium</w:t>
            </w:r>
          </w:p>
        </w:tc>
        <w:tc>
          <w:tcPr>
            <w:tcW w:w="14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6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22"/>
        </w:trPr>
        <w:tc>
          <w:tcPr>
            <w:tcW w:w="60" w:type="dxa"/>
            <w:vAlign w:val="bottom"/>
            <w:tcBorders>
              <w:bottom w:val="single" w:sz="8" w:color="DDDDDD"/>
            </w:tcBorders>
          </w:tcPr>
          <w:p>
            <w:pPr>
              <w:spacing w:after="0"/>
              <w:rPr>
                <w:sz w:val="19"/>
                <w:szCs w:val="19"/>
                <w:color w:val="auto"/>
              </w:rPr>
            </w:pPr>
          </w:p>
        </w:tc>
        <w:tc>
          <w:tcPr>
            <w:tcW w:w="3600" w:type="dxa"/>
            <w:vAlign w:val="bottom"/>
            <w:tcBorders>
              <w:bottom w:val="single" w:sz="8" w:color="DDDDDD"/>
            </w:tcBorders>
            <w:gridSpan w:val="4"/>
          </w:tcPr>
          <w:p>
            <w:pPr>
              <w:spacing w:after="0"/>
              <w:rPr>
                <w:sz w:val="20"/>
                <w:szCs w:val="20"/>
                <w:color w:val="auto"/>
              </w:rPr>
            </w:pPr>
            <w:r>
              <w:rPr>
                <w:rFonts w:ascii="Arial" w:cs="Arial" w:eastAsia="Arial" w:hAnsi="Arial"/>
                <w:sz w:val="16"/>
                <w:szCs w:val="16"/>
                <w:b w:val="1"/>
                <w:bCs w:val="1"/>
                <w:color w:val="auto"/>
              </w:rPr>
              <w:t>Less: current maturities</w:t>
            </w:r>
          </w:p>
        </w:tc>
        <w:tc>
          <w:tcPr>
            <w:tcW w:w="1400" w:type="dxa"/>
            <w:vAlign w:val="bottom"/>
            <w:tcBorders>
              <w:bottom w:val="single" w:sz="8" w:color="DDDDDD"/>
            </w:tcBorders>
          </w:tcPr>
          <w:p>
            <w:pPr>
              <w:spacing w:after="0"/>
              <w:rPr>
                <w:sz w:val="19"/>
                <w:szCs w:val="19"/>
                <w:color w:val="auto"/>
              </w:rPr>
            </w:pPr>
          </w:p>
        </w:tc>
        <w:tc>
          <w:tcPr>
            <w:tcW w:w="80" w:type="dxa"/>
            <w:vAlign w:val="bottom"/>
            <w:tcBorders>
              <w:bottom w:val="single" w:sz="8" w:color="DDDDDD"/>
            </w:tcBorders>
          </w:tcPr>
          <w:p>
            <w:pPr>
              <w:spacing w:after="0"/>
              <w:rPr>
                <w:sz w:val="19"/>
                <w:szCs w:val="19"/>
                <w:color w:val="auto"/>
              </w:rPr>
            </w:pPr>
          </w:p>
        </w:tc>
        <w:tc>
          <w:tcPr>
            <w:tcW w:w="1680" w:type="dxa"/>
            <w:vAlign w:val="bottom"/>
            <w:tcBorders>
              <w:bottom w:val="single" w:sz="8" w:color="DDDDDD"/>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8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w:t>
            </w:r>
          </w:p>
        </w:tc>
        <w:tc>
          <w:tcPr>
            <w:tcW w:w="0" w:type="dxa"/>
            <w:vAlign w:val="bottom"/>
          </w:tcPr>
          <w:p>
            <w:pPr>
              <w:spacing w:after="0"/>
              <w:rPr>
                <w:sz w:val="1"/>
                <w:szCs w:val="1"/>
                <w:color w:val="auto"/>
              </w:rPr>
            </w:pPr>
          </w:p>
        </w:tc>
      </w:tr>
      <w:tr>
        <w:trPr>
          <w:trHeight w:val="232"/>
        </w:trPr>
        <w:tc>
          <w:tcPr>
            <w:tcW w:w="60" w:type="dxa"/>
            <w:vAlign w:val="bottom"/>
            <w:tcBorders>
              <w:bottom w:val="single" w:sz="8" w:color="DDDDDD"/>
            </w:tcBorders>
            <w:shd w:val="clear" w:color="auto" w:fill="DDDDDD"/>
          </w:tcPr>
          <w:p>
            <w:pPr>
              <w:spacing w:after="0"/>
              <w:rPr>
                <w:sz w:val="20"/>
                <w:szCs w:val="20"/>
                <w:color w:val="auto"/>
              </w:rPr>
            </w:pPr>
          </w:p>
        </w:tc>
        <w:tc>
          <w:tcPr>
            <w:tcW w:w="3600" w:type="dxa"/>
            <w:vAlign w:val="bottom"/>
            <w:tcBorders>
              <w:bottom w:val="single" w:sz="8" w:color="DDDDDD"/>
            </w:tcBorders>
            <w:gridSpan w:val="4"/>
            <w:shd w:val="clear" w:color="auto" w:fill="DDDDDD"/>
          </w:tcPr>
          <w:p>
            <w:pPr>
              <w:spacing w:after="0"/>
              <w:rPr>
                <w:sz w:val="20"/>
                <w:szCs w:val="20"/>
                <w:color w:val="auto"/>
              </w:rPr>
            </w:pPr>
            <w:r>
              <w:rPr>
                <w:rFonts w:ascii="Arial" w:cs="Arial" w:eastAsia="Arial" w:hAnsi="Arial"/>
                <w:sz w:val="16"/>
                <w:szCs w:val="16"/>
                <w:b w:val="1"/>
                <w:bCs w:val="1"/>
                <w:color w:val="auto"/>
              </w:rPr>
              <w:t>Total Long-term Debt</w:t>
            </w:r>
          </w:p>
        </w:tc>
        <w:tc>
          <w:tcPr>
            <w:tcW w:w="140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168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4,016</w:t>
            </w:r>
          </w:p>
        </w:tc>
        <w:tc>
          <w:tcPr>
            <w:tcW w:w="80" w:type="dxa"/>
            <w:vAlign w:val="bottom"/>
            <w:tcBorders>
              <w:bottom w:val="single" w:sz="8" w:color="DDDDDD"/>
            </w:tcBorders>
            <w:shd w:val="clear" w:color="auto" w:fill="DDDDDD"/>
          </w:tcPr>
          <w:p>
            <w:pPr>
              <w:spacing w:after="0"/>
              <w:rPr>
                <w:sz w:val="20"/>
                <w:szCs w:val="20"/>
                <w:color w:val="auto"/>
              </w:rPr>
            </w:pPr>
          </w:p>
        </w:tc>
        <w:tc>
          <w:tcPr>
            <w:tcW w:w="520" w:type="dxa"/>
            <w:vAlign w:val="bottom"/>
            <w:tcBorders>
              <w:bottom w:val="single" w:sz="8" w:color="auto"/>
            </w:tcBorders>
            <w:shd w:val="clear" w:color="auto" w:fill="DDDDDD"/>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2,814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-55245</wp:posOffset>
            </wp:positionV>
            <wp:extent cx="2000250" cy="755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200025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12"/>
        <w:spacing w:after="0" w:line="242" w:lineRule="auto"/>
        <w:tabs>
          <w:tab w:leader="none" w:pos="360" w:val="left"/>
        </w:tabs>
        <w:numPr>
          <w:ilvl w:val="0"/>
          <w:numId w:val="1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the weighted average effective interest rate, which includes the effect of discounts, premiums and imputed interest on issued debt.</w:t>
      </w:r>
    </w:p>
    <w:p>
      <w:pPr>
        <w:spacing w:after="0" w:line="1" w:lineRule="exact"/>
        <w:rPr>
          <w:rFonts w:ascii="Arial" w:cs="Arial" w:eastAsia="Arial" w:hAnsi="Arial"/>
          <w:sz w:val="16"/>
          <w:szCs w:val="16"/>
          <w:b w:val="1"/>
          <w:bCs w:val="1"/>
          <w:i w:val="1"/>
          <w:iCs w:val="1"/>
          <w:color w:val="auto"/>
        </w:rPr>
      </w:pPr>
    </w:p>
    <w:p>
      <w:pPr>
        <w:ind w:left="360" w:hanging="312"/>
        <w:spacing w:after="0" w:line="277" w:lineRule="auto"/>
        <w:tabs>
          <w:tab w:leader="none" w:pos="360" w:val="left"/>
        </w:tabs>
        <w:numPr>
          <w:ilvl w:val="0"/>
          <w:numId w:val="12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Represent secured borrowings of Xerox Corporation and its Other subsidiaries. Refer to the Secured Borrowings and Collateral section below for additional information regarding the secured borrowings of Other subsidiaries, which are secured by finance receivables.</w:t>
      </w:r>
    </w:p>
    <w:p>
      <w:pPr>
        <w:ind w:left="360" w:hanging="312"/>
        <w:spacing w:after="0" w:line="343" w:lineRule="auto"/>
        <w:tabs>
          <w:tab w:leader="none" w:pos="360" w:val="left"/>
        </w:tabs>
        <w:numPr>
          <w:ilvl w:val="0"/>
          <w:numId w:val="12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The stated rate and the weighted average interest rate for the TLB is SOFR plus a margin of 4.00%, which is the option selected by Xerox per the terms of the agreement. Refer to the Term Loan B Credit Facility discussion below for additional information on the TLB.</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Scheduled principal payments due on our long-term debt for the next five years and thereafter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2026</w:t>
            </w:r>
            <w:r>
              <w:rPr>
                <w:rFonts w:ascii="Arial" w:cs="Arial" w:eastAsia="Arial" w:hAnsi="Arial"/>
                <w:sz w:val="10"/>
                <w:szCs w:val="10"/>
                <w:b w:val="1"/>
                <w:bCs w:val="1"/>
                <w:color w:val="auto"/>
              </w:rPr>
              <w:t>(1)</w:t>
            </w:r>
          </w:p>
        </w:tc>
        <w:tc>
          <w:tcPr>
            <w:tcW w:w="80" w:type="dxa"/>
            <w:vAlign w:val="bottom"/>
            <w:tcBorders>
              <w:bottom w:val="single" w:sz="8" w:color="DDDDDD"/>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2028</w:t>
            </w: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2029</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2030</w:t>
            </w:r>
          </w:p>
        </w:tc>
        <w:tc>
          <w:tcPr>
            <w:tcW w:w="8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1"/>
              </w:rPr>
              <w:t>Thereafter</w:t>
            </w:r>
          </w:p>
        </w:tc>
        <w:tc>
          <w:tcPr>
            <w:tcW w:w="6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Total</w:t>
            </w:r>
          </w:p>
        </w:tc>
      </w:tr>
      <w:tr>
        <w:trPr>
          <w:trHeight w:val="223"/>
        </w:trPr>
        <w:tc>
          <w:tcPr>
            <w:tcW w:w="2280" w:type="dxa"/>
            <w:vAlign w:val="bottom"/>
            <w:shd w:val="clear" w:color="auto" w:fill="DDDDDD"/>
          </w:tcPr>
          <w:p>
            <w:pPr>
              <w:ind w:left="60"/>
              <w:spacing w:after="0"/>
              <w:rPr>
                <w:sz w:val="20"/>
                <w:szCs w:val="20"/>
                <w:color w:val="auto"/>
              </w:rPr>
            </w:pPr>
            <w:r>
              <w:rPr>
                <w:rFonts w:ascii="Arial" w:cs="Arial" w:eastAsia="Arial" w:hAnsi="Arial"/>
                <w:sz w:val="16"/>
                <w:szCs w:val="16"/>
                <w:b w:val="1"/>
                <w:bCs w:val="1"/>
                <w:color w:val="auto"/>
              </w:rPr>
              <w:t>Xerox Holdings Corporation</w:t>
            </w:r>
          </w:p>
        </w:tc>
        <w:tc>
          <w:tcPr>
            <w:tcW w:w="220" w:type="dxa"/>
            <w:vAlign w:val="bottom"/>
            <w:shd w:val="clear" w:color="auto" w:fill="DDDDDD"/>
          </w:tcPr>
          <w:p>
            <w:pPr>
              <w:jc w:val="right"/>
              <w:ind w:right="2"/>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125</w:t>
            </w:r>
          </w:p>
        </w:tc>
        <w:tc>
          <w:tcPr>
            <w:tcW w:w="820" w:type="dxa"/>
            <w:vAlign w:val="bottom"/>
            <w:gridSpan w:val="2"/>
            <w:shd w:val="clear" w:color="auto" w:fill="DDDDDD"/>
          </w:tcPr>
          <w:p>
            <w:pPr>
              <w:jc w:val="right"/>
              <w:ind w:right="5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25</w:t>
            </w:r>
          </w:p>
        </w:tc>
        <w:tc>
          <w:tcPr>
            <w:tcW w:w="780" w:type="dxa"/>
            <w:vAlign w:val="bottom"/>
            <w:gridSpan w:val="2"/>
            <w:shd w:val="clear" w:color="auto" w:fill="DDDDDD"/>
          </w:tcPr>
          <w:p>
            <w:pPr>
              <w:jc w:val="right"/>
              <w:ind w:right="482"/>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DDDDDD"/>
          </w:tcPr>
          <w:p>
            <w:pPr>
              <w:jc w:val="right"/>
              <w:ind w:right="2"/>
              <w:spacing w:after="0"/>
              <w:rPr>
                <w:sz w:val="20"/>
                <w:szCs w:val="20"/>
                <w:color w:val="auto"/>
              </w:rPr>
            </w:pPr>
            <w:r>
              <w:rPr>
                <w:rFonts w:ascii="Arial" w:cs="Arial" w:eastAsia="Arial" w:hAnsi="Arial"/>
                <w:sz w:val="16"/>
                <w:szCs w:val="16"/>
                <w:b w:val="1"/>
                <w:bCs w:val="1"/>
                <w:color w:val="auto"/>
                <w:w w:val="89"/>
              </w:rPr>
              <w:t>775</w:t>
            </w:r>
          </w:p>
        </w:tc>
        <w:tc>
          <w:tcPr>
            <w:tcW w:w="300" w:type="dxa"/>
            <w:vAlign w:val="bottom"/>
            <w:gridSpan w:val="2"/>
            <w:shd w:val="clear" w:color="auto" w:fill="DDDDDD"/>
          </w:tcPr>
          <w:p>
            <w:pPr>
              <w:jc w:val="right"/>
              <w:ind w:righ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531</w:t>
            </w:r>
          </w:p>
        </w:tc>
        <w:tc>
          <w:tcPr>
            <w:tcW w:w="320" w:type="dxa"/>
            <w:vAlign w:val="bottom"/>
            <w:gridSpan w:val="2"/>
            <w:shd w:val="clear" w:color="auto" w:fill="DDDDDD"/>
          </w:tcPr>
          <w:p>
            <w:pPr>
              <w:jc w:val="right"/>
              <w:ind w:right="1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569</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DDDDD"/>
          </w:tcPr>
          <w:p>
            <w:pPr>
              <w:jc w:val="right"/>
              <w:ind w:right="2"/>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DDDDDD"/>
          </w:tcPr>
          <w:p>
            <w:pPr>
              <w:jc w:val="right"/>
              <w:ind w:righ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6"/>
                <w:szCs w:val="16"/>
                <w:b w:val="1"/>
                <w:bCs w:val="1"/>
                <w:color w:val="auto"/>
              </w:rPr>
              <w:t>2,025</w:t>
            </w:r>
          </w:p>
        </w:tc>
      </w:tr>
      <w:tr>
        <w:trPr>
          <w:trHeight w:val="227"/>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Xerox Corporation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auto"/>
              </w:rPr>
              <w:t>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1,100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2,316</w:t>
            </w:r>
          </w:p>
        </w:tc>
      </w:tr>
      <w:tr>
        <w:trPr>
          <w:trHeight w:val="249"/>
        </w:trPr>
        <w:tc>
          <w:tcPr>
            <w:tcW w:w="2280" w:type="dxa"/>
            <w:vAlign w:val="bottom"/>
            <w:tcBorders>
              <w:bottom w:val="single" w:sz="8" w:color="DDDDDD"/>
            </w:tcBorders>
            <w:shd w:val="clear" w:color="auto" w:fill="DDDDDD"/>
          </w:tcPr>
          <w:p>
            <w:pPr>
              <w:ind w:left="60"/>
              <w:spacing w:after="0"/>
              <w:rPr>
                <w:sz w:val="20"/>
                <w:szCs w:val="20"/>
                <w:color w:val="auto"/>
              </w:rPr>
            </w:pPr>
            <w:r>
              <w:rPr>
                <w:rFonts w:ascii="Arial" w:cs="Arial" w:eastAsia="Arial" w:hAnsi="Arial"/>
                <w:sz w:val="16"/>
                <w:szCs w:val="16"/>
                <w:b w:val="1"/>
                <w:bCs w:val="1"/>
                <w:color w:val="auto"/>
              </w:rPr>
              <w:t>Xerox - Other Subsidiaries</w:t>
            </w:r>
            <w:r>
              <w:rPr>
                <w:rFonts w:ascii="Arial" w:cs="Arial" w:eastAsia="Arial" w:hAnsi="Arial"/>
                <w:sz w:val="10"/>
                <w:szCs w:val="10"/>
                <w:b w:val="1"/>
                <w:bCs w:val="1"/>
                <w:color w:val="auto"/>
              </w:rPr>
              <w:t>(2)</w:t>
            </w:r>
          </w:p>
        </w:tc>
        <w:tc>
          <w:tcPr>
            <w:tcW w:w="220" w:type="dxa"/>
            <w:vAlign w:val="bottom"/>
            <w:tcBorders>
              <w:bottom w:val="single" w:sz="8" w:color="auto"/>
            </w:tcBorders>
            <w:shd w:val="clear" w:color="auto" w:fill="DDDDDD"/>
          </w:tcPr>
          <w:p>
            <w:pPr>
              <w:spacing w:after="0"/>
              <w:rPr>
                <w:sz w:val="21"/>
                <w:szCs w:val="21"/>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DDDDDD"/>
            </w:tcBorders>
            <w:shd w:val="clear" w:color="auto" w:fill="DDDDDD"/>
          </w:tcPr>
          <w:p>
            <w:pPr>
              <w:spacing w:after="0"/>
              <w:rPr>
                <w:sz w:val="21"/>
                <w:szCs w:val="21"/>
                <w:color w:val="auto"/>
              </w:rPr>
            </w:pPr>
          </w:p>
        </w:tc>
        <w:tc>
          <w:tcPr>
            <w:tcW w:w="740" w:type="dxa"/>
            <w:vAlign w:val="bottom"/>
            <w:tcBorders>
              <w:bottom w:val="single" w:sz="8" w:color="auto"/>
            </w:tcBorders>
            <w:shd w:val="clear" w:color="auto" w:fill="DDDDDD"/>
          </w:tcPr>
          <w:p>
            <w:pPr>
              <w:spacing w:after="0"/>
              <w:rPr>
                <w:sz w:val="21"/>
                <w:szCs w:val="21"/>
                <w:color w:val="auto"/>
              </w:rPr>
            </w:pPr>
          </w:p>
        </w:tc>
        <w:tc>
          <w:tcPr>
            <w:tcW w:w="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DDDDDD"/>
            </w:tcBorders>
            <w:shd w:val="clear" w:color="auto" w:fill="DDDDDD"/>
          </w:tcPr>
          <w:p>
            <w:pPr>
              <w:spacing w:after="0"/>
              <w:rPr>
                <w:sz w:val="21"/>
                <w:szCs w:val="21"/>
                <w:color w:val="auto"/>
              </w:rPr>
            </w:pPr>
          </w:p>
        </w:tc>
        <w:tc>
          <w:tcPr>
            <w:tcW w:w="700" w:type="dxa"/>
            <w:vAlign w:val="bottom"/>
            <w:tcBorders>
              <w:bottom w:val="single" w:sz="8" w:color="auto"/>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DDDDDD"/>
            </w:tcBorders>
            <w:shd w:val="clear" w:color="auto" w:fill="DDDDDD"/>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DDDDDD"/>
            </w:tcBorders>
            <w:shd w:val="clear" w:color="auto" w:fill="DDDDDD"/>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DDDDDD"/>
            </w:tcBorders>
            <w:shd w:val="clear" w:color="auto" w:fill="DDDDDD"/>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auto"/>
              </w:rPr>
              <w:t>3</w:t>
            </w:r>
          </w:p>
        </w:tc>
      </w:tr>
      <w:tr>
        <w:trPr>
          <w:trHeight w:val="173"/>
        </w:trPr>
        <w:tc>
          <w:tcPr>
            <w:tcW w:w="2280" w:type="dxa"/>
            <w:vAlign w:val="bottom"/>
          </w:tcPr>
          <w:p>
            <w:pPr>
              <w:ind w:left="60"/>
              <w:spacing w:after="0" w:line="174"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236</w:t>
            </w:r>
          </w:p>
        </w:tc>
        <w:tc>
          <w:tcPr>
            <w:tcW w:w="820" w:type="dxa"/>
            <w:vAlign w:val="bottom"/>
            <w:gridSpan w:val="2"/>
          </w:tcPr>
          <w:p>
            <w:pPr>
              <w:jc w:val="right"/>
              <w:ind w:right="522"/>
              <w:spacing w:after="0" w:line="174" w:lineRule="exact"/>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77</w:t>
            </w:r>
          </w:p>
        </w:tc>
        <w:tc>
          <w:tcPr>
            <w:tcW w:w="780" w:type="dxa"/>
            <w:vAlign w:val="bottom"/>
            <w:gridSpan w:val="2"/>
          </w:tcPr>
          <w:p>
            <w:pPr>
              <w:jc w:val="right"/>
              <w:ind w:right="482"/>
              <w:spacing w:after="0" w:line="174" w:lineRule="exact"/>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w w:val="89"/>
              </w:rPr>
              <w:t>866</w:t>
            </w:r>
          </w:p>
        </w:tc>
        <w:tc>
          <w:tcPr>
            <w:tcW w:w="300" w:type="dxa"/>
            <w:vAlign w:val="bottom"/>
            <w:gridSpan w:val="2"/>
          </w:tcPr>
          <w:p>
            <w:pPr>
              <w:jc w:val="right"/>
              <w:ind w:right="100"/>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1,096</w:t>
            </w:r>
          </w:p>
        </w:tc>
        <w:tc>
          <w:tcPr>
            <w:tcW w:w="320" w:type="dxa"/>
            <w:vAlign w:val="bottom"/>
            <w:gridSpan w:val="2"/>
          </w:tcPr>
          <w:p>
            <w:pPr>
              <w:jc w:val="right"/>
              <w:ind w:right="120"/>
              <w:spacing w:after="0" w:line="174" w:lineRule="exact"/>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969</w:t>
            </w:r>
          </w:p>
        </w:tc>
        <w:tc>
          <w:tcPr>
            <w:tcW w:w="220" w:type="dxa"/>
            <w:vAlign w:val="bottom"/>
            <w:gridSpan w:val="2"/>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1,100</w:t>
            </w:r>
          </w:p>
        </w:tc>
        <w:tc>
          <w:tcPr>
            <w:tcW w:w="300" w:type="dxa"/>
            <w:vAlign w:val="bottom"/>
            <w:gridSpan w:val="2"/>
          </w:tcPr>
          <w:p>
            <w:pPr>
              <w:jc w:val="right"/>
              <w:ind w:right="100"/>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4,344</w:t>
            </w:r>
          </w:p>
        </w:tc>
      </w:tr>
      <w:tr>
        <w:trPr>
          <w:trHeight w:val="20"/>
        </w:trPr>
        <w:tc>
          <w:tcPr>
            <w:tcW w:w="2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-55880</wp:posOffset>
            </wp:positionV>
            <wp:extent cx="4919980" cy="755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491998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2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Current portion of long-term debt maturities for 2026 are $110, $125, $1 and $0 for the first, second, third and fourth quarters, respectively.</w:t>
      </w:r>
    </w:p>
    <w:p>
      <w:pPr>
        <w:spacing w:after="0" w:line="25" w:lineRule="exact"/>
        <w:rPr>
          <w:rFonts w:ascii="Arial" w:cs="Arial" w:eastAsia="Arial" w:hAnsi="Arial"/>
          <w:sz w:val="14"/>
          <w:szCs w:val="14"/>
          <w:b w:val="1"/>
          <w:bCs w:val="1"/>
          <w:i w:val="1"/>
          <w:iCs w:val="1"/>
          <w:color w:val="auto"/>
        </w:rPr>
      </w:pPr>
    </w:p>
    <w:p>
      <w:pPr>
        <w:ind w:left="360" w:hanging="356"/>
        <w:spacing w:after="0"/>
        <w:tabs>
          <w:tab w:leader="none" w:pos="360" w:val="left"/>
        </w:tabs>
        <w:numPr>
          <w:ilvl w:val="0"/>
          <w:numId w:val="1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subsidiaries of Xerox Corporation.</w:t>
      </w:r>
    </w:p>
    <w:p>
      <w:pPr>
        <w:spacing w:after="0" w:line="107" w:lineRule="exact"/>
        <w:rPr>
          <w:sz w:val="20"/>
          <w:szCs w:val="20"/>
          <w:color w:val="auto"/>
        </w:rPr>
      </w:pPr>
    </w:p>
    <w:p>
      <w:pPr>
        <w:jc w:val="both"/>
        <w:ind w:right="60"/>
        <w:spacing w:after="0" w:line="276" w:lineRule="auto"/>
        <w:rPr>
          <w:sz w:val="20"/>
          <w:szCs w:val="20"/>
          <w:color w:val="auto"/>
        </w:rPr>
      </w:pPr>
      <w:r>
        <w:rPr>
          <w:rFonts w:ascii="Arial" w:cs="Arial" w:eastAsia="Arial" w:hAnsi="Arial"/>
          <w:sz w:val="19"/>
          <w:szCs w:val="19"/>
          <w:b w:val="1"/>
          <w:bCs w:val="1"/>
          <w:color w:val="auto"/>
        </w:rPr>
        <w:t>We have entered into transactions, and continue to seek opportunities to reduce our borrowings in a cost and cash efficient manner, including strategies to retire debt that has recently traded at significant discounts. Refer to Note 26 - Subsequent Events,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130</w:t>
      </w:r>
    </w:p>
    <w:p>
      <w:pPr>
        <w:sectPr>
          <w:pgSz w:w="11880" w:h="15480" w:orient="portrait"/>
          <w:cols w:equalWidth="0" w:num="1">
            <w:col w:w="9960"/>
          </w:cols>
          <w:pgMar w:left="960" w:top="736" w:right="960" w:bottom="0" w:gutter="0" w:footer="0" w:header="0"/>
        </w:sectPr>
      </w:pPr>
    </w:p>
    <w:bookmarkStart w:id="140" w:name="page141"/>
    <w:bookmarkEnd w:id="140"/>
    <w:p>
      <w:pPr>
        <w:spacing w:after="0"/>
        <w:rPr>
          <w:sz w:val="20"/>
          <w:szCs w:val="20"/>
          <w:color w:val="auto"/>
        </w:rPr>
      </w:pPr>
      <w:r>
        <w:rPr>
          <w:rFonts w:ascii="Arial" w:cs="Arial" w:eastAsia="Arial" w:hAnsi="Arial"/>
          <w:sz w:val="19"/>
          <w:szCs w:val="19"/>
          <w:b w:val="1"/>
          <w:bCs w:val="1"/>
          <w:color w:val="DA2031"/>
        </w:rPr>
        <w:t>Senior Secured and Unsecured Notes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Xerox Corporation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On April 11, 2025, Xerox Corporation and Xerox Issuer Corporation, a wholly-owned subsidiary of Xerox Corporation (Escrow Issuer), completed a private offering of (i) $400 aggregate principal amount of 10.250% Senior Secured First Lien Notes due 2030 at 99% of par (the First Lien Notes) issued by Xerox Corporation, and (ii) $400 aggregate principal amount of 13.500% Senior Secured Second Lien Notes due 2031 at 98% of par (the Second Lien Notes, issued and together with the First Lien Notes, the Notes) issued by the Escrow Issuer. The Company received net proceeds (after discount, fees and expenses) on the issuance of the First Lien Notes of $366, and net proceeds of $392 (after discount) on the issuance of the Second Lien Notes. The net proceeds of the Second Lien Notes were deposited into an escrow account upon the issuance of the Second Lien Notes and were released upon the consummation of the Lexmark Acquisition.</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On May 9, 2025, the Escrow Issuer issued an additional $100 of the Second Lien Notes at 95% of par. Net proceeds (after discounts, fees and expenses) were approximately $93. The net proceeds were deposited into the escrow account, as well as $1 of accrued and unpaid interest, and a deposit of $2 by Xerox Corporation. On July 1, 2025, approximately $494 was released from escrow (including accrued interest) to fund a portion of the Lexmark Acquisition. An additional $15 of commitment and underwriting fees were paid upon the release of the proceeds from escrow. Upon consummation of the Lexmark Acquisition, the Escrow issuer was merged into Xerox Corporation and Xerox Corporation assumed the Second Lien Notes.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Net proceeds from the offering of the First Lien Notes, together with cash on hand, were used to redeem Xerox Holdings Corporation’s 5.000% Senior Notes due 2025 (2025 Notes) and to pay fees and expenses, including redemption premiums and accrued interest, in connection with the First Lien Notes offering, the Lexmark Acquisition and the related transactions.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Net proceeds from the offering of the Second Lien Notes were used to (i) fund a portion of the purchase price for the Lexmark Acquisition and the repayment of a portion of Lexmark’s outstanding debt (together with accrued interest and any applicable expenses, fees or premiums) and (ii) pay fees and expenses in connection with the Second Lien Notes offering, the Lexmark Acquisition and the related transactions.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The First Lien Notes are governed by an indenture, dated as of April 11, 2025 (the First Lien Indenture), among Xerox Corporation, Xerox Holdings Corporation (Xerox Holdings Corporation and, together with Xerox Corporation, the Company), certain of Xerox Corporation's domestic and foreign subsidiaries and U.S. Bank Trust Company, National Association, as trustee and collateral agent (the First Lien Notes Agent). The Second Lien Notes are governed by an indenture, dated as of April 11, 2025 (the Second Lien Indenture and, together with the First Lien Indenture, the Indentures), between the Xerox Holdings Corporation, Xerox Corporation (as successor to the Escrow Issuer), certain of Xerox Corporation’s domestic and foreign subsidiaries and U.S. Bank Trust Company, National Association, as trustee and collateral agent (the Second Lien Notes Agent).</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The First Lien Notes mature on October 15, 2030 and bear interest at a rate of 10.250% per annum. The Second Lien Notes bear interest at a rate of 13.500% per annum. The First Lien Notes are unconditionally guaranteed on a senior secured basis by Xerox Holdings Corporation and certain of Xerox Corporation’s domestic and foreign subsidiaries (including, following the completion of the Lexmark Acquisition, Lexmark and certain of its domestic and foreign subsidiaries). Subject to certain exceptions and permitted liens, the First Lien Notes are secured by security interests in substantially all of the assets of the guarantors of the First Lien Notes (the Collateral) on a first-priority basis by the Collateral that is Fixed Asset Collateral (as defined in the First Lien Indenture) and on a second-priority basis by the Collateral that is Current Asset Collateral (as defined in the First Lien Indenture).</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Subject to certain exceptions and permitted liens, the Second Lien Notes are secured by security interests in the same Collateral as the First Lien Notes, but on a second-priority basis by the Collateral that is Fixed Asset Collateral (as defined in the Second Lien Indenture) and on a third-priority basis by the Collateral that is Current Asset Collateral (as defined in the Second Lien Indenture).</w:t>
      </w:r>
    </w:p>
    <w:p>
      <w:pPr>
        <w:spacing w:after="0" w:line="6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Indentures contain customary affirmative and negative covenants governing dividends, investments, debt, liens, and other matters of default.</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Xerox Holdings Corporation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On July 1, 2025, Xerox Holdings Corporation completed an offering of (i) $125 aggregate principal amount of 13.00% Senior Unsecured Notes due June 2026 (the 2026 Notes), and ii) $250 aggregate principal amount of</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13.00% Senior Notes due July 2030 (the 2030 Notes). Xerox Holdings Corporation received net proceeds (after discount, fees and expenses) on issuance of the 2026 Notes of approximately $116, and net proceeds on the</w:t>
      </w:r>
    </w:p>
    <w:p>
      <w:pPr>
        <w:spacing w:after="0" w:line="370"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131</w:t>
      </w:r>
    </w:p>
    <w:p>
      <w:pPr>
        <w:sectPr>
          <w:pgSz w:w="11880" w:h="15480" w:orient="portrait"/>
          <w:cols w:equalWidth="0" w:num="1">
            <w:col w:w="9960"/>
          </w:cols>
          <w:pgMar w:left="960" w:top="735" w:right="960" w:bottom="0" w:gutter="0" w:footer="0" w:header="0"/>
        </w:sectPr>
      </w:pPr>
    </w:p>
    <w:bookmarkStart w:id="141" w:name="page142"/>
    <w:bookmarkEnd w:id="141"/>
    <w:p>
      <w:pPr>
        <w:jc w:val="both"/>
        <w:spacing w:after="0" w:line="269" w:lineRule="auto"/>
        <w:rPr>
          <w:sz w:val="20"/>
          <w:szCs w:val="20"/>
          <w:color w:val="auto"/>
        </w:rPr>
      </w:pPr>
      <w:r>
        <w:rPr>
          <w:rFonts w:ascii="Arial" w:cs="Arial" w:eastAsia="Arial" w:hAnsi="Arial"/>
          <w:sz w:val="19"/>
          <w:szCs w:val="19"/>
          <w:b w:val="1"/>
          <w:bCs w:val="1"/>
          <w:color w:val="auto"/>
        </w:rPr>
        <w:t>issuance of the 2030 Notes of approximately $245. In connection with the issuance of the 2030 Notes, Xerox Holdings Corporation issued a pre-funded warrant with a fair value of approximately $11 (as of the date of the issuance). Refer to Note 22 - Shareholders' Equity for additional information regarding the issuance of the pre-funded warrant.</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2026 Notes mature on June 30, 2026 and provide the option for Xerox Holdings Corporation (at its sole discretion) to extend the maturity of approximately $62.5 of the 2026 Notes for an additional six-month period (for a 2% fee on the amount of 2026 Notes outstanding after the payment on the scheduled maturity date). The 2026 Notes bear interest at a rate of 13.00% per annum. During the extension period, the 2026 Notes will continue to bear interest at 13.00% per annum.</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2026 Notes are governed by an indenture, dated as of July 1, 2025 (the 2026 Notes Indenture), among Xerox, Xerox Holdings Corporation, the guarantors party thereto and U.S. Bank Trust Company, National Association, as trustee. The 2026 Notes are unconditionally guaranteed on an unsecured basis by Xerox Corporation and certain of Xerox’s domestic and foreign subsidiaries.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Xerox used the net proceeds of the 2030 Notes to fund a portion of the purchase price for the Lexmark Acquisition and to repay a portion of Lexmark’s outstanding debt (together with accrued interest and any applicable expenses, fees or premiums) and to pay fees and expenses in connection with the Lexmark Acquisition. The net proceeds of the 2026 Notes are being used for general corporate purposes including, without limitation, funding the realization of synergies associated with the Lexmark Acquisition.</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2030 Notes mature on July 31, 2030 and initially bear interest at a rate equal to 13.00% per annum. The initial interest rate on the 2030 Notes will increase (Interest Rate Step-Up) to the rates (on a per annum basis) set forth below for the period from and including the dates indicated below (each a Step-Up Date) to but excluding the next succeeding Step-up Date, or the stated maturity of the 2030 Notes, as applicable.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Step-Up Date</w:t>
            </w:r>
          </w:p>
        </w:tc>
        <w:tc>
          <w:tcPr>
            <w:tcW w:w="60" w:type="dxa"/>
            <w:vAlign w:val="bottom"/>
            <w:tcBorders>
              <w:bottom w:val="single" w:sz="8" w:color="DBDBDB"/>
            </w:tcBorders>
          </w:tcPr>
          <w:p>
            <w:pPr>
              <w:spacing w:after="0"/>
              <w:rPr>
                <w:sz w:val="18"/>
                <w:szCs w:val="18"/>
                <w:color w:val="auto"/>
              </w:rPr>
            </w:pPr>
          </w:p>
        </w:tc>
        <w:tc>
          <w:tcPr>
            <w:tcW w:w="1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Interest Rate Step-Up</w:t>
            </w:r>
          </w:p>
        </w:tc>
      </w:tr>
      <w:tr>
        <w:trPr>
          <w:trHeight w:val="238"/>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July 1, 2026</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13.500 %</w:t>
            </w:r>
          </w:p>
        </w:tc>
      </w:tr>
      <w:tr>
        <w:trPr>
          <w:trHeight w:val="242"/>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July 1, 2027</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14.000 %</w:t>
            </w:r>
          </w:p>
        </w:tc>
      </w:tr>
      <w:tr>
        <w:trPr>
          <w:trHeight w:val="253"/>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October 1, 2027</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14.125 %</w:t>
            </w:r>
          </w:p>
        </w:tc>
      </w:tr>
      <w:tr>
        <w:trPr>
          <w:trHeight w:val="242"/>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January 1, 2028</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14.250 %</w:t>
            </w:r>
          </w:p>
        </w:tc>
      </w:tr>
      <w:tr>
        <w:trPr>
          <w:trHeight w:val="253"/>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April 1, 2028</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14.500 %</w:t>
            </w:r>
          </w:p>
        </w:tc>
      </w:tr>
      <w:tr>
        <w:trPr>
          <w:trHeight w:val="242"/>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July 1, 2028</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14.750 %</w:t>
            </w:r>
          </w:p>
        </w:tc>
      </w:tr>
      <w:tr>
        <w:trPr>
          <w:trHeight w:val="253"/>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October 1, 2028</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15.000 %</w:t>
            </w:r>
          </w:p>
        </w:tc>
      </w:tr>
      <w:tr>
        <w:trPr>
          <w:trHeight w:val="242"/>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January 1, 2029</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15.250 %</w:t>
            </w:r>
          </w:p>
        </w:tc>
      </w:tr>
      <w:tr>
        <w:trPr>
          <w:trHeight w:val="253"/>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April 1, 2029</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15.500 %</w:t>
            </w:r>
          </w:p>
        </w:tc>
      </w:tr>
      <w:tr>
        <w:trPr>
          <w:trHeight w:val="242"/>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July 1, 2029</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15.750 %</w:t>
            </w:r>
          </w:p>
        </w:tc>
      </w:tr>
      <w:tr>
        <w:trPr>
          <w:trHeight w:val="253"/>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October 1, 2029</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16.000 %</w:t>
            </w:r>
          </w:p>
        </w:tc>
      </w:tr>
      <w:tr>
        <w:trPr>
          <w:trHeight w:val="242"/>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January 1, 2030</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16.250 %</w:t>
            </w:r>
          </w:p>
        </w:tc>
      </w:tr>
      <w:tr>
        <w:trPr>
          <w:trHeight w:val="253"/>
        </w:trPr>
        <w:tc>
          <w:tcPr>
            <w:tcW w:w="8100" w:type="dxa"/>
            <w:vAlign w:val="bottom"/>
            <w:shd w:val="clear" w:color="auto" w:fill="DBDBDB"/>
          </w:tcPr>
          <w:p>
            <w:pPr>
              <w:ind w:left="60"/>
              <w:spacing w:after="0"/>
              <w:rPr>
                <w:sz w:val="20"/>
                <w:szCs w:val="20"/>
                <w:color w:val="auto"/>
              </w:rPr>
            </w:pPr>
            <w:r>
              <w:rPr>
                <w:rFonts w:ascii="Arial" w:cs="Arial" w:eastAsia="Arial" w:hAnsi="Arial"/>
                <w:sz w:val="16"/>
                <w:szCs w:val="16"/>
                <w:b w:val="1"/>
                <w:bCs w:val="1"/>
                <w:color w:val="auto"/>
              </w:rPr>
              <w:t>April 1, 2030</w:t>
            </w:r>
          </w:p>
        </w:tc>
        <w:tc>
          <w:tcPr>
            <w:tcW w:w="1860" w:type="dxa"/>
            <w:vAlign w:val="bottom"/>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16.500 %</w:t>
            </w:r>
          </w:p>
        </w:tc>
      </w:tr>
      <w:tr>
        <w:trPr>
          <w:trHeight w:val="236"/>
        </w:trPr>
        <w:tc>
          <w:tcPr>
            <w:tcW w:w="8100" w:type="dxa"/>
            <w:vAlign w:val="bottom"/>
          </w:tcPr>
          <w:p>
            <w:pPr>
              <w:ind w:left="60"/>
              <w:spacing w:after="0"/>
              <w:rPr>
                <w:sz w:val="20"/>
                <w:szCs w:val="20"/>
                <w:color w:val="auto"/>
              </w:rPr>
            </w:pPr>
            <w:r>
              <w:rPr>
                <w:rFonts w:ascii="Arial" w:cs="Arial" w:eastAsia="Arial" w:hAnsi="Arial"/>
                <w:sz w:val="16"/>
                <w:szCs w:val="16"/>
                <w:b w:val="1"/>
                <w:bCs w:val="1"/>
                <w:color w:val="auto"/>
              </w:rPr>
              <w:t>July 1, 2030</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16.750 %</w:t>
            </w:r>
          </w:p>
        </w:tc>
      </w:tr>
    </w:tbl>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2030 Notes are governed by an Indenture, dated as of July 1, 2025 (the 2030 Notes Indenture), among Xerox Corporation, the guarantors party thereto and U.S. Bank Trust Company, National Association, as trustee. The 2030 Notes are unconditionally guaranteed on an unsecured basis by Xerox Corporation and certain of Xerox Corporation’s domestic and foreign subsidiaries (including, following the completion of the Lexmark Acquisition, Lexmark and certain of its domestic and foreign subsidiaries).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Each of the 2026 Notes Indenture and the 2030 Notes Indenture contains customary affirmative and negative covenants governing dividends, investments, debt, liens, and other matters and events of default. Net proceeds of the 2030 Notes offering were used to (i) fund a portion of the purchase price for the Lexmark Acquisition and the repayment of a portion of Lexmark’s outstanding debt (together with accrued interest and any applicable expenses, fees or premiums) and (ii) pay fees and expenses in connection with the Second Lien Notes offering, the Lexmark Acquisition and the related transactions. Net proceeds of the 2026 Notes offering are being used for general corporate purposes including, without limitation, funding the realization of synergies associated with the Lexmark Acquisition. Refer to the Debt section of Note 6 - Acquisitions and Divestitures, for additional information regarding the Lexmark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132</w:t>
      </w:r>
    </w:p>
    <w:p>
      <w:pPr>
        <w:sectPr>
          <w:pgSz w:w="11880" w:h="15480" w:orient="portrait"/>
          <w:cols w:equalWidth="0" w:num="1">
            <w:col w:w="9960"/>
          </w:cols>
          <w:pgMar w:left="960" w:top="736" w:right="960" w:bottom="0" w:gutter="0" w:footer="0" w:header="0"/>
        </w:sectPr>
      </w:pPr>
    </w:p>
    <w:bookmarkStart w:id="142" w:name="page143"/>
    <w:bookmarkEnd w:id="142"/>
    <w:p>
      <w:pPr>
        <w:spacing w:after="0"/>
        <w:rPr>
          <w:sz w:val="20"/>
          <w:szCs w:val="20"/>
          <w:color w:val="auto"/>
        </w:rPr>
      </w:pPr>
      <w:r>
        <w:rPr>
          <w:rFonts w:ascii="Arial" w:cs="Arial" w:eastAsia="Arial" w:hAnsi="Arial"/>
          <w:sz w:val="19"/>
          <w:szCs w:val="19"/>
          <w:b w:val="1"/>
          <w:bCs w:val="1"/>
          <w:color w:val="DA2031"/>
        </w:rPr>
        <w:t>Term Loan B Credit Facility</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In November 2023, Xerox Corporation, as borrower, Xerox Holdings Corporation, and certain of Xerox Corporation’s subsidiaries, as guarantors, entered into a first lien term loan credit agreement with Jefferies Finance LLC, as administrative agent and collateral agent (the TLB Agent), and a syndicate of lenders providing for a first lien senior secured term loan credit facility (the TLB Facility) to Xerox Corporation of $550, which was fully extended as term loans to Xerox Corporation at closing. The term loans under this facility included an aggregate original issue discount (OID) of $17 and debt issuance costs of $9 resulting in net proceeds of approximately $524. The OID and debt issuance costs were accordingly deferred and are amortized over the term of the Loans.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On July 1, 2025, Xerox Corporation made an incremental term loan borrowing of approximately $327 (Incremental Term Loans) under the TLB Facility. Substantially all of the net proceeds of the Incremental Term Loans were used to repay (through a cashless settlement) a portion of Lexmark’s assumed debt of $323. Debt issuance costs of approximately $1 were paid and deferred in connection with the issuance of the Incremental Term Loans, and will be amortized over the remaining term. Refer to the Debt section of Note 6 - Acquisitions and Divestitures, for additional information regarding the Lexmark Acquisition and the TLB Facility.</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As a result of sales of finance receivables during the third quarter 2025, approximately $41 of the TLB Facility was repaid in October 2025. Refer to Note 8 - Finance Receivables, Net for additional information regarding our sales of finance receivables.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Xerox Corporation’s obligations under the TLB Facility are supported by, guarantees from the Company and certain of Xerox Corporation’s U.S., Canadian, German, Belgium, and English subsidiaries, and security interests in substantially all of the assets of the Company, and such U.S., Canadian and English subsidiaries (subject to certain exceptions and limitations set forth in the TLB Facility), and security interests in the finance lease receivables of such German and Belgium subsidiaries. Liens in favor of the lenders or holders, as applicable, under the TLB, the ABL, the First Lien Notes, the Second Lien Notes and the ITsavvy Notes are subject to intercreditor agreements with the TLB Agent, ABL Agent, the First Lien Notes Agent, the Second Lien Notes Agent and ITsavvy Holdings, LLC, as the representative for the holders of the ITsavvy Notes.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 Xerox Corporation’s election, the term loans will bear interest at a per annum rate of either:</w:t>
      </w:r>
    </w:p>
    <w:p>
      <w:pPr>
        <w:spacing w:after="0" w:line="131" w:lineRule="exact"/>
        <w:rPr>
          <w:sz w:val="20"/>
          <w:szCs w:val="20"/>
          <w:color w:val="auto"/>
        </w:rPr>
      </w:pPr>
    </w:p>
    <w:p>
      <w:pPr>
        <w:ind w:left="700" w:hanging="347"/>
        <w:spacing w:after="0" w:line="328" w:lineRule="auto"/>
        <w:tabs>
          <w:tab w:leader="none" w:pos="661"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 fluctuating rate equal to the highest of (A) a rate of 0.5% in excess of the “NYFRB” rate, (B) the “prime rate” and (C) a rate of 1.0% in excess of one-month Term SOFR, plus an applicable margin of 3.00%, or</w:t>
      </w:r>
    </w:p>
    <w:p>
      <w:pPr>
        <w:spacing w:after="0" w:line="16" w:lineRule="exact"/>
        <w:rPr>
          <w:rFonts w:ascii="Arial" w:cs="Arial" w:eastAsia="Arial" w:hAnsi="Arial"/>
          <w:sz w:val="18"/>
          <w:szCs w:val="18"/>
          <w:b w:val="1"/>
          <w:bCs w:val="1"/>
          <w:color w:val="auto"/>
        </w:rPr>
      </w:pPr>
    </w:p>
    <w:p>
      <w:pPr>
        <w:jc w:val="both"/>
        <w:ind w:left="700" w:hanging="347"/>
        <w:spacing w:after="0" w:line="279" w:lineRule="auto"/>
        <w:tabs>
          <w:tab w:leader="none" w:pos="65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Term SOFR for a one-, three- or six-month interest period or (as agreed to by the Agent and the Lenders) such other period, as selected by the Company (provided that such rate shall not be less than 0.50%), plus an applicable margin of 4.00%, for Term SOFR term loans, or 3.00% for ABR term loans. There are $706 of term loans outstanding at December 31, 2025. Currently, $406 of the term loans bears interest at an average rate of 7.73%, $175 bears interest at an average rate of 7.67% through Mar 31, 2026, and the remaining $125 of the term loans bears interest at an average rate of 7.72% through January 31, 2026, at which time the interest rate will reset based on Xerox Corporation’s elections.</w:t>
      </w:r>
    </w:p>
    <w:p>
      <w:pPr>
        <w:spacing w:after="0" w:line="6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remaining term loans are repayable in full at maturity in November 2029 and amortize at a quarterly rate of 7.50% per annum in 2026 and 10% per annum thereafter.</w:t>
      </w:r>
    </w:p>
    <w:p>
      <w:pPr>
        <w:spacing w:after="0" w:line="39"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If an event of default occurs under the TLB Facility, the entire principal amount outstanding thereunder, together with all accrued unpaid interest and other amounts owing in respect thereof, may be declared immediately due and payable, subject, in certain instances, to the expiration of applicable cure periods. The TLB Facility also contains customary excess cash flow and asset sale mandatory prepayments, reporting covenants and negative covenants governing dividends, investments, debt, liens, and other matters that are customary for similar term loan B facilities.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In October 2025, Lexmark and certain of its domestic and foreign subsidiaries became guarantors under the TLB Facility. Refer to the Debt section of Note 6 – Acquisitions and Divestitures, for additional information regarding the Lexmark Acquisition.</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Revolving Credit Facility</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In May 2023, Xerox Corporation, as borrower, Xerox Holdings Corporation and certain subsidiaries of Xerox Corporation, as guarantors, entered into a five-year asset-based revolving credit agreement (the ABL Facility) with Citibank, N.A., as administrative agent and collateral agent (the ABL Agent) and several lenders including Citibank N.A. The aggregate outstanding principal amount of the ABL Facility is payable in full at maturity on the earlier of May 22, 2028, and date that is 91 days prior to the final scheduled maturity date of any Material Springer Debt (as defined in the ABL Facility), and there are no scheduled principal payments prior to maturity. We deferred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133</w:t>
      </w:r>
    </w:p>
    <w:p>
      <w:pPr>
        <w:sectPr>
          <w:pgSz w:w="11880" w:h="15480" w:orient="portrait"/>
          <w:cols w:equalWidth="0" w:num="1">
            <w:col w:w="9960"/>
          </w:cols>
          <w:pgMar w:left="960" w:top="735" w:right="960" w:bottom="0" w:gutter="0" w:footer="0" w:header="0"/>
        </w:sectPr>
      </w:pPr>
    </w:p>
    <w:bookmarkStart w:id="143" w:name="page144"/>
    <w:bookmarkEnd w:id="143"/>
    <w:p>
      <w:pPr>
        <w:jc w:val="both"/>
        <w:spacing w:after="0" w:line="298" w:lineRule="auto"/>
        <w:rPr>
          <w:sz w:val="20"/>
          <w:szCs w:val="20"/>
          <w:color w:val="auto"/>
        </w:rPr>
      </w:pPr>
      <w:r>
        <w:rPr>
          <w:rFonts w:ascii="Arial" w:cs="Arial" w:eastAsia="Arial" w:hAnsi="Arial"/>
          <w:sz w:val="19"/>
          <w:szCs w:val="19"/>
          <w:b w:val="1"/>
          <w:bCs w:val="1"/>
          <w:color w:val="auto"/>
        </w:rPr>
        <w:t>approximately $7 of debt issuance costs in connection with the ABL Facility, which are being amortized over the five-year term.</w:t>
      </w:r>
    </w:p>
    <w:p>
      <w:pPr>
        <w:spacing w:after="0" w:line="3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In February 2024, the Company, Xerox Holdings Corporation and the Administrative Agent entered into an amendment in connection with the delivery of additional guarantees and collateral under the ABL Facility as a result of the Company’s execution of the TLB Facility, which constituted Material Springer Debt (as defined in the ABL Facility), and the execution of certain guarantees by subsidiaries of the Company in connection with the TLB.</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In June 2024, Xerox Corporation and Xerox Holdings Corporation, entered into Amendment No. 2 to Credit Agreement (the Amendment) with the ABL agent, and the lenders party thereto. The Amendment amended the ABL Facility, to (i) increase the commitments of the lenders under the ABL Credit Agreement from $300 to $425 and (ii) amend the excess availability used to trigger the fixed charge coverage ratio springing covenant from an amount equal to the greater of (A) $22.5 and (B) 10% of the Line Cap (the lesser of the aggregate amount of Revolving Commitments and the then-applicable Borrowing Base), to an amount equal to the greater of (A) $31.875 and (B) 10% of the Line Cap.</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Under the amended ABL Facility, Xerox Corporation may borrow up to the lesser of (x) $425 and (y) a borrowing base calculated based on accounts receivable and inventories of the loan parties thereunder as set forth in the ABL Facility. The ABL Facility includes an uncommitted accordion feature that allows Xerox Corporation to increase the facility by a total of up to $250, subject to obtaining additional commitments from existing lenders or new lending institutions. The ABL Facility also includes a $100 letter of credit subfacility. Xerox Corporation's borrowings under the ABL Facility are supported by guarantees from Xerox Holdings Corporation and certain of Xerox Corporation's U.S., Canadian, German, Belgian and English subsidiaries, and by security interests in substantially all of the assets of Xerox Corporation, Xerox Holdings Corporation, and such U.S., Canadian and English subsidiaries (subject to certain exceptions and limitations set forth in the TLB Facility), and all finance lease receivables of such German and Belgian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 Xerox Corporation’s election, the loans under the amended ABL Facility will bear interest at either:</w:t>
      </w:r>
    </w:p>
    <w:p>
      <w:pPr>
        <w:spacing w:after="0" w:line="131" w:lineRule="exact"/>
        <w:rPr>
          <w:sz w:val="20"/>
          <w:szCs w:val="20"/>
          <w:color w:val="auto"/>
        </w:rPr>
      </w:pPr>
    </w:p>
    <w:p>
      <w:pPr>
        <w:jc w:val="both"/>
        <w:ind w:left="700" w:hanging="347"/>
        <w:spacing w:after="0" w:line="269" w:lineRule="auto"/>
        <w:tabs>
          <w:tab w:leader="none" w:pos="700"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a fluctuating rate per annum equal to the highest of (A) Citibank’s base rate, (B) a rate of 0.5% in excess of the “NYFRB” rate, and (C) a rate of 1.0% in excess of one-month Term SOFR, provided that such fluctuating rate shall not be less than 0.0%, in each case plus an applicable margin (the loans bearing interest at such fluctuating rate, ABR Loans); or</w:t>
      </w:r>
    </w:p>
    <w:p>
      <w:pPr>
        <w:spacing w:after="0" w:line="68" w:lineRule="exact"/>
        <w:rPr>
          <w:rFonts w:ascii="Arial" w:cs="Arial" w:eastAsia="Arial" w:hAnsi="Arial"/>
          <w:sz w:val="19"/>
          <w:szCs w:val="19"/>
          <w:b w:val="1"/>
          <w:bCs w:val="1"/>
          <w:color w:val="auto"/>
        </w:rPr>
      </w:pPr>
    </w:p>
    <w:p>
      <w:pPr>
        <w:jc w:val="both"/>
        <w:ind w:left="700" w:hanging="347"/>
        <w:spacing w:after="0" w:line="269" w:lineRule="auto"/>
        <w:tabs>
          <w:tab w:leader="none" w:pos="700"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the one-, three-, or six-month period or (as agreed to by the Agent and the Lenders) such other period, as selected by the Xerox Corporation, per annum Term SOFR (plus a 0.10% credit spread adjustment), provided that such rate shall not be less than 0.0%, plus an applicable margin (the loans bearing interest at such rate Term SOFR Loans).</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applicable margin for ABR loans ranges from 0.5% to 1.0% depending on the Company’s average daily excess availability. The applicable margin for Term SOFR loans from 1.5% to 2.0% depending on the Company’s average daily excess availability.</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amended ABL Facility requires the Company to comply with a fixed charge coverage ratio of 1x, as defined in the ABL Facility, measured as of the last day of each fiscal quarter during which excess availability is less than an amount equal to the greater of (A) $31.875 and (B) 10% of the Line Cap (the lesser of the aggregate amount of revolving commitments and the then-applicable borrowing base). Based on the excess availability at December 31, 2025, the fixed charge coverage ratio measurement was not applicable. The amended ABL Facility also contains negative covenants governing dividends, investments, debt, liens, and other matters customary for similar facilities.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As of March 16, 2026 and based on our January availability calculation, we have availability of $382 before letters of credit issued under the ABL Facility of approximately $93. There are no current borrowings outstanding. Accordingly, our net availability is approximately $289. As discussed above, certain debt covenants limit our total amount of secured debt outstanding. As of the date of our filing, our capacity under the ABL was not limited by any debt covenants. Our capacity to borrow under the ABL Facility may be adversely impacted by the terms of the ABL Facility and certain other agreements that govern our debt.</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If an event of default occurs under the amended ABL Facility, the entire principal amount outstanding, together with all accrued unpaid interest and other amounts owed in respect thereof, may be declared immediately due and payable, subject, in certain instances, to the expiration of applicable cure periods.</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In October 2025, Lexmark and certain of its domestic and foreign subsidiaries became guarantors under the ABL. Refer to the Debt section of Note 6 - Acquisitions and Divestitures, for additional information regarding the Lexmark Acquisition.</w:t>
      </w:r>
    </w:p>
    <w:p>
      <w:pPr>
        <w:spacing w:after="0" w:line="39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134</w:t>
      </w:r>
    </w:p>
    <w:p>
      <w:pPr>
        <w:sectPr>
          <w:pgSz w:w="11880" w:h="15480" w:orient="portrait"/>
          <w:cols w:equalWidth="0" w:num="1">
            <w:col w:w="9960"/>
          </w:cols>
          <w:pgMar w:left="960" w:top="736" w:right="960" w:bottom="0" w:gutter="0" w:footer="0" w:header="0"/>
        </w:sectPr>
      </w:pPr>
    </w:p>
    <w:bookmarkStart w:id="144" w:name="page145"/>
    <w:bookmarkEnd w:id="144"/>
    <w:p>
      <w:pPr>
        <w:spacing w:after="0"/>
        <w:rPr>
          <w:sz w:val="20"/>
          <w:szCs w:val="20"/>
          <w:color w:val="auto"/>
        </w:rPr>
      </w:pPr>
      <w:r>
        <w:rPr>
          <w:rFonts w:ascii="Arial" w:cs="Arial" w:eastAsia="Arial" w:hAnsi="Arial"/>
          <w:sz w:val="19"/>
          <w:szCs w:val="19"/>
          <w:b w:val="1"/>
          <w:bCs w:val="1"/>
          <w:color w:val="DA2031"/>
        </w:rPr>
        <w:t>Secured Promissory Notes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In connection with Xerox Corporation's acquisition of ITsavvy Acquisition Company, Inc. (ITsavvy), Xerox Corporation issued two, non-interest bearing, secured promissory notes (the 2025 ITsavvy Note and the 2026 ITsavvy Note, or the ITsavvy Notes). Each of the ITsavvy Notes had a principal amount of $110. The 2025 ITsavvy Note had a maturity date of October 8, 2025, and the 2026 ITsavvy Note had a maturity date of January 30, 2026. The 2025 ITsavvy Note has been paid in full in cash as of its maturity date. Refer to the Debt section of Note 6 - Acquisitions and Divestitures, for additional information regarding the ITsavvy and the ITsavvy Notes.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In October 2025, the U.S. Lexmark and certain of its domestic and foreign subsidiaries became guarantors under the TLB Facility. Refer to the Debt section of Note 6 - Acquisitions and Divestitures, for additional information regarding the Lexmark Acquisition.</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Capped Calls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In connection with the issuance of the 2030 3.75% Convertible Senior Notes in 2024 (the 2030 Convertible Notes), the Company entered into privately negotiated capped call transactions (the Capped Calls) with certain of the initial purchasers of the 2030 Convertible Notes or their respective affiliates (the option counterparties) at a cost of approximately $23. The Capped Calls cover, subject to anti-dilution adjustments, the number of shares of the Company's common stock initially underlying the 2030 Convertible Notes. By entering into the Capped Calls, we expect to reduce the potential dilution to the Company's common stock (or, in the event a conversion of the 2030 Convertible Notes is settled in cash, to reduce our cash payment obligation) in the event that at the time of conversion of the 2030 Convertible Notes the trading price of our common stock price exceeds the conversion price of the 2030 Convertible Notes.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initial cap price of the Capped Calls was approximately $28.34 per share, which represents a premium of 70% over the last reported sale price of our common stock of $16.67 on the NASDAQ Stock Exchange on March 6, 2024, and is subject to certain adjustments under the terms of the Capped Calls.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Under the terms of the Capped Call, a dividend payment below the Company’s $1.00 annual dividend at the time of the purchase of the Capped Call could result in an adjustment to the cap price. This adjustment is intended to preserve the original economics of the Capped Call and is permissible under ASC 815-40, and therefore, the Capped Call continues to meet the conditions for equity classification. The Capped Call cap price was reduced to $27.51 per share as a result of the reduction of our annual dividend from $1.00 to $.50 in the first quarter of 2025. In the second quarter of 2025, the annual dividend was reduced to $.10 per share. The current Capped Call cap price was reduced to $20.84 per share, which is the same as the conversion price of the 2030 Convertible Notes.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Xerox Holdings Corporation/Xerox Corporation Intercompany Loan</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March 2024, Xerox Holdings Corporation and Xerox Corporation entered into two intercompany loan agreements which mirror the terms of Xerox Holdings Corporation's 2029 and 2030 Senior Notes, including principal, interest rates, payment dates and debt issuance costs of approximately $15. As a result, Xerox Corporation recorded approximately $900 of related party debt. The proceeds of this new intercompany loan were used to partially pay down approximately $362 on the existing 2020 intercompany loan made by Xerox Holdings Corporation to Xerox Corporation.</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At December 31, 2025 and 2024, the balance of the Intercompany Loan reported in Xerox Corporation’s Consolidated Balance Sheet was $1,993 and $2,022, respectively, which is net of related debt issuance costs, and the intercompany interest payable was $36 and $31,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Secured Borrowings and Collateral</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In prior years, we had entered into secured loan agreements with various financial institutions where we sold finance receivables and rights to payments under our equipment on operating leases. In certain transactions, the sales were made to special purpose entities (SPEs), owned and controlled by Xerox, where the SPEs funded the purchase through amortizing secured loans from the financial institutions. The loans had variable interest rates and expected lives of approximately 2.5 years with half projected to be repaid within the first year based on collections of the underlying portfolio of receivables. For certain loans, we entered into interest rate hedge agreements to either fix or cap the interest rate over the life of the loan.</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sales of the receivables to the SPEs were structured as "true sales at law," and we received opinions to that effect from outside legal counsel. However, the transactions were accounted for as secured borrowings as we fully consolidated the SPEs in our financial statements. As a result, the assets of the SPEs were not available to satisfy any of our other obligations. Conversely, the credit holders of these SPEs did not have legal recourse to the Company’s general credit.</w:t>
      </w:r>
    </w:p>
    <w:p>
      <w:pPr>
        <w:spacing w:after="0" w:line="313"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135</w:t>
      </w:r>
    </w:p>
    <w:p>
      <w:pPr>
        <w:sectPr>
          <w:pgSz w:w="11880" w:h="15480" w:orient="portrait"/>
          <w:cols w:equalWidth="0" w:num="1">
            <w:col w:w="9960"/>
          </w:cols>
          <w:pgMar w:left="960" w:top="735" w:right="960" w:bottom="0" w:gutter="0" w:footer="0" w:header="0"/>
        </w:sectPr>
      </w:pPr>
    </w:p>
    <w:bookmarkStart w:id="145" w:name="page146"/>
    <w:bookmarkEnd w:id="145"/>
    <w:p>
      <w:pPr>
        <w:jc w:val="both"/>
        <w:spacing w:after="0" w:line="269" w:lineRule="auto"/>
        <w:rPr>
          <w:sz w:val="20"/>
          <w:szCs w:val="20"/>
          <w:color w:val="auto"/>
        </w:rPr>
      </w:pPr>
      <w:r>
        <w:rPr>
          <w:rFonts w:ascii="Arial" w:cs="Arial" w:eastAsia="Arial" w:hAnsi="Arial"/>
          <w:sz w:val="19"/>
          <w:szCs w:val="19"/>
          <w:b w:val="1"/>
          <w:bCs w:val="1"/>
          <w:color w:val="auto"/>
        </w:rPr>
        <w:t>At December 31, 2024, we had borrowings of $70, which were secured by finance receivables of $58. These borrowings had an interest rate of 4.62%, and were expected to mature in 2026. During the first quarter 2025, the outstanding balance of $70 was repaid. Accordingly, there are no borrowings secured by finance receivables that are outstanding as of December 31, 2025.</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Interest</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paid on our short-term and long-term debt amounted to $272, $214 and $201 for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2025, 2024 and 2023, respectively. Interest expense and interest income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6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Equipment financing interest</w:t>
            </w:r>
            <w:r>
              <w:rPr>
                <w:rFonts w:ascii="Arial" w:cs="Arial" w:eastAsia="Arial" w:hAnsi="Arial"/>
                <w:sz w:val="10"/>
                <w:szCs w:val="10"/>
                <w:b w:val="1"/>
                <w:bCs w:val="1"/>
                <w:color w:val="auto"/>
              </w:rPr>
              <w:t>(1)</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86</w:t>
            </w:r>
          </w:p>
        </w:tc>
        <w:tc>
          <w:tcPr>
            <w:tcW w:w="420" w:type="dxa"/>
            <w:vAlign w:val="bottom"/>
            <w:gridSpan w:val="2"/>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106</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130</w:t>
            </w:r>
          </w:p>
        </w:tc>
      </w:tr>
      <w:tr>
        <w:trPr>
          <w:trHeight w:val="222"/>
        </w:trPr>
        <w:tc>
          <w:tcPr>
            <w:tcW w:w="53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Non-financing interest expense</w:t>
            </w:r>
            <w:r>
              <w:rPr>
                <w:rFonts w:ascii="Arial" w:cs="Arial" w:eastAsia="Arial" w:hAnsi="Arial"/>
                <w:sz w:val="10"/>
                <w:szCs w:val="10"/>
                <w:b w:val="1"/>
                <w:bCs w:val="1"/>
                <w:color w:val="auto"/>
              </w:rPr>
              <w:t>(1)(2)</w:t>
            </w: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r>
      <w:tr>
        <w:trPr>
          <w:trHeight w:val="232"/>
        </w:trPr>
        <w:tc>
          <w:tcPr>
            <w:tcW w:w="53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Interest expense</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334</w:t>
            </w:r>
          </w:p>
        </w:tc>
        <w:tc>
          <w:tcPr>
            <w:tcW w:w="420" w:type="dxa"/>
            <w:vAlign w:val="bottom"/>
            <w:gridSpan w:val="2"/>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225</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198</w:t>
            </w:r>
          </w:p>
        </w:tc>
      </w:tr>
      <w:tr>
        <w:trPr>
          <w:trHeight w:val="204"/>
        </w:trPr>
        <w:tc>
          <w:tcPr>
            <w:tcW w:w="5360" w:type="dxa"/>
            <w:vAlign w:val="bottom"/>
            <w:tcBorders>
              <w:top w:val="single" w:sz="8" w:color="E5E5E5"/>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3"/>
        </w:trPr>
        <w:tc>
          <w:tcPr>
            <w:tcW w:w="53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Financing income</w:t>
            </w:r>
            <w:r>
              <w:rPr>
                <w:rFonts w:ascii="Arial" w:cs="Arial" w:eastAsia="Arial" w:hAnsi="Arial"/>
                <w:sz w:val="10"/>
                <w:szCs w:val="10"/>
                <w:b w:val="1"/>
                <w:bCs w:val="1"/>
                <w:color w:val="auto"/>
              </w:rPr>
              <w:t>(3)</w:t>
            </w:r>
          </w:p>
        </w:tc>
        <w:tc>
          <w:tcPr>
            <w:tcW w:w="1040" w:type="dxa"/>
            <w:vAlign w:val="bottom"/>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w:t>
            </w:r>
          </w:p>
        </w:tc>
        <w:tc>
          <w:tcPr>
            <w:tcW w:w="420" w:type="dxa"/>
            <w:vAlign w:val="bottom"/>
            <w:gridSpan w:val="2"/>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151</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191</w:t>
            </w:r>
          </w:p>
        </w:tc>
      </w:tr>
      <w:tr>
        <w:trPr>
          <w:trHeight w:val="222"/>
        </w:trPr>
        <w:tc>
          <w:tcPr>
            <w:tcW w:w="53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 interest income</w:t>
            </w:r>
            <w:r>
              <w:rPr>
                <w:rFonts w:ascii="Arial" w:cs="Arial" w:eastAsia="Arial" w:hAnsi="Arial"/>
                <w:sz w:val="10"/>
                <w:szCs w:val="10"/>
                <w:b w:val="1"/>
                <w:bCs w:val="1"/>
                <w:color w:val="auto"/>
              </w:rPr>
              <w:t>(3)</w:t>
            </w: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r>
      <w:tr>
        <w:trPr>
          <w:trHeight w:val="232"/>
        </w:trPr>
        <w:tc>
          <w:tcPr>
            <w:tcW w:w="53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Interest income</w:t>
            </w:r>
          </w:p>
        </w:tc>
        <w:tc>
          <w:tcPr>
            <w:tcW w:w="1040" w:type="dxa"/>
            <w:vAlign w:val="bottom"/>
            <w:tcBorders>
              <w:bottom w:val="single" w:sz="8" w:color="auto"/>
            </w:tcBorders>
            <w:shd w:val="clear" w:color="auto" w:fill="E5E5E5"/>
          </w:tcPr>
          <w:p>
            <w:pPr>
              <w:jc w:val="right"/>
              <w:ind w:right="822"/>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140</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-634365</wp:posOffset>
            </wp:positionV>
            <wp:extent cx="2945130"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2945130" cy="5016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-42545</wp:posOffset>
            </wp:positionV>
            <wp:extent cx="2945130" cy="50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2945130"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12"/>
        <w:spacing w:after="0" w:line="242" w:lineRule="auto"/>
        <w:tabs>
          <w:tab w:leader="none" w:pos="360" w:val="left"/>
        </w:tabs>
        <w:numPr>
          <w:ilvl w:val="0"/>
          <w:numId w:val="1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Equipment financing interest, which is included in Cost of services, maintenance, rentals and other, and non-financing interest expense, which is included in Other expenses, net, in the Consolidated Statements of (Loss) Income.</w:t>
      </w:r>
    </w:p>
    <w:p>
      <w:pPr>
        <w:spacing w:after="0" w:line="1" w:lineRule="exact"/>
        <w:rPr>
          <w:rFonts w:ascii="Arial" w:cs="Arial" w:eastAsia="Arial" w:hAnsi="Arial"/>
          <w:sz w:val="16"/>
          <w:szCs w:val="16"/>
          <w:b w:val="1"/>
          <w:bCs w:val="1"/>
          <w:i w:val="1"/>
          <w:iCs w:val="1"/>
          <w:color w:val="auto"/>
        </w:rPr>
      </w:pPr>
    </w:p>
    <w:p>
      <w:pPr>
        <w:ind w:left="360" w:hanging="312"/>
        <w:spacing w:after="0" w:line="277" w:lineRule="auto"/>
        <w:tabs>
          <w:tab w:leader="none" w:pos="360" w:val="left"/>
        </w:tabs>
        <w:numPr>
          <w:ilvl w:val="0"/>
          <w:numId w:val="12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Interest expense of Xerox Corporation included intercompany expense associated with the Xerox Holdings Corporation/Xerox Corporation Intercompany Loan of $136, $111 and $80 for the three years ended December 31, 2025, 2024 and 2023, respectively.</w:t>
      </w:r>
    </w:p>
    <w:p>
      <w:pPr>
        <w:ind w:left="360" w:hanging="312"/>
        <w:spacing w:after="0" w:line="270" w:lineRule="auto"/>
        <w:tabs>
          <w:tab w:leader="none" w:pos="360" w:val="left"/>
        </w:tabs>
        <w:numPr>
          <w:ilvl w:val="0"/>
          <w:numId w:val="1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Financing income, which is included in Services, maintenance, rentals and other, and other interest income, which is included in Other expenses, net, in the Consolidated Statements of (Loss) Income.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Equipment financing interest is determined based on an estimated cost of funds, applied against the estimated level of debt required to support our net finance receivables. The estimated cost of funds is based on the interest cost associated with actual borrowings determined to be in support of the leasing business. The estimated level of debt continues to be based on an assumed 7 to 1 leverage ratio of debt/equity as compared to our average finance receivable balance during the applicable period.</w:t>
      </w:r>
    </w:p>
    <w:p>
      <w:pPr>
        <w:spacing w:after="0" w:line="38"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 16 – Financial Instruments</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are exposed to market risk from changes in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These derivative financial instruments are utilized to hedge economic exposures, as well as to reduce earnings and cash flow volatility resulting from shifts in market rates. We enter into limited types of derivative contracts, including interest rate swap agreements, interest rate caps, foreign currency spot, forward and swap contracts and net purchased foreign currency options to manage interest rate and foreign currency exposures. Our primary foreign currency market exposures include the Euro, U.K. Pound Sterling, Japanese Yen, Philippine Peso, Mexican Peso, and Chinese Yuan .The fair market values of all our derivative contracts change with fluctuations in interest rates and/or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of our derivative activities are reflected as cash flows from operating activities.</w:t>
      </w:r>
    </w:p>
    <w:p>
      <w:pPr>
        <w:spacing w:after="0" w:line="5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We do not believe there is significant risk of loss in the event of non-performance by the counterparties associated with our derivative instruments because these transactions are executed with a diversified group of major financial institutions. Further, our policy is to deal only with counterparties having a minimum investment grade or better credit rating. Credit risk is managed through the continuous monitoring of exposures to such counterparties.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Interest Rate Risk Management</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 xml:space="preserve">We use interest rate swap and interest rate cap agreements to manage our interest rate exposure and to achieve a desired proportion of variable and fixed rate debt. These derivatives may be designated as </w:t>
      </w:r>
      <w:r>
        <w:rPr>
          <w:rFonts w:ascii="Arial" w:cs="Arial" w:eastAsia="Arial" w:hAnsi="Arial"/>
          <w:sz w:val="19"/>
          <w:szCs w:val="19"/>
          <w:b w:val="1"/>
          <w:bCs w:val="1"/>
          <w:i w:val="1"/>
          <w:iCs w:val="1"/>
          <w:color w:val="DA2031"/>
        </w:rPr>
        <w:t>fair value hedges</w:t>
      </w:r>
      <w:r>
        <w:rPr>
          <w:rFonts w:ascii="Arial" w:cs="Arial" w:eastAsia="Arial" w:hAnsi="Arial"/>
          <w:sz w:val="19"/>
          <w:szCs w:val="19"/>
          <w:b w:val="1"/>
          <w:bCs w:val="1"/>
          <w:color w:val="auto"/>
        </w:rPr>
        <w:t xml:space="preserve"> or </w:t>
      </w:r>
      <w:r>
        <w:rPr>
          <w:rFonts w:ascii="Arial" w:cs="Arial" w:eastAsia="Arial" w:hAnsi="Arial"/>
          <w:sz w:val="19"/>
          <w:szCs w:val="19"/>
          <w:b w:val="1"/>
          <w:bCs w:val="1"/>
          <w:i w:val="1"/>
          <w:iCs w:val="1"/>
          <w:color w:val="DA2031"/>
        </w:rPr>
        <w:t xml:space="preserve">cash flow hedges </w:t>
      </w:r>
      <w:r>
        <w:rPr>
          <w:rFonts w:ascii="Arial" w:cs="Arial" w:eastAsia="Arial" w:hAnsi="Arial"/>
          <w:sz w:val="19"/>
          <w:szCs w:val="19"/>
          <w:b w:val="1"/>
          <w:bCs w:val="1"/>
          <w:i w:val="1"/>
          <w:iCs w:val="1"/>
          <w:color w:val="000000"/>
        </w:rPr>
        <w:t>or non-designated hedges</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depending on the nature of the risk being hedged. We had no fair</w:t>
      </w:r>
      <w:r>
        <w:rPr>
          <w:rFonts w:ascii="Arial" w:cs="Arial" w:eastAsia="Arial" w:hAnsi="Arial"/>
          <w:sz w:val="19"/>
          <w:szCs w:val="19"/>
          <w:b w:val="1"/>
          <w:bCs w:val="1"/>
          <w:i w:val="1"/>
          <w:iCs w:val="1"/>
          <w:color w:val="DA2031"/>
        </w:rPr>
        <w:t xml:space="preserve"> </w:t>
      </w:r>
      <w:r>
        <w:rPr>
          <w:rFonts w:ascii="Arial" w:cs="Arial" w:eastAsia="Arial" w:hAnsi="Arial"/>
          <w:sz w:val="19"/>
          <w:szCs w:val="19"/>
          <w:b w:val="1"/>
          <w:bCs w:val="1"/>
          <w:color w:val="000000"/>
        </w:rPr>
        <w:t>value hedges for the three-year period ended December 31, 2025, 2024, and 2023,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Cash Flow Hedges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use interest rate swaps and caps to manage the exposure to variability in the interest rate payments on our finance receivable secured loan borrowings. The interest rate swaps convert the interest paid on certain loans to a fixed amount while the caps limit the maximum amount of interest paid.</w:t>
      </w:r>
    </w:p>
    <w:p>
      <w:pPr>
        <w:spacing w:after="0" w:line="25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136</w:t>
      </w:r>
    </w:p>
    <w:p>
      <w:pPr>
        <w:sectPr>
          <w:pgSz w:w="11880" w:h="15480" w:orient="portrait"/>
          <w:cols w:equalWidth="0" w:num="1">
            <w:col w:w="9960"/>
          </w:cols>
          <w:pgMar w:left="960" w:top="736" w:right="960" w:bottom="0" w:gutter="0" w:footer="0" w:header="0"/>
        </w:sectPr>
      </w:pPr>
    </w:p>
    <w:bookmarkStart w:id="146" w:name="page147"/>
    <w:bookmarkEnd w:id="146"/>
    <w:p>
      <w:pPr>
        <w:jc w:val="both"/>
        <w:spacing w:after="0" w:line="276" w:lineRule="auto"/>
        <w:rPr>
          <w:sz w:val="20"/>
          <w:szCs w:val="20"/>
          <w:color w:val="auto"/>
        </w:rPr>
      </w:pPr>
      <w:r>
        <w:rPr>
          <w:rFonts w:ascii="Arial" w:cs="Arial" w:eastAsia="Arial" w:hAnsi="Arial"/>
          <w:sz w:val="19"/>
          <w:szCs w:val="19"/>
          <w:b w:val="1"/>
          <w:bCs w:val="1"/>
          <w:color w:val="auto"/>
        </w:rPr>
        <w:t>During 2024, certain derivatives were de-designated as cash flow hedges. The net fair value of these cash flow hedges, which was not material, was recorded in Accumulated Other Comprehensive Loss and then reclassified to earnings.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In 2024, we entered into two floating-to-fixed interest rate swaps to hedge against interest rate volatility associated with any of our floating rate debt which was primarily under our Term Loan B Credit Agreement (TLB). During the third quarter 2025, the Company voluntarily de-designated certain interest rate swaps with a notional value of $300, which were previously accounted for as cash flow hedges of variable-rate debt. The de-designation was made because the Company may, from time to time, prepay portions of the underlying debt, resulting in forecasted interest payments that are no longer considered highly probable. Following the de-designation, the swaps continue to be carried at fair value on the balance sheet. Changes in fair value are recognized in earnings in interest expense were not material during 2025. Amounts previously recorded in accumulated other comprehensive loss related to the hedged cash flows was immaterial and was reclassified to earnings during the third quarter 2025. During the fourth quarter 2025, a $125 interest rate swap was terminated. Accordingly, the notional value of the remaining swap at December 31, 2025 was $175.</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Foreign Exchange Risk Management</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We are a global company, and we are exposed to foreign currency exchange rate fluctuations in the normal course of our business. As a part of our foreign exchange risk management strategy, we use derivative instruments, primarily forward contracts and purchased option contracts, to hedge the following foreign currency exposures, thereby reducing volatility of earnings or protecting fair values of assets and liabilities:</w:t>
      </w:r>
    </w:p>
    <w:p>
      <w:pPr>
        <w:spacing w:after="0" w:line="10" w:lineRule="exact"/>
        <w:rPr>
          <w:sz w:val="20"/>
          <w:szCs w:val="20"/>
          <w:color w:val="auto"/>
        </w:rPr>
      </w:pPr>
    </w:p>
    <w:p>
      <w:pPr>
        <w:ind w:left="360" w:hanging="356"/>
        <w:spacing w:after="0"/>
        <w:tabs>
          <w:tab w:leader="none" w:pos="360" w:val="left"/>
        </w:tabs>
        <w:numPr>
          <w:ilvl w:val="0"/>
          <w:numId w:val="126"/>
        </w:numPr>
        <w:rPr>
          <w:rFonts w:ascii="Arial" w:cs="Arial" w:eastAsia="Arial" w:hAnsi="Arial"/>
          <w:sz w:val="19"/>
          <w:szCs w:val="19"/>
          <w:b w:val="1"/>
          <w:bCs w:val="1"/>
          <w:color w:val="DA2031"/>
        </w:rPr>
      </w:pPr>
      <w:r>
        <w:rPr>
          <w:rFonts w:ascii="Arial" w:cs="Arial" w:eastAsia="Arial" w:hAnsi="Arial"/>
          <w:sz w:val="19"/>
          <w:szCs w:val="19"/>
          <w:b w:val="1"/>
          <w:bCs w:val="1"/>
          <w:color w:val="auto"/>
        </w:rPr>
        <w:t>Foreign currency-denominated assets and liabilities, and</w:t>
      </w:r>
    </w:p>
    <w:p>
      <w:pPr>
        <w:spacing w:after="0" w:line="14" w:lineRule="exact"/>
        <w:rPr>
          <w:rFonts w:ascii="Arial" w:cs="Arial" w:eastAsia="Arial" w:hAnsi="Arial"/>
          <w:sz w:val="19"/>
          <w:szCs w:val="19"/>
          <w:b w:val="1"/>
          <w:bCs w:val="1"/>
          <w:color w:val="DA2031"/>
        </w:rPr>
      </w:pPr>
    </w:p>
    <w:p>
      <w:pPr>
        <w:ind w:left="360" w:hanging="356"/>
        <w:spacing w:after="0"/>
        <w:tabs>
          <w:tab w:leader="none" w:pos="360" w:val="left"/>
        </w:tabs>
        <w:numPr>
          <w:ilvl w:val="0"/>
          <w:numId w:val="126"/>
        </w:numPr>
        <w:rPr>
          <w:rFonts w:ascii="Arial" w:cs="Arial" w:eastAsia="Arial" w:hAnsi="Arial"/>
          <w:sz w:val="19"/>
          <w:szCs w:val="19"/>
          <w:b w:val="1"/>
          <w:bCs w:val="1"/>
          <w:color w:val="DA2031"/>
        </w:rPr>
      </w:pPr>
      <w:r>
        <w:rPr>
          <w:rFonts w:ascii="Arial" w:cs="Arial" w:eastAsia="Arial" w:hAnsi="Arial"/>
          <w:sz w:val="19"/>
          <w:szCs w:val="19"/>
          <w:b w:val="1"/>
          <w:bCs w:val="1"/>
          <w:color w:val="auto"/>
        </w:rPr>
        <w:t>Forecasted purchases, and sales in foreign currency.</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At December 31, 2025, we had outstanding forward exchange and purchased option contracts with terms of less than 12 months. At December 31, 2025, approximately 97% of these contracts mature within three months, 1% in three to six months and 2% in six to twelve months.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There have not been any other material changes in our hedging strategy during 2025.</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following is a summary of the primary hedging positions and corresponding fair values as of December 31,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1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Currencies Hedged (Buy/Sell)</w:t>
            </w:r>
          </w:p>
        </w:tc>
        <w:tc>
          <w:tcPr>
            <w:tcW w:w="180" w:type="dxa"/>
            <w:vAlign w:val="bottom"/>
          </w:tcPr>
          <w:p>
            <w:pPr>
              <w:spacing w:after="0"/>
              <w:rPr>
                <w:sz w:val="14"/>
                <w:szCs w:val="14"/>
                <w:color w:val="auto"/>
              </w:rPr>
            </w:pPr>
          </w:p>
        </w:tc>
        <w:tc>
          <w:tcPr>
            <w:tcW w:w="1320" w:type="dxa"/>
            <w:vAlign w:val="bottom"/>
          </w:tcPr>
          <w:p>
            <w:pPr>
              <w:jc w:val="right"/>
              <w:ind w:right="162"/>
              <w:spacing w:after="0" w:line="166" w:lineRule="exact"/>
              <w:rPr>
                <w:sz w:val="20"/>
                <w:szCs w:val="20"/>
                <w:color w:val="auto"/>
              </w:rPr>
            </w:pPr>
            <w:r>
              <w:rPr>
                <w:rFonts w:ascii="Arial" w:cs="Arial" w:eastAsia="Arial" w:hAnsi="Arial"/>
                <w:sz w:val="16"/>
                <w:szCs w:val="16"/>
                <w:b w:val="1"/>
                <w:bCs w:val="1"/>
                <w:color w:val="auto"/>
                <w:w w:val="92"/>
              </w:rPr>
              <w:t>Gross Notional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322"/>
              <w:spacing w:after="0" w:line="166" w:lineRule="exact"/>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162"/>
              <w:spacing w:after="0" w:line="166" w:lineRule="exact"/>
              <w:rPr>
                <w:sz w:val="20"/>
                <w:szCs w:val="20"/>
                <w:color w:val="auto"/>
              </w:rPr>
            </w:pPr>
            <w:r>
              <w:rPr>
                <w:rFonts w:ascii="Arial" w:cs="Arial" w:eastAsia="Arial" w:hAnsi="Arial"/>
                <w:sz w:val="16"/>
                <w:szCs w:val="16"/>
                <w:b w:val="1"/>
                <w:bCs w:val="1"/>
                <w:color w:val="auto"/>
                <w:w w:val="92"/>
              </w:rPr>
              <w:t>Gross Notional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322"/>
              <w:spacing w:after="0" w:line="166"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8"/>
        </w:trPr>
        <w:tc>
          <w:tcPr>
            <w:tcW w:w="3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2"/>
              <w:spacing w:after="0" w:line="168" w:lineRule="exact"/>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line="168" w:lineRule="exact"/>
              <w:rPr>
                <w:sz w:val="20"/>
                <w:szCs w:val="20"/>
                <w:color w:val="auto"/>
              </w:rPr>
            </w:pPr>
            <w:r>
              <w:rPr>
                <w:rFonts w:ascii="Arial" w:cs="Arial" w:eastAsia="Arial" w:hAnsi="Arial"/>
                <w:sz w:val="16"/>
                <w:szCs w:val="16"/>
                <w:b w:val="1"/>
                <w:bCs w:val="1"/>
                <w:color w:val="auto"/>
                <w:w w:val="88"/>
              </w:rPr>
              <w:t>Asset (Liability)</w:t>
            </w:r>
            <w:r>
              <w:rPr>
                <w:rFonts w:ascii="Arial" w:cs="Arial" w:eastAsia="Arial" w:hAnsi="Arial"/>
                <w:sz w:val="10"/>
                <w:szCs w:val="10"/>
                <w:b w:val="1"/>
                <w:bCs w:val="1"/>
                <w:color w:val="auto"/>
                <w:w w:val="88"/>
              </w:rPr>
              <w:t>(1)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482"/>
              <w:spacing w:after="0" w:line="168" w:lineRule="exact"/>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line="168" w:lineRule="exact"/>
              <w:rPr>
                <w:sz w:val="20"/>
                <w:szCs w:val="20"/>
                <w:color w:val="auto"/>
              </w:rPr>
            </w:pPr>
            <w:r>
              <w:rPr>
                <w:rFonts w:ascii="Arial" w:cs="Arial" w:eastAsia="Arial" w:hAnsi="Arial"/>
                <w:sz w:val="16"/>
                <w:szCs w:val="16"/>
                <w:b w:val="1"/>
                <w:bCs w:val="1"/>
                <w:color w:val="auto"/>
                <w:w w:val="88"/>
              </w:rPr>
              <w:t>Asset (Liability)</w:t>
            </w:r>
            <w:r>
              <w:rPr>
                <w:rFonts w:ascii="Arial" w:cs="Arial" w:eastAsia="Arial" w:hAnsi="Arial"/>
                <w:sz w:val="10"/>
                <w:szCs w:val="10"/>
                <w:b w:val="1"/>
                <w:bCs w:val="1"/>
                <w:color w:val="auto"/>
                <w:w w:val="88"/>
              </w:rPr>
              <w:t>(1)</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2040" w:type="dxa"/>
            <w:vAlign w:val="bottom"/>
            <w:tcBorders>
              <w:top w:val="single" w:sz="8" w:color="auto"/>
              <w:bottom w:val="single" w:sz="8" w:color="E5E5E5"/>
            </w:tcBorders>
          </w:tcPr>
          <w:p>
            <w:pPr>
              <w:spacing w:after="0" w:line="20" w:lineRule="exact"/>
              <w:rPr>
                <w:sz w:val="1"/>
                <w:szCs w:val="1"/>
                <w:color w:val="auto"/>
              </w:rPr>
            </w:pPr>
          </w:p>
        </w:tc>
        <w:tc>
          <w:tcPr>
            <w:tcW w:w="168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shd w:val="clear" w:color="auto" w:fill="E5E5E5"/>
          </w:tcPr>
          <w:p>
            <w:pPr>
              <w:spacing w:after="0"/>
              <w:rPr>
                <w:sz w:val="19"/>
                <w:szCs w:val="19"/>
                <w:color w:val="auto"/>
              </w:rPr>
            </w:pPr>
          </w:p>
        </w:tc>
        <w:tc>
          <w:tcPr>
            <w:tcW w:w="37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Euro/U.S. Dollar</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1,195</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212</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U.S. Dollar/Euro</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289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Euro/U.K Pound Sterling</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134</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337</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Chinese Yuan/U.S. Dollar</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134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Mexican Peso/U.S. Dollar</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121</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Philippine Peso/U.S Dollar</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115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Japanese Yen/U.S. Dollar</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U.K Pound Sterling/U.S. Dollar</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Swiss Franc/U.S. Dollar</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U.S Dollar/Canadian Dollar</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Hong Kong Dollar/ U.S. Dollar</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Swiss Franc /Euro</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Japanese Yen/Euro</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24</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780" w:type="dxa"/>
            <w:vAlign w:val="bottom"/>
            <w:gridSpan w:val="3"/>
          </w:tcPr>
          <w:p>
            <w:pPr>
              <w:ind w:left="60"/>
              <w:spacing w:after="0"/>
              <w:rPr>
                <w:sz w:val="20"/>
                <w:szCs w:val="20"/>
                <w:color w:val="auto"/>
              </w:rPr>
            </w:pPr>
            <w:r>
              <w:rPr>
                <w:rFonts w:ascii="Arial" w:cs="Arial" w:eastAsia="Arial" w:hAnsi="Arial"/>
                <w:sz w:val="16"/>
                <w:szCs w:val="16"/>
                <w:b w:val="1"/>
                <w:bCs w:val="1"/>
                <w:color w:val="auto"/>
              </w:rPr>
              <w:t>U.K. Pound Sterling/Euro</w:t>
            </w:r>
          </w:p>
        </w:tc>
        <w:tc>
          <w:tcPr>
            <w:tcW w:w="18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7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Canadian Dollar/Euro</w:t>
            </w: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3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2"/>
        </w:trPr>
        <w:tc>
          <w:tcPr>
            <w:tcW w:w="3780" w:type="dxa"/>
            <w:vAlign w:val="bottom"/>
            <w:tcBorders>
              <w:bottom w:val="single" w:sz="8" w:color="E5E5E5"/>
            </w:tcBorders>
            <w:gridSpan w:val="3"/>
          </w:tcPr>
          <w:p>
            <w:pPr>
              <w:ind w:left="6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247</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3780" w:type="dxa"/>
            <w:vAlign w:val="bottom"/>
            <w:tcBorders>
              <w:bottom w:val="single" w:sz="8" w:color="E5E5E5"/>
            </w:tcBorders>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Total Foreign exchange hedging</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2,656</w:t>
            </w:r>
          </w:p>
        </w:tc>
        <w:tc>
          <w:tcPr>
            <w:tcW w:w="6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1,410</w:t>
            </w:r>
          </w:p>
        </w:tc>
        <w:tc>
          <w:tcPr>
            <w:tcW w:w="6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-55880</wp:posOffset>
            </wp:positionV>
            <wp:extent cx="3977640" cy="755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397764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the net receivable (payable) amount included in the Consolidated Balance Sheet at December 31, 2025 and 2024.</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change in the gross notional value of our hedging positions since December 31, 2024 resulted from the acquisition of Lexmark.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137</w:t>
      </w:r>
    </w:p>
    <w:p>
      <w:pPr>
        <w:sectPr>
          <w:pgSz w:w="11880" w:h="15480" w:orient="portrait"/>
          <w:cols w:equalWidth="0" w:num="1">
            <w:col w:w="9960"/>
          </w:cols>
          <w:pgMar w:left="960" w:top="736" w:right="960" w:bottom="0" w:gutter="0" w:footer="0" w:header="0"/>
        </w:sectPr>
      </w:pPr>
    </w:p>
    <w:bookmarkStart w:id="147" w:name="page148"/>
    <w:bookmarkEnd w:id="147"/>
    <w:p>
      <w:pPr>
        <w:spacing w:after="0"/>
        <w:rPr>
          <w:sz w:val="20"/>
          <w:szCs w:val="20"/>
          <w:color w:val="auto"/>
        </w:rPr>
      </w:pPr>
      <w:r>
        <w:rPr>
          <w:rFonts w:ascii="Arial" w:cs="Arial" w:eastAsia="Arial" w:hAnsi="Arial"/>
          <w:sz w:val="19"/>
          <w:szCs w:val="19"/>
          <w:b w:val="1"/>
          <w:bCs w:val="1"/>
          <w:i w:val="1"/>
          <w:iCs w:val="1"/>
          <w:color w:val="DA2031"/>
        </w:rPr>
        <w:t>Foreign Currency Cash Flow Hedges</w:t>
      </w:r>
    </w:p>
    <w:p>
      <w:pPr>
        <w:spacing w:after="0" w:line="110" w:lineRule="exact"/>
        <w:rPr>
          <w:sz w:val="20"/>
          <w:szCs w:val="20"/>
          <w:color w:val="auto"/>
        </w:rPr>
      </w:pPr>
    </w:p>
    <w:p>
      <w:pPr>
        <w:jc w:val="both"/>
        <w:ind w:right="60"/>
        <w:spacing w:after="0" w:line="284" w:lineRule="auto"/>
        <w:rPr>
          <w:sz w:val="20"/>
          <w:szCs w:val="20"/>
          <w:color w:val="auto"/>
        </w:rPr>
      </w:pPr>
      <w:r>
        <w:rPr>
          <w:rFonts w:ascii="Arial" w:cs="Arial" w:eastAsia="Arial" w:hAnsi="Arial"/>
          <w:sz w:val="18"/>
          <w:szCs w:val="18"/>
          <w:b w:val="1"/>
          <w:bCs w:val="1"/>
          <w:color w:val="auto"/>
        </w:rPr>
        <w:t>We designate a portion of our foreign currency derivative contracts as cash flow hedges of our foreign currency-denominated inventory purchases. All components of each derivative’s gain or loss were included in the assessment of hedge effectiveness. The amount of ineffectiveness recorded in the Consolidated Statements of (Loss) Income for these designated cash flow hedges was not material for the three years ended December 31, 2025. The net liability fair value of these contracts was $4 and $1 as of December 31, 2025 and 2024,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Summary of Derivative Instruments Gains (Losses)</w:t>
      </w:r>
    </w:p>
    <w:p>
      <w:pPr>
        <w:spacing w:after="0" w:line="118" w:lineRule="exact"/>
        <w:rPr>
          <w:sz w:val="20"/>
          <w:szCs w:val="20"/>
          <w:color w:val="auto"/>
        </w:rPr>
      </w:pPr>
    </w:p>
    <w:p>
      <w:pPr>
        <w:jc w:val="both"/>
        <w:ind w:right="60"/>
        <w:spacing w:after="0" w:line="298" w:lineRule="auto"/>
        <w:rPr>
          <w:sz w:val="20"/>
          <w:szCs w:val="20"/>
          <w:color w:val="auto"/>
        </w:rPr>
      </w:pPr>
      <w:r>
        <w:rPr>
          <w:rFonts w:ascii="Arial" w:cs="Arial" w:eastAsia="Arial" w:hAnsi="Arial"/>
          <w:sz w:val="19"/>
          <w:szCs w:val="19"/>
          <w:b w:val="1"/>
          <w:bCs w:val="1"/>
          <w:color w:val="auto"/>
        </w:rPr>
        <w:t>Derivative gains and (losses) affect the income statement based on whether such derivatives are designated as hedges of underlying exposures. The following is a summary of derivative gains and (losses).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Designated Derivative Instruments Gains (Losses)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provide a summary of gains (losses) on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40" w:type="dxa"/>
            <w:vAlign w:val="bottom"/>
            <w:gridSpan w:val="9"/>
          </w:tcPr>
          <w:p>
            <w:pPr>
              <w:jc w:val="center"/>
              <w:ind w:right="40"/>
              <w:spacing w:after="0"/>
              <w:rPr>
                <w:sz w:val="20"/>
                <w:szCs w:val="20"/>
                <w:color w:val="auto"/>
              </w:rPr>
            </w:pPr>
            <w:r>
              <w:rPr>
                <w:rFonts w:ascii="Arial" w:cs="Arial" w:eastAsia="Arial" w:hAnsi="Arial"/>
                <w:sz w:val="16"/>
                <w:szCs w:val="16"/>
                <w:b w:val="1"/>
                <w:bCs w:val="1"/>
                <w:color w:val="auto"/>
                <w:w w:val="90"/>
              </w:rPr>
              <w:t>Derivative (Loss) Gain Recognized in</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(Loss) Gain Reclassified from AOCL to</w:t>
            </w: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center"/>
              <w:ind w:left="342"/>
              <w:spacing w:after="0"/>
              <w:rPr>
                <w:sz w:val="20"/>
                <w:szCs w:val="20"/>
                <w:color w:val="auto"/>
              </w:rPr>
            </w:pPr>
            <w:r>
              <w:rPr>
                <w:rFonts w:ascii="Arial" w:cs="Arial" w:eastAsia="Arial" w:hAnsi="Arial"/>
                <w:sz w:val="16"/>
                <w:szCs w:val="16"/>
                <w:b w:val="1"/>
                <w:bCs w:val="1"/>
                <w:color w:val="auto"/>
                <w:w w:val="90"/>
              </w:rPr>
              <w:t>OCI (Effective Portion)</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Location of Derivative</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7"/>
          </w:tcPr>
          <w:p>
            <w:pPr>
              <w:jc w:val="center"/>
              <w:ind w:right="142"/>
              <w:spacing w:after="0"/>
              <w:rPr>
                <w:sz w:val="20"/>
                <w:szCs w:val="20"/>
                <w:color w:val="auto"/>
              </w:rPr>
            </w:pPr>
            <w:r>
              <w:rPr>
                <w:rFonts w:ascii="Arial" w:cs="Arial" w:eastAsia="Arial" w:hAnsi="Arial"/>
                <w:sz w:val="16"/>
                <w:szCs w:val="16"/>
                <w:b w:val="1"/>
                <w:bCs w:val="1"/>
                <w:color w:val="auto"/>
                <w:w w:val="89"/>
              </w:rPr>
              <w:t>Income (Effective Portion)</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8"/>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Year Ended December 31,</w:t>
            </w:r>
          </w:p>
        </w:tc>
        <w:tc>
          <w:tcPr>
            <w:tcW w:w="2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7"/>
          </w:tcPr>
          <w:p>
            <w:pPr>
              <w:jc w:val="center"/>
              <w:ind w:right="142"/>
              <w:spacing w:after="0" w:line="176" w:lineRule="exact"/>
              <w:rPr>
                <w:sz w:val="20"/>
                <w:szCs w:val="20"/>
                <w:color w:val="auto"/>
              </w:rPr>
            </w:pPr>
            <w:r>
              <w:rPr>
                <w:rFonts w:ascii="Arial" w:cs="Arial" w:eastAsia="Arial" w:hAnsi="Arial"/>
                <w:sz w:val="16"/>
                <w:szCs w:val="16"/>
                <w:b w:val="1"/>
                <w:bCs w:val="1"/>
                <w:color w:val="auto"/>
                <w:w w:val="92"/>
              </w:rPr>
              <w:t>Year Ended December 31,</w:t>
            </w:r>
          </w:p>
        </w:tc>
        <w:tc>
          <w:tcPr>
            <w:tcW w:w="0" w:type="dxa"/>
            <w:vAlign w:val="bottom"/>
          </w:tcPr>
          <w:p>
            <w:pPr>
              <w:spacing w:after="0"/>
              <w:rPr>
                <w:sz w:val="1"/>
                <w:szCs w:val="1"/>
                <w:color w:val="auto"/>
              </w:rPr>
            </w:pPr>
          </w:p>
        </w:tc>
      </w:tr>
      <w:tr>
        <w:trPr>
          <w:trHeight w:val="52"/>
        </w:trPr>
        <w:tc>
          <w:tcPr>
            <w:tcW w:w="2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Derivatives in Cash Flow</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40" w:type="dxa"/>
            <w:vAlign w:val="bottom"/>
            <w:vMerge w:val="restart"/>
          </w:tcPr>
          <w:p>
            <w:pPr>
              <w:jc w:val="center"/>
              <w:spacing w:after="0" w:line="112" w:lineRule="exact"/>
              <w:rPr>
                <w:sz w:val="20"/>
                <w:szCs w:val="20"/>
                <w:color w:val="auto"/>
              </w:rPr>
            </w:pPr>
            <w:r>
              <w:rPr>
                <w:rFonts w:ascii="Arial" w:cs="Arial" w:eastAsia="Arial" w:hAnsi="Arial"/>
                <w:sz w:val="12"/>
                <w:szCs w:val="12"/>
                <w:b w:val="1"/>
                <w:bCs w:val="1"/>
                <w:color w:val="auto"/>
              </w:rPr>
              <w:t>(Loss) Gain Reclassified</w:t>
            </w: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2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95"/>
              </w:rPr>
              <w:t>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13"/>
                <w:szCs w:val="13"/>
                <w:color w:val="auto"/>
              </w:rPr>
            </w:pPr>
          </w:p>
        </w:tc>
        <w:tc>
          <w:tcPr>
            <w:tcW w:w="20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from AOCL into Income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center"/>
              <w:ind w:right="14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7"/>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Hedging Relationships</w:t>
            </w:r>
          </w:p>
        </w:tc>
        <w:tc>
          <w:tcPr>
            <w:tcW w:w="6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(Effective Portion)</w:t>
            </w:r>
          </w:p>
        </w:tc>
        <w:tc>
          <w:tcPr>
            <w:tcW w:w="8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80" w:type="dxa"/>
            <w:vAlign w:val="bottom"/>
            <w:gridSpan w:val="2"/>
            <w:shd w:val="clear" w:color="auto" w:fill="E5E5E5"/>
          </w:tcPr>
          <w:p>
            <w:pPr>
              <w:ind w:left="60"/>
              <w:spacing w:after="0" w:line="176" w:lineRule="exact"/>
              <w:rPr>
                <w:sz w:val="20"/>
                <w:szCs w:val="20"/>
                <w:color w:val="auto"/>
              </w:rPr>
            </w:pPr>
            <w:r>
              <w:rPr>
                <w:rFonts w:ascii="Arial" w:cs="Arial" w:eastAsia="Arial" w:hAnsi="Arial"/>
                <w:sz w:val="16"/>
                <w:szCs w:val="16"/>
                <w:b w:val="1"/>
                <w:bCs w:val="1"/>
                <w:color w:val="auto"/>
                <w:w w:val="97"/>
              </w:rPr>
              <w:t>Foreign exchange contracts –</w:t>
            </w: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gridSpan w:val="2"/>
            <w:vMerge w:val="restart"/>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60" w:type="dxa"/>
            <w:vAlign w:val="bottom"/>
            <w:shd w:val="clear" w:color="auto" w:fill="E5E5E5"/>
          </w:tcPr>
          <w:p>
            <w:pPr>
              <w:spacing w:after="0"/>
              <w:rPr>
                <w:sz w:val="15"/>
                <w:szCs w:val="15"/>
                <w:color w:val="auto"/>
              </w:rPr>
            </w:pPr>
          </w:p>
        </w:tc>
        <w:tc>
          <w:tcPr>
            <w:tcW w:w="2040" w:type="dxa"/>
            <w:vAlign w:val="bottom"/>
            <w:vMerge w:val="restart"/>
            <w:shd w:val="clear" w:color="auto" w:fill="E5E5E5"/>
          </w:tcPr>
          <w:p>
            <w:pPr>
              <w:ind w:left="60"/>
              <w:spacing w:after="0"/>
              <w:rPr>
                <w:sz w:val="20"/>
                <w:szCs w:val="20"/>
                <w:color w:val="auto"/>
              </w:rPr>
            </w:pPr>
            <w:r>
              <w:rPr>
                <w:rFonts w:ascii="Arial" w:cs="Arial" w:eastAsia="Arial" w:hAnsi="Arial"/>
                <w:sz w:val="16"/>
                <w:szCs w:val="16"/>
                <w:b w:val="1"/>
                <w:bCs w:val="1"/>
                <w:color w:val="auto"/>
              </w:rPr>
              <w:t>Cost of sales</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c>
          <w:tcPr>
            <w:tcW w:w="260" w:type="dxa"/>
            <w:vAlign w:val="bottom"/>
            <w:gridSpan w:val="2"/>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07"/>
        </w:trPr>
        <w:tc>
          <w:tcPr>
            <w:tcW w:w="22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forwards/options</w:t>
            </w:r>
          </w:p>
        </w:tc>
        <w:tc>
          <w:tcPr>
            <w:tcW w:w="200" w:type="dxa"/>
            <w:vAlign w:val="bottom"/>
            <w:vMerge w:val="continue"/>
            <w:shd w:val="clear" w:color="auto" w:fill="E5E5E5"/>
          </w:tcPr>
          <w:p>
            <w:pPr>
              <w:spacing w:after="0"/>
              <w:rPr>
                <w:sz w:val="18"/>
                <w:szCs w:val="18"/>
                <w:color w:val="auto"/>
              </w:rPr>
            </w:pPr>
          </w:p>
        </w:tc>
        <w:tc>
          <w:tcPr>
            <w:tcW w:w="680" w:type="dxa"/>
            <w:vAlign w:val="bottom"/>
            <w:vMerge w:val="continue"/>
            <w:shd w:val="clear" w:color="auto" w:fill="E5E5E5"/>
          </w:tcPr>
          <w:p>
            <w:pPr>
              <w:spacing w:after="0"/>
              <w:rPr>
                <w:sz w:val="18"/>
                <w:szCs w:val="18"/>
                <w:color w:val="auto"/>
              </w:rPr>
            </w:pPr>
          </w:p>
        </w:tc>
        <w:tc>
          <w:tcPr>
            <w:tcW w:w="280" w:type="dxa"/>
            <w:vAlign w:val="bottom"/>
            <w:gridSpan w:val="2"/>
            <w:vMerge w:val="continue"/>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340" w:type="dxa"/>
            <w:vAlign w:val="bottom"/>
            <w:gridSpan w:val="2"/>
            <w:vMerge w:val="continue"/>
            <w:shd w:val="clear" w:color="auto" w:fill="E5E5E5"/>
          </w:tcPr>
          <w:p>
            <w:pPr>
              <w:spacing w:after="0"/>
              <w:rPr>
                <w:sz w:val="18"/>
                <w:szCs w:val="18"/>
                <w:color w:val="auto"/>
              </w:rPr>
            </w:pPr>
          </w:p>
        </w:tc>
        <w:tc>
          <w:tcPr>
            <w:tcW w:w="6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40" w:type="dxa"/>
            <w:vAlign w:val="bottom"/>
            <w:vMerge w:val="continue"/>
            <w:shd w:val="clear" w:color="auto" w:fill="E5E5E5"/>
          </w:tcPr>
          <w:p>
            <w:pPr>
              <w:spacing w:after="0"/>
              <w:rPr>
                <w:sz w:val="18"/>
                <w:szCs w:val="18"/>
                <w:color w:val="auto"/>
              </w:rPr>
            </w:pPr>
          </w:p>
        </w:tc>
        <w:tc>
          <w:tcPr>
            <w:tcW w:w="280" w:type="dxa"/>
            <w:vAlign w:val="bottom"/>
            <w:gridSpan w:val="2"/>
            <w:vMerge w:val="continue"/>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280" w:type="dxa"/>
            <w:vAlign w:val="bottom"/>
            <w:gridSpan w:val="2"/>
            <w:vMerge w:val="continue"/>
            <w:shd w:val="clear" w:color="auto" w:fill="E5E5E5"/>
          </w:tcPr>
          <w:p>
            <w:pPr>
              <w:spacing w:after="0"/>
              <w:rPr>
                <w:sz w:val="18"/>
                <w:szCs w:val="18"/>
                <w:color w:val="auto"/>
              </w:rPr>
            </w:pPr>
          </w:p>
        </w:tc>
        <w:tc>
          <w:tcPr>
            <w:tcW w:w="680" w:type="dxa"/>
            <w:vAlign w:val="bottom"/>
            <w:vMerge w:val="continue"/>
            <w:shd w:val="clear" w:color="auto" w:fill="E5E5E5"/>
          </w:tcPr>
          <w:p>
            <w:pPr>
              <w:spacing w:after="0"/>
              <w:rPr>
                <w:sz w:val="18"/>
                <w:szCs w:val="18"/>
                <w:color w:val="auto"/>
              </w:rPr>
            </w:pPr>
          </w:p>
        </w:tc>
        <w:tc>
          <w:tcPr>
            <w:tcW w:w="260" w:type="dxa"/>
            <w:vAlign w:val="bottom"/>
            <w:gridSpan w:val="2"/>
            <w:vMerge w:val="continue"/>
            <w:shd w:val="clear" w:color="auto" w:fill="E5E5E5"/>
          </w:tcPr>
          <w:p>
            <w:pPr>
              <w:spacing w:after="0"/>
              <w:rPr>
                <w:sz w:val="18"/>
                <w:szCs w:val="18"/>
                <w:color w:val="auto"/>
              </w:rPr>
            </w:pPr>
          </w:p>
        </w:tc>
        <w:tc>
          <w:tcPr>
            <w:tcW w:w="6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Borders>
              <w:bottom w:val="single" w:sz="8" w:color="E5E5E5"/>
            </w:tcBorders>
            <w:gridSpan w:val="2"/>
          </w:tcPr>
          <w:p>
            <w:pPr>
              <w:ind w:left="60"/>
              <w:spacing w:after="0"/>
              <w:rPr>
                <w:sz w:val="20"/>
                <w:szCs w:val="20"/>
                <w:color w:val="auto"/>
              </w:rPr>
            </w:pPr>
            <w:r>
              <w:rPr>
                <w:rFonts w:ascii="Arial" w:cs="Arial" w:eastAsia="Arial" w:hAnsi="Arial"/>
                <w:sz w:val="16"/>
                <w:szCs w:val="16"/>
                <w:b w:val="1"/>
                <w:bCs w:val="1"/>
                <w:color w:val="auto"/>
              </w:rPr>
              <w:t>Interest rate contracts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20"/>
                <w:szCs w:val="20"/>
                <w:color w:val="auto"/>
              </w:rPr>
            </w:pPr>
          </w:p>
        </w:tc>
        <w:tc>
          <w:tcPr>
            <w:tcW w:w="20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Interest expense</w:t>
            </w:r>
          </w:p>
        </w:tc>
        <w:tc>
          <w:tcPr>
            <w:tcW w:w="8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47"/>
        </w:trPr>
        <w:tc>
          <w:tcPr>
            <w:tcW w:w="2280" w:type="dxa"/>
            <w:vAlign w:val="bottom"/>
            <w:tcBorders>
              <w:bottom w:val="single" w:sz="8" w:color="E5E5E5"/>
            </w:tcBorders>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60" w:type="dxa"/>
            <w:vAlign w:val="bottom"/>
            <w:tcBorders>
              <w:bottom w:val="single" w:sz="8" w:color="E5E5E5"/>
            </w:tcBorders>
            <w:shd w:val="clear" w:color="auto" w:fill="E5E5E5"/>
          </w:tcPr>
          <w:p>
            <w:pPr>
              <w:spacing w:after="0"/>
              <w:rPr>
                <w:sz w:val="21"/>
                <w:szCs w:val="21"/>
                <w:color w:val="auto"/>
              </w:rPr>
            </w:pPr>
          </w:p>
        </w:tc>
        <w:tc>
          <w:tcPr>
            <w:tcW w:w="204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6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-42545</wp:posOffset>
            </wp:positionV>
            <wp:extent cx="178117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1781175" cy="50165"/>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-42545</wp:posOffset>
            </wp:positionV>
            <wp:extent cx="1780540"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1780540" cy="50165"/>
                    </a:xfrm>
                    <a:prstGeom prst="rect">
                      <a:avLst/>
                    </a:prstGeom>
                    <a:noFill/>
                  </pic:spPr>
                </pic:pic>
              </a:graphicData>
            </a:graphic>
          </wp:anchor>
        </w:drawing>
      </w:r>
    </w:p>
    <w:p>
      <w:pPr>
        <w:spacing w:after="0" w:line="91" w:lineRule="exact"/>
        <w:rPr>
          <w:sz w:val="20"/>
          <w:szCs w:val="20"/>
          <w:color w:val="auto"/>
        </w:rPr>
      </w:pPr>
    </w:p>
    <w:p>
      <w:pPr>
        <w:jc w:val="both"/>
        <w:ind w:right="60"/>
        <w:spacing w:after="0" w:line="276" w:lineRule="auto"/>
        <w:rPr>
          <w:sz w:val="20"/>
          <w:szCs w:val="20"/>
          <w:color w:val="auto"/>
        </w:rPr>
      </w:pPr>
      <w:r>
        <w:rPr>
          <w:rFonts w:ascii="Arial" w:cs="Arial" w:eastAsia="Arial" w:hAnsi="Arial"/>
          <w:sz w:val="19"/>
          <w:szCs w:val="19"/>
          <w:b w:val="1"/>
          <w:bCs w:val="1"/>
          <w:color w:val="auto"/>
        </w:rPr>
        <w:t>For the three years ended December 31, 2025, 2024 and 2023 no amount of ineffectiveness was recorded in the Consolidated Statements of (Loss) Income for these designated cash flow hedges. All components of each derivative’s gain or (loss) were included in the assessment of hedge effectiveness.</w:t>
      </w:r>
    </w:p>
    <w:p>
      <w:pPr>
        <w:spacing w:after="0" w:line="42" w:lineRule="exact"/>
        <w:rPr>
          <w:sz w:val="20"/>
          <w:szCs w:val="20"/>
          <w:color w:val="auto"/>
        </w:rPr>
      </w:pPr>
    </w:p>
    <w:p>
      <w:pPr>
        <w:jc w:val="both"/>
        <w:ind w:right="60"/>
        <w:spacing w:after="0" w:line="299" w:lineRule="auto"/>
        <w:rPr>
          <w:sz w:val="20"/>
          <w:szCs w:val="20"/>
          <w:color w:val="auto"/>
        </w:rPr>
      </w:pPr>
      <w:r>
        <w:rPr>
          <w:rFonts w:ascii="Arial" w:cs="Arial" w:eastAsia="Arial" w:hAnsi="Arial"/>
          <w:sz w:val="18"/>
          <w:szCs w:val="18"/>
          <w:b w:val="1"/>
          <w:bCs w:val="1"/>
          <w:color w:val="auto"/>
        </w:rPr>
        <w:t>At December 31, 2025, a net after-tax loss of $4 was recorded in Accumulated other comprehensive loss associated with our cash flow hedging activity. The entire balance is expected to be reclassified into Net income within the next 12 months, providing an offsetting economic impact against the underlying anticipated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Credit Support Annex</w:t>
      </w:r>
    </w:p>
    <w:p>
      <w:pPr>
        <w:spacing w:after="0" w:line="112" w:lineRule="exact"/>
        <w:rPr>
          <w:sz w:val="20"/>
          <w:szCs w:val="20"/>
          <w:color w:val="auto"/>
        </w:rPr>
      </w:pPr>
    </w:p>
    <w:p>
      <w:pPr>
        <w:jc w:val="both"/>
        <w:ind w:right="60"/>
        <w:spacing w:after="0" w:line="276" w:lineRule="auto"/>
        <w:rPr>
          <w:sz w:val="20"/>
          <w:szCs w:val="20"/>
          <w:color w:val="auto"/>
        </w:rPr>
      </w:pPr>
      <w:r>
        <w:rPr>
          <w:rFonts w:ascii="Arial" w:cs="Arial" w:eastAsia="Arial" w:hAnsi="Arial"/>
          <w:sz w:val="19"/>
          <w:szCs w:val="19"/>
          <w:b w:val="1"/>
          <w:bCs w:val="1"/>
          <w:color w:val="auto"/>
        </w:rPr>
        <w:t>The Company may enter into derivative contracts with derivative counterparties that contain a provision to post collateral to the counterparties when these contracts are in a net liability position. At December 31 2025, the Company had no collateral posted due to this provision.</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Non-Designated Derivative Instruments Gains (Losses)</w:t>
      </w:r>
    </w:p>
    <w:p>
      <w:pPr>
        <w:spacing w:after="0" w:line="131"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b w:val="1"/>
          <w:bCs w:val="1"/>
          <w:color w:val="auto"/>
        </w:rPr>
        <w:t>Non-designated derivative instruments are primarily instruments used to hedge foreign currency-denominated assets and liabilities. They are not designated as hedges since there is a natural offset for the remeasurement of the underlying foreign currency-denominated asset or liability. The net asset/liability fair value of these contracts was $2 and $(2) as of December 31, 2025 and 2024,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table provides a summary of gains (losses) on non-designated derivative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2"/>
              </w:rPr>
              <w:t>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Derivatives NOT Designated as</w:t>
            </w:r>
          </w:p>
        </w:tc>
        <w:tc>
          <w:tcPr>
            <w:tcW w:w="80" w:type="dxa"/>
            <w:vAlign w:val="bottom"/>
          </w:tcPr>
          <w:p>
            <w:pPr>
              <w:spacing w:after="0"/>
              <w:rPr>
                <w:sz w:val="15"/>
                <w:szCs w:val="15"/>
                <w:color w:val="auto"/>
              </w:rPr>
            </w:pPr>
          </w:p>
        </w:tc>
        <w:tc>
          <w:tcPr>
            <w:tcW w:w="2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Location of Derivative Gain</w:t>
            </w:r>
          </w:p>
        </w:tc>
        <w:tc>
          <w:tcPr>
            <w:tcW w:w="60" w:type="dxa"/>
            <w:vAlign w:val="bottom"/>
            <w:vMerge w:val="restart"/>
          </w:tcPr>
          <w:p>
            <w:pPr>
              <w:spacing w:after="0"/>
              <w:rPr>
                <w:sz w:val="15"/>
                <w:szCs w:val="15"/>
                <w:color w:val="auto"/>
              </w:rPr>
            </w:pPr>
          </w:p>
        </w:tc>
        <w:tc>
          <w:tcPr>
            <w:tcW w:w="11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7"/>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Hedging Instruments</w:t>
            </w:r>
          </w:p>
        </w:tc>
        <w:tc>
          <w:tcPr>
            <w:tcW w:w="80" w:type="dxa"/>
            <w:vAlign w:val="bottom"/>
            <w:tcBorders>
              <w:bottom w:val="single" w:sz="8" w:color="E5E5E5"/>
            </w:tcBorders>
          </w:tcPr>
          <w:p>
            <w:pPr>
              <w:spacing w:after="0"/>
              <w:rPr>
                <w:sz w:val="17"/>
                <w:szCs w:val="17"/>
                <w:color w:val="auto"/>
              </w:rPr>
            </w:pPr>
          </w:p>
        </w:tc>
        <w:tc>
          <w:tcPr>
            <w:tcW w:w="26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E5E5E5"/>
          </w:tcPr>
          <w:p>
            <w:pPr>
              <w:ind w:left="60"/>
              <w:spacing w:after="0" w:line="181" w:lineRule="exact"/>
              <w:rPr>
                <w:sz w:val="20"/>
                <w:szCs w:val="20"/>
                <w:color w:val="auto"/>
              </w:rPr>
            </w:pPr>
            <w:r>
              <w:rPr>
                <w:rFonts w:ascii="Arial" w:cs="Arial" w:eastAsia="Arial" w:hAnsi="Arial"/>
                <w:sz w:val="16"/>
                <w:szCs w:val="16"/>
                <w:b w:val="1"/>
                <w:bCs w:val="1"/>
                <w:color w:val="auto"/>
              </w:rPr>
              <w:t>Foreign exchange contracts –</w:t>
            </w:r>
          </w:p>
        </w:tc>
        <w:tc>
          <w:tcPr>
            <w:tcW w:w="80" w:type="dxa"/>
            <w:vAlign w:val="bottom"/>
            <w:shd w:val="clear" w:color="auto" w:fill="E5E5E5"/>
          </w:tcPr>
          <w:p>
            <w:pPr>
              <w:spacing w:after="0"/>
              <w:rPr>
                <w:sz w:val="15"/>
                <w:szCs w:val="15"/>
                <w:color w:val="auto"/>
              </w:rPr>
            </w:pPr>
          </w:p>
        </w:tc>
        <w:tc>
          <w:tcPr>
            <w:tcW w:w="2680" w:type="dxa"/>
            <w:vAlign w:val="bottom"/>
            <w:gridSpan w:val="2"/>
            <w:shd w:val="clear" w:color="auto" w:fill="E5E5E5"/>
          </w:tcPr>
          <w:p>
            <w:pPr>
              <w:ind w:left="40"/>
              <w:spacing w:after="0" w:line="181" w:lineRule="exact"/>
              <w:rPr>
                <w:sz w:val="20"/>
                <w:szCs w:val="20"/>
                <w:color w:val="auto"/>
              </w:rPr>
            </w:pPr>
            <w:r>
              <w:rPr>
                <w:rFonts w:ascii="Arial" w:cs="Arial" w:eastAsia="Arial" w:hAnsi="Arial"/>
                <w:sz w:val="16"/>
                <w:szCs w:val="16"/>
                <w:b w:val="1"/>
                <w:bCs w:val="1"/>
                <w:color w:val="auto"/>
              </w:rPr>
              <w:t>Other expense – Currency gains</w:t>
            </w:r>
          </w:p>
        </w:tc>
        <w:tc>
          <w:tcPr>
            <w:tcW w:w="1120" w:type="dxa"/>
            <w:vAlign w:val="bottom"/>
            <w:vMerge w:val="restart"/>
            <w:shd w:val="clear" w:color="auto" w:fill="E5E5E5"/>
          </w:tcPr>
          <w:p>
            <w:pPr>
              <w:jc w:val="right"/>
              <w:ind w:right="902"/>
              <w:spacing w:after="0"/>
              <w:rPr>
                <w:sz w:val="20"/>
                <w:szCs w:val="20"/>
                <w:color w:val="auto"/>
              </w:rPr>
            </w:pPr>
            <w:r>
              <w:rPr>
                <w:rFonts w:ascii="Arial" w:cs="Arial" w:eastAsia="Arial" w:hAnsi="Arial"/>
                <w:sz w:val="16"/>
                <w:szCs w:val="16"/>
                <w:b w:val="1"/>
                <w:bCs w:val="1"/>
                <w:color w:val="auto"/>
              </w:rPr>
              <w:t>$</w:t>
            </w:r>
          </w:p>
        </w:tc>
        <w:tc>
          <w:tcPr>
            <w:tcW w:w="3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44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42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17"/>
        </w:trPr>
        <w:tc>
          <w:tcPr>
            <w:tcW w:w="26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forwards</w:t>
            </w:r>
          </w:p>
        </w:tc>
        <w:tc>
          <w:tcPr>
            <w:tcW w:w="80" w:type="dxa"/>
            <w:vAlign w:val="bottom"/>
            <w:shd w:val="clear" w:color="auto" w:fill="E5E5E5"/>
          </w:tcPr>
          <w:p>
            <w:pPr>
              <w:spacing w:after="0"/>
              <w:rPr>
                <w:sz w:val="18"/>
                <w:szCs w:val="18"/>
                <w:color w:val="auto"/>
              </w:rPr>
            </w:pPr>
          </w:p>
        </w:tc>
        <w:tc>
          <w:tcPr>
            <w:tcW w:w="2680" w:type="dxa"/>
            <w:vAlign w:val="bottom"/>
            <w:gridSpan w:val="2"/>
            <w:shd w:val="clear" w:color="auto" w:fill="E5E5E5"/>
          </w:tcPr>
          <w:p>
            <w:pPr>
              <w:ind w:left="40"/>
              <w:spacing w:after="0"/>
              <w:rPr>
                <w:sz w:val="20"/>
                <w:szCs w:val="20"/>
                <w:color w:val="auto"/>
              </w:rPr>
            </w:pPr>
            <w:r>
              <w:rPr>
                <w:rFonts w:ascii="Arial" w:cs="Arial" w:eastAsia="Arial" w:hAnsi="Arial"/>
                <w:sz w:val="16"/>
                <w:szCs w:val="16"/>
                <w:b w:val="1"/>
                <w:bCs w:val="1"/>
                <w:color w:val="auto"/>
              </w:rPr>
              <w:t>(losses), net</w:t>
            </w:r>
          </w:p>
        </w:tc>
        <w:tc>
          <w:tcPr>
            <w:tcW w:w="1120" w:type="dxa"/>
            <w:vAlign w:val="bottom"/>
            <w:vMerge w:val="continue"/>
            <w:shd w:val="clear" w:color="auto" w:fill="E5E5E5"/>
          </w:tcPr>
          <w:p>
            <w:pPr>
              <w:spacing w:after="0"/>
              <w:rPr>
                <w:sz w:val="18"/>
                <w:szCs w:val="18"/>
                <w:color w:val="auto"/>
              </w:rPr>
            </w:pPr>
          </w:p>
        </w:tc>
        <w:tc>
          <w:tcPr>
            <w:tcW w:w="380" w:type="dxa"/>
            <w:vAlign w:val="bottom"/>
            <w:vMerge w:val="continue"/>
            <w:shd w:val="clear" w:color="auto" w:fill="E5E5E5"/>
          </w:tcPr>
          <w:p>
            <w:pPr>
              <w:spacing w:after="0"/>
              <w:rPr>
                <w:sz w:val="18"/>
                <w:szCs w:val="18"/>
                <w:color w:val="auto"/>
              </w:rPr>
            </w:pPr>
          </w:p>
        </w:tc>
        <w:tc>
          <w:tcPr>
            <w:tcW w:w="440" w:type="dxa"/>
            <w:vAlign w:val="bottom"/>
            <w:gridSpan w:val="2"/>
            <w:vMerge w:val="continue"/>
            <w:shd w:val="clear" w:color="auto" w:fill="E5E5E5"/>
          </w:tcPr>
          <w:p>
            <w:pPr>
              <w:spacing w:after="0"/>
              <w:rPr>
                <w:sz w:val="18"/>
                <w:szCs w:val="18"/>
                <w:color w:val="auto"/>
              </w:rPr>
            </w:pPr>
          </w:p>
        </w:tc>
        <w:tc>
          <w:tcPr>
            <w:tcW w:w="1140" w:type="dxa"/>
            <w:vAlign w:val="bottom"/>
            <w:vMerge w:val="continue"/>
            <w:shd w:val="clear" w:color="auto" w:fill="E5E5E5"/>
          </w:tcPr>
          <w:p>
            <w:pPr>
              <w:spacing w:after="0"/>
              <w:rPr>
                <w:sz w:val="18"/>
                <w:szCs w:val="18"/>
                <w:color w:val="auto"/>
              </w:rPr>
            </w:pPr>
          </w:p>
        </w:tc>
        <w:tc>
          <w:tcPr>
            <w:tcW w:w="420" w:type="dxa"/>
            <w:vAlign w:val="bottom"/>
            <w:gridSpan w:val="2"/>
            <w:vMerge w:val="continue"/>
            <w:shd w:val="clear" w:color="auto" w:fill="E5E5E5"/>
          </w:tcPr>
          <w:p>
            <w:pPr>
              <w:spacing w:after="0"/>
              <w:rPr>
                <w:sz w:val="18"/>
                <w:szCs w:val="18"/>
                <w:color w:val="auto"/>
              </w:rPr>
            </w:pPr>
          </w:p>
        </w:tc>
        <w:tc>
          <w:tcPr>
            <w:tcW w:w="114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60"/>
        <w:spacing w:after="0" w:line="289" w:lineRule="auto"/>
        <w:rPr>
          <w:sz w:val="20"/>
          <w:szCs w:val="20"/>
          <w:color w:val="auto"/>
        </w:rPr>
      </w:pPr>
      <w:r>
        <w:rPr>
          <w:rFonts w:ascii="Arial" w:cs="Arial" w:eastAsia="Arial" w:hAnsi="Arial"/>
          <w:sz w:val="18"/>
          <w:szCs w:val="18"/>
          <w:b w:val="1"/>
          <w:bCs w:val="1"/>
          <w:color w:val="auto"/>
        </w:rPr>
        <w:t>For the three years ended December 31, 2025, 2024 and 2023, we recorded net currency losses of $12, $15 and $28, respectively. Net currency gains and losses include the mark-to-market adjustments of the derivatives not designated as hedging instruments and the related cost of those derivatives, as well as the remeasurement of foreign currency-denominated assets and liabilities and are included in Other expenses,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138</w:t>
      </w:r>
    </w:p>
    <w:p>
      <w:pPr>
        <w:sectPr>
          <w:pgSz w:w="11880" w:h="15480" w:orient="portrait"/>
          <w:cols w:equalWidth="0" w:num="1">
            <w:col w:w="10020"/>
          </w:cols>
          <w:pgMar w:left="960" w:top="737" w:right="900" w:bottom="0" w:gutter="0" w:footer="0" w:header="0"/>
        </w:sectPr>
      </w:pPr>
    </w:p>
    <w:bookmarkStart w:id="148" w:name="page149"/>
    <w:bookmarkEnd w:id="148"/>
    <w:p>
      <w:pPr>
        <w:spacing w:after="0"/>
        <w:rPr>
          <w:sz w:val="20"/>
          <w:szCs w:val="20"/>
          <w:color w:val="auto"/>
        </w:rPr>
      </w:pPr>
      <w:r>
        <w:rPr>
          <w:rFonts w:ascii="Arial" w:cs="Arial" w:eastAsia="Arial" w:hAnsi="Arial"/>
          <w:sz w:val="23"/>
          <w:szCs w:val="23"/>
          <w:b w:val="1"/>
          <w:bCs w:val="1"/>
          <w:color w:val="DA2031"/>
        </w:rPr>
        <w:t>Note 17 – Fair Value of Financial Assets and Liabilities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following table represents assets and liabilities' fair value measured on a recurring basis. The basis for the measurement at fair value in all cases is Level 2 – Significant Other Observable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As of December 31,</w:t>
            </w:r>
          </w:p>
        </w:tc>
        <w:tc>
          <w:tcPr>
            <w:tcW w:w="420" w:type="dxa"/>
            <w:vAlign w:val="bottom"/>
            <w:tcBorders>
              <w:bottom w:val="single" w:sz="8" w:color="auto"/>
            </w:tcBorders>
          </w:tcPr>
          <w:p>
            <w:pPr>
              <w:spacing w:after="0"/>
              <w:rPr>
                <w:sz w:val="18"/>
                <w:szCs w:val="18"/>
                <w:color w:val="auto"/>
              </w:rPr>
            </w:pPr>
          </w:p>
        </w:tc>
      </w:tr>
      <w:tr>
        <w:trPr>
          <w:trHeight w:val="213"/>
        </w:trPr>
        <w:tc>
          <w:tcPr>
            <w:tcW w:w="688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b w:val="1"/>
                <w:bCs w:val="1"/>
                <w:color w:val="auto"/>
              </w:rPr>
              <w:t>2025</w:t>
            </w:r>
          </w:p>
        </w:tc>
        <w:tc>
          <w:tcPr>
            <w:tcW w:w="4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420" w:type="dxa"/>
            <w:vAlign w:val="bottom"/>
          </w:tcPr>
          <w:p>
            <w:pPr>
              <w:spacing w:after="0"/>
              <w:rPr>
                <w:sz w:val="18"/>
                <w:szCs w:val="18"/>
                <w:color w:val="auto"/>
              </w:rPr>
            </w:pPr>
          </w:p>
        </w:tc>
      </w:tr>
      <w:tr>
        <w:trPr>
          <w:trHeight w:val="223"/>
        </w:trPr>
        <w:tc>
          <w:tcPr>
            <w:tcW w:w="688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Assets</w:t>
            </w:r>
          </w:p>
        </w:tc>
        <w:tc>
          <w:tcPr>
            <w:tcW w:w="1100" w:type="dxa"/>
            <w:vAlign w:val="bottom"/>
            <w:tcBorders>
              <w:top w:val="single" w:sz="8" w:color="auto"/>
            </w:tcBorders>
            <w:shd w:val="clear" w:color="auto" w:fill="E5E5E5"/>
          </w:tcPr>
          <w:p>
            <w:pPr>
              <w:spacing w:after="0"/>
              <w:rPr>
                <w:sz w:val="19"/>
                <w:szCs w:val="19"/>
                <w:color w:val="auto"/>
              </w:rPr>
            </w:pPr>
          </w:p>
        </w:tc>
        <w:tc>
          <w:tcPr>
            <w:tcW w:w="400" w:type="dxa"/>
            <w:vAlign w:val="bottom"/>
            <w:tcBorders>
              <w:top w:val="single" w:sz="8" w:color="auto"/>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1080" w:type="dxa"/>
            <w:vAlign w:val="bottom"/>
            <w:tcBorders>
              <w:top w:val="single" w:sz="8" w:color="auto"/>
            </w:tcBorders>
            <w:shd w:val="clear" w:color="auto" w:fill="E5E5E5"/>
          </w:tcPr>
          <w:p>
            <w:pPr>
              <w:spacing w:after="0"/>
              <w:rPr>
                <w:sz w:val="19"/>
                <w:szCs w:val="19"/>
                <w:color w:val="auto"/>
              </w:rPr>
            </w:pPr>
          </w:p>
        </w:tc>
        <w:tc>
          <w:tcPr>
            <w:tcW w:w="420" w:type="dxa"/>
            <w:vAlign w:val="bottom"/>
            <w:tcBorders>
              <w:top w:val="single" w:sz="8" w:color="auto"/>
            </w:tcBorders>
            <w:shd w:val="clear" w:color="auto" w:fill="E5E5E5"/>
          </w:tcPr>
          <w:p>
            <w:pPr>
              <w:spacing w:after="0"/>
              <w:rPr>
                <w:sz w:val="19"/>
                <w:szCs w:val="19"/>
                <w:color w:val="auto"/>
              </w:rPr>
            </w:pPr>
          </w:p>
        </w:tc>
      </w:tr>
      <w:tr>
        <w:trPr>
          <w:trHeight w:val="233"/>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Derivatives</w:t>
            </w:r>
          </w:p>
        </w:tc>
        <w:tc>
          <w:tcPr>
            <w:tcW w:w="1100" w:type="dxa"/>
            <w:vAlign w:val="bottom"/>
          </w:tcPr>
          <w:p>
            <w:pPr>
              <w:jc w:val="right"/>
              <w:ind w:right="88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1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223"/>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Deferred compensation investments in mutual funds</w:t>
            </w:r>
          </w:p>
        </w:tc>
        <w:tc>
          <w:tcPr>
            <w:tcW w:w="1100" w:type="dxa"/>
            <w:vAlign w:val="bottom"/>
            <w:tcBorders>
              <w:bottom w:val="single" w:sz="8" w:color="auto"/>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5E5E5"/>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r>
      <w:tr>
        <w:trPr>
          <w:trHeight w:val="23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00" w:type="dxa"/>
            <w:vAlign w:val="bottom"/>
          </w:tcPr>
          <w:p>
            <w:pPr>
              <w:jc w:val="right"/>
              <w:ind w:right="88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1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204"/>
        </w:trPr>
        <w:tc>
          <w:tcPr>
            <w:tcW w:w="688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Liabilities</w:t>
            </w:r>
          </w:p>
        </w:tc>
        <w:tc>
          <w:tcPr>
            <w:tcW w:w="110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108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r>
      <w:tr>
        <w:trPr>
          <w:trHeight w:val="233"/>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Derivatives</w:t>
            </w:r>
          </w:p>
        </w:tc>
        <w:tc>
          <w:tcPr>
            <w:tcW w:w="1100" w:type="dxa"/>
            <w:vAlign w:val="bottom"/>
          </w:tcPr>
          <w:p>
            <w:pPr>
              <w:jc w:val="right"/>
              <w:ind w:right="88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1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223"/>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Deferred compensation plan liabilities</w:t>
            </w:r>
          </w:p>
        </w:tc>
        <w:tc>
          <w:tcPr>
            <w:tcW w:w="1100" w:type="dxa"/>
            <w:vAlign w:val="bottom"/>
            <w:tcBorders>
              <w:bottom w:val="single" w:sz="8" w:color="auto"/>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E5E5E5"/>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r>
      <w:tr>
        <w:trPr>
          <w:trHeight w:val="193"/>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00" w:type="dxa"/>
            <w:vAlign w:val="bottom"/>
          </w:tcPr>
          <w:p>
            <w:pPr>
              <w:jc w:val="right"/>
              <w:ind w:right="88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16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20"/>
        </w:trPr>
        <w:tc>
          <w:tcPr>
            <w:tcW w:w="68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-634365</wp:posOffset>
            </wp:positionV>
            <wp:extent cx="197485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1974850" cy="5016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-42545</wp:posOffset>
            </wp:positionV>
            <wp:extent cx="1974850"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utilize the income approach to measure the fair value for our derivative assets and liabilities. The income approach uses pricing models that rely on market observable inputs such as yield curves, currency exchange rates and forward prices, and therefore are classified as Level 2.</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Fair value for our deferred compensation plan investments in mutual funds is based on quoted market prices for those funds. Fair value for deferred compensation plan liabilities is based on the fair value of investments corresponding to employees’ investment selections.</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Summary of Other Financial Assets and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estimated fair values of our other financial assets and liabilities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2560" w:type="dxa"/>
            <w:vAlign w:val="bottom"/>
            <w:gridSpan w:val="4"/>
          </w:tcPr>
          <w:p>
            <w:pPr>
              <w:jc w:val="right"/>
              <w:ind w:right="265"/>
              <w:spacing w:after="0"/>
              <w:rPr>
                <w:sz w:val="20"/>
                <w:szCs w:val="20"/>
                <w:color w:val="auto"/>
              </w:rPr>
            </w:pPr>
            <w:r>
              <w:rPr>
                <w:rFonts w:ascii="Arial" w:cs="Arial" w:eastAsia="Arial" w:hAnsi="Arial"/>
                <w:sz w:val="16"/>
                <w:szCs w:val="16"/>
                <w:b w:val="1"/>
                <w:bCs w:val="1"/>
                <w:color w:val="auto"/>
              </w:rPr>
              <w:t>December 31, 2025</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52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Fair</w:t>
            </w: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83"/>
              <w:spacing w:after="0" w:line="137" w:lineRule="exact"/>
              <w:rPr>
                <w:sz w:val="20"/>
                <w:szCs w:val="20"/>
                <w:color w:val="auto"/>
              </w:rPr>
            </w:pPr>
            <w:r>
              <w:rPr>
                <w:rFonts w:ascii="Arial" w:cs="Arial" w:eastAsia="Arial" w:hAnsi="Arial"/>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23"/>
              <w:spacing w:after="0" w:line="137"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800" w:type="dxa"/>
            <w:vAlign w:val="bottom"/>
            <w:tcBorders>
              <w:bottom w:val="single" w:sz="8" w:color="E5E5E5"/>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E5E5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Value</w:t>
            </w:r>
          </w:p>
        </w:tc>
        <w:tc>
          <w:tcPr>
            <w:tcW w:w="20" w:type="dxa"/>
            <w:vAlign w:val="bottom"/>
            <w:tcBorders>
              <w:bottom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Cash and cash equivalents</w:t>
            </w:r>
          </w:p>
        </w:tc>
        <w:tc>
          <w:tcPr>
            <w:tcW w:w="1040" w:type="dxa"/>
            <w:vAlign w:val="bottom"/>
            <w:shd w:val="clear" w:color="auto" w:fill="E5E5E5"/>
          </w:tcPr>
          <w:p>
            <w:pPr>
              <w:jc w:val="right"/>
              <w:ind w:right="823"/>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512</w:t>
            </w:r>
          </w:p>
        </w:tc>
        <w:tc>
          <w:tcPr>
            <w:tcW w:w="1060" w:type="dxa"/>
            <w:vAlign w:val="bottom"/>
            <w:gridSpan w:val="2"/>
            <w:shd w:val="clear" w:color="auto" w:fill="E5E5E5"/>
          </w:tcPr>
          <w:p>
            <w:pPr>
              <w:jc w:val="right"/>
              <w:ind w:right="785"/>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512</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576</w:t>
            </w:r>
          </w:p>
        </w:tc>
        <w:tc>
          <w:tcPr>
            <w:tcW w:w="4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576</w:t>
            </w:r>
          </w:p>
        </w:tc>
        <w:tc>
          <w:tcPr>
            <w:tcW w:w="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60"/>
              <w:spacing w:after="0"/>
              <w:rPr>
                <w:sz w:val="20"/>
                <w:szCs w:val="20"/>
                <w:color w:val="auto"/>
              </w:rPr>
            </w:pPr>
            <w:r>
              <w:rPr>
                <w:rFonts w:ascii="Arial" w:cs="Arial" w:eastAsia="Arial" w:hAnsi="Arial"/>
                <w:sz w:val="16"/>
                <w:szCs w:val="16"/>
                <w:b w:val="1"/>
                <w:bCs w:val="1"/>
                <w:color w:val="auto"/>
              </w:rPr>
              <w:t>Accounts receivable, net</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4"/>
              </w:rPr>
              <w:t>1,122</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1,122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796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Short-term debt and current portion of long-term</w:t>
            </w:r>
          </w:p>
        </w:tc>
        <w:tc>
          <w:tcPr>
            <w:tcW w:w="1040" w:type="dxa"/>
            <w:vAlign w:val="bottom"/>
            <w:shd w:val="clear" w:color="auto" w:fill="E5E5E5"/>
          </w:tcPr>
          <w:p>
            <w:pPr>
              <w:spacing w:after="0"/>
              <w:rPr>
                <w:sz w:val="16"/>
                <w:szCs w:val="16"/>
                <w:color w:val="auto"/>
              </w:rPr>
            </w:pPr>
          </w:p>
        </w:tc>
        <w:tc>
          <w:tcPr>
            <w:tcW w:w="4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231</w:t>
            </w:r>
          </w:p>
        </w:tc>
        <w:tc>
          <w:tcPr>
            <w:tcW w:w="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52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236</w:t>
            </w:r>
          </w:p>
        </w:tc>
        <w:tc>
          <w:tcPr>
            <w:tcW w:w="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585</w:t>
            </w:r>
          </w:p>
        </w:tc>
        <w:tc>
          <w:tcPr>
            <w:tcW w:w="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592</w:t>
            </w:r>
          </w:p>
        </w:tc>
        <w:tc>
          <w:tcPr>
            <w:tcW w:w="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debt</w:t>
            </w:r>
            <w:r>
              <w:rPr>
                <w:rFonts w:ascii="Arial" w:cs="Arial" w:eastAsia="Arial" w:hAnsi="Arial"/>
                <w:sz w:val="10"/>
                <w:szCs w:val="10"/>
                <w:b w:val="1"/>
                <w:bCs w:val="1"/>
                <w:color w:val="auto"/>
              </w:rPr>
              <w:t>(1)</w:t>
            </w:r>
          </w:p>
        </w:tc>
        <w:tc>
          <w:tcPr>
            <w:tcW w:w="1040" w:type="dxa"/>
            <w:vAlign w:val="bottom"/>
            <w:shd w:val="clear" w:color="auto" w:fill="E5E5E5"/>
          </w:tcPr>
          <w:p>
            <w:pPr>
              <w:spacing w:after="0"/>
              <w:rPr>
                <w:sz w:val="19"/>
                <w:szCs w:val="19"/>
                <w:color w:val="auto"/>
              </w:rPr>
            </w:pPr>
          </w:p>
        </w:tc>
        <w:tc>
          <w:tcPr>
            <w:tcW w:w="4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520" w:type="dxa"/>
            <w:vAlign w:val="bottom"/>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120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12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60"/>
              <w:spacing w:after="0"/>
              <w:rPr>
                <w:sz w:val="20"/>
                <w:szCs w:val="20"/>
                <w:color w:val="auto"/>
              </w:rPr>
            </w:pPr>
            <w:r>
              <w:rPr>
                <w:rFonts w:ascii="Arial" w:cs="Arial" w:eastAsia="Arial" w:hAnsi="Arial"/>
                <w:sz w:val="16"/>
                <w:szCs w:val="16"/>
                <w:b w:val="1"/>
                <w:bCs w:val="1"/>
                <w:color w:val="auto"/>
              </w:rPr>
              <w:t>Long-term debt</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Xerox Holdings Corporation</w:t>
            </w:r>
          </w:p>
        </w:tc>
        <w:tc>
          <w:tcPr>
            <w:tcW w:w="1040" w:type="dxa"/>
            <w:vAlign w:val="bottom"/>
            <w:shd w:val="clear" w:color="auto" w:fill="E5E5E5"/>
          </w:tcPr>
          <w:p>
            <w:pPr>
              <w:jc w:val="right"/>
              <w:ind w:right="823"/>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4"/>
              </w:rPr>
              <w:t>1,872</w:t>
            </w:r>
          </w:p>
        </w:tc>
        <w:tc>
          <w:tcPr>
            <w:tcW w:w="1060" w:type="dxa"/>
            <w:vAlign w:val="bottom"/>
            <w:gridSpan w:val="2"/>
            <w:shd w:val="clear" w:color="auto" w:fill="E5E5E5"/>
          </w:tcPr>
          <w:p>
            <w:pPr>
              <w:jc w:val="right"/>
              <w:ind w:right="765"/>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800</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1,634</w:t>
            </w:r>
          </w:p>
        </w:tc>
        <w:tc>
          <w:tcPr>
            <w:tcW w:w="4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1,391</w:t>
            </w:r>
          </w:p>
        </w:tc>
        <w:tc>
          <w:tcPr>
            <w:tcW w:w="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0" w:type="dxa"/>
            <w:vAlign w:val="bottom"/>
          </w:tcPr>
          <w:p>
            <w:pPr>
              <w:ind w:left="60"/>
              <w:spacing w:after="0"/>
              <w:rPr>
                <w:sz w:val="20"/>
                <w:szCs w:val="20"/>
                <w:color w:val="auto"/>
              </w:rPr>
            </w:pPr>
            <w:r>
              <w:rPr>
                <w:rFonts w:ascii="Arial" w:cs="Arial" w:eastAsia="Arial" w:hAnsi="Arial"/>
                <w:sz w:val="16"/>
                <w:szCs w:val="16"/>
                <w:b w:val="1"/>
                <w:bCs w:val="1"/>
                <w:color w:val="auto"/>
              </w:rPr>
              <w:t>Xerox Corporation</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4"/>
              </w:rPr>
              <w:t>2,142</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1,676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1,177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Xerox - Other Subsidiaries</w:t>
            </w:r>
            <w:r>
              <w:rPr>
                <w:rFonts w:ascii="Arial" w:cs="Arial" w:eastAsia="Arial" w:hAnsi="Arial"/>
                <w:sz w:val="10"/>
                <w:szCs w:val="10"/>
                <w:b w:val="1"/>
                <w:bCs w:val="1"/>
                <w:color w:val="auto"/>
              </w:rPr>
              <w:t>(2)</w:t>
            </w:r>
          </w:p>
        </w:tc>
        <w:tc>
          <w:tcPr>
            <w:tcW w:w="1040" w:type="dxa"/>
            <w:vAlign w:val="bottom"/>
            <w:tcBorders>
              <w:bottom w:val="single" w:sz="8" w:color="auto"/>
            </w:tcBorders>
            <w:shd w:val="clear" w:color="auto" w:fill="E5E5E5"/>
          </w:tcPr>
          <w:p>
            <w:pPr>
              <w:spacing w:after="0"/>
              <w:rPr>
                <w:sz w:val="19"/>
                <w:szCs w:val="19"/>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19"/>
                <w:szCs w:val="19"/>
                <w:color w:val="auto"/>
              </w:rPr>
            </w:pPr>
          </w:p>
        </w:tc>
        <w:tc>
          <w:tcPr>
            <w:tcW w:w="98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E5E5E5"/>
            </w:tcBorders>
            <w:shd w:val="clear" w:color="auto" w:fill="E5E5E5"/>
          </w:tcPr>
          <w:p>
            <w:pPr>
              <w:spacing w:after="0"/>
              <w:rPr>
                <w:sz w:val="19"/>
                <w:szCs w:val="19"/>
                <w:color w:val="auto"/>
              </w:rPr>
            </w:pPr>
          </w:p>
        </w:tc>
        <w:tc>
          <w:tcPr>
            <w:tcW w:w="30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20" w:type="dxa"/>
            <w:vAlign w:val="bottom"/>
            <w:tcBorders>
              <w:bottom w:val="single" w:sz="8" w:color="E5E5E5"/>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800" w:type="dxa"/>
            <w:vAlign w:val="bottom"/>
          </w:tcPr>
          <w:p>
            <w:pPr>
              <w:ind w:left="60"/>
              <w:spacing w:after="0"/>
              <w:rPr>
                <w:sz w:val="20"/>
                <w:szCs w:val="20"/>
                <w:color w:val="auto"/>
              </w:rPr>
            </w:pPr>
            <w:r>
              <w:rPr>
                <w:rFonts w:ascii="Arial" w:cs="Arial" w:eastAsia="Arial" w:hAnsi="Arial"/>
                <w:sz w:val="16"/>
                <w:szCs w:val="16"/>
                <w:b w:val="1"/>
                <w:bCs w:val="1"/>
                <w:color w:val="auto"/>
              </w:rPr>
              <w:t>Total Long-term debt</w:t>
            </w:r>
          </w:p>
        </w:tc>
        <w:tc>
          <w:tcPr>
            <w:tcW w:w="1040" w:type="dxa"/>
            <w:vAlign w:val="bottom"/>
          </w:tcPr>
          <w:p>
            <w:pPr>
              <w:jc w:val="right"/>
              <w:ind w:right="823"/>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4"/>
              </w:rPr>
              <w:t>4,016</w:t>
            </w:r>
          </w:p>
        </w:tc>
        <w:tc>
          <w:tcPr>
            <w:tcW w:w="1060" w:type="dxa"/>
            <w:vAlign w:val="bottom"/>
            <w:gridSpan w:val="2"/>
          </w:tcPr>
          <w:p>
            <w:pPr>
              <w:jc w:val="right"/>
              <w:ind w:right="765"/>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2,478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2,814</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-42545</wp:posOffset>
            </wp:positionV>
            <wp:extent cx="393382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393382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$121 and $388 of Xerox Corporation related party debt for the years ended December 31, 2025 and 2024 , respectively.</w:t>
      </w:r>
    </w:p>
    <w:p>
      <w:pPr>
        <w:spacing w:after="0" w:line="25" w:lineRule="exact"/>
        <w:rPr>
          <w:rFonts w:ascii="Arial" w:cs="Arial" w:eastAsia="Arial" w:hAnsi="Arial"/>
          <w:sz w:val="14"/>
          <w:szCs w:val="14"/>
          <w:b w:val="1"/>
          <w:bCs w:val="1"/>
          <w:i w:val="1"/>
          <w:iCs w:val="1"/>
          <w:color w:val="auto"/>
        </w:rPr>
      </w:pPr>
    </w:p>
    <w:p>
      <w:pPr>
        <w:ind w:left="360" w:hanging="356"/>
        <w:spacing w:after="0"/>
        <w:tabs>
          <w:tab w:leader="none" w:pos="360" w:val="left"/>
        </w:tabs>
        <w:numPr>
          <w:ilvl w:val="0"/>
          <w:numId w:val="1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Represents subsidiaries of Xerox Corporation.</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fair value amounts for Cash and cash equivalents and Accounts receivable, net, approximate carrying amounts due to the short maturities of these instruments. The fair value of Short-term debt, including the current portion of long-term debt, and Long-term debt was estimated based on the current rates offered to us for debt of similar maturities (Level 2). The difference between the fair value and the carrying value represents the theoretical net premium or discount we would pay or receive to retire all debt at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139</w:t>
      </w:r>
    </w:p>
    <w:p>
      <w:pPr>
        <w:sectPr>
          <w:pgSz w:w="11880" w:h="15480" w:orient="portrait"/>
          <w:cols w:equalWidth="0" w:num="1">
            <w:col w:w="9960"/>
          </w:cols>
          <w:pgMar w:left="960" w:top="812" w:right="960" w:bottom="0" w:gutter="0" w:footer="0" w:header="0"/>
        </w:sectPr>
      </w:pPr>
    </w:p>
    <w:bookmarkStart w:id="149" w:name="page150"/>
    <w:bookmarkEnd w:id="149"/>
    <w:p>
      <w:pPr>
        <w:spacing w:after="0"/>
        <w:rPr>
          <w:sz w:val="20"/>
          <w:szCs w:val="20"/>
          <w:color w:val="auto"/>
        </w:rPr>
      </w:pPr>
      <w:r>
        <w:rPr>
          <w:rFonts w:ascii="Arial" w:cs="Arial" w:eastAsia="Arial" w:hAnsi="Arial"/>
          <w:sz w:val="23"/>
          <w:szCs w:val="23"/>
          <w:b w:val="1"/>
          <w:bCs w:val="1"/>
          <w:color w:val="DA2031"/>
        </w:rPr>
        <w:t>Note 18 – Employee Benefit Plans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sponsor numerous defined benefit and defined contribution pension and other post-retirement benefit plans, primarily retiree health care, in our domestic and international operations. December 31 is the measurement date for all of our post-retirement benefit plans.</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Where legally possible, we have amended our major defined benefit pension plans to freeze current benefits and eliminate benefit accruals for future service, including our U.S. defined benefit plans, the Canadian Salary Pension Plan and the U.K. pension plan. In certain non-U.S. plans, we are required to continue to consider salary increases and inflation in determining the benefit obligation related to prior service.</w:t>
      </w:r>
    </w:p>
    <w:p>
      <w:pPr>
        <w:spacing w:after="0" w:line="6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In December 2023, the Trustees for the U.K. pension plan entered a second insurance buy-in contract, in accordance with U.K. pension regulations. Insurance buy-in contracts are group annuity contracts that are expected to provide an income stream to cover a significant majority of the cash flows arising for the plan population with future contracted payments. However, the benefit obligation remains with the plan and the Company. This contract is issued by a third-party insurance company with no affiliation to the Company or the plan. The contract was funded through existing plan assets, with a portion of the premium payments for the policy being deferred. In February 2026, the remaining portion of the premium was paid in full using proceeds from the sale of certain assets that were previously illiquid. The insurance buy-in contract is valued on an insurer pricing basis, which reflects the purchase price adjusted for changes in discount rates and other actuarial assumptions, which approximates fair value. The insurance buy-in contract is classified as a Level 3 investment in the Plan Asset tables below. This buy-in contract was similar to a contract purchased in 2022 that covered a portion of member benefit payments. The buy-in arrangement also allows for the possible future conversion into a buy-out arrangement where the insurance company would assume full responsibility for the U.K. pension plan pension obligations, at which time the Company would derecognize the assets and liabilities of the pension plan and realize a settlement gain or loss as a component of the net periodic pension cost.</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In May 2023, the Dutch Parliament enacted the Future Pensions Act (Wet toekomst pensioenen), which became effective on July 1, 2023. The legislation requires employers to transition existing pension arrangements in the Netherlands that are structured as defined benefit plans or age-dependent defined contribution plans to defined contribution plans. All affected pension plans must be converted to compliant plans by January 1, 2028. The Company sponsors pension plans for certain employees in the Netherlands that are subject to this legislation, and is in the process of evaluating the required transition. The transition is expected to be completed within the statutory timeframe. The conversion of the Company’s Dutch retirement plan may result in changes to the nature of the pension obligations and could give rise to plan amendments, or settlements under ASC 715, Compensation— Retirement Benefits, depending on the final structure of the transitioned plans and the treatment of accrued benefits. Such events could require remeasurement of pension obligations and plan assets and may result in the recognition of settlement gains or losses in the period in which the transition is finalized or implemented. At December 31, 2025, the Company has not yet finalized the design of the plans and, accordingly, has not recorded any impacts related to the conversion. The Company will recognize any resulting effects on its pension obligations, net periodic pension cost, or accumulated other comprehensive income in accordance with ASC 715 when the transition is substantively enacted and the amounts are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140</w:t>
      </w:r>
    </w:p>
    <w:p>
      <w:pPr>
        <w:sectPr>
          <w:pgSz w:w="11880" w:h="15480" w:orient="portrait"/>
          <w:cols w:equalWidth="0" w:num="1">
            <w:col w:w="9960"/>
          </w:cols>
          <w:pgMar w:left="960" w:top="724" w:right="960" w:bottom="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8"/>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b w:val="1"/>
                <w:bCs w:val="1"/>
                <w:color w:val="auto"/>
              </w:rPr>
              <w:t>Pension Benefits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6"/>
                <w:szCs w:val="16"/>
                <w:b w:val="1"/>
                <w:bCs w:val="1"/>
                <w:color w:val="auto"/>
              </w:rPr>
              <w:t>U.S. Plans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Non-U.S. Plans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6"/>
                <w:szCs w:val="16"/>
                <w:b w:val="1"/>
                <w:bCs w:val="1"/>
                <w:color w:val="auto"/>
              </w:rPr>
              <w:t>Retiree Health</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Benefit obligation, January 1</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2,176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2,389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4,097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4,567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193</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Service cost</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Interest cost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Plan participants' contributions</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Actuarial loss (gain)</w:t>
            </w:r>
            <w:r>
              <w:rPr>
                <w:rFonts w:ascii="Arial" w:cs="Arial" w:eastAsia="Arial" w:hAnsi="Arial"/>
                <w:sz w:val="10"/>
                <w:szCs w:val="10"/>
                <w:b w:val="1"/>
                <w:bCs w:val="1"/>
                <w:color w:val="auto"/>
              </w:rPr>
              <w:t>(1)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Currency exchange rate changes</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350</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(157)</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Plan amendment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Benefits paid/settlements</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(189)</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(346)</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Acquisition</w:t>
            </w:r>
            <w:r>
              <w:rPr>
                <w:rFonts w:ascii="Arial" w:cs="Arial" w:eastAsia="Arial" w:hAnsi="Arial"/>
                <w:sz w:val="10"/>
                <w:szCs w:val="10"/>
                <w:b w:val="1"/>
                <w:bCs w:val="1"/>
                <w:color w:val="auto"/>
              </w:rPr>
              <w:t>(2)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Other</w:t>
            </w: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7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4"/>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Benefit Obligation, December 31</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2,563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2,176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4,346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4,097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173</w:t>
            </w:r>
          </w:p>
        </w:tc>
        <w:tc>
          <w:tcPr>
            <w:tcW w:w="0" w:type="dxa"/>
            <w:vAlign w:val="bottom"/>
          </w:tcPr>
          <w:p>
            <w:pPr>
              <w:spacing w:after="0"/>
              <w:rPr>
                <w:sz w:val="1"/>
                <w:szCs w:val="1"/>
                <w:color w:val="auto"/>
              </w:rPr>
            </w:pPr>
          </w:p>
        </w:tc>
      </w:tr>
      <w:tr>
        <w:trPr>
          <w:trHeight w:val="222"/>
        </w:trPr>
        <w:tc>
          <w:tcPr>
            <w:tcW w:w="3920" w:type="dxa"/>
            <w:vAlign w:val="bottom"/>
            <w:tcBorders>
              <w:top w:val="single" w:sz="8" w:color="E5E5E5"/>
            </w:tcBorders>
            <w:shd w:val="clear" w:color="auto" w:fill="E5E5E5"/>
          </w:tcPr>
          <w:p>
            <w:pPr>
              <w:spacing w:after="0"/>
              <w:rPr>
                <w:sz w:val="19"/>
                <w:szCs w:val="19"/>
                <w:color w:val="auto"/>
              </w:rPr>
            </w:pPr>
          </w:p>
        </w:tc>
        <w:tc>
          <w:tcPr>
            <w:tcW w:w="220" w:type="dxa"/>
            <w:vAlign w:val="bottom"/>
            <w:tcBorders>
              <w:top w:val="single" w:sz="8" w:color="auto"/>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220" w:type="dxa"/>
            <w:vAlign w:val="bottom"/>
            <w:tcBorders>
              <w:top w:val="single" w:sz="8" w:color="auto"/>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220" w:type="dxa"/>
            <w:vAlign w:val="bottom"/>
            <w:tcBorders>
              <w:top w:val="single" w:sz="8" w:color="auto"/>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220" w:type="dxa"/>
            <w:vAlign w:val="bottom"/>
            <w:tcBorders>
              <w:top w:val="single" w:sz="8" w:color="auto"/>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220" w:type="dxa"/>
            <w:vAlign w:val="bottom"/>
            <w:tcBorders>
              <w:top w:val="single" w:sz="8" w:color="auto"/>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74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Fair value of plan assets, January 1</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1,407</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1,528</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4,220</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4,662</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Actual return on plan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Employer contributions</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100</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Plan participants' contributions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Currency exchange rate changes</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355</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Benefits paid/settlements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Acquisition</w:t>
            </w:r>
            <w:r>
              <w:rPr>
                <w:rFonts w:ascii="Arial" w:cs="Arial" w:eastAsia="Arial" w:hAnsi="Arial"/>
                <w:sz w:val="10"/>
                <w:szCs w:val="10"/>
                <w:b w:val="1"/>
                <w:bCs w:val="1"/>
                <w:color w:val="auto"/>
              </w:rPr>
              <w:t>(2)</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326</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2"/>
        </w:trPr>
        <w:tc>
          <w:tcPr>
            <w:tcW w:w="39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Fair Value of Plan Assets, December 31</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1,845</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1,407</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4,588</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4,220</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3920" w:type="dxa"/>
            <w:vAlign w:val="bottom"/>
            <w:tcBorders>
              <w:top w:val="single" w:sz="8" w:color="E5E5E5"/>
              <w:bottom w:val="single" w:sz="8" w:color="E5E5E5"/>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E5E5E5"/>
              <w:bottom w:val="single" w:sz="8" w:color="E5E5E5"/>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E5E5E5"/>
              <w:bottom w:val="single" w:sz="8" w:color="E5E5E5"/>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E5E5E5"/>
              <w:bottom w:val="single" w:sz="8" w:color="E5E5E5"/>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E5E5E5"/>
              <w:bottom w:val="single" w:sz="8" w:color="E5E5E5"/>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E5E5E5"/>
              <w:bottom w:val="single" w:sz="8" w:color="E5E5E5"/>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Net Funded Status at December 31</w:t>
            </w:r>
            <w:r>
              <w:rPr>
                <w:rFonts w:ascii="Arial" w:cs="Arial" w:eastAsia="Arial" w:hAnsi="Arial"/>
                <w:sz w:val="10"/>
                <w:szCs w:val="10"/>
                <w:b w:val="1"/>
                <w:bCs w:val="1"/>
                <w:color w:val="auto"/>
              </w:rPr>
              <w:t>(3)</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(718)</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(769)</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242</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123</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(179)</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(173)</w:t>
            </w:r>
          </w:p>
        </w:tc>
        <w:tc>
          <w:tcPr>
            <w:tcW w:w="0" w:type="dxa"/>
            <w:vAlign w:val="bottom"/>
          </w:tcPr>
          <w:p>
            <w:pPr>
              <w:spacing w:after="0"/>
              <w:rPr>
                <w:sz w:val="1"/>
                <w:szCs w:val="1"/>
                <w:color w:val="auto"/>
              </w:rPr>
            </w:pPr>
          </w:p>
        </w:tc>
      </w:tr>
      <w:tr>
        <w:trPr>
          <w:trHeight w:val="204"/>
        </w:trPr>
        <w:tc>
          <w:tcPr>
            <w:tcW w:w="3920" w:type="dxa"/>
            <w:vAlign w:val="bottom"/>
            <w:tcBorders>
              <w:top w:val="single" w:sz="8" w:color="E5E5E5"/>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E5E5E5"/>
          </w:tcPr>
          <w:p>
            <w:pPr>
              <w:ind w:left="60"/>
              <w:spacing w:after="0" w:line="176" w:lineRule="exact"/>
              <w:rPr>
                <w:sz w:val="20"/>
                <w:szCs w:val="20"/>
                <w:color w:val="auto"/>
              </w:rPr>
            </w:pPr>
            <w:r>
              <w:rPr>
                <w:rFonts w:ascii="Arial" w:cs="Arial" w:eastAsia="Arial" w:hAnsi="Arial"/>
                <w:sz w:val="16"/>
                <w:szCs w:val="16"/>
                <w:b w:val="1"/>
                <w:bCs w:val="1"/>
                <w:color w:val="auto"/>
              </w:rPr>
              <w:t>Amounts Recognized in the Consolidated Balance</w:t>
            </w: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Sheets: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Other long-term assets</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578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421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Accrued compensation and benefit costs</w:t>
            </w: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27"/>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Pension and other benefit liabilities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Post-retirement medical benefits</w:t>
            </w: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(159)</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213"/>
        </w:trPr>
        <w:tc>
          <w:tcPr>
            <w:tcW w:w="39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Net Amounts Recognized</w:t>
            </w:r>
          </w:p>
        </w:tc>
        <w:tc>
          <w:tcPr>
            <w:tcW w:w="22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(718)</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(769)</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242</w:t>
            </w:r>
          </w:p>
        </w:tc>
        <w:tc>
          <w:tcPr>
            <w:tcW w:w="300" w:type="dxa"/>
            <w:vAlign w:val="bottom"/>
            <w:gridSpan w:val="2"/>
          </w:tcPr>
          <w:p>
            <w:pPr>
              <w:jc w:val="right"/>
              <w:ind w:right="100"/>
              <w:spacing w:after="0" w:line="17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123</w:t>
            </w:r>
          </w:p>
        </w:tc>
        <w:tc>
          <w:tcPr>
            <w:tcW w:w="300" w:type="dxa"/>
            <w:vAlign w:val="bottom"/>
            <w:gridSpan w:val="2"/>
          </w:tcPr>
          <w:p>
            <w:pPr>
              <w:jc w:val="right"/>
              <w:ind w:right="100"/>
              <w:spacing w:after="0" w:line="17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(179)</w:t>
            </w:r>
          </w:p>
        </w:tc>
        <w:tc>
          <w:tcPr>
            <w:tcW w:w="28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(173)</w:t>
            </w:r>
          </w:p>
        </w:tc>
        <w:tc>
          <w:tcPr>
            <w:tcW w:w="0" w:type="dxa"/>
            <w:vAlign w:val="bottom"/>
          </w:tcPr>
          <w:p>
            <w:pPr>
              <w:spacing w:after="0"/>
              <w:rPr>
                <w:sz w:val="1"/>
                <w:szCs w:val="1"/>
                <w:color w:val="auto"/>
              </w:rPr>
            </w:pPr>
          </w:p>
        </w:tc>
      </w:tr>
      <w:tr>
        <w:trPr>
          <w:trHeight w:val="204"/>
        </w:trPr>
        <w:tc>
          <w:tcPr>
            <w:tcW w:w="392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spacing w:after="0"/>
              <w:rPr>
                <w:sz w:val="17"/>
                <w:szCs w:val="17"/>
                <w:color w:val="auto"/>
              </w:rPr>
            </w:pPr>
          </w:p>
        </w:tc>
        <w:tc>
          <w:tcPr>
            <w:tcW w:w="740" w:type="dxa"/>
            <w:vAlign w:val="bottom"/>
            <w:tcBorders>
              <w:top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Accumulated Benefit Obligation</w:t>
            </w:r>
          </w:p>
        </w:tc>
        <w:tc>
          <w:tcPr>
            <w:tcW w:w="2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2,563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2,176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4,320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-1609725</wp:posOffset>
            </wp:positionV>
            <wp:extent cx="3859530" cy="501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3859530" cy="5016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-473075</wp:posOffset>
            </wp:positionV>
            <wp:extent cx="3859530"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3859530" cy="5016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-177800</wp:posOffset>
            </wp:positionV>
            <wp:extent cx="2566035" cy="501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2566035" cy="50165"/>
                    </a:xfrm>
                    <a:prstGeom prst="rect">
                      <a:avLst/>
                    </a:prstGeom>
                    <a:noFill/>
                  </pic:spPr>
                </pic:pic>
              </a:graphicData>
            </a:graphic>
          </wp:anchor>
        </w:drawing>
      </w:r>
    </w:p>
    <w:p>
      <w:pPr>
        <w:ind w:left="360" w:hanging="356"/>
        <w:spacing w:after="0"/>
        <w:tabs>
          <w:tab w:leader="none" w:pos="360" w:val="left"/>
        </w:tabs>
        <w:numPr>
          <w:ilvl w:val="0"/>
          <w:numId w:val="1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Changes in actuarial losses (gains) are due to actual returns in excess of expected returns, as well as changes in discount rates.</w:t>
      </w:r>
    </w:p>
    <w:p>
      <w:pPr>
        <w:spacing w:after="0" w:line="25" w:lineRule="exact"/>
        <w:rPr>
          <w:rFonts w:ascii="Arial" w:cs="Arial" w:eastAsia="Arial" w:hAnsi="Arial"/>
          <w:sz w:val="14"/>
          <w:szCs w:val="14"/>
          <w:b w:val="1"/>
          <w:bCs w:val="1"/>
          <w:i w:val="1"/>
          <w:iCs w:val="1"/>
          <w:color w:val="auto"/>
        </w:rPr>
      </w:pPr>
    </w:p>
    <w:p>
      <w:pPr>
        <w:ind w:left="360" w:hanging="356"/>
        <w:spacing w:after="0" w:line="242" w:lineRule="auto"/>
        <w:tabs>
          <w:tab w:leader="none" w:pos="360" w:val="left"/>
        </w:tabs>
        <w:numPr>
          <w:ilvl w:val="0"/>
          <w:numId w:val="1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under-funded and unfunded plans.</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and other benefit liabilities include the following additional accounts at December 31st: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18"/>
                <w:szCs w:val="18"/>
                <w:color w:val="auto"/>
              </w:rPr>
            </w:pPr>
          </w:p>
        </w:tc>
      </w:tr>
      <w:tr>
        <w:trPr>
          <w:trHeight w:val="213"/>
        </w:trPr>
        <w:tc>
          <w:tcPr>
            <w:tcW w:w="688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09"/>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Pension liabilities</w:t>
            </w:r>
            <w:r>
              <w:rPr>
                <w:rFonts w:ascii="Arial" w:cs="Arial" w:eastAsia="Arial" w:hAnsi="Arial"/>
                <w:sz w:val="10"/>
                <w:szCs w:val="10"/>
                <w:b w:val="1"/>
                <w:bCs w:val="1"/>
                <w:color w:val="auto"/>
              </w:rPr>
              <w:t>(1)</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1,010</w:t>
            </w:r>
          </w:p>
        </w:tc>
        <w:tc>
          <w:tcPr>
            <w:tcW w:w="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1,027</w:t>
            </w:r>
          </w:p>
        </w:tc>
      </w:tr>
      <w:tr>
        <w:trPr>
          <w:trHeight w:val="21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Accrued compensation liabilities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48</w:t>
            </w:r>
          </w:p>
        </w:tc>
      </w:tr>
      <w:tr>
        <w:trPr>
          <w:trHeight w:val="233"/>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Deferred compensation liabilities</w:t>
            </w:r>
            <w:r>
              <w:rPr>
                <w:rFonts w:ascii="Arial" w:cs="Arial" w:eastAsia="Arial" w:hAnsi="Arial"/>
                <w:sz w:val="10"/>
                <w:szCs w:val="10"/>
                <w:b w:val="1"/>
                <w:bCs w:val="1"/>
                <w:color w:val="auto"/>
              </w:rPr>
              <w:t>(2)</w:t>
            </w:r>
          </w:p>
        </w:tc>
        <w:tc>
          <w:tcPr>
            <w:tcW w:w="980" w:type="dxa"/>
            <w:vAlign w:val="bottom"/>
            <w:tcBorders>
              <w:bottom w:val="single" w:sz="8" w:color="auto"/>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bottom w:val="single" w:sz="8" w:color="E5E5E5"/>
            </w:tcBorders>
            <w:shd w:val="clear" w:color="auto" w:fill="E5E5E5"/>
          </w:tcPr>
          <w:p>
            <w:pPr>
              <w:spacing w:after="0"/>
              <w:rPr>
                <w:sz w:val="20"/>
                <w:szCs w:val="20"/>
                <w:color w:val="auto"/>
              </w:rPr>
            </w:pPr>
          </w:p>
        </w:tc>
        <w:tc>
          <w:tcPr>
            <w:tcW w:w="520" w:type="dxa"/>
            <w:vAlign w:val="bottom"/>
            <w:tcBorders>
              <w:bottom w:val="single" w:sz="8" w:color="auto"/>
            </w:tcBorders>
            <w:shd w:val="clear" w:color="auto" w:fill="E5E5E5"/>
          </w:tcPr>
          <w:p>
            <w:pPr>
              <w:spacing w:after="0"/>
              <w:rPr>
                <w:sz w:val="20"/>
                <w:szCs w:val="20"/>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r>
      <w:tr>
        <w:trPr>
          <w:trHeight w:val="198"/>
        </w:trPr>
        <w:tc>
          <w:tcPr>
            <w:tcW w:w="6880" w:type="dxa"/>
            <w:vAlign w:val="bottom"/>
          </w:tcPr>
          <w:p>
            <w:pPr>
              <w:ind w:left="60"/>
              <w:spacing w:after="0" w:line="160" w:lineRule="exact"/>
              <w:rPr>
                <w:sz w:val="20"/>
                <w:szCs w:val="20"/>
                <w:color w:val="auto"/>
              </w:rPr>
            </w:pPr>
            <w:r>
              <w:rPr>
                <w:rFonts w:ascii="Arial" w:cs="Arial" w:eastAsia="Arial" w:hAnsi="Arial"/>
                <w:sz w:val="16"/>
                <w:szCs w:val="16"/>
                <w:b w:val="1"/>
                <w:bCs w:val="1"/>
                <w:color w:val="auto"/>
              </w:rPr>
              <w:t>Pension and other benefit liabilities</w:t>
            </w:r>
          </w:p>
        </w:tc>
        <w:tc>
          <w:tcPr>
            <w:tcW w:w="980" w:type="dxa"/>
            <w:vAlign w:val="bottom"/>
            <w:tcBorders>
              <w:bottom w:val="single" w:sz="8" w:color="auto"/>
            </w:tcBorders>
          </w:tcPr>
          <w:p>
            <w:pPr>
              <w:jc w:val="right"/>
              <w:ind w:right="762"/>
              <w:spacing w:after="0" w:line="160" w:lineRule="exact"/>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b w:val="1"/>
                <w:bCs w:val="1"/>
                <w:color w:val="auto"/>
              </w:rPr>
              <w:t>1,068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02"/>
              <w:spacing w:after="0" w:line="160"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6"/>
                <w:szCs w:val="16"/>
                <w:b w:val="1"/>
                <w:bCs w:val="1"/>
                <w:color w:val="auto"/>
              </w:rPr>
              <w:t>1,088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-43180</wp:posOffset>
            </wp:positionV>
            <wp:extent cx="1974850"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w:t>
      </w:r>
    </w:p>
    <w:p>
      <w:pPr>
        <w:spacing w:after="0" w:line="54" w:lineRule="exact"/>
        <w:rPr>
          <w:sz w:val="20"/>
          <w:szCs w:val="20"/>
          <w:color w:val="auto"/>
        </w:rPr>
      </w:pPr>
    </w:p>
    <w:p>
      <w:pPr>
        <w:ind w:left="360" w:hanging="356"/>
        <w:spacing w:after="0"/>
        <w:tabs>
          <w:tab w:leader="none" w:pos="360" w:val="left"/>
        </w:tabs>
        <w:numPr>
          <w:ilvl w:val="0"/>
          <w:numId w:val="1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pension net funded status liability for both U.S. and non-U.S. plans.</w:t>
      </w:r>
    </w:p>
    <w:p>
      <w:pPr>
        <w:spacing w:after="0" w:line="2" w:lineRule="exact"/>
        <w:rPr>
          <w:rFonts w:ascii="Arial" w:cs="Arial" w:eastAsia="Arial" w:hAnsi="Arial"/>
          <w:sz w:val="16"/>
          <w:szCs w:val="16"/>
          <w:b w:val="1"/>
          <w:bCs w:val="1"/>
          <w:i w:val="1"/>
          <w:iCs w:val="1"/>
          <w:color w:val="auto"/>
        </w:rPr>
      </w:pPr>
    </w:p>
    <w:p>
      <w:pPr>
        <w:ind w:left="360" w:hanging="356"/>
        <w:spacing w:after="0" w:line="343" w:lineRule="auto"/>
        <w:tabs>
          <w:tab w:leader="none" w:pos="360" w:val="left"/>
        </w:tabs>
        <w:numPr>
          <w:ilvl w:val="0"/>
          <w:numId w:val="1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Includes amounts measured at fair value on a recurring basis at December 31, 2025 and 2024 of $11 and $11, respectively. Refer to Note 17 - Fair Value of Financial Assets and Liabilities for additional information regarding deferred compensation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141</w:t>
      </w:r>
    </w:p>
    <w:p>
      <w:pPr>
        <w:sectPr>
          <w:pgSz w:w="11880" w:h="15480" w:orient="portrait"/>
          <w:cols w:equalWidth="0" w:num="1">
            <w:col w:w="9960"/>
          </w:cols>
          <w:pgMar w:left="960" w:top="805" w:right="960" w:bottom="0" w:gutter="0" w:footer="0" w:header="0"/>
        </w:sectPr>
      </w:pPr>
    </w:p>
    <w:bookmarkStart w:id="151" w:name="page152"/>
    <w:bookmarkEnd w:id="151"/>
    <w:p>
      <w:pPr>
        <w:spacing w:after="0"/>
        <w:rPr>
          <w:sz w:val="20"/>
          <w:szCs w:val="20"/>
          <w:color w:val="auto"/>
        </w:rPr>
      </w:pPr>
      <w:r>
        <w:rPr>
          <w:rFonts w:ascii="Arial" w:cs="Arial" w:eastAsia="Arial" w:hAnsi="Arial"/>
          <w:sz w:val="19"/>
          <w:szCs w:val="19"/>
          <w:b w:val="1"/>
          <w:bCs w:val="1"/>
          <w:color w:val="auto"/>
        </w:rPr>
        <w:t>Benefit plans pre-tax amounts recognized in AOCL at December 31st: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b w:val="1"/>
                <w:bCs w:val="1"/>
                <w:color w:val="auto"/>
              </w:rPr>
              <w:t>Pension Benefits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6"/>
                <w:szCs w:val="16"/>
                <w:b w:val="1"/>
                <w:bCs w:val="1"/>
                <w:color w:val="auto"/>
              </w:rPr>
              <w:t>U.S. Plans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Non-U.S. Plans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6"/>
                <w:szCs w:val="16"/>
                <w:b w:val="1"/>
                <w:bCs w:val="1"/>
                <w:color w:val="auto"/>
              </w:rPr>
              <w:t>Retiree Health</w:t>
            </w:r>
          </w:p>
        </w:tc>
      </w:tr>
      <w:tr>
        <w:trPr>
          <w:trHeight w:val="213"/>
        </w:trPr>
        <w:tc>
          <w:tcPr>
            <w:tcW w:w="392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2024</w:t>
            </w:r>
          </w:p>
        </w:tc>
      </w:tr>
      <w:tr>
        <w:trPr>
          <w:trHeight w:val="223"/>
        </w:trPr>
        <w:tc>
          <w:tcPr>
            <w:tcW w:w="3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Net actuarial loss (gain)</w:t>
            </w:r>
          </w:p>
        </w:tc>
        <w:tc>
          <w:tcPr>
            <w:tcW w:w="2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640</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700</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1,344</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1,405</w:t>
            </w:r>
          </w:p>
        </w:tc>
        <w:tc>
          <w:tcPr>
            <w:tcW w:w="30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w:t>
            </w:r>
          </w:p>
        </w:tc>
        <w:tc>
          <w:tcPr>
            <w:tcW w:w="28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(63)</w:t>
            </w:r>
          </w:p>
        </w:tc>
      </w:tr>
      <w:tr>
        <w:trPr>
          <w:trHeight w:val="223"/>
        </w:trPr>
        <w:tc>
          <w:tcPr>
            <w:tcW w:w="39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Prior service cost (credit)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r>
      <w:tr>
        <w:trPr>
          <w:trHeight w:val="232"/>
        </w:trPr>
        <w:tc>
          <w:tcPr>
            <w:tcW w:w="3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loss (gain) - Pre-tax</w:t>
            </w: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640</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700</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1,530</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1,582</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(99)</w:t>
            </w:r>
          </w:p>
        </w:tc>
        <w:tc>
          <w:tcPr>
            <w:tcW w:w="8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-42545</wp:posOffset>
            </wp:positionV>
            <wp:extent cx="3859530" cy="501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3859530" cy="50165"/>
                    </a:xfrm>
                    <a:prstGeom prst="rect">
                      <a:avLst/>
                    </a:prstGeom>
                    <a:noFill/>
                  </pic:spPr>
                </pic:pic>
              </a:graphicData>
            </a:graphic>
          </wp:anchor>
        </w:drawing>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Aggregate information for pension plans with an accumulated benefit obligation in excess of plan assets is presented below. Information for Retiree Health plans with an accumulated post-retirement benefit obligation in excess of plan assets has been disclosed in the preceding table on Benefit obligations and Net funded status as all Retiree Health plans are unfunded.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6"/>
                <w:szCs w:val="16"/>
                <w:b w:val="1"/>
                <w:bCs w:val="1"/>
                <w:color w:val="auto"/>
              </w:rPr>
              <w:t>December 31, 2024</w:t>
            </w:r>
          </w:p>
        </w:tc>
      </w:tr>
      <w:tr>
        <w:trPr>
          <w:trHeight w:val="137"/>
        </w:trPr>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223"/>
              <w:spacing w:after="0" w:line="13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243"/>
              <w:spacing w:after="0" w:line="137" w:lineRule="exact"/>
              <w:rPr>
                <w:sz w:val="20"/>
                <w:szCs w:val="20"/>
                <w:color w:val="auto"/>
              </w:rPr>
            </w:pPr>
            <w:r>
              <w:rPr>
                <w:rFonts w:ascii="Arial" w:cs="Arial" w:eastAsia="Arial" w:hAnsi="Arial"/>
                <w:sz w:val="14"/>
                <w:szCs w:val="14"/>
                <w:b w:val="1"/>
                <w:bCs w:val="1"/>
                <w:color w:val="auto"/>
              </w:rPr>
              <w:t>Fair Value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223"/>
              <w:spacing w:after="0" w:line="13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243"/>
              <w:spacing w:after="0" w:line="137" w:lineRule="exact"/>
              <w:rPr>
                <w:sz w:val="20"/>
                <w:szCs w:val="20"/>
                <w:color w:val="auto"/>
              </w:rPr>
            </w:pPr>
            <w:r>
              <w:rPr>
                <w:rFonts w:ascii="Arial" w:cs="Arial" w:eastAsia="Arial" w:hAnsi="Arial"/>
                <w:sz w:val="14"/>
                <w:szCs w:val="14"/>
                <w:b w:val="1"/>
                <w:bCs w:val="1"/>
                <w:color w:val="auto"/>
              </w:rPr>
              <w:t>Fair Value of</w:t>
            </w:r>
          </w:p>
        </w:tc>
      </w:tr>
      <w:tr>
        <w:trPr>
          <w:trHeight w:val="207"/>
        </w:trPr>
        <w:tc>
          <w:tcPr>
            <w:tcW w:w="60" w:type="dxa"/>
            <w:vAlign w:val="bottom"/>
            <w:tcBorders>
              <w:bottom w:val="single" w:sz="8" w:color="E5E5E5"/>
            </w:tcBorders>
          </w:tcPr>
          <w:p>
            <w:pPr>
              <w:spacing w:after="0"/>
              <w:rPr>
                <w:sz w:val="17"/>
                <w:szCs w:val="17"/>
                <w:color w:val="auto"/>
              </w:rPr>
            </w:pPr>
          </w:p>
        </w:tc>
        <w:tc>
          <w:tcPr>
            <w:tcW w:w="1220" w:type="dxa"/>
            <w:vAlign w:val="bottom"/>
            <w:tcBorders>
              <w:bottom w:val="single" w:sz="8" w:color="E5E5E5"/>
            </w:tcBorders>
          </w:tcPr>
          <w:p>
            <w:pPr>
              <w:spacing w:after="0"/>
              <w:rPr>
                <w:sz w:val="17"/>
                <w:szCs w:val="17"/>
                <w:color w:val="auto"/>
              </w:rPr>
            </w:pPr>
          </w:p>
        </w:tc>
        <w:tc>
          <w:tcPr>
            <w:tcW w:w="240" w:type="dxa"/>
            <w:vAlign w:val="bottom"/>
            <w:tcBorders>
              <w:bottom w:val="single" w:sz="8" w:color="E5E5E5"/>
            </w:tcBorders>
          </w:tcPr>
          <w:p>
            <w:pPr>
              <w:spacing w:after="0"/>
              <w:rPr>
                <w:sz w:val="17"/>
                <w:szCs w:val="17"/>
                <w:color w:val="auto"/>
              </w:rPr>
            </w:pPr>
          </w:p>
        </w:tc>
        <w:tc>
          <w:tcPr>
            <w:tcW w:w="1500" w:type="dxa"/>
            <w:vAlign w:val="bottom"/>
            <w:tcBorders>
              <w:bottom w:val="single" w:sz="8" w:color="E5E5E5"/>
            </w:tcBorders>
          </w:tcPr>
          <w:p>
            <w:pPr>
              <w:spacing w:after="0"/>
              <w:rPr>
                <w:sz w:val="17"/>
                <w:szCs w:val="17"/>
                <w:color w:val="auto"/>
              </w:rPr>
            </w:pPr>
          </w:p>
        </w:tc>
        <w:tc>
          <w:tcPr>
            <w:tcW w:w="7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7"/>
              </w:rPr>
              <w:t>Benefit Obligation</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w w:val="99"/>
              </w:rPr>
              <w:t>Plan Assets</w:t>
            </w:r>
          </w:p>
        </w:tc>
        <w:tc>
          <w:tcPr>
            <w:tcW w:w="6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7"/>
              </w:rPr>
              <w:t>Benefit Obligation</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Plan Assets</w:t>
            </w:r>
          </w:p>
        </w:tc>
      </w:tr>
      <w:tr>
        <w:trPr>
          <w:trHeight w:val="203"/>
        </w:trPr>
        <w:tc>
          <w:tcPr>
            <w:tcW w:w="60" w:type="dxa"/>
            <w:vAlign w:val="bottom"/>
            <w:shd w:val="clear" w:color="auto" w:fill="E5E5E5"/>
          </w:tcPr>
          <w:p>
            <w:pPr>
              <w:spacing w:after="0"/>
              <w:rPr>
                <w:sz w:val="17"/>
                <w:szCs w:val="17"/>
                <w:color w:val="auto"/>
              </w:rPr>
            </w:pPr>
          </w:p>
        </w:tc>
        <w:tc>
          <w:tcPr>
            <w:tcW w:w="3680" w:type="dxa"/>
            <w:vAlign w:val="bottom"/>
            <w:gridSpan w:val="4"/>
            <w:shd w:val="clear" w:color="auto" w:fill="E5E5E5"/>
          </w:tcPr>
          <w:p>
            <w:pPr>
              <w:spacing w:after="0" w:line="174" w:lineRule="exact"/>
              <w:rPr>
                <w:sz w:val="20"/>
                <w:szCs w:val="20"/>
                <w:color w:val="auto"/>
              </w:rPr>
            </w:pPr>
            <w:r>
              <w:rPr>
                <w:rFonts w:ascii="Arial" w:cs="Arial" w:eastAsia="Arial" w:hAnsi="Arial"/>
                <w:sz w:val="16"/>
                <w:szCs w:val="16"/>
                <w:b w:val="1"/>
                <w:bCs w:val="1"/>
                <w:color w:val="auto"/>
              </w:rPr>
              <w:t>Underfunded Plans:</w:t>
            </w:r>
          </w:p>
        </w:tc>
        <w:tc>
          <w:tcPr>
            <w:tcW w:w="14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r>
      <w:tr>
        <w:trPr>
          <w:trHeight w:val="227"/>
        </w:trPr>
        <w:tc>
          <w:tcPr>
            <w:tcW w:w="60" w:type="dxa"/>
            <w:vAlign w:val="bottom"/>
            <w:tcBorders>
              <w:top w:val="single" w:sz="8" w:color="E5E5E5"/>
            </w:tcBorders>
          </w:tcPr>
          <w:p>
            <w:pPr>
              <w:spacing w:after="0"/>
              <w:rPr>
                <w:sz w:val="19"/>
                <w:szCs w:val="19"/>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U.S.</w:t>
            </w:r>
          </w:p>
        </w:tc>
        <w:tc>
          <w:tcPr>
            <w:tcW w:w="2220" w:type="dxa"/>
            <w:vAlign w:val="bottom"/>
            <w:tcBorders>
              <w:top w:val="single" w:sz="8" w:color="E5E5E5"/>
            </w:tcBorders>
            <w:gridSpan w:val="2"/>
          </w:tcPr>
          <w:p>
            <w:pPr>
              <w:spacing w:after="0"/>
              <w:rPr>
                <w:sz w:val="19"/>
                <w:szCs w:val="19"/>
                <w:color w:val="auto"/>
              </w:rPr>
            </w:pPr>
          </w:p>
        </w:tc>
        <w:tc>
          <w:tcPr>
            <w:tcW w:w="1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2,338</w:t>
            </w:r>
          </w:p>
        </w:tc>
        <w:tc>
          <w:tcPr>
            <w:tcW w:w="30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E5E5E5"/>
            </w:tcBorders>
          </w:tcPr>
          <w:p>
            <w:pPr>
              <w:jc w:val="right"/>
              <w:ind w:right="3"/>
              <w:spacing w:after="0"/>
              <w:rPr>
                <w:sz w:val="20"/>
                <w:szCs w:val="20"/>
                <w:color w:val="auto"/>
              </w:rPr>
            </w:pPr>
            <w:r>
              <w:rPr>
                <w:rFonts w:ascii="Arial" w:cs="Arial" w:eastAsia="Arial" w:hAnsi="Arial"/>
                <w:sz w:val="16"/>
                <w:szCs w:val="16"/>
                <w:b w:val="1"/>
                <w:bCs w:val="1"/>
                <w:color w:val="auto"/>
              </w:rPr>
              <w:t>1,845</w:t>
            </w:r>
          </w:p>
        </w:tc>
        <w:tc>
          <w:tcPr>
            <w:tcW w:w="200" w:type="dxa"/>
            <w:vAlign w:val="bottom"/>
            <w:tcBorders>
              <w:top w:val="single" w:sz="8" w:color="E5E5E5"/>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1,956</w:t>
            </w:r>
          </w:p>
        </w:tc>
        <w:tc>
          <w:tcPr>
            <w:tcW w:w="30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1,407</w:t>
            </w:r>
          </w:p>
        </w:tc>
      </w:tr>
      <w:tr>
        <w:trPr>
          <w:trHeight w:val="239"/>
        </w:trPr>
        <w:tc>
          <w:tcPr>
            <w:tcW w:w="60" w:type="dxa"/>
            <w:vAlign w:val="bottom"/>
            <w:shd w:val="clear" w:color="auto" w:fill="E5E5E5"/>
          </w:tcPr>
          <w:p>
            <w:pPr>
              <w:spacing w:after="0"/>
              <w:rPr>
                <w:sz w:val="20"/>
                <w:szCs w:val="20"/>
                <w:color w:val="auto"/>
              </w:rPr>
            </w:pPr>
          </w:p>
        </w:tc>
        <w:tc>
          <w:tcPr>
            <w:tcW w:w="36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Non-U.S.</w:t>
            </w: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8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165</w:t>
            </w: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r>
      <w:tr>
        <w:trPr>
          <w:trHeight w:val="233"/>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3"/>
        </w:trPr>
        <w:tc>
          <w:tcPr>
            <w:tcW w:w="60" w:type="dxa"/>
            <w:vAlign w:val="bottom"/>
            <w:shd w:val="clear" w:color="auto" w:fill="E5E5E5"/>
          </w:tcPr>
          <w:p>
            <w:pPr>
              <w:spacing w:after="0"/>
              <w:rPr>
                <w:sz w:val="18"/>
                <w:szCs w:val="18"/>
                <w:color w:val="auto"/>
              </w:rPr>
            </w:pPr>
          </w:p>
        </w:tc>
        <w:tc>
          <w:tcPr>
            <w:tcW w:w="36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Unfunded Plans:</w:t>
            </w:r>
          </w:p>
        </w:tc>
        <w:tc>
          <w:tcPr>
            <w:tcW w:w="1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r>
      <w:tr>
        <w:trPr>
          <w:trHeight w:val="227"/>
        </w:trPr>
        <w:tc>
          <w:tcPr>
            <w:tcW w:w="60" w:type="dxa"/>
            <w:vAlign w:val="bottom"/>
            <w:tcBorders>
              <w:top w:val="single" w:sz="8" w:color="E5E5E5"/>
            </w:tcBorders>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U.S.</w:t>
            </w:r>
          </w:p>
        </w:tc>
        <w:tc>
          <w:tcPr>
            <w:tcW w:w="2460" w:type="dxa"/>
            <w:vAlign w:val="bottom"/>
            <w:tcBorders>
              <w:top w:val="single" w:sz="8" w:color="E5E5E5"/>
            </w:tcBorders>
            <w:gridSpan w:val="3"/>
          </w:tcPr>
          <w:p>
            <w:pPr>
              <w:spacing w:after="0"/>
              <w:rPr>
                <w:sz w:val="19"/>
                <w:szCs w:val="19"/>
                <w:color w:val="auto"/>
              </w:rPr>
            </w:pPr>
          </w:p>
        </w:tc>
        <w:tc>
          <w:tcPr>
            <w:tcW w:w="1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225</w:t>
            </w:r>
          </w:p>
        </w:tc>
        <w:tc>
          <w:tcPr>
            <w:tcW w:w="30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E5E5E5"/>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E5E5E5"/>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220</w:t>
            </w:r>
          </w:p>
        </w:tc>
        <w:tc>
          <w:tcPr>
            <w:tcW w:w="30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39"/>
        </w:trPr>
        <w:tc>
          <w:tcPr>
            <w:tcW w:w="60" w:type="dxa"/>
            <w:vAlign w:val="bottom"/>
            <w:shd w:val="clear" w:color="auto" w:fill="E5E5E5"/>
          </w:tcPr>
          <w:p>
            <w:pPr>
              <w:spacing w:after="0"/>
              <w:rPr>
                <w:sz w:val="20"/>
                <w:szCs w:val="20"/>
                <w:color w:val="auto"/>
              </w:rPr>
            </w:pPr>
          </w:p>
        </w:tc>
        <w:tc>
          <w:tcPr>
            <w:tcW w:w="36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Non-U.S.</w:t>
            </w: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263</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8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286</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3"/>
        </w:trPr>
        <w:tc>
          <w:tcPr>
            <w:tcW w:w="60" w:type="dxa"/>
            <w:vAlign w:val="bottom"/>
            <w:shd w:val="clear" w:color="auto" w:fill="E5E5E5"/>
          </w:tcPr>
          <w:p>
            <w:pPr>
              <w:spacing w:after="0"/>
              <w:rPr>
                <w:sz w:val="18"/>
                <w:szCs w:val="18"/>
                <w:color w:val="auto"/>
              </w:rPr>
            </w:pPr>
          </w:p>
        </w:tc>
        <w:tc>
          <w:tcPr>
            <w:tcW w:w="36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Total Underfunded and Unfunded Plans:</w:t>
            </w:r>
          </w:p>
        </w:tc>
        <w:tc>
          <w:tcPr>
            <w:tcW w:w="1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r>
      <w:tr>
        <w:trPr>
          <w:trHeight w:val="227"/>
        </w:trPr>
        <w:tc>
          <w:tcPr>
            <w:tcW w:w="60" w:type="dxa"/>
            <w:vAlign w:val="bottom"/>
            <w:tcBorders>
              <w:top w:val="single" w:sz="8" w:color="E5E5E5"/>
            </w:tcBorders>
          </w:tcPr>
          <w:p>
            <w:pPr>
              <w:spacing w:after="0"/>
              <w:rPr>
                <w:sz w:val="19"/>
                <w:szCs w:val="19"/>
                <w:color w:val="auto"/>
              </w:rPr>
            </w:pPr>
          </w:p>
        </w:tc>
        <w:tc>
          <w:tcPr>
            <w:tcW w:w="296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U.S.</w:t>
            </w:r>
          </w:p>
        </w:tc>
        <w:tc>
          <w:tcPr>
            <w:tcW w:w="720" w:type="dxa"/>
            <w:vAlign w:val="bottom"/>
            <w:tcBorders>
              <w:top w:val="single" w:sz="8" w:color="E5E5E5"/>
            </w:tcBorders>
          </w:tcPr>
          <w:p>
            <w:pPr>
              <w:spacing w:after="0"/>
              <w:rPr>
                <w:sz w:val="19"/>
                <w:szCs w:val="19"/>
                <w:color w:val="auto"/>
              </w:rPr>
            </w:pPr>
          </w:p>
        </w:tc>
        <w:tc>
          <w:tcPr>
            <w:tcW w:w="1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2,563</w:t>
            </w:r>
          </w:p>
        </w:tc>
        <w:tc>
          <w:tcPr>
            <w:tcW w:w="30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E5E5E5"/>
            </w:tcBorders>
          </w:tcPr>
          <w:p>
            <w:pPr>
              <w:jc w:val="right"/>
              <w:ind w:right="3"/>
              <w:spacing w:after="0"/>
              <w:rPr>
                <w:sz w:val="20"/>
                <w:szCs w:val="20"/>
                <w:color w:val="auto"/>
              </w:rPr>
            </w:pPr>
            <w:r>
              <w:rPr>
                <w:rFonts w:ascii="Arial" w:cs="Arial" w:eastAsia="Arial" w:hAnsi="Arial"/>
                <w:sz w:val="16"/>
                <w:szCs w:val="16"/>
                <w:b w:val="1"/>
                <w:bCs w:val="1"/>
                <w:color w:val="auto"/>
              </w:rPr>
              <w:t>1,845</w:t>
            </w:r>
          </w:p>
        </w:tc>
        <w:tc>
          <w:tcPr>
            <w:tcW w:w="200" w:type="dxa"/>
            <w:vAlign w:val="bottom"/>
            <w:tcBorders>
              <w:top w:val="single" w:sz="8" w:color="E5E5E5"/>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2,176</w:t>
            </w:r>
          </w:p>
        </w:tc>
        <w:tc>
          <w:tcPr>
            <w:tcW w:w="30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1,407</w:t>
            </w: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3680" w:type="dxa"/>
            <w:vAlign w:val="bottom"/>
            <w:tcBorders>
              <w:bottom w:val="single" w:sz="8" w:color="E5E5E5"/>
            </w:tcBorders>
            <w:gridSpan w:val="4"/>
            <w:shd w:val="clear" w:color="auto" w:fill="E5E5E5"/>
          </w:tcPr>
          <w:p>
            <w:pPr>
              <w:spacing w:after="0"/>
              <w:rPr>
                <w:sz w:val="20"/>
                <w:szCs w:val="20"/>
                <w:color w:val="auto"/>
              </w:rPr>
            </w:pPr>
            <w:r>
              <w:rPr>
                <w:rFonts w:ascii="Arial" w:cs="Arial" w:eastAsia="Arial" w:hAnsi="Arial"/>
                <w:sz w:val="16"/>
                <w:szCs w:val="16"/>
                <w:b w:val="1"/>
                <w:bCs w:val="1"/>
                <w:color w:val="auto"/>
              </w:rPr>
              <w:t>Non-U.S.</w:t>
            </w:r>
          </w:p>
        </w:tc>
        <w:tc>
          <w:tcPr>
            <w:tcW w:w="140" w:type="dxa"/>
            <w:vAlign w:val="bottom"/>
            <w:tcBorders>
              <w:bottom w:val="single" w:sz="8" w:color="auto"/>
            </w:tcBorders>
            <w:shd w:val="clear" w:color="auto" w:fill="E5E5E5"/>
          </w:tcPr>
          <w:p>
            <w:pPr>
              <w:spacing w:after="0"/>
              <w:rPr>
                <w:sz w:val="21"/>
                <w:szCs w:val="21"/>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475</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280" w:type="dxa"/>
            <w:vAlign w:val="bottom"/>
            <w:tcBorders>
              <w:bottom w:val="single" w:sz="8" w:color="auto"/>
            </w:tcBorders>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165</w:t>
            </w:r>
          </w:p>
        </w:tc>
        <w:tc>
          <w:tcPr>
            <w:tcW w:w="6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299</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r>
      <w:tr>
        <w:trPr>
          <w:trHeight w:val="174"/>
        </w:trPr>
        <w:tc>
          <w:tcPr>
            <w:tcW w:w="60" w:type="dxa"/>
            <w:vAlign w:val="bottom"/>
          </w:tcPr>
          <w:p>
            <w:pPr>
              <w:spacing w:after="0"/>
              <w:rPr>
                <w:sz w:val="15"/>
                <w:szCs w:val="15"/>
                <w:color w:val="auto"/>
              </w:rPr>
            </w:pPr>
          </w:p>
        </w:tc>
        <w:tc>
          <w:tcPr>
            <w:tcW w:w="36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3,038</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3"/>
              <w:spacing w:after="0" w:line="175" w:lineRule="exact"/>
              <w:rPr>
                <w:sz w:val="20"/>
                <w:szCs w:val="20"/>
                <w:color w:val="auto"/>
              </w:rPr>
            </w:pPr>
            <w:r>
              <w:rPr>
                <w:rFonts w:ascii="Arial" w:cs="Arial" w:eastAsia="Arial" w:hAnsi="Arial"/>
                <w:sz w:val="16"/>
                <w:szCs w:val="16"/>
                <w:b w:val="1"/>
                <w:bCs w:val="1"/>
                <w:color w:val="auto"/>
              </w:rPr>
              <w:t>2,010</w:t>
            </w:r>
          </w:p>
        </w:tc>
        <w:tc>
          <w:tcPr>
            <w:tcW w:w="20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2,475</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1,446</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-55245</wp:posOffset>
            </wp:positionV>
            <wp:extent cx="3996055" cy="755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3996055" cy="75565"/>
                    </a:xfrm>
                    <a:prstGeom prst="rect">
                      <a:avLst/>
                    </a:prstGeom>
                    <a:noFill/>
                  </pic:spPr>
                </pic:pic>
              </a:graphicData>
            </a:graphic>
          </wp:anchor>
        </w:drawing>
      </w:r>
    </w:p>
    <w:p>
      <w:pPr>
        <w:spacing w:after="0" w:line="110" w:lineRule="exact"/>
        <w:rPr>
          <w:sz w:val="20"/>
          <w:szCs w:val="20"/>
          <w:color w:val="auto"/>
        </w:rPr>
      </w:pPr>
    </w:p>
    <w:p>
      <w:pPr>
        <w:ind w:right="360"/>
        <w:spacing w:after="0" w:line="293" w:lineRule="auto"/>
        <w:rPr>
          <w:sz w:val="20"/>
          <w:szCs w:val="20"/>
          <w:color w:val="auto"/>
        </w:rPr>
      </w:pPr>
      <w:r>
        <w:rPr>
          <w:rFonts w:ascii="Arial" w:cs="Arial" w:eastAsia="Arial" w:hAnsi="Arial"/>
          <w:sz w:val="19"/>
          <w:szCs w:val="19"/>
          <w:b w:val="1"/>
          <w:bCs w:val="1"/>
          <w:color w:val="auto"/>
        </w:rPr>
        <w:t>Aggregate information for pension plans with a projected benefit obligation in excess of plan assets is presented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4"/>
          </w:tcPr>
          <w:p>
            <w:pPr>
              <w:jc w:val="right"/>
              <w:ind w:right="763"/>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720"/>
              <w:spacing w:after="0"/>
              <w:rPr>
                <w:sz w:val="20"/>
                <w:szCs w:val="20"/>
                <w:color w:val="auto"/>
              </w:rPr>
            </w:pPr>
            <w:r>
              <w:rPr>
                <w:rFonts w:ascii="Arial" w:cs="Arial" w:eastAsia="Arial" w:hAnsi="Arial"/>
                <w:sz w:val="16"/>
                <w:szCs w:val="16"/>
                <w:b w:val="1"/>
                <w:bCs w:val="1"/>
                <w:color w:val="auto"/>
              </w:rPr>
              <w:t>December 31, 2024</w:t>
            </w:r>
          </w:p>
        </w:tc>
      </w:tr>
      <w:tr>
        <w:trPr>
          <w:trHeight w:val="137"/>
        </w:trPr>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83"/>
              <w:spacing w:after="0" w:line="137" w:lineRule="exact"/>
              <w:rPr>
                <w:sz w:val="20"/>
                <w:szCs w:val="20"/>
                <w:color w:val="auto"/>
              </w:rPr>
            </w:pPr>
            <w:r>
              <w:rPr>
                <w:rFonts w:ascii="Arial" w:cs="Arial" w:eastAsia="Arial" w:hAnsi="Arial"/>
                <w:sz w:val="14"/>
                <w:szCs w:val="14"/>
                <w:b w:val="1"/>
                <w:bCs w:val="1"/>
                <w:color w:val="auto"/>
              </w:rPr>
              <w:t>Projected Benefit</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23"/>
              <w:spacing w:after="0" w:line="137" w:lineRule="exact"/>
              <w:rPr>
                <w:sz w:val="20"/>
                <w:szCs w:val="20"/>
                <w:color w:val="auto"/>
              </w:rPr>
            </w:pPr>
            <w:r>
              <w:rPr>
                <w:rFonts w:ascii="Arial" w:cs="Arial" w:eastAsia="Arial" w:hAnsi="Arial"/>
                <w:sz w:val="14"/>
                <w:szCs w:val="14"/>
                <w:b w:val="1"/>
                <w:bCs w:val="1"/>
                <w:color w:val="auto"/>
              </w:rPr>
              <w:t>Fair Value of</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83"/>
              <w:spacing w:after="0" w:line="137" w:lineRule="exact"/>
              <w:rPr>
                <w:sz w:val="20"/>
                <w:szCs w:val="20"/>
                <w:color w:val="auto"/>
              </w:rPr>
            </w:pPr>
            <w:r>
              <w:rPr>
                <w:rFonts w:ascii="Arial" w:cs="Arial" w:eastAsia="Arial" w:hAnsi="Arial"/>
                <w:sz w:val="14"/>
                <w:szCs w:val="14"/>
                <w:b w:val="1"/>
                <w:bCs w:val="1"/>
                <w:color w:val="auto"/>
              </w:rPr>
              <w:t>Projected Benefit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43"/>
              <w:spacing w:after="0" w:line="137" w:lineRule="exact"/>
              <w:rPr>
                <w:sz w:val="20"/>
                <w:szCs w:val="20"/>
                <w:color w:val="auto"/>
              </w:rPr>
            </w:pPr>
            <w:r>
              <w:rPr>
                <w:rFonts w:ascii="Arial" w:cs="Arial" w:eastAsia="Arial" w:hAnsi="Arial"/>
                <w:sz w:val="14"/>
                <w:szCs w:val="14"/>
                <w:b w:val="1"/>
                <w:bCs w:val="1"/>
                <w:color w:val="auto"/>
              </w:rPr>
              <w:t>Fair Value of</w:t>
            </w:r>
          </w:p>
        </w:tc>
        <w:tc>
          <w:tcPr>
            <w:tcW w:w="20" w:type="dxa"/>
            <w:vAlign w:val="bottom"/>
          </w:tcPr>
          <w:p>
            <w:pPr>
              <w:spacing w:after="0"/>
              <w:rPr>
                <w:sz w:val="11"/>
                <w:szCs w:val="11"/>
                <w:color w:val="auto"/>
              </w:rPr>
            </w:pPr>
          </w:p>
        </w:tc>
      </w:tr>
      <w:tr>
        <w:trPr>
          <w:trHeight w:val="207"/>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23"/>
              <w:spacing w:after="0"/>
              <w:rPr>
                <w:sz w:val="20"/>
                <w:szCs w:val="20"/>
                <w:color w:val="auto"/>
              </w:rPr>
            </w:pPr>
            <w:r>
              <w:rPr>
                <w:rFonts w:ascii="Arial" w:cs="Arial" w:eastAsia="Arial" w:hAnsi="Arial"/>
                <w:sz w:val="16"/>
                <w:szCs w:val="16"/>
                <w:b w:val="1"/>
                <w:bCs w:val="1"/>
                <w:color w:val="auto"/>
              </w:rPr>
              <w:t>Obligation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263"/>
              <w:spacing w:after="0"/>
              <w:rPr>
                <w:sz w:val="20"/>
                <w:szCs w:val="20"/>
                <w:color w:val="auto"/>
              </w:rPr>
            </w:pPr>
            <w:r>
              <w:rPr>
                <w:rFonts w:ascii="Arial" w:cs="Arial" w:eastAsia="Arial" w:hAnsi="Arial"/>
                <w:sz w:val="16"/>
                <w:szCs w:val="16"/>
                <w:b w:val="1"/>
                <w:bCs w:val="1"/>
                <w:color w:val="auto"/>
                <w:w w:val="99"/>
              </w:rPr>
              <w:t>Plan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23"/>
              <w:spacing w:after="0"/>
              <w:rPr>
                <w:sz w:val="20"/>
                <w:szCs w:val="20"/>
                <w:color w:val="auto"/>
              </w:rPr>
            </w:pPr>
            <w:r>
              <w:rPr>
                <w:rFonts w:ascii="Arial" w:cs="Arial" w:eastAsia="Arial" w:hAnsi="Arial"/>
                <w:sz w:val="16"/>
                <w:szCs w:val="16"/>
                <w:b w:val="1"/>
                <w:bCs w:val="1"/>
                <w:color w:val="auto"/>
              </w:rPr>
              <w:t>Obligation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Plan Assets</w:t>
            </w:r>
          </w:p>
        </w:tc>
      </w:tr>
      <w:tr>
        <w:trPr>
          <w:trHeight w:val="203"/>
        </w:trPr>
        <w:tc>
          <w:tcPr>
            <w:tcW w:w="40" w:type="dxa"/>
            <w:vAlign w:val="bottom"/>
            <w:tcBorders>
              <w:top w:val="single" w:sz="8" w:color="E5E5E5"/>
              <w:bottom w:val="single" w:sz="8" w:color="E5E5E5"/>
            </w:tcBorders>
            <w:shd w:val="clear" w:color="auto" w:fill="E5E5E5"/>
          </w:tcPr>
          <w:p>
            <w:pPr>
              <w:spacing w:after="0"/>
              <w:rPr>
                <w:sz w:val="17"/>
                <w:szCs w:val="17"/>
                <w:color w:val="auto"/>
              </w:rPr>
            </w:pPr>
          </w:p>
        </w:tc>
        <w:tc>
          <w:tcPr>
            <w:tcW w:w="1480" w:type="dxa"/>
            <w:vAlign w:val="bottom"/>
            <w:tcBorders>
              <w:top w:val="single" w:sz="8" w:color="E5E5E5"/>
              <w:bottom w:val="single" w:sz="8" w:color="auto"/>
            </w:tcBorders>
            <w:gridSpan w:val="2"/>
            <w:shd w:val="clear" w:color="auto" w:fill="E5E5E5"/>
          </w:tcPr>
          <w:p>
            <w:pPr>
              <w:spacing w:after="0" w:line="174" w:lineRule="exact"/>
              <w:rPr>
                <w:sz w:val="20"/>
                <w:szCs w:val="20"/>
                <w:color w:val="auto"/>
              </w:rPr>
            </w:pPr>
            <w:r>
              <w:rPr>
                <w:rFonts w:ascii="Arial" w:cs="Arial" w:eastAsia="Arial" w:hAnsi="Arial"/>
                <w:sz w:val="16"/>
                <w:szCs w:val="16"/>
                <w:b w:val="1"/>
                <w:bCs w:val="1"/>
                <w:color w:val="auto"/>
                <w:w w:val="96"/>
              </w:rPr>
              <w:t>Underfunded Plans:</w:t>
            </w:r>
          </w:p>
        </w:tc>
        <w:tc>
          <w:tcPr>
            <w:tcW w:w="2200" w:type="dxa"/>
            <w:vAlign w:val="bottom"/>
            <w:tcBorders>
              <w:top w:val="single" w:sz="8" w:color="E5E5E5"/>
              <w:bottom w:val="single" w:sz="8" w:color="E5E5E5"/>
            </w:tcBorders>
            <w:gridSpan w:val="2"/>
            <w:shd w:val="clear" w:color="auto" w:fill="E5E5E5"/>
          </w:tcPr>
          <w:p>
            <w:pPr>
              <w:spacing w:after="0"/>
              <w:rPr>
                <w:sz w:val="17"/>
                <w:szCs w:val="17"/>
                <w:color w:val="auto"/>
              </w:rPr>
            </w:pPr>
          </w:p>
        </w:tc>
        <w:tc>
          <w:tcPr>
            <w:tcW w:w="140" w:type="dxa"/>
            <w:vAlign w:val="bottom"/>
            <w:tcBorders>
              <w:top w:val="single" w:sz="8" w:color="auto"/>
              <w:bottom w:val="single" w:sz="8" w:color="E5E5E5"/>
            </w:tcBorders>
            <w:shd w:val="clear" w:color="auto" w:fill="E5E5E5"/>
          </w:tcPr>
          <w:p>
            <w:pPr>
              <w:spacing w:after="0"/>
              <w:rPr>
                <w:sz w:val="17"/>
                <w:szCs w:val="17"/>
                <w:color w:val="auto"/>
              </w:rPr>
            </w:pPr>
          </w:p>
        </w:tc>
        <w:tc>
          <w:tcPr>
            <w:tcW w:w="1360" w:type="dxa"/>
            <w:vAlign w:val="bottom"/>
            <w:tcBorders>
              <w:top w:val="single" w:sz="8" w:color="auto"/>
              <w:bottom w:val="single" w:sz="8" w:color="E5E5E5"/>
            </w:tcBorders>
            <w:shd w:val="clear" w:color="auto" w:fill="E5E5E5"/>
          </w:tcPr>
          <w:p>
            <w:pPr>
              <w:spacing w:after="0"/>
              <w:rPr>
                <w:sz w:val="17"/>
                <w:szCs w:val="17"/>
                <w:color w:val="auto"/>
              </w:rPr>
            </w:pPr>
          </w:p>
        </w:tc>
        <w:tc>
          <w:tcPr>
            <w:tcW w:w="60" w:type="dxa"/>
            <w:vAlign w:val="bottom"/>
            <w:tcBorders>
              <w:top w:val="single" w:sz="8" w:color="E5E5E5"/>
              <w:bottom w:val="single" w:sz="8" w:color="E5E5E5"/>
            </w:tcBorders>
            <w:shd w:val="clear" w:color="auto" w:fill="E5E5E5"/>
          </w:tcPr>
          <w:p>
            <w:pPr>
              <w:spacing w:after="0"/>
              <w:rPr>
                <w:sz w:val="17"/>
                <w:szCs w:val="17"/>
                <w:color w:val="auto"/>
              </w:rPr>
            </w:pPr>
          </w:p>
        </w:tc>
        <w:tc>
          <w:tcPr>
            <w:tcW w:w="240" w:type="dxa"/>
            <w:vAlign w:val="bottom"/>
            <w:tcBorders>
              <w:top w:val="single" w:sz="8" w:color="auto"/>
              <w:bottom w:val="single" w:sz="8" w:color="E5E5E5"/>
            </w:tcBorders>
            <w:shd w:val="clear" w:color="auto" w:fill="E5E5E5"/>
          </w:tcPr>
          <w:p>
            <w:pPr>
              <w:spacing w:after="0"/>
              <w:rPr>
                <w:sz w:val="17"/>
                <w:szCs w:val="17"/>
                <w:color w:val="auto"/>
              </w:rPr>
            </w:pPr>
          </w:p>
        </w:tc>
        <w:tc>
          <w:tcPr>
            <w:tcW w:w="1260" w:type="dxa"/>
            <w:vAlign w:val="bottom"/>
            <w:tcBorders>
              <w:top w:val="single" w:sz="8" w:color="auto"/>
              <w:bottom w:val="single" w:sz="8" w:color="E5E5E5"/>
            </w:tcBorders>
            <w:shd w:val="clear" w:color="auto" w:fill="E5E5E5"/>
          </w:tcPr>
          <w:p>
            <w:pPr>
              <w:spacing w:after="0"/>
              <w:rPr>
                <w:sz w:val="17"/>
                <w:szCs w:val="17"/>
                <w:color w:val="auto"/>
              </w:rPr>
            </w:pPr>
          </w:p>
        </w:tc>
        <w:tc>
          <w:tcPr>
            <w:tcW w:w="80" w:type="dxa"/>
            <w:vAlign w:val="bottom"/>
            <w:tcBorders>
              <w:top w:val="single" w:sz="8" w:color="E5E5E5"/>
              <w:bottom w:val="single" w:sz="8" w:color="E5E5E5"/>
            </w:tcBorders>
            <w:shd w:val="clear" w:color="auto" w:fill="E5E5E5"/>
          </w:tcPr>
          <w:p>
            <w:pPr>
              <w:spacing w:after="0"/>
              <w:rPr>
                <w:sz w:val="17"/>
                <w:szCs w:val="17"/>
                <w:color w:val="auto"/>
              </w:rPr>
            </w:pPr>
          </w:p>
        </w:tc>
        <w:tc>
          <w:tcPr>
            <w:tcW w:w="140" w:type="dxa"/>
            <w:vAlign w:val="bottom"/>
            <w:tcBorders>
              <w:top w:val="single" w:sz="8" w:color="auto"/>
              <w:bottom w:val="single" w:sz="8" w:color="E5E5E5"/>
            </w:tcBorders>
            <w:shd w:val="clear" w:color="auto" w:fill="E5E5E5"/>
          </w:tcPr>
          <w:p>
            <w:pPr>
              <w:spacing w:after="0"/>
              <w:rPr>
                <w:sz w:val="17"/>
                <w:szCs w:val="17"/>
                <w:color w:val="auto"/>
              </w:rPr>
            </w:pPr>
          </w:p>
        </w:tc>
        <w:tc>
          <w:tcPr>
            <w:tcW w:w="1360" w:type="dxa"/>
            <w:vAlign w:val="bottom"/>
            <w:tcBorders>
              <w:top w:val="single" w:sz="8" w:color="auto"/>
              <w:bottom w:val="single" w:sz="8" w:color="E5E5E5"/>
            </w:tcBorders>
            <w:shd w:val="clear" w:color="auto" w:fill="E5E5E5"/>
          </w:tcPr>
          <w:p>
            <w:pPr>
              <w:spacing w:after="0"/>
              <w:rPr>
                <w:sz w:val="17"/>
                <w:szCs w:val="17"/>
                <w:color w:val="auto"/>
              </w:rPr>
            </w:pPr>
          </w:p>
        </w:tc>
        <w:tc>
          <w:tcPr>
            <w:tcW w:w="80" w:type="dxa"/>
            <w:vAlign w:val="bottom"/>
            <w:tcBorders>
              <w:top w:val="single" w:sz="8" w:color="E5E5E5"/>
              <w:bottom w:val="single" w:sz="8" w:color="E5E5E5"/>
            </w:tcBorders>
            <w:shd w:val="clear" w:color="auto" w:fill="E5E5E5"/>
          </w:tcPr>
          <w:p>
            <w:pPr>
              <w:spacing w:after="0"/>
              <w:rPr>
                <w:sz w:val="17"/>
                <w:szCs w:val="17"/>
                <w:color w:val="auto"/>
              </w:rPr>
            </w:pPr>
          </w:p>
        </w:tc>
        <w:tc>
          <w:tcPr>
            <w:tcW w:w="220" w:type="dxa"/>
            <w:vAlign w:val="bottom"/>
            <w:tcBorders>
              <w:top w:val="single" w:sz="8" w:color="auto"/>
              <w:bottom w:val="single" w:sz="8" w:color="E5E5E5"/>
            </w:tcBorders>
            <w:shd w:val="clear" w:color="auto" w:fill="E5E5E5"/>
          </w:tcPr>
          <w:p>
            <w:pPr>
              <w:spacing w:after="0"/>
              <w:rPr>
                <w:sz w:val="17"/>
                <w:szCs w:val="17"/>
                <w:color w:val="auto"/>
              </w:rPr>
            </w:pPr>
          </w:p>
        </w:tc>
        <w:tc>
          <w:tcPr>
            <w:tcW w:w="1260" w:type="dxa"/>
            <w:vAlign w:val="bottom"/>
            <w:tcBorders>
              <w:top w:val="single" w:sz="8" w:color="auto"/>
              <w:bottom w:val="single" w:sz="8" w:color="E5E5E5"/>
            </w:tcBorders>
            <w:shd w:val="clear" w:color="auto" w:fill="E5E5E5"/>
          </w:tcPr>
          <w:p>
            <w:pPr>
              <w:spacing w:after="0"/>
              <w:rPr>
                <w:sz w:val="17"/>
                <w:szCs w:val="17"/>
                <w:color w:val="auto"/>
              </w:rPr>
            </w:pP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6"/>
                <w:szCs w:val="16"/>
                <w:b w:val="1"/>
                <w:bCs w:val="1"/>
                <w:color w:val="auto"/>
              </w:rPr>
              <w:t>U.S.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
              <w:spacing w:after="0"/>
              <w:rPr>
                <w:sz w:val="20"/>
                <w:szCs w:val="20"/>
                <w:color w:val="auto"/>
              </w:rPr>
            </w:pPr>
            <w:r>
              <w:rPr>
                <w:rFonts w:ascii="Arial" w:cs="Arial" w:eastAsia="Arial" w:hAnsi="Arial"/>
                <w:sz w:val="16"/>
                <w:szCs w:val="16"/>
                <w:b w:val="1"/>
                <w:bCs w:val="1"/>
                <w:color w:val="auto"/>
              </w:rPr>
              <w:t>2,338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1,845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1,956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1,407</w:t>
            </w:r>
          </w:p>
        </w:tc>
        <w:tc>
          <w:tcPr>
            <w:tcW w:w="20" w:type="dxa"/>
            <w:vAlign w:val="bottom"/>
          </w:tcPr>
          <w:p>
            <w:pPr>
              <w:spacing w:after="0"/>
              <w:rPr>
                <w:sz w:val="19"/>
                <w:szCs w:val="19"/>
                <w:color w:val="auto"/>
              </w:rPr>
            </w:pPr>
          </w:p>
        </w:tc>
      </w:tr>
      <w:tr>
        <w:trPr>
          <w:trHeight w:val="239"/>
        </w:trPr>
        <w:tc>
          <w:tcPr>
            <w:tcW w:w="40" w:type="dxa"/>
            <w:vAlign w:val="bottom"/>
            <w:shd w:val="clear" w:color="auto" w:fill="E5E5E5"/>
          </w:tcPr>
          <w:p>
            <w:pPr>
              <w:spacing w:after="0"/>
              <w:rPr>
                <w:sz w:val="20"/>
                <w:szCs w:val="20"/>
                <w:color w:val="auto"/>
              </w:rPr>
            </w:pPr>
          </w:p>
        </w:tc>
        <w:tc>
          <w:tcPr>
            <w:tcW w:w="36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Non-U.S.</w:t>
            </w: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225</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20" w:type="dxa"/>
            <w:vAlign w:val="bottom"/>
            <w:shd w:val="clear" w:color="auto" w:fill="E5E5E5"/>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3"/>
        </w:trPr>
        <w:tc>
          <w:tcPr>
            <w:tcW w:w="40" w:type="dxa"/>
            <w:vAlign w:val="bottom"/>
            <w:tcBorders>
              <w:bottom w:val="single" w:sz="8" w:color="E5E5E5"/>
            </w:tcBorders>
            <w:shd w:val="clear" w:color="auto" w:fill="E5E5E5"/>
          </w:tcPr>
          <w:p>
            <w:pPr>
              <w:spacing w:after="0"/>
              <w:rPr>
                <w:sz w:val="18"/>
                <w:szCs w:val="18"/>
                <w:color w:val="auto"/>
              </w:rPr>
            </w:pPr>
          </w:p>
        </w:tc>
        <w:tc>
          <w:tcPr>
            <w:tcW w:w="1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w w:val="95"/>
              </w:rPr>
              <w:t>Unfunded Plans:</w:t>
            </w:r>
          </w:p>
        </w:tc>
        <w:tc>
          <w:tcPr>
            <w:tcW w:w="2440" w:type="dxa"/>
            <w:vAlign w:val="bottom"/>
            <w:tcBorders>
              <w:bottom w:val="single" w:sz="8" w:color="E5E5E5"/>
            </w:tcBorders>
            <w:gridSpan w:val="3"/>
            <w:shd w:val="clear" w:color="auto" w:fill="E5E5E5"/>
          </w:tcPr>
          <w:p>
            <w:pPr>
              <w:spacing w:after="0"/>
              <w:rPr>
                <w:sz w:val="18"/>
                <w:szCs w:val="18"/>
                <w:color w:val="auto"/>
              </w:rPr>
            </w:pPr>
          </w:p>
        </w:tc>
        <w:tc>
          <w:tcPr>
            <w:tcW w:w="140" w:type="dxa"/>
            <w:vAlign w:val="bottom"/>
            <w:tcBorders>
              <w:bottom w:val="single" w:sz="8" w:color="E5E5E5"/>
            </w:tcBorders>
            <w:shd w:val="clear" w:color="auto" w:fill="E5E5E5"/>
          </w:tcPr>
          <w:p>
            <w:pPr>
              <w:spacing w:after="0"/>
              <w:rPr>
                <w:sz w:val="18"/>
                <w:szCs w:val="18"/>
                <w:color w:val="auto"/>
              </w:rPr>
            </w:pPr>
          </w:p>
        </w:tc>
        <w:tc>
          <w:tcPr>
            <w:tcW w:w="136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E5E5E5"/>
            </w:tcBorders>
            <w:shd w:val="clear" w:color="auto" w:fill="E5E5E5"/>
          </w:tcPr>
          <w:p>
            <w:pPr>
              <w:spacing w:after="0"/>
              <w:rPr>
                <w:sz w:val="18"/>
                <w:szCs w:val="18"/>
                <w:color w:val="auto"/>
              </w:rPr>
            </w:pPr>
          </w:p>
        </w:tc>
        <w:tc>
          <w:tcPr>
            <w:tcW w:w="1260" w:type="dxa"/>
            <w:vAlign w:val="bottom"/>
            <w:tcBorders>
              <w:bottom w:val="single" w:sz="8" w:color="E5E5E5"/>
            </w:tcBorders>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E5E5E5"/>
            </w:tcBorders>
            <w:shd w:val="clear" w:color="auto" w:fill="E5E5E5"/>
          </w:tcPr>
          <w:p>
            <w:pPr>
              <w:spacing w:after="0"/>
              <w:rPr>
                <w:sz w:val="18"/>
                <w:szCs w:val="18"/>
                <w:color w:val="auto"/>
              </w:rPr>
            </w:pPr>
          </w:p>
        </w:tc>
        <w:tc>
          <w:tcPr>
            <w:tcW w:w="1360" w:type="dxa"/>
            <w:vAlign w:val="bottom"/>
            <w:tcBorders>
              <w:bottom w:val="single" w:sz="8" w:color="E5E5E5"/>
            </w:tcBorders>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1260" w:type="dxa"/>
            <w:vAlign w:val="bottom"/>
            <w:tcBorders>
              <w:bottom w:val="single" w:sz="8" w:color="E5E5E5"/>
            </w:tcBorders>
            <w:shd w:val="clear" w:color="auto" w:fill="E5E5E5"/>
          </w:tcPr>
          <w:p>
            <w:pPr>
              <w:spacing w:after="0"/>
              <w:rPr>
                <w:sz w:val="18"/>
                <w:szCs w:val="18"/>
                <w:color w:val="auto"/>
              </w:rPr>
            </w:pPr>
          </w:p>
        </w:tc>
        <w:tc>
          <w:tcPr>
            <w:tcW w:w="20" w:type="dxa"/>
            <w:vAlign w:val="bottom"/>
            <w:tcBorders>
              <w:bottom w:val="single" w:sz="8" w:color="E5E5E5"/>
            </w:tcBorders>
            <w:shd w:val="clear" w:color="auto" w:fill="E5E5E5"/>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6"/>
                <w:szCs w:val="16"/>
                <w:b w:val="1"/>
                <w:bCs w:val="1"/>
                <w:color w:val="auto"/>
              </w:rPr>
              <w:t>U.S.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
              <w:spacing w:after="0"/>
              <w:rPr>
                <w:sz w:val="20"/>
                <w:szCs w:val="20"/>
                <w:color w:val="auto"/>
              </w:rPr>
            </w:pPr>
            <w:r>
              <w:rPr>
                <w:rFonts w:ascii="Arial" w:cs="Arial" w:eastAsia="Arial" w:hAnsi="Arial"/>
                <w:sz w:val="16"/>
                <w:szCs w:val="16"/>
                <w:b w:val="1"/>
                <w:bCs w:val="1"/>
                <w:color w:val="auto"/>
              </w:rPr>
              <w:t>225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239"/>
        </w:trPr>
        <w:tc>
          <w:tcPr>
            <w:tcW w:w="40" w:type="dxa"/>
            <w:vAlign w:val="bottom"/>
            <w:shd w:val="clear" w:color="auto" w:fill="E5E5E5"/>
          </w:tcPr>
          <w:p>
            <w:pPr>
              <w:spacing w:after="0"/>
              <w:rPr>
                <w:sz w:val="20"/>
                <w:szCs w:val="20"/>
                <w:color w:val="auto"/>
              </w:rPr>
            </w:pPr>
          </w:p>
        </w:tc>
        <w:tc>
          <w:tcPr>
            <w:tcW w:w="36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Non-U.S.</w:t>
            </w: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267</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233"/>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3"/>
        </w:trPr>
        <w:tc>
          <w:tcPr>
            <w:tcW w:w="40" w:type="dxa"/>
            <w:vAlign w:val="bottom"/>
            <w:tcBorders>
              <w:bottom w:val="single" w:sz="8" w:color="E5E5E5"/>
            </w:tcBorders>
            <w:shd w:val="clear" w:color="auto" w:fill="E5E5E5"/>
          </w:tcPr>
          <w:p>
            <w:pPr>
              <w:spacing w:after="0"/>
              <w:rPr>
                <w:sz w:val="18"/>
                <w:szCs w:val="18"/>
                <w:color w:val="auto"/>
              </w:rPr>
            </w:pPr>
          </w:p>
        </w:tc>
        <w:tc>
          <w:tcPr>
            <w:tcW w:w="298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6"/>
                <w:szCs w:val="16"/>
                <w:b w:val="1"/>
                <w:bCs w:val="1"/>
                <w:color w:val="auto"/>
                <w:w w:val="96"/>
              </w:rPr>
              <w:t>Total Underfunded and Unfunded Plans:</w:t>
            </w:r>
          </w:p>
        </w:tc>
        <w:tc>
          <w:tcPr>
            <w:tcW w:w="70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E5E5E5"/>
            </w:tcBorders>
            <w:shd w:val="clear" w:color="auto" w:fill="E5E5E5"/>
          </w:tcPr>
          <w:p>
            <w:pPr>
              <w:spacing w:after="0"/>
              <w:rPr>
                <w:sz w:val="18"/>
                <w:szCs w:val="18"/>
                <w:color w:val="auto"/>
              </w:rPr>
            </w:pPr>
          </w:p>
        </w:tc>
        <w:tc>
          <w:tcPr>
            <w:tcW w:w="1360" w:type="dxa"/>
            <w:vAlign w:val="bottom"/>
            <w:tcBorders>
              <w:bottom w:val="single" w:sz="8" w:color="E5E5E5"/>
            </w:tcBorders>
            <w:shd w:val="clear" w:color="auto" w:fill="E5E5E5"/>
          </w:tcPr>
          <w:p>
            <w:pPr>
              <w:spacing w:after="0"/>
              <w:rPr>
                <w:sz w:val="18"/>
                <w:szCs w:val="18"/>
                <w:color w:val="auto"/>
              </w:rPr>
            </w:pPr>
          </w:p>
        </w:tc>
        <w:tc>
          <w:tcPr>
            <w:tcW w:w="6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E5E5E5"/>
            </w:tcBorders>
            <w:shd w:val="clear" w:color="auto" w:fill="E5E5E5"/>
          </w:tcPr>
          <w:p>
            <w:pPr>
              <w:spacing w:after="0"/>
              <w:rPr>
                <w:sz w:val="18"/>
                <w:szCs w:val="18"/>
                <w:color w:val="auto"/>
              </w:rPr>
            </w:pPr>
          </w:p>
        </w:tc>
        <w:tc>
          <w:tcPr>
            <w:tcW w:w="1260" w:type="dxa"/>
            <w:vAlign w:val="bottom"/>
            <w:tcBorders>
              <w:bottom w:val="single" w:sz="8" w:color="E5E5E5"/>
            </w:tcBorders>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E5E5E5"/>
            </w:tcBorders>
            <w:shd w:val="clear" w:color="auto" w:fill="E5E5E5"/>
          </w:tcPr>
          <w:p>
            <w:pPr>
              <w:spacing w:after="0"/>
              <w:rPr>
                <w:sz w:val="18"/>
                <w:szCs w:val="18"/>
                <w:color w:val="auto"/>
              </w:rPr>
            </w:pPr>
          </w:p>
        </w:tc>
        <w:tc>
          <w:tcPr>
            <w:tcW w:w="1360" w:type="dxa"/>
            <w:vAlign w:val="bottom"/>
            <w:tcBorders>
              <w:bottom w:val="single" w:sz="8" w:color="E5E5E5"/>
            </w:tcBorders>
            <w:shd w:val="clear" w:color="auto" w:fill="E5E5E5"/>
          </w:tcPr>
          <w:p>
            <w:pPr>
              <w:spacing w:after="0"/>
              <w:rPr>
                <w:sz w:val="18"/>
                <w:szCs w:val="18"/>
                <w:color w:val="auto"/>
              </w:rPr>
            </w:pPr>
          </w:p>
        </w:tc>
        <w:tc>
          <w:tcPr>
            <w:tcW w:w="8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E5E5E5"/>
            </w:tcBorders>
            <w:shd w:val="clear" w:color="auto" w:fill="E5E5E5"/>
          </w:tcPr>
          <w:p>
            <w:pPr>
              <w:spacing w:after="0"/>
              <w:rPr>
                <w:sz w:val="18"/>
                <w:szCs w:val="18"/>
                <w:color w:val="auto"/>
              </w:rPr>
            </w:pPr>
          </w:p>
        </w:tc>
        <w:tc>
          <w:tcPr>
            <w:tcW w:w="1260" w:type="dxa"/>
            <w:vAlign w:val="bottom"/>
            <w:tcBorders>
              <w:bottom w:val="single" w:sz="8" w:color="E5E5E5"/>
            </w:tcBorders>
            <w:shd w:val="clear" w:color="auto" w:fill="E5E5E5"/>
          </w:tcPr>
          <w:p>
            <w:pPr>
              <w:spacing w:after="0"/>
              <w:rPr>
                <w:sz w:val="18"/>
                <w:szCs w:val="18"/>
                <w:color w:val="auto"/>
              </w:rPr>
            </w:pPr>
          </w:p>
        </w:tc>
        <w:tc>
          <w:tcPr>
            <w:tcW w:w="20" w:type="dxa"/>
            <w:vAlign w:val="bottom"/>
            <w:tcBorders>
              <w:bottom w:val="single" w:sz="8" w:color="E5E5E5"/>
            </w:tcBorders>
            <w:shd w:val="clear" w:color="auto" w:fill="E5E5E5"/>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6"/>
                <w:szCs w:val="16"/>
                <w:b w:val="1"/>
                <w:bCs w:val="1"/>
                <w:color w:val="auto"/>
              </w:rPr>
              <w:t>U.S.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
              <w:spacing w:after="0"/>
              <w:rPr>
                <w:sz w:val="20"/>
                <w:szCs w:val="20"/>
                <w:color w:val="auto"/>
              </w:rPr>
            </w:pPr>
            <w:r>
              <w:rPr>
                <w:rFonts w:ascii="Arial" w:cs="Arial" w:eastAsia="Arial" w:hAnsi="Arial"/>
                <w:sz w:val="16"/>
                <w:szCs w:val="16"/>
                <w:b w:val="1"/>
                <w:bCs w:val="1"/>
                <w:color w:val="auto"/>
              </w:rPr>
              <w:t>2,563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1,845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2,176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1,407</w:t>
            </w:r>
          </w:p>
        </w:tc>
        <w:tc>
          <w:tcPr>
            <w:tcW w:w="20" w:type="dxa"/>
            <w:vAlign w:val="bottom"/>
          </w:tcPr>
          <w:p>
            <w:pPr>
              <w:spacing w:after="0"/>
              <w:rPr>
                <w:sz w:val="19"/>
                <w:szCs w:val="19"/>
                <w:color w:val="auto"/>
              </w:rPr>
            </w:pPr>
          </w:p>
        </w:tc>
      </w:tr>
      <w:tr>
        <w:trPr>
          <w:trHeight w:val="248"/>
        </w:trPr>
        <w:tc>
          <w:tcPr>
            <w:tcW w:w="40" w:type="dxa"/>
            <w:vAlign w:val="bottom"/>
            <w:tcBorders>
              <w:bottom w:val="single" w:sz="8" w:color="E5E5E5"/>
            </w:tcBorders>
            <w:shd w:val="clear" w:color="auto" w:fill="E5E5E5"/>
          </w:tcPr>
          <w:p>
            <w:pPr>
              <w:spacing w:after="0"/>
              <w:rPr>
                <w:sz w:val="21"/>
                <w:szCs w:val="21"/>
                <w:color w:val="auto"/>
              </w:rPr>
            </w:pPr>
          </w:p>
        </w:tc>
        <w:tc>
          <w:tcPr>
            <w:tcW w:w="3680" w:type="dxa"/>
            <w:vAlign w:val="bottom"/>
            <w:tcBorders>
              <w:bottom w:val="single" w:sz="8" w:color="E5E5E5"/>
            </w:tcBorders>
            <w:gridSpan w:val="4"/>
            <w:shd w:val="clear" w:color="auto" w:fill="E5E5E5"/>
          </w:tcPr>
          <w:p>
            <w:pPr>
              <w:spacing w:after="0"/>
              <w:rPr>
                <w:sz w:val="20"/>
                <w:szCs w:val="20"/>
                <w:color w:val="auto"/>
              </w:rPr>
            </w:pPr>
            <w:r>
              <w:rPr>
                <w:rFonts w:ascii="Arial" w:cs="Arial" w:eastAsia="Arial" w:hAnsi="Arial"/>
                <w:sz w:val="16"/>
                <w:szCs w:val="16"/>
                <w:b w:val="1"/>
                <w:bCs w:val="1"/>
                <w:color w:val="auto"/>
              </w:rPr>
              <w:t>Non-U.S.</w:t>
            </w:r>
          </w:p>
        </w:tc>
        <w:tc>
          <w:tcPr>
            <w:tcW w:w="140" w:type="dxa"/>
            <w:vAlign w:val="bottom"/>
            <w:tcBorders>
              <w:bottom w:val="single" w:sz="8" w:color="auto"/>
            </w:tcBorders>
            <w:shd w:val="clear" w:color="auto" w:fill="E5E5E5"/>
          </w:tcPr>
          <w:p>
            <w:pPr>
              <w:spacing w:after="0"/>
              <w:rPr>
                <w:sz w:val="21"/>
                <w:szCs w:val="21"/>
                <w:color w:val="auto"/>
              </w:rPr>
            </w:pPr>
          </w:p>
        </w:tc>
        <w:tc>
          <w:tcPr>
            <w:tcW w:w="1360" w:type="dxa"/>
            <w:vAlign w:val="bottom"/>
            <w:tcBorders>
              <w:bottom w:val="single" w:sz="8" w:color="auto"/>
            </w:tcBorders>
            <w:shd w:val="clear" w:color="auto" w:fill="E5E5E5"/>
          </w:tcPr>
          <w:p>
            <w:pPr>
              <w:jc w:val="right"/>
              <w:ind w:right="3"/>
              <w:spacing w:after="0"/>
              <w:rPr>
                <w:sz w:val="20"/>
                <w:szCs w:val="20"/>
                <w:color w:val="auto"/>
              </w:rPr>
            </w:pPr>
            <w:r>
              <w:rPr>
                <w:rFonts w:ascii="Arial" w:cs="Arial" w:eastAsia="Arial" w:hAnsi="Arial"/>
                <w:sz w:val="16"/>
                <w:szCs w:val="16"/>
                <w:b w:val="1"/>
                <w:bCs w:val="1"/>
                <w:color w:val="auto"/>
              </w:rPr>
              <w:t>492</w:t>
            </w:r>
          </w:p>
        </w:tc>
        <w:tc>
          <w:tcPr>
            <w:tcW w:w="60" w:type="dxa"/>
            <w:vAlign w:val="bottom"/>
            <w:tcBorders>
              <w:bottom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165</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337</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39</w:t>
            </w:r>
          </w:p>
        </w:tc>
        <w:tc>
          <w:tcPr>
            <w:tcW w:w="20" w:type="dxa"/>
            <w:vAlign w:val="bottom"/>
            <w:tcBorders>
              <w:bottom w:val="single" w:sz="8" w:color="E5E5E5"/>
            </w:tcBorders>
            <w:shd w:val="clear" w:color="auto" w:fill="E5E5E5"/>
          </w:tcPr>
          <w:p>
            <w:pPr>
              <w:spacing w:after="0"/>
              <w:rPr>
                <w:sz w:val="21"/>
                <w:szCs w:val="21"/>
                <w:color w:val="auto"/>
              </w:rPr>
            </w:pPr>
          </w:p>
        </w:tc>
      </w:tr>
      <w:tr>
        <w:trPr>
          <w:trHeight w:val="174"/>
        </w:trPr>
        <w:tc>
          <w:tcPr>
            <w:tcW w:w="40" w:type="dxa"/>
            <w:vAlign w:val="bottom"/>
          </w:tcPr>
          <w:p>
            <w:pPr>
              <w:spacing w:after="0"/>
              <w:rPr>
                <w:sz w:val="15"/>
                <w:szCs w:val="15"/>
                <w:color w:val="auto"/>
              </w:rPr>
            </w:pPr>
          </w:p>
        </w:tc>
        <w:tc>
          <w:tcPr>
            <w:tcW w:w="36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
              <w:spacing w:after="0" w:line="175" w:lineRule="exact"/>
              <w:rPr>
                <w:sz w:val="20"/>
                <w:szCs w:val="20"/>
                <w:color w:val="auto"/>
              </w:rPr>
            </w:pPr>
            <w:r>
              <w:rPr>
                <w:rFonts w:ascii="Arial" w:cs="Arial" w:eastAsia="Arial" w:hAnsi="Arial"/>
                <w:sz w:val="16"/>
                <w:szCs w:val="16"/>
                <w:b w:val="1"/>
                <w:bCs w:val="1"/>
                <w:color w:val="auto"/>
              </w:rPr>
              <w:t>3,055</w:t>
            </w:r>
          </w:p>
        </w:tc>
        <w:tc>
          <w:tcPr>
            <w:tcW w:w="300" w:type="dxa"/>
            <w:vAlign w:val="bottom"/>
            <w:gridSpan w:val="2"/>
          </w:tcPr>
          <w:p>
            <w:pPr>
              <w:jc w:val="right"/>
              <w:ind w:right="100"/>
              <w:spacing w:after="0" w:line="175" w:lineRule="exact"/>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2,010</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2,513</w:t>
            </w:r>
          </w:p>
        </w:tc>
        <w:tc>
          <w:tcPr>
            <w:tcW w:w="300" w:type="dxa"/>
            <w:vAlign w:val="bottom"/>
            <w:gridSpan w:val="2"/>
          </w:tcPr>
          <w:p>
            <w:pPr>
              <w:jc w:val="right"/>
              <w:ind w:right="100"/>
              <w:spacing w:after="0" w:line="175" w:lineRule="exact"/>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1,446</w:t>
            </w:r>
          </w:p>
        </w:tc>
        <w:tc>
          <w:tcPr>
            <w:tcW w:w="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-55880</wp:posOffset>
            </wp:positionV>
            <wp:extent cx="3996055" cy="755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3996055" cy="7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142</w:t>
      </w:r>
    </w:p>
    <w:p>
      <w:pPr>
        <w:sectPr>
          <w:pgSz w:w="11880" w:h="15480" w:orient="portrait"/>
          <w:cols w:equalWidth="0" w:num="1">
            <w:col w:w="9960"/>
          </w:cols>
          <w:pgMar w:left="960" w:top="736" w:right="960" w:bottom="0" w:gutter="0" w:footer="0" w:header="0"/>
        </w:sectPr>
      </w:pPr>
    </w:p>
    <w:bookmarkStart w:id="152" w:name="page153"/>
    <w:bookmarkEnd w:id="152"/>
    <w:p>
      <w:pPr>
        <w:spacing w:after="0"/>
        <w:rPr>
          <w:sz w:val="20"/>
          <w:szCs w:val="20"/>
          <w:color w:val="auto"/>
        </w:rPr>
      </w:pPr>
      <w:r>
        <w:rPr>
          <w:rFonts w:ascii="Arial" w:cs="Arial" w:eastAsia="Arial" w:hAnsi="Arial"/>
          <w:sz w:val="19"/>
          <w:szCs w:val="19"/>
          <w:b w:val="1"/>
          <w:bCs w:val="1"/>
          <w:color w:val="auto"/>
        </w:rPr>
        <w:t>Pension plan assets and benefit obligations by country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4"/>
              </w:rPr>
              <w:t>December 31, 2025</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4"/>
              </w:rPr>
              <w:t>December 31, 2024</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Fair Value of</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Projected</w:t>
            </w:r>
          </w:p>
        </w:tc>
        <w:tc>
          <w:tcPr>
            <w:tcW w:w="180" w:type="dxa"/>
            <w:vAlign w:val="bottom"/>
          </w:tcPr>
          <w:p>
            <w:pPr>
              <w:spacing w:after="0"/>
              <w:rPr>
                <w:sz w:val="16"/>
                <w:szCs w:val="16"/>
                <w:color w:val="auto"/>
              </w:rPr>
            </w:pPr>
          </w:p>
        </w:tc>
        <w:tc>
          <w:tcPr>
            <w:tcW w:w="10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5"/>
              </w:rPr>
              <w:t>Net Funded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Fair Value of</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Projected</w:t>
            </w:r>
          </w:p>
        </w:tc>
        <w:tc>
          <w:tcPr>
            <w:tcW w:w="180" w:type="dxa"/>
            <w:vAlign w:val="bottom"/>
          </w:tcPr>
          <w:p>
            <w:pPr>
              <w:spacing w:after="0"/>
              <w:rPr>
                <w:sz w:val="16"/>
                <w:szCs w:val="16"/>
                <w:color w:val="auto"/>
              </w:rPr>
            </w:pPr>
          </w:p>
        </w:tc>
        <w:tc>
          <w:tcPr>
            <w:tcW w:w="10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3"/>
              </w:rPr>
              <w:t>Net Funded</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91"/>
              </w:rPr>
              <w:t>Pension Plan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8"/>
              </w:rPr>
              <w:t>Benefit</w:t>
            </w: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91"/>
              </w:rPr>
              <w:t>Pension Plan</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8"/>
              </w:rPr>
              <w:t>Benefit</w:t>
            </w: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4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7"/>
              </w:rPr>
              <w:t>Assets</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8"/>
              </w:rPr>
              <w:t>Obligation</w:t>
            </w: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Status</w:t>
            </w:r>
          </w:p>
        </w:tc>
        <w:tc>
          <w:tcPr>
            <w:tcW w:w="6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7"/>
              </w:rPr>
              <w:t>Assets</w:t>
            </w:r>
          </w:p>
        </w:tc>
        <w:tc>
          <w:tcPr>
            <w:tcW w:w="6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85"/>
              </w:rPr>
              <w:t>Obligation</w:t>
            </w:r>
          </w:p>
        </w:tc>
        <w:tc>
          <w:tcPr>
            <w:tcW w:w="6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223"/>
        </w:trPr>
        <w:tc>
          <w:tcPr>
            <w:tcW w:w="20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U.S. funded</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1,845</w:t>
            </w:r>
          </w:p>
        </w:tc>
        <w:tc>
          <w:tcPr>
            <w:tcW w:w="30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2,338</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(493)</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1,407</w:t>
            </w:r>
          </w:p>
        </w:tc>
        <w:tc>
          <w:tcPr>
            <w:tcW w:w="28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1,956</w:t>
            </w: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(549)</w:t>
            </w:r>
          </w:p>
        </w:tc>
        <w:tc>
          <w:tcPr>
            <w:tcW w:w="0" w:type="dxa"/>
            <w:vAlign w:val="bottom"/>
          </w:tcPr>
          <w:p>
            <w:pPr>
              <w:spacing w:after="0"/>
              <w:rPr>
                <w:sz w:val="1"/>
                <w:szCs w:val="1"/>
                <w:color w:val="auto"/>
              </w:rPr>
            </w:pPr>
          </w:p>
        </w:tc>
      </w:tr>
      <w:tr>
        <w:trPr>
          <w:trHeight w:val="222"/>
        </w:trPr>
        <w:tc>
          <w:tcPr>
            <w:tcW w:w="20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U.S. unfunded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8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220</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0" w:type="dxa"/>
            <w:vAlign w:val="bottom"/>
          </w:tcPr>
          <w:p>
            <w:pPr>
              <w:spacing w:after="0"/>
              <w:rPr>
                <w:sz w:val="1"/>
                <w:szCs w:val="1"/>
                <w:color w:val="auto"/>
              </w:rPr>
            </w:pPr>
          </w:p>
        </w:tc>
      </w:tr>
      <w:tr>
        <w:trPr>
          <w:trHeight w:val="233"/>
        </w:trPr>
        <w:tc>
          <w:tcPr>
            <w:tcW w:w="204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rPr>
              <w:t>Total U.S.</w:t>
            </w:r>
          </w:p>
        </w:tc>
        <w:tc>
          <w:tcPr>
            <w:tcW w:w="160" w:type="dxa"/>
            <w:vAlign w:val="bottom"/>
            <w:tcBorders>
              <w:bottom w:val="single" w:sz="8" w:color="auto"/>
            </w:tcBorders>
            <w:shd w:val="clear" w:color="auto" w:fill="E5E5E5"/>
          </w:tcPr>
          <w:p>
            <w:pPr>
              <w:spacing w:after="0"/>
              <w:rPr>
                <w:sz w:val="20"/>
                <w:szCs w:val="20"/>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1,845</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spacing w:after="0"/>
              <w:rPr>
                <w:sz w:val="20"/>
                <w:szCs w:val="20"/>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2,563</w:t>
            </w:r>
          </w:p>
        </w:tc>
        <w:tc>
          <w:tcPr>
            <w:tcW w:w="8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spacing w:after="0"/>
              <w:rPr>
                <w:sz w:val="20"/>
                <w:szCs w:val="20"/>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(718)</w:t>
            </w:r>
          </w:p>
        </w:tc>
        <w:tc>
          <w:tcPr>
            <w:tcW w:w="6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spacing w:after="0"/>
              <w:rPr>
                <w:sz w:val="20"/>
                <w:szCs w:val="20"/>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1,407</w:t>
            </w:r>
          </w:p>
        </w:tc>
        <w:tc>
          <w:tcPr>
            <w:tcW w:w="6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2,176</w:t>
            </w:r>
          </w:p>
        </w:tc>
        <w:tc>
          <w:tcPr>
            <w:tcW w:w="6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spacing w:after="0"/>
              <w:rPr>
                <w:sz w:val="20"/>
                <w:szCs w:val="20"/>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(769)</w:t>
            </w:r>
          </w:p>
        </w:tc>
        <w:tc>
          <w:tcPr>
            <w:tcW w:w="0" w:type="dxa"/>
            <w:vAlign w:val="bottom"/>
          </w:tcPr>
          <w:p>
            <w:pPr>
              <w:spacing w:after="0"/>
              <w:rPr>
                <w:sz w:val="1"/>
                <w:szCs w:val="1"/>
                <w:color w:val="auto"/>
              </w:rPr>
            </w:pPr>
          </w:p>
        </w:tc>
      </w:tr>
      <w:tr>
        <w:trPr>
          <w:trHeight w:val="197"/>
        </w:trPr>
        <w:tc>
          <w:tcPr>
            <w:tcW w:w="2040" w:type="dxa"/>
            <w:vAlign w:val="bottom"/>
          </w:tcPr>
          <w:p>
            <w:pPr>
              <w:ind w:left="60"/>
              <w:spacing w:after="0"/>
              <w:rPr>
                <w:sz w:val="20"/>
                <w:szCs w:val="20"/>
                <w:color w:val="auto"/>
              </w:rPr>
            </w:pPr>
            <w:r>
              <w:rPr>
                <w:rFonts w:ascii="Arial" w:cs="Arial" w:eastAsia="Arial" w:hAnsi="Arial"/>
                <w:sz w:val="16"/>
                <w:szCs w:val="16"/>
                <w:b w:val="1"/>
                <w:bCs w:val="1"/>
                <w:color w:val="auto"/>
              </w:rPr>
              <w:t>U.K.</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2,528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2,310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218</w:t>
            </w:r>
          </w:p>
        </w:tc>
        <w:tc>
          <w:tcPr>
            <w:tcW w:w="0" w:type="dxa"/>
            <w:vAlign w:val="bottom"/>
          </w:tcPr>
          <w:p>
            <w:pPr>
              <w:spacing w:after="0"/>
              <w:rPr>
                <w:sz w:val="1"/>
                <w:szCs w:val="1"/>
                <w:color w:val="auto"/>
              </w:rPr>
            </w:pPr>
          </w:p>
        </w:tc>
      </w:tr>
      <w:tr>
        <w:trPr>
          <w:trHeight w:val="239"/>
        </w:trPr>
        <w:tc>
          <w:tcPr>
            <w:tcW w:w="20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Netherlands</w:t>
            </w:r>
          </w:p>
        </w:tc>
        <w:tc>
          <w:tcPr>
            <w:tcW w:w="160" w:type="dxa"/>
            <w:vAlign w:val="bottom"/>
            <w:shd w:val="clear" w:color="auto" w:fill="E5E5E5"/>
          </w:tcPr>
          <w:p>
            <w:pPr>
              <w:spacing w:after="0"/>
              <w:rPr>
                <w:sz w:val="20"/>
                <w:szCs w:val="20"/>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872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720</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808</w:t>
            </w:r>
          </w:p>
        </w:tc>
        <w:tc>
          <w:tcPr>
            <w:tcW w:w="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732</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27"/>
        </w:trPr>
        <w:tc>
          <w:tcPr>
            <w:tcW w:w="2040" w:type="dxa"/>
            <w:vAlign w:val="bottom"/>
          </w:tcPr>
          <w:p>
            <w:pPr>
              <w:ind w:left="60"/>
              <w:spacing w:after="0"/>
              <w:rPr>
                <w:sz w:val="20"/>
                <w:szCs w:val="20"/>
                <w:color w:val="auto"/>
              </w:rPr>
            </w:pPr>
            <w:r>
              <w:rPr>
                <w:rFonts w:ascii="Arial" w:cs="Arial" w:eastAsia="Arial" w:hAnsi="Arial"/>
                <w:sz w:val="16"/>
                <w:szCs w:val="16"/>
                <w:b w:val="1"/>
                <w:bCs w:val="1"/>
                <w:color w:val="auto"/>
              </w:rPr>
              <w:t>Canada</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503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239"/>
        </w:trPr>
        <w:tc>
          <w:tcPr>
            <w:tcW w:w="20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Germany</w:t>
            </w:r>
          </w:p>
        </w:tc>
        <w:tc>
          <w:tcPr>
            <w:tcW w:w="160" w:type="dxa"/>
            <w:vAlign w:val="bottom"/>
            <w:shd w:val="clear" w:color="auto" w:fill="E5E5E5"/>
          </w:tcPr>
          <w:p>
            <w:pPr>
              <w:spacing w:after="0"/>
              <w:rPr>
                <w:sz w:val="20"/>
                <w:szCs w:val="20"/>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241</w:t>
            </w: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(237)</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220</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(220)</w:t>
            </w:r>
          </w:p>
        </w:tc>
        <w:tc>
          <w:tcPr>
            <w:tcW w:w="0" w:type="dxa"/>
            <w:vAlign w:val="bottom"/>
          </w:tcPr>
          <w:p>
            <w:pPr>
              <w:spacing w:after="0"/>
              <w:rPr>
                <w:sz w:val="1"/>
                <w:szCs w:val="1"/>
                <w:color w:val="auto"/>
              </w:rPr>
            </w:pPr>
          </w:p>
        </w:tc>
      </w:tr>
      <w:tr>
        <w:trPr>
          <w:trHeight w:val="222"/>
        </w:trPr>
        <w:tc>
          <w:tcPr>
            <w:tcW w:w="20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386</w:t>
            </w: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8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6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332</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32"/>
        </w:trPr>
        <w:tc>
          <w:tcPr>
            <w:tcW w:w="20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6,433</w:t>
            </w:r>
          </w:p>
        </w:tc>
        <w:tc>
          <w:tcPr>
            <w:tcW w:w="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6,909</w:t>
            </w:r>
          </w:p>
        </w:tc>
        <w:tc>
          <w:tcPr>
            <w:tcW w:w="8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(476)</w:t>
            </w:r>
          </w:p>
        </w:tc>
        <w:tc>
          <w:tcPr>
            <w:tcW w:w="6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5,627</w:t>
            </w:r>
          </w:p>
        </w:tc>
        <w:tc>
          <w:tcPr>
            <w:tcW w:w="6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6,273</w:t>
            </w:r>
          </w:p>
        </w:tc>
        <w:tc>
          <w:tcPr>
            <w:tcW w:w="6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-42545</wp:posOffset>
            </wp:positionV>
            <wp:extent cx="5051425"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5051425" cy="50165"/>
                    </a:xfrm>
                    <a:prstGeom prst="rect">
                      <a:avLst/>
                    </a:prstGeom>
                    <a:noFill/>
                  </pic:spPr>
                </pic:pic>
              </a:graphicData>
            </a:graphic>
          </wp:anchor>
        </w:drawing>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components of Net periodic benefit cost and other changes in plan assets and benefit obligations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center"/>
              <w:ind w:right="102"/>
              <w:spacing w:after="0"/>
              <w:rPr>
                <w:sz w:val="20"/>
                <w:szCs w:val="20"/>
                <w:color w:val="auto"/>
              </w:rPr>
            </w:pPr>
            <w:r>
              <w:rPr>
                <w:rFonts w:ascii="Arial" w:cs="Arial" w:eastAsia="Arial" w:hAnsi="Arial"/>
                <w:sz w:val="16"/>
                <w:szCs w:val="16"/>
                <w:b w:val="1"/>
                <w:bCs w:val="1"/>
                <w:color w:val="auto"/>
                <w:w w:val="92"/>
              </w:rPr>
              <w:t>Year Ended December 31,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w w:val="89"/>
              </w:rPr>
              <w:t>Pension Benefits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7"/>
              </w:rPr>
              <w:t>U.S. Plans</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6"/>
                <w:szCs w:val="16"/>
                <w:b w:val="1"/>
                <w:bCs w:val="1"/>
                <w:color w:val="auto"/>
                <w:w w:val="94"/>
              </w:rPr>
              <w:t>Non-U.S. Plans</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right"/>
              <w:ind w:right="22"/>
              <w:spacing w:after="0"/>
              <w:rPr>
                <w:sz w:val="20"/>
                <w:szCs w:val="20"/>
                <w:color w:val="auto"/>
              </w:rPr>
            </w:pPr>
            <w:r>
              <w:rPr>
                <w:rFonts w:ascii="Arial" w:cs="Arial" w:eastAsia="Arial" w:hAnsi="Arial"/>
                <w:sz w:val="16"/>
                <w:szCs w:val="16"/>
                <w:b w:val="1"/>
                <w:bCs w:val="1"/>
                <w:color w:val="auto"/>
              </w:rPr>
              <w:t>Retiree Health</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5"/>
              </w:rPr>
              <w:t>2025</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5"/>
              </w:rPr>
              <w:t>2025</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2024</w:t>
            </w: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6"/>
        </w:trPr>
        <w:tc>
          <w:tcPr>
            <w:tcW w:w="2960" w:type="dxa"/>
            <w:vAlign w:val="bottom"/>
            <w:shd w:val="clear" w:color="auto" w:fill="E5E5E5"/>
          </w:tcPr>
          <w:p>
            <w:pPr>
              <w:ind w:left="60"/>
              <w:spacing w:after="0" w:line="176" w:lineRule="exact"/>
              <w:rPr>
                <w:sz w:val="20"/>
                <w:szCs w:val="20"/>
                <w:color w:val="auto"/>
              </w:rPr>
            </w:pPr>
            <w:r>
              <w:rPr>
                <w:rFonts w:ascii="Arial" w:cs="Arial" w:eastAsia="Arial" w:hAnsi="Arial"/>
                <w:sz w:val="16"/>
                <w:szCs w:val="16"/>
                <w:b w:val="1"/>
                <w:bCs w:val="1"/>
                <w:color w:val="auto"/>
              </w:rPr>
              <w:t>Components of Net Periodic Benefit</w:t>
            </w: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60" w:type="dxa"/>
            <w:vAlign w:val="bottom"/>
            <w:shd w:val="clear" w:color="auto" w:fill="E5E5E5"/>
          </w:tcPr>
          <w:p>
            <w:pPr>
              <w:ind w:left="60"/>
              <w:spacing w:after="0" w:line="178" w:lineRule="exact"/>
              <w:rPr>
                <w:sz w:val="20"/>
                <w:szCs w:val="20"/>
                <w:color w:val="auto"/>
              </w:rPr>
            </w:pPr>
            <w:r>
              <w:rPr>
                <w:rFonts w:ascii="Arial" w:cs="Arial" w:eastAsia="Arial" w:hAnsi="Arial"/>
                <w:sz w:val="16"/>
                <w:szCs w:val="16"/>
                <w:b w:val="1"/>
                <w:bCs w:val="1"/>
                <w:color w:val="auto"/>
              </w:rPr>
              <w:t>Costs:</w:t>
            </w: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Service cost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9"/>
        </w:trPr>
        <w:tc>
          <w:tcPr>
            <w:tcW w:w="29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Interest cost</w:t>
            </w:r>
            <w:r>
              <w:rPr>
                <w:rFonts w:ascii="Arial" w:cs="Arial" w:eastAsia="Arial" w:hAnsi="Arial"/>
                <w:sz w:val="10"/>
                <w:szCs w:val="10"/>
                <w:b w:val="1"/>
                <w:bCs w:val="1"/>
                <w:color w:val="auto"/>
              </w:rPr>
              <w:t>(1)(2)</w:t>
            </w: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138</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88</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116</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182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188</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27"/>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Expected return on plan assets</w:t>
            </w:r>
            <w:r>
              <w:rPr>
                <w:rFonts w:ascii="Arial" w:cs="Arial" w:eastAsia="Arial" w:hAnsi="Arial"/>
                <w:sz w:val="10"/>
                <w:szCs w:val="10"/>
                <w:b w:val="1"/>
                <w:bCs w:val="1"/>
                <w:color w:val="auto"/>
              </w:rPr>
              <w:t>(1)(3)</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29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Recognized net actuarial loss (gain)</w:t>
            </w:r>
            <w:r>
              <w:rPr>
                <w:rFonts w:ascii="Arial" w:cs="Arial" w:eastAsia="Arial" w:hAnsi="Arial"/>
                <w:sz w:val="10"/>
                <w:szCs w:val="10"/>
                <w:b w:val="1"/>
                <w:bCs w:val="1"/>
                <w:color w:val="auto"/>
              </w:rPr>
              <w:t>(1)</w:t>
            </w: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76"/>
        </w:trPr>
        <w:tc>
          <w:tcPr>
            <w:tcW w:w="2960" w:type="dxa"/>
            <w:vAlign w:val="bottom"/>
          </w:tcPr>
          <w:p>
            <w:pPr>
              <w:ind w:left="60"/>
              <w:spacing w:after="0" w:line="176" w:lineRule="exact"/>
              <w:rPr>
                <w:sz w:val="20"/>
                <w:szCs w:val="20"/>
                <w:color w:val="auto"/>
              </w:rPr>
            </w:pPr>
            <w:r>
              <w:rPr>
                <w:rFonts w:ascii="Arial" w:cs="Arial" w:eastAsia="Arial" w:hAnsi="Arial"/>
                <w:sz w:val="16"/>
                <w:szCs w:val="16"/>
                <w:b w:val="1"/>
                <w:bCs w:val="1"/>
                <w:color w:val="auto"/>
              </w:rPr>
              <w:t>Amortization of prior service cost</w:t>
            </w:r>
          </w:p>
        </w:tc>
        <w:tc>
          <w:tcPr>
            <w:tcW w:w="160" w:type="dxa"/>
            <w:vAlign w:val="bottom"/>
          </w:tcPr>
          <w:p>
            <w:pPr>
              <w:spacing w:after="0"/>
              <w:rPr>
                <w:sz w:val="15"/>
                <w:szCs w:val="15"/>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12"/>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(credit)</w:t>
            </w:r>
            <w:r>
              <w:rPr>
                <w:rFonts w:ascii="Arial" w:cs="Arial" w:eastAsia="Arial" w:hAnsi="Arial"/>
                <w:sz w:val="10"/>
                <w:szCs w:val="10"/>
                <w:b w:val="1"/>
                <w:bCs w:val="1"/>
                <w:color w:val="auto"/>
              </w:rPr>
              <w:t>(1)</w:t>
            </w: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Recognized settlement loss</w:t>
            </w:r>
            <w:r>
              <w:rPr>
                <w:rFonts w:ascii="Arial" w:cs="Arial" w:eastAsia="Arial" w:hAnsi="Arial"/>
                <w:sz w:val="10"/>
                <w:szCs w:val="10"/>
                <w:b w:val="1"/>
                <w:bCs w:val="1"/>
                <w:color w:val="auto"/>
              </w:rPr>
              <w:t>(1)</w:t>
            </w: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960" w:type="dxa"/>
            <w:vAlign w:val="bottom"/>
          </w:tcPr>
          <w:p>
            <w:pPr>
              <w:ind w:left="280"/>
              <w:spacing w:after="0"/>
              <w:rPr>
                <w:sz w:val="20"/>
                <w:szCs w:val="20"/>
                <w:color w:val="auto"/>
              </w:rPr>
            </w:pPr>
            <w:r>
              <w:rPr>
                <w:rFonts w:ascii="Arial" w:cs="Arial" w:eastAsia="Arial" w:hAnsi="Arial"/>
                <w:sz w:val="16"/>
                <w:szCs w:val="16"/>
                <w:b w:val="1"/>
                <w:bCs w:val="1"/>
                <w:color w:val="auto"/>
              </w:rPr>
              <w:t>Defined Benefit Plans</w:t>
            </w: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Defined contribution plans</w:t>
            </w: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n/a</w:t>
            </w: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n/a</w:t>
            </w: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Net Periodic Benefit Cost (Credit)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49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57</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87</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175"/>
        </w:trPr>
        <w:tc>
          <w:tcPr>
            <w:tcW w:w="2960" w:type="dxa"/>
            <w:vAlign w:val="bottom"/>
            <w:tcBorders>
              <w:top w:val="single" w:sz="8" w:color="E5E5E5"/>
            </w:tcBorders>
            <w:shd w:val="clear" w:color="auto" w:fill="E5E5E5"/>
          </w:tcPr>
          <w:p>
            <w:pPr>
              <w:ind w:left="60"/>
              <w:spacing w:after="0" w:line="175" w:lineRule="exact"/>
              <w:rPr>
                <w:sz w:val="20"/>
                <w:szCs w:val="20"/>
                <w:color w:val="auto"/>
              </w:rPr>
            </w:pPr>
            <w:r>
              <w:rPr>
                <w:rFonts w:ascii="Arial" w:cs="Arial" w:eastAsia="Arial" w:hAnsi="Arial"/>
                <w:sz w:val="16"/>
                <w:szCs w:val="16"/>
                <w:b w:val="1"/>
                <w:bCs w:val="1"/>
                <w:color w:val="auto"/>
              </w:rPr>
              <w:t>Other changes in plan assets and</w:t>
            </w: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6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6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8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40" w:type="dxa"/>
            <w:vAlign w:val="bottom"/>
            <w:tcBorders>
              <w:top w:val="single" w:sz="8" w:color="auto"/>
            </w:tcBorders>
            <w:shd w:val="clear" w:color="auto" w:fill="E5E5E5"/>
          </w:tcPr>
          <w:p>
            <w:pPr>
              <w:spacing w:after="0"/>
              <w:rPr>
                <w:sz w:val="15"/>
                <w:szCs w:val="15"/>
                <w:color w:val="auto"/>
              </w:rPr>
            </w:pPr>
          </w:p>
        </w:tc>
        <w:tc>
          <w:tcPr>
            <w:tcW w:w="8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6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8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40" w:type="dxa"/>
            <w:vAlign w:val="bottom"/>
            <w:tcBorders>
              <w:top w:val="single" w:sz="8" w:color="auto"/>
            </w:tcBorders>
            <w:shd w:val="clear" w:color="auto" w:fill="E5E5E5"/>
          </w:tcPr>
          <w:p>
            <w:pPr>
              <w:spacing w:after="0"/>
              <w:rPr>
                <w:sz w:val="15"/>
                <w:szCs w:val="15"/>
                <w:color w:val="auto"/>
              </w:rPr>
            </w:pPr>
          </w:p>
        </w:tc>
        <w:tc>
          <w:tcPr>
            <w:tcW w:w="8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60" w:type="dxa"/>
            <w:vAlign w:val="bottom"/>
            <w:tcBorders>
              <w:top w:val="single" w:sz="8" w:color="E5E5E5"/>
            </w:tcBorders>
            <w:shd w:val="clear" w:color="auto" w:fill="E5E5E5"/>
          </w:tcPr>
          <w:p>
            <w:pPr>
              <w:spacing w:after="0"/>
              <w:rPr>
                <w:sz w:val="15"/>
                <w:szCs w:val="15"/>
                <w:color w:val="auto"/>
              </w:rPr>
            </w:pPr>
          </w:p>
        </w:tc>
        <w:tc>
          <w:tcPr>
            <w:tcW w:w="160" w:type="dxa"/>
            <w:vAlign w:val="bottom"/>
            <w:tcBorders>
              <w:top w:val="single" w:sz="8" w:color="auto"/>
            </w:tcBorders>
            <w:shd w:val="clear" w:color="auto" w:fill="E5E5E5"/>
          </w:tcPr>
          <w:p>
            <w:pPr>
              <w:spacing w:after="0"/>
              <w:rPr>
                <w:sz w:val="15"/>
                <w:szCs w:val="15"/>
                <w:color w:val="auto"/>
              </w:rPr>
            </w:pPr>
          </w:p>
        </w:tc>
        <w:tc>
          <w:tcPr>
            <w:tcW w:w="560" w:type="dxa"/>
            <w:vAlign w:val="bottom"/>
            <w:tcBorders>
              <w:top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E5E5E5"/>
          </w:tcPr>
          <w:p>
            <w:pPr>
              <w:ind w:left="60"/>
              <w:spacing w:after="0" w:line="155" w:lineRule="exact"/>
              <w:rPr>
                <w:sz w:val="20"/>
                <w:szCs w:val="20"/>
                <w:color w:val="auto"/>
              </w:rPr>
            </w:pPr>
            <w:r>
              <w:rPr>
                <w:rFonts w:ascii="Arial" w:cs="Arial" w:eastAsia="Arial" w:hAnsi="Arial"/>
                <w:sz w:val="16"/>
                <w:szCs w:val="16"/>
                <w:b w:val="1"/>
                <w:bCs w:val="1"/>
                <w:color w:val="auto"/>
              </w:rPr>
              <w:t>benefit obligations recognized in</w:t>
            </w: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5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40" w:type="dxa"/>
            <w:vAlign w:val="bottom"/>
            <w:tcBorders>
              <w:bottom w:val="single" w:sz="8" w:color="E5E5E5"/>
            </w:tcBorders>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40" w:type="dxa"/>
            <w:vAlign w:val="bottom"/>
            <w:tcBorders>
              <w:bottom w:val="single" w:sz="8" w:color="E5E5E5"/>
            </w:tcBorders>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E5E5E5"/>
            </w:tcBorders>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rPr>
              <w:t>Net actuarial (gain) loss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39"/>
        </w:trPr>
        <w:tc>
          <w:tcPr>
            <w:tcW w:w="29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Prior service cost (credit)</w:t>
            </w: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36</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58"/>
        </w:trPr>
        <w:tc>
          <w:tcPr>
            <w:tcW w:w="2960" w:type="dxa"/>
            <w:vAlign w:val="bottom"/>
          </w:tcPr>
          <w:p>
            <w:pPr>
              <w:ind w:left="60"/>
              <w:spacing w:after="0"/>
              <w:rPr>
                <w:sz w:val="20"/>
                <w:szCs w:val="20"/>
                <w:color w:val="auto"/>
              </w:rPr>
            </w:pPr>
            <w:r>
              <w:rPr>
                <w:rFonts w:ascii="Arial" w:cs="Arial" w:eastAsia="Arial" w:hAnsi="Arial"/>
                <w:sz w:val="16"/>
                <w:szCs w:val="16"/>
                <w:b w:val="1"/>
                <w:bCs w:val="1"/>
                <w:color w:val="auto"/>
                <w:w w:val="95"/>
              </w:rPr>
              <w:t>Amortization of net actuarial (loss) gain</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82"/>
        </w:trPr>
        <w:tc>
          <w:tcPr>
            <w:tcW w:w="2960" w:type="dxa"/>
            <w:vAlign w:val="bottom"/>
            <w:shd w:val="clear" w:color="auto" w:fill="E5E5E5"/>
          </w:tcPr>
          <w:p>
            <w:pPr>
              <w:ind w:left="60"/>
              <w:spacing w:after="0" w:line="182" w:lineRule="exact"/>
              <w:rPr>
                <w:sz w:val="20"/>
                <w:szCs w:val="20"/>
                <w:color w:val="auto"/>
              </w:rPr>
            </w:pPr>
            <w:r>
              <w:rPr>
                <w:rFonts w:ascii="Arial" w:cs="Arial" w:eastAsia="Arial" w:hAnsi="Arial"/>
                <w:sz w:val="16"/>
                <w:szCs w:val="16"/>
                <w:b w:val="1"/>
                <w:bCs w:val="1"/>
                <w:color w:val="auto"/>
                <w:w w:val="97"/>
              </w:rPr>
              <w:t>Amortization of net prior service (cost)</w:t>
            </w:r>
          </w:p>
        </w:tc>
        <w:tc>
          <w:tcPr>
            <w:tcW w:w="16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2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27"/>
        </w:trPr>
        <w:tc>
          <w:tcPr>
            <w:tcW w:w="29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credit</w:t>
            </w:r>
          </w:p>
        </w:tc>
        <w:tc>
          <w:tcPr>
            <w:tcW w:w="160" w:type="dxa"/>
            <w:vAlign w:val="bottom"/>
            <w:shd w:val="clear" w:color="auto" w:fill="E5E5E5"/>
          </w:tcPr>
          <w:p>
            <w:pPr>
              <w:spacing w:after="0"/>
              <w:rPr>
                <w:sz w:val="19"/>
                <w:szCs w:val="19"/>
                <w:color w:val="auto"/>
              </w:rPr>
            </w:pPr>
          </w:p>
        </w:tc>
        <w:tc>
          <w:tcPr>
            <w:tcW w:w="560" w:type="dxa"/>
            <w:vAlign w:val="bottom"/>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620" w:type="dxa"/>
            <w:vAlign w:val="bottom"/>
            <w:gridSpan w:val="2"/>
            <w:vMerge w:val="continue"/>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4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60" w:type="dxa"/>
            <w:vAlign w:val="bottom"/>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4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60" w:type="dxa"/>
            <w:vAlign w:val="bottom"/>
            <w:vMerge w:val="continue"/>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56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960" w:type="dxa"/>
            <w:vAlign w:val="bottom"/>
            <w:tcBorders>
              <w:top w:val="single" w:sz="8" w:color="E5E5E5"/>
            </w:tcBorders>
          </w:tcPr>
          <w:p>
            <w:pPr>
              <w:ind w:left="60"/>
              <w:spacing w:after="0" w:line="118" w:lineRule="exact"/>
              <w:rPr>
                <w:sz w:val="20"/>
                <w:szCs w:val="20"/>
                <w:color w:val="auto"/>
              </w:rPr>
            </w:pPr>
            <w:r>
              <w:rPr>
                <w:rFonts w:ascii="Arial" w:cs="Arial" w:eastAsia="Arial" w:hAnsi="Arial"/>
                <w:sz w:val="13"/>
                <w:szCs w:val="13"/>
                <w:b w:val="1"/>
                <w:bCs w:val="1"/>
                <w:color w:val="auto"/>
              </w:rPr>
              <w:t>Total Recognized in Other</w:t>
            </w: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6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6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(175)</w:t>
            </w:r>
          </w:p>
        </w:tc>
        <w:tc>
          <w:tcPr>
            <w:tcW w:w="8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(62)</w:t>
            </w:r>
          </w:p>
        </w:tc>
        <w:tc>
          <w:tcPr>
            <w:tcW w:w="6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317</w:t>
            </w:r>
          </w:p>
        </w:tc>
        <w:tc>
          <w:tcPr>
            <w:tcW w:w="8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b w:val="1"/>
                <w:bCs w:val="1"/>
                <w:color w:val="auto"/>
              </w:rPr>
              <w:t>24</w:t>
            </w:r>
          </w:p>
        </w:tc>
        <w:tc>
          <w:tcPr>
            <w:tcW w:w="60" w:type="dxa"/>
            <w:vAlign w:val="bottom"/>
            <w:tcBorders>
              <w:top w:val="single" w:sz="8" w:color="E5E5E5"/>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0"/>
                <w:szCs w:val="10"/>
                <w:b w:val="1"/>
                <w:bCs w:val="1"/>
                <w:color w:val="auto"/>
              </w:rPr>
              <w:t>(4)</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960" w:type="dxa"/>
            <w:vAlign w:val="bottom"/>
            <w:shd w:val="clear" w:color="auto" w:fill="E5E5E5"/>
          </w:tcPr>
          <w:p>
            <w:pPr>
              <w:ind w:left="60"/>
              <w:spacing w:after="0" w:line="142" w:lineRule="exact"/>
              <w:rPr>
                <w:sz w:val="20"/>
                <w:szCs w:val="20"/>
                <w:color w:val="auto"/>
              </w:rPr>
            </w:pPr>
            <w:r>
              <w:rPr>
                <w:rFonts w:ascii="Arial" w:cs="Arial" w:eastAsia="Arial" w:hAnsi="Arial"/>
                <w:sz w:val="16"/>
                <w:szCs w:val="16"/>
                <w:b w:val="1"/>
                <w:bCs w:val="1"/>
                <w:color w:val="auto"/>
              </w:rPr>
              <w:t>Total Recognized in Net Periodic</w:t>
            </w: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E5E5E5"/>
          </w:tcPr>
          <w:p>
            <w:pPr>
              <w:ind w:left="60"/>
              <w:spacing w:after="0" w:line="155" w:lineRule="exact"/>
              <w:rPr>
                <w:sz w:val="20"/>
                <w:szCs w:val="20"/>
                <w:color w:val="auto"/>
              </w:rPr>
            </w:pPr>
            <w:r>
              <w:rPr>
                <w:rFonts w:ascii="Arial" w:cs="Arial" w:eastAsia="Arial" w:hAnsi="Arial"/>
                <w:sz w:val="16"/>
                <w:szCs w:val="16"/>
                <w:b w:val="1"/>
                <w:bCs w:val="1"/>
                <w:color w:val="auto"/>
              </w:rPr>
              <w:t>Benefit Cost (Credit) and Other</w:t>
            </w: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6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26</w:t>
            </w:r>
          </w:p>
        </w:tc>
        <w:tc>
          <w:tcPr>
            <w:tcW w:w="60" w:type="dxa"/>
            <w:vAlign w:val="bottom"/>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106</w:t>
            </w:r>
          </w:p>
        </w:tc>
        <w:tc>
          <w:tcPr>
            <w:tcW w:w="8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(98)</w:t>
            </w:r>
          </w:p>
        </w:tc>
        <w:tc>
          <w:tcPr>
            <w:tcW w:w="8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w:t>
            </w:r>
          </w:p>
        </w:tc>
        <w:tc>
          <w:tcPr>
            <w:tcW w:w="6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331</w:t>
            </w:r>
          </w:p>
        </w:tc>
        <w:tc>
          <w:tcPr>
            <w:tcW w:w="8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vMerge w:val="restart"/>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Comprehensive Income (Loss)</w:t>
            </w: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-43180</wp:posOffset>
            </wp:positionV>
            <wp:extent cx="4469765" cy="50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446976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Included in Other expenses, net in the Statements of (Loss) Income.</w:t>
      </w:r>
    </w:p>
    <w:p>
      <w:pPr>
        <w:spacing w:after="0" w:line="2" w:lineRule="exact"/>
        <w:rPr>
          <w:rFonts w:ascii="Arial" w:cs="Arial" w:eastAsia="Arial" w:hAnsi="Arial"/>
          <w:sz w:val="16"/>
          <w:szCs w:val="16"/>
          <w:b w:val="1"/>
          <w:bCs w:val="1"/>
          <w:i w:val="1"/>
          <w:iCs w:val="1"/>
          <w:color w:val="auto"/>
        </w:rPr>
      </w:pPr>
    </w:p>
    <w:p>
      <w:pPr>
        <w:ind w:left="360" w:hanging="356"/>
        <w:spacing w:after="0" w:line="277" w:lineRule="auto"/>
        <w:tabs>
          <w:tab w:leader="none" w:pos="360" w:val="left"/>
        </w:tabs>
        <w:numPr>
          <w:ilvl w:val="0"/>
          <w:numId w:val="1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Interest cost for Pension Benefits includes interest expense on non-TRA obligations of $358, $279 and $284 and interest (income)/expense directly allocated to TRA participant accounts of $(25), $(9) and $20 for the years ended December 31, 2025, 2024 and 2023, respectively.</w:t>
      </w:r>
    </w:p>
    <w:p>
      <w:pPr>
        <w:ind w:left="360" w:hanging="356"/>
        <w:spacing w:after="0" w:line="277" w:lineRule="auto"/>
        <w:tabs>
          <w:tab w:leader="none" w:pos="360" w:val="left"/>
        </w:tabs>
        <w:numPr>
          <w:ilvl w:val="0"/>
          <w:numId w:val="1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Expected return on plan assets includes expected investment income on non-TRA assets of $295, $273 and $300 and actual investment income/(loss) on TRA assets of $25, $(9) and $20 for the years ended December 31, 2025, 2024 and 2023, respectively.</w:t>
      </w:r>
    </w:p>
    <w:p>
      <w:pPr>
        <w:ind w:left="360" w:hanging="356"/>
        <w:spacing w:after="0" w:line="270" w:lineRule="auto"/>
        <w:tabs>
          <w:tab w:leader="none" w:pos="360" w:val="left"/>
        </w:tabs>
        <w:numPr>
          <w:ilvl w:val="0"/>
          <w:numId w:val="1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Amounts represent the pre-tax effect included in Other comprehensive income (loss). Refer to Note 24 - Other Comprehensive Income (Loss) for the related tax effects and the net of tax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143</w:t>
      </w:r>
    </w:p>
    <w:p>
      <w:pPr>
        <w:sectPr>
          <w:pgSz w:w="11880" w:h="15480" w:orient="portrait"/>
          <w:cols w:equalWidth="0" w:num="1">
            <w:col w:w="9960"/>
          </w:cols>
          <w:pgMar w:left="960" w:top="736" w:right="960" w:bottom="0" w:gutter="0" w:footer="0" w:header="0"/>
        </w:sectPr>
      </w:pPr>
    </w:p>
    <w:bookmarkStart w:id="153" w:name="page154"/>
    <w:bookmarkEnd w:id="153"/>
    <w:p>
      <w:pPr>
        <w:spacing w:after="0"/>
        <w:rPr>
          <w:sz w:val="20"/>
          <w:szCs w:val="20"/>
          <w:color w:val="auto"/>
        </w:rPr>
      </w:pPr>
      <w:r>
        <w:rPr>
          <w:rFonts w:ascii="Arial" w:cs="Arial" w:eastAsia="Arial" w:hAnsi="Arial"/>
          <w:sz w:val="21"/>
          <w:szCs w:val="21"/>
          <w:b w:val="1"/>
          <w:bCs w:val="1"/>
          <w:color w:val="DA2031"/>
        </w:rPr>
        <w:t>Plan Amendments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DA2031"/>
        </w:rPr>
        <w:t>Pension:</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Netherlands</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In January 2024, the pension board of our Netherlands pension plan transferred the plan’s assets and projected benefit obligation (PBO) to a single client section in a general pension fund. In addition to this transfer, the indexation target was increased from 75% of price inflation to 100% of price inflation. This plan amendment increasing the indexation target resulted in an increase of approximately $48 (approximately EUR 44 million) in the PBO for this Collective Defined Contribution (CDC) plan, approximately 6% of the plan PBO as of December 31, 2023. From a Company risk perspective, this CDC plan operates just like a frozen defined contribution plan. Although the Company's risk has been mitigated, under U.S. GAAP this CDC plan does not meet the definition of a defined contribution plan and therefore continues to be accounted for as a defined benefit plan.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DA2031"/>
        </w:rPr>
        <w:t>United Kingdom</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In December 2025, April 2024, and April 2023, our U.K. defined benefit pension plan was amended, at the sole discretion of the Plan Trustees as legally allowed, to increase the capped inflation indexation for the April 2026, 2024 and 2023 pension increase award to 4.0%, 5.0% and 6.5%, respectively. The December 2025 plan amendment resulted in an increase of $3 in the projected benefit obligation (PBO) for this plan, the April 2024 plan amendment resulted in an increase of $6 in the PBO for this plan, and the April 2023 plan amendment resulted in an increase of $36 in the PBO for this plan, with all amounts inclusive of other remeasurement adjustments for changes in actuarial assumptions.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In October 2018, the High Court of Justice in the United Kingdom (the High Court) ruled that Lloyds Bank PLC was required to equalize benefits payable to men and women under its U.K. defined benefit pension plans by amending those plans to increase the pension benefits payable to participants that accrued such benefits during the period from 1990 to 1997. The inequalities arose from statutory differences in the retirement ages and rates of accrual of benefits for men and women related to Guaranteed Minimum Pension (GMP) benefits that are included in U.K. defined benefit pension plans.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At December 31, 2025, the aggregate cost for this matter was estimated to be approximately GBP 15 million (approximately USD $20). This latest estimate is consistent with the prior year, adjusted for market conditions at December 31, 2025. The equalization method was agreed between the Company and Trustee and is in the process of being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144</w:t>
      </w:r>
    </w:p>
    <w:p>
      <w:pPr>
        <w:sectPr>
          <w:pgSz w:w="11880" w:h="15480" w:orient="portrait"/>
          <w:cols w:equalWidth="0" w:num="1">
            <w:col w:w="9960"/>
          </w:cols>
          <w:pgMar w:left="960" w:top="730" w:right="960" w:bottom="0" w:gutter="0" w:footer="0" w:header="0"/>
        </w:sectPr>
      </w:pPr>
    </w:p>
    <w:bookmarkStart w:id="154" w:name="page155"/>
    <w:bookmarkEnd w:id="154"/>
    <w:p>
      <w:pPr>
        <w:spacing w:after="0"/>
        <w:rPr>
          <w:sz w:val="20"/>
          <w:szCs w:val="20"/>
          <w:color w:val="auto"/>
        </w:rPr>
      </w:pPr>
      <w:r>
        <w:rPr>
          <w:rFonts w:ascii="Arial" w:cs="Arial" w:eastAsia="Arial" w:hAnsi="Arial"/>
          <w:sz w:val="21"/>
          <w:szCs w:val="21"/>
          <w:b w:val="1"/>
          <w:bCs w:val="1"/>
          <w:color w:val="DA2031"/>
        </w:rPr>
        <w:t>Plan Assets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Current Allocation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the 2025 and 2024 measurement dates, the global pension plan assets were $6,433 and $5,627,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These assets were invested among several asset classes.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following tables present the defined benefit plans assets measured at fair value and the basis for that measurement.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December 31, 2025</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89"/>
              </w:rPr>
              <w:t>U.S. Plans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w w:val="94"/>
              </w:rPr>
              <w:t>Non-U.S. Plans</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02"/>
              <w:spacing w:after="0" w:line="157" w:lineRule="exact"/>
              <w:rPr>
                <w:sz w:val="20"/>
                <w:szCs w:val="20"/>
                <w:color w:val="auto"/>
              </w:rPr>
            </w:pPr>
            <w:r>
              <w:rPr>
                <w:rFonts w:ascii="Arial" w:cs="Arial" w:eastAsia="Arial" w:hAnsi="Arial"/>
                <w:sz w:val="16"/>
                <w:szCs w:val="16"/>
                <w:b w:val="1"/>
                <w:bCs w:val="1"/>
                <w:color w:val="auto"/>
                <w:w w:val="87"/>
              </w:rPr>
              <w:t>Assets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02"/>
              <w:spacing w:after="0" w:line="157" w:lineRule="exact"/>
              <w:rPr>
                <w:sz w:val="20"/>
                <w:szCs w:val="20"/>
                <w:color w:val="auto"/>
              </w:rPr>
            </w:pPr>
            <w:r>
              <w:rPr>
                <w:rFonts w:ascii="Arial" w:cs="Arial" w:eastAsia="Arial" w:hAnsi="Arial"/>
                <w:sz w:val="16"/>
                <w:szCs w:val="16"/>
                <w:b w:val="1"/>
                <w:bCs w:val="1"/>
                <w:color w:val="auto"/>
                <w:w w:val="87"/>
              </w:rPr>
              <w:t>Assets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Asset Class</w:t>
            </w:r>
          </w:p>
        </w:tc>
        <w:tc>
          <w:tcPr>
            <w:tcW w:w="80" w:type="dxa"/>
            <w:vAlign w:val="bottom"/>
            <w:vMerge w:val="restart"/>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3</w:t>
            </w:r>
          </w:p>
        </w:tc>
        <w:tc>
          <w:tcPr>
            <w:tcW w:w="60" w:type="dxa"/>
            <w:vAlign w:val="bottom"/>
            <w:vMerge w:val="restart"/>
          </w:tcPr>
          <w:p>
            <w:pPr>
              <w:spacing w:after="0"/>
              <w:rPr>
                <w:sz w:val="13"/>
                <w:szCs w:val="13"/>
                <w:color w:val="auto"/>
              </w:rPr>
            </w:pPr>
          </w:p>
        </w:tc>
        <w:tc>
          <w:tcPr>
            <w:tcW w:w="82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w w:val="95"/>
              </w:rPr>
              <w:t>measured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83"/>
              </w:rPr>
              <w:t>Total</w:t>
            </w:r>
          </w:p>
        </w:tc>
        <w:tc>
          <w:tcPr>
            <w:tcW w:w="80" w:type="dxa"/>
            <w:vAlign w:val="bottom"/>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3"/>
                <w:szCs w:val="13"/>
                <w:color w:val="auto"/>
              </w:rPr>
            </w:pPr>
          </w:p>
        </w:tc>
        <w:tc>
          <w:tcPr>
            <w:tcW w:w="68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3"/>
                <w:szCs w:val="13"/>
                <w:color w:val="auto"/>
              </w:rPr>
            </w:pPr>
          </w:p>
        </w:tc>
        <w:tc>
          <w:tcPr>
            <w:tcW w:w="72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7"/>
              </w:rPr>
              <w:t>measured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w w:val="78"/>
              </w:rPr>
              <w:t>Total</w:t>
            </w:r>
          </w:p>
        </w:tc>
        <w:tc>
          <w:tcPr>
            <w:tcW w:w="0" w:type="dxa"/>
            <w:vAlign w:val="bottom"/>
          </w:tcPr>
          <w:p>
            <w:pPr>
              <w:spacing w:after="0"/>
              <w:rPr>
                <w:sz w:val="1"/>
                <w:szCs w:val="1"/>
                <w:color w:val="auto"/>
              </w:rPr>
            </w:pPr>
          </w:p>
        </w:tc>
      </w:tr>
      <w:tr>
        <w:trPr>
          <w:trHeight w:val="207"/>
        </w:trPr>
        <w:tc>
          <w:tcPr>
            <w:tcW w:w="212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E5E5E5"/>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5E5E5"/>
            </w:tcBorders>
            <w:vMerge w:val="continue"/>
          </w:tcPr>
          <w:p>
            <w:pPr>
              <w:spacing w:after="0"/>
              <w:rPr>
                <w:sz w:val="17"/>
                <w:szCs w:val="17"/>
                <w:color w:val="auto"/>
              </w:rPr>
            </w:pPr>
          </w:p>
        </w:tc>
        <w:tc>
          <w:tcPr>
            <w:tcW w:w="8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at NAV</w:t>
            </w:r>
            <w:r>
              <w:rPr>
                <w:rFonts w:ascii="Arial" w:cs="Arial" w:eastAsia="Arial" w:hAnsi="Arial"/>
                <w:sz w:val="10"/>
                <w:szCs w:val="10"/>
                <w:b w:val="1"/>
                <w:bCs w:val="1"/>
                <w:color w:val="auto"/>
              </w:rPr>
              <w:t>(1)</w:t>
            </w: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8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at NAV</w:t>
            </w:r>
            <w:r>
              <w:rPr>
                <w:rFonts w:ascii="Arial" w:cs="Arial" w:eastAsia="Arial" w:hAnsi="Arial"/>
                <w:sz w:val="10"/>
                <w:szCs w:val="10"/>
                <w:b w:val="1"/>
                <w:bCs w:val="1"/>
                <w:color w:val="auto"/>
              </w:rPr>
              <w:t>(1)</w:t>
            </w: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E5E5E5"/>
          </w:tcPr>
          <w:p>
            <w:pPr>
              <w:spacing w:after="0"/>
              <w:rPr>
                <w:sz w:val="19"/>
                <w:szCs w:val="19"/>
                <w:color w:val="auto"/>
              </w:rPr>
            </w:pPr>
          </w:p>
        </w:tc>
        <w:tc>
          <w:tcPr>
            <w:tcW w:w="214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Cash and cash equivalents</w:t>
            </w:r>
          </w:p>
        </w:tc>
        <w:tc>
          <w:tcPr>
            <w:tcW w:w="260" w:type="dxa"/>
            <w:vAlign w:val="bottom"/>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445</w:t>
            </w:r>
          </w:p>
        </w:tc>
        <w:tc>
          <w:tcPr>
            <w:tcW w:w="320" w:type="dxa"/>
            <w:vAlign w:val="bottom"/>
            <w:gridSpan w:val="2"/>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445</w:t>
            </w:r>
          </w:p>
        </w:tc>
        <w:tc>
          <w:tcPr>
            <w:tcW w:w="0" w:type="dxa"/>
            <w:vAlign w:val="bottom"/>
          </w:tcPr>
          <w:p>
            <w:pPr>
              <w:spacing w:after="0"/>
              <w:rPr>
                <w:sz w:val="1"/>
                <w:szCs w:val="1"/>
                <w:color w:val="auto"/>
              </w:rPr>
            </w:pPr>
          </w:p>
        </w:tc>
      </w:tr>
      <w:tr>
        <w:trPr>
          <w:trHeight w:val="184"/>
        </w:trPr>
        <w:tc>
          <w:tcPr>
            <w:tcW w:w="2200" w:type="dxa"/>
            <w:vAlign w:val="bottom"/>
            <w:gridSpan w:val="5"/>
          </w:tcPr>
          <w:p>
            <w:pPr>
              <w:ind w:left="6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 w:type="dxa"/>
            <w:vAlign w:val="bottom"/>
            <w:shd w:val="clear" w:color="auto" w:fill="E5E5E5"/>
          </w:tcPr>
          <w:p>
            <w:pPr>
              <w:spacing w:after="0"/>
              <w:rPr>
                <w:sz w:val="20"/>
                <w:szCs w:val="20"/>
                <w:color w:val="auto"/>
              </w:rPr>
            </w:pPr>
          </w:p>
        </w:tc>
        <w:tc>
          <w:tcPr>
            <w:tcW w:w="2140" w:type="dxa"/>
            <w:vAlign w:val="bottom"/>
            <w:gridSpan w:val="4"/>
            <w:shd w:val="clear" w:color="auto" w:fill="E5E5E5"/>
          </w:tcPr>
          <w:p>
            <w:pPr>
              <w:ind w:left="220"/>
              <w:spacing w:after="0"/>
              <w:rPr>
                <w:sz w:val="20"/>
                <w:szCs w:val="20"/>
                <w:color w:val="auto"/>
              </w:rPr>
            </w:pPr>
            <w:r>
              <w:rPr>
                <w:rFonts w:ascii="Arial" w:cs="Arial" w:eastAsia="Arial" w:hAnsi="Arial"/>
                <w:sz w:val="16"/>
                <w:szCs w:val="16"/>
                <w:b w:val="1"/>
                <w:bCs w:val="1"/>
                <w:color w:val="auto"/>
              </w:rPr>
              <w:t>U.S.</w:t>
            </w:r>
            <w:r>
              <w:rPr>
                <w:rFonts w:ascii="Arial" w:cs="Arial" w:eastAsia="Arial" w:hAnsi="Arial"/>
                <w:sz w:val="10"/>
                <w:szCs w:val="10"/>
                <w:b w:val="1"/>
                <w:bCs w:val="1"/>
                <w:color w:val="auto"/>
              </w:rPr>
              <w:t>(2)</w:t>
            </w: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148</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2140" w:type="dxa"/>
            <w:vAlign w:val="bottom"/>
            <w:gridSpan w:val="4"/>
          </w:tcPr>
          <w:p>
            <w:pPr>
              <w:ind w:left="220"/>
              <w:spacing w:after="0"/>
              <w:rPr>
                <w:sz w:val="20"/>
                <w:szCs w:val="20"/>
                <w:color w:val="auto"/>
              </w:rPr>
            </w:pPr>
            <w:r>
              <w:rPr>
                <w:rFonts w:ascii="Arial" w:cs="Arial" w:eastAsia="Arial" w:hAnsi="Arial"/>
                <w:sz w:val="16"/>
                <w:szCs w:val="16"/>
                <w:b w:val="1"/>
                <w:bCs w:val="1"/>
                <w:color w:val="auto"/>
              </w:rPr>
              <w:t>International</w:t>
            </w:r>
            <w:r>
              <w:rPr>
                <w:rFonts w:ascii="Arial" w:cs="Arial" w:eastAsia="Arial" w:hAnsi="Arial"/>
                <w:sz w:val="10"/>
                <w:szCs w:val="10"/>
                <w:b w:val="1"/>
                <w:bCs w:val="1"/>
                <w:color w:val="auto"/>
              </w:rPr>
              <w:t>(2)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411</w:t>
            </w:r>
          </w:p>
        </w:tc>
        <w:tc>
          <w:tcPr>
            <w:tcW w:w="0" w:type="dxa"/>
            <w:vAlign w:val="bottom"/>
          </w:tcPr>
          <w:p>
            <w:pPr>
              <w:spacing w:after="0"/>
              <w:rPr>
                <w:sz w:val="1"/>
                <w:szCs w:val="1"/>
                <w:color w:val="auto"/>
              </w:rPr>
            </w:pPr>
          </w:p>
        </w:tc>
      </w:tr>
      <w:tr>
        <w:trPr>
          <w:trHeight w:val="190"/>
        </w:trPr>
        <w:tc>
          <w:tcPr>
            <w:tcW w:w="220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Fixed Income Securities:</w:t>
            </w: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E5E5E5"/>
            </w:tcBorders>
            <w:shd w:val="clear" w:color="auto" w:fill="E5E5E5"/>
          </w:tcPr>
          <w:p>
            <w:pPr>
              <w:spacing w:after="0"/>
              <w:rPr>
                <w:sz w:val="2"/>
                <w:szCs w:val="2"/>
                <w:color w:val="auto"/>
              </w:rPr>
            </w:pPr>
          </w:p>
        </w:tc>
        <w:tc>
          <w:tcPr>
            <w:tcW w:w="1200" w:type="dxa"/>
            <w:vAlign w:val="bottom"/>
            <w:tcBorders>
              <w:top w:val="single" w:sz="8" w:color="auto"/>
            </w:tcBorders>
            <w:shd w:val="clear" w:color="auto" w:fill="E5E5E5"/>
          </w:tcPr>
          <w:p>
            <w:pPr>
              <w:spacing w:after="0"/>
              <w:rPr>
                <w:sz w:val="2"/>
                <w:szCs w:val="2"/>
                <w:color w:val="auto"/>
              </w:rPr>
            </w:pPr>
          </w:p>
        </w:tc>
        <w:tc>
          <w:tcPr>
            <w:tcW w:w="500" w:type="dxa"/>
            <w:vAlign w:val="bottom"/>
            <w:tcBorders>
              <w:top w:val="single" w:sz="8" w:color="auto"/>
            </w:tcBorders>
            <w:shd w:val="clear" w:color="auto" w:fill="E5E5E5"/>
          </w:tcPr>
          <w:p>
            <w:pPr>
              <w:spacing w:after="0"/>
              <w:rPr>
                <w:sz w:val="2"/>
                <w:szCs w:val="2"/>
                <w:color w:val="auto"/>
              </w:rPr>
            </w:pPr>
          </w:p>
        </w:tc>
        <w:tc>
          <w:tcPr>
            <w:tcW w:w="36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300" w:type="dxa"/>
            <w:vAlign w:val="bottom"/>
            <w:tcBorders>
              <w:top w:val="single" w:sz="8" w:color="E5E5E5"/>
            </w:tcBorders>
            <w:shd w:val="clear" w:color="auto" w:fill="E5E5E5"/>
          </w:tcPr>
          <w:p>
            <w:pPr>
              <w:spacing w:after="0"/>
              <w:rPr>
                <w:sz w:val="2"/>
                <w:szCs w:val="2"/>
                <w:color w:val="auto"/>
              </w:rPr>
            </w:pPr>
          </w:p>
        </w:tc>
        <w:tc>
          <w:tcPr>
            <w:tcW w:w="40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66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4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4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2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66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480" w:type="dxa"/>
            <w:vAlign w:val="bottom"/>
            <w:tcBorders>
              <w:top w:val="single" w:sz="8" w:color="E5E5E5"/>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2140" w:type="dxa"/>
            <w:vAlign w:val="bottom"/>
            <w:gridSpan w:val="4"/>
          </w:tcPr>
          <w:p>
            <w:pPr>
              <w:ind w:left="220"/>
              <w:spacing w:after="0"/>
              <w:rPr>
                <w:sz w:val="20"/>
                <w:szCs w:val="20"/>
                <w:color w:val="auto"/>
              </w:rPr>
            </w:pPr>
            <w:r>
              <w:rPr>
                <w:rFonts w:ascii="Arial" w:cs="Arial" w:eastAsia="Arial" w:hAnsi="Arial"/>
                <w:sz w:val="16"/>
                <w:szCs w:val="16"/>
                <w:b w:val="1"/>
                <w:bCs w:val="1"/>
                <w:color w:val="auto"/>
                <w:w w:val="99"/>
              </w:rPr>
              <w:t>U.S. treasury securities</w:t>
            </w:r>
            <w:r>
              <w:rPr>
                <w:rFonts w:ascii="Arial" w:cs="Arial" w:eastAsia="Arial" w:hAnsi="Arial"/>
                <w:sz w:val="10"/>
                <w:szCs w:val="10"/>
                <w:b w:val="1"/>
                <w:bCs w:val="1"/>
                <w:color w:val="auto"/>
                <w:w w:val="99"/>
              </w:rPr>
              <w:t>(2)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53"/>
        </w:trPr>
        <w:tc>
          <w:tcPr>
            <w:tcW w:w="60" w:type="dxa"/>
            <w:vAlign w:val="bottom"/>
            <w:shd w:val="clear" w:color="auto" w:fill="E5E5E5"/>
          </w:tcPr>
          <w:p>
            <w:pPr>
              <w:spacing w:after="0"/>
              <w:rPr>
                <w:sz w:val="13"/>
                <w:szCs w:val="13"/>
                <w:color w:val="auto"/>
              </w:rPr>
            </w:pPr>
          </w:p>
        </w:tc>
        <w:tc>
          <w:tcPr>
            <w:tcW w:w="2140" w:type="dxa"/>
            <w:vAlign w:val="bottom"/>
            <w:gridSpan w:val="4"/>
            <w:shd w:val="clear" w:color="auto" w:fill="E5E5E5"/>
          </w:tcPr>
          <w:p>
            <w:pPr>
              <w:ind w:left="220"/>
              <w:spacing w:after="0" w:line="153" w:lineRule="exact"/>
              <w:rPr>
                <w:sz w:val="20"/>
                <w:szCs w:val="20"/>
                <w:color w:val="auto"/>
              </w:rPr>
            </w:pPr>
            <w:r>
              <w:rPr>
                <w:rFonts w:ascii="Arial" w:cs="Arial" w:eastAsia="Arial" w:hAnsi="Arial"/>
                <w:sz w:val="16"/>
                <w:szCs w:val="16"/>
                <w:b w:val="1"/>
                <w:bCs w:val="1"/>
                <w:color w:val="auto"/>
              </w:rPr>
              <w:t>Debt security issued by</w:t>
            </w:r>
          </w:p>
        </w:tc>
        <w:tc>
          <w:tcPr>
            <w:tcW w:w="26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163</w:t>
            </w:r>
          </w:p>
        </w:tc>
        <w:tc>
          <w:tcPr>
            <w:tcW w:w="8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46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13"/>
                <w:szCs w:val="13"/>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163</w:t>
            </w: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661</w:t>
            </w:r>
          </w:p>
        </w:tc>
        <w:tc>
          <w:tcPr>
            <w:tcW w:w="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2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4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663</w:t>
            </w: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2140" w:type="dxa"/>
            <w:vAlign w:val="bottom"/>
            <w:gridSpan w:val="4"/>
            <w:shd w:val="clear" w:color="auto" w:fill="E5E5E5"/>
          </w:tcPr>
          <w:p>
            <w:pPr>
              <w:ind w:left="220"/>
              <w:spacing w:after="0"/>
              <w:rPr>
                <w:sz w:val="20"/>
                <w:szCs w:val="20"/>
                <w:color w:val="auto"/>
              </w:rPr>
            </w:pPr>
            <w:r>
              <w:rPr>
                <w:rFonts w:ascii="Arial" w:cs="Arial" w:eastAsia="Arial" w:hAnsi="Arial"/>
                <w:sz w:val="16"/>
                <w:szCs w:val="16"/>
                <w:b w:val="1"/>
                <w:bCs w:val="1"/>
                <w:color w:val="auto"/>
              </w:rPr>
              <w:t>government agency</w:t>
            </w: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gridSpan w:val="2"/>
            <w:vMerge w:val="continue"/>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2140" w:type="dxa"/>
            <w:vAlign w:val="bottom"/>
            <w:gridSpan w:val="4"/>
          </w:tcPr>
          <w:p>
            <w:pPr>
              <w:ind w:left="220"/>
              <w:spacing w:after="0"/>
              <w:rPr>
                <w:sz w:val="20"/>
                <w:szCs w:val="20"/>
                <w:color w:val="auto"/>
              </w:rPr>
            </w:pPr>
            <w:r>
              <w:rPr>
                <w:rFonts w:ascii="Arial" w:cs="Arial" w:eastAsia="Arial" w:hAnsi="Arial"/>
                <w:sz w:val="16"/>
                <w:szCs w:val="16"/>
                <w:b w:val="1"/>
                <w:bCs w:val="1"/>
                <w:color w:val="auto"/>
              </w:rPr>
              <w:t>Corporate bonds</w:t>
            </w:r>
            <w:r>
              <w:rPr>
                <w:rFonts w:ascii="Arial" w:cs="Arial" w:eastAsia="Arial" w:hAnsi="Arial"/>
                <w:sz w:val="10"/>
                <w:szCs w:val="10"/>
                <w:b w:val="1"/>
                <w:bCs w:val="1"/>
                <w:color w:val="auto"/>
              </w:rPr>
              <w:t>(2)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266</w:t>
            </w:r>
          </w:p>
        </w:tc>
        <w:tc>
          <w:tcPr>
            <w:tcW w:w="0" w:type="dxa"/>
            <w:vAlign w:val="bottom"/>
          </w:tcPr>
          <w:p>
            <w:pPr>
              <w:spacing w:after="0"/>
              <w:rPr>
                <w:sz w:val="1"/>
                <w:szCs w:val="1"/>
                <w:color w:val="auto"/>
              </w:rPr>
            </w:pPr>
          </w:p>
        </w:tc>
      </w:tr>
      <w:tr>
        <w:trPr>
          <w:trHeight w:val="239"/>
        </w:trPr>
        <w:tc>
          <w:tcPr>
            <w:tcW w:w="60" w:type="dxa"/>
            <w:vAlign w:val="bottom"/>
            <w:shd w:val="clear" w:color="auto" w:fill="E5E5E5"/>
          </w:tcPr>
          <w:p>
            <w:pPr>
              <w:spacing w:after="0"/>
              <w:rPr>
                <w:sz w:val="20"/>
                <w:szCs w:val="20"/>
                <w:color w:val="auto"/>
              </w:rPr>
            </w:pPr>
          </w:p>
        </w:tc>
        <w:tc>
          <w:tcPr>
            <w:tcW w:w="2140" w:type="dxa"/>
            <w:vAlign w:val="bottom"/>
            <w:gridSpan w:val="4"/>
            <w:shd w:val="clear" w:color="auto" w:fill="E5E5E5"/>
          </w:tcPr>
          <w:p>
            <w:pPr>
              <w:ind w:left="220"/>
              <w:spacing w:after="0"/>
              <w:rPr>
                <w:sz w:val="20"/>
                <w:szCs w:val="20"/>
                <w:color w:val="auto"/>
              </w:rPr>
            </w:pPr>
            <w:r>
              <w:rPr>
                <w:rFonts w:ascii="Arial" w:cs="Arial" w:eastAsia="Arial" w:hAnsi="Arial"/>
                <w:sz w:val="16"/>
                <w:szCs w:val="16"/>
                <w:b w:val="1"/>
                <w:bCs w:val="1"/>
                <w:color w:val="auto"/>
              </w:rPr>
              <w:t>Asset backed securities</w:t>
            </w: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4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7"/>
        </w:trPr>
        <w:tc>
          <w:tcPr>
            <w:tcW w:w="2200" w:type="dxa"/>
            <w:vAlign w:val="bottom"/>
            <w:gridSpan w:val="5"/>
          </w:tcPr>
          <w:p>
            <w:pPr>
              <w:ind w:left="60"/>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39"/>
        </w:trPr>
        <w:tc>
          <w:tcPr>
            <w:tcW w:w="220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Real estate</w:t>
            </w: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4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32</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55</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114</w:t>
            </w:r>
          </w:p>
        </w:tc>
        <w:tc>
          <w:tcPr>
            <w:tcW w:w="0" w:type="dxa"/>
            <w:vAlign w:val="bottom"/>
          </w:tcPr>
          <w:p>
            <w:pPr>
              <w:spacing w:after="0"/>
              <w:rPr>
                <w:sz w:val="1"/>
                <w:szCs w:val="1"/>
                <w:color w:val="auto"/>
              </w:rPr>
            </w:pPr>
          </w:p>
        </w:tc>
      </w:tr>
      <w:tr>
        <w:trPr>
          <w:trHeight w:val="227"/>
        </w:trPr>
        <w:tc>
          <w:tcPr>
            <w:tcW w:w="2200" w:type="dxa"/>
            <w:vAlign w:val="bottom"/>
            <w:gridSpan w:val="5"/>
          </w:tcPr>
          <w:p>
            <w:pPr>
              <w:ind w:left="60"/>
              <w:spacing w:after="0"/>
              <w:rPr>
                <w:sz w:val="20"/>
                <w:szCs w:val="20"/>
                <w:color w:val="auto"/>
              </w:rPr>
            </w:pPr>
            <w:r>
              <w:rPr>
                <w:rFonts w:ascii="Arial" w:cs="Arial" w:eastAsia="Arial" w:hAnsi="Arial"/>
                <w:sz w:val="16"/>
                <w:szCs w:val="16"/>
                <w:b w:val="1"/>
                <w:bCs w:val="1"/>
                <w:color w:val="auto"/>
                <w:w w:val="95"/>
              </w:rPr>
              <w:t>Private equity/venture capital</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182"/>
        </w:trPr>
        <w:tc>
          <w:tcPr>
            <w:tcW w:w="2200" w:type="dxa"/>
            <w:vAlign w:val="bottom"/>
            <w:gridSpan w:val="5"/>
            <w:shd w:val="clear" w:color="auto" w:fill="E5E5E5"/>
          </w:tcPr>
          <w:p>
            <w:pPr>
              <w:ind w:left="60"/>
              <w:spacing w:after="0" w:line="182" w:lineRule="exact"/>
              <w:rPr>
                <w:sz w:val="20"/>
                <w:szCs w:val="20"/>
                <w:color w:val="auto"/>
              </w:rPr>
            </w:pPr>
            <w:r>
              <w:rPr>
                <w:rFonts w:ascii="Arial" w:cs="Arial" w:eastAsia="Arial" w:hAnsi="Arial"/>
                <w:sz w:val="16"/>
                <w:szCs w:val="16"/>
                <w:b w:val="1"/>
                <w:bCs w:val="1"/>
                <w:color w:val="auto"/>
              </w:rPr>
              <w:t>Guaranteed insurance</w:t>
            </w:r>
          </w:p>
        </w:tc>
        <w:tc>
          <w:tcPr>
            <w:tcW w:w="26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46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15"/>
                <w:szCs w:val="15"/>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52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2,498</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4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w w:val="94"/>
              </w:rPr>
              <w:t>2,498</w:t>
            </w:r>
          </w:p>
        </w:tc>
        <w:tc>
          <w:tcPr>
            <w:tcW w:w="0" w:type="dxa"/>
            <w:vAlign w:val="bottom"/>
          </w:tcPr>
          <w:p>
            <w:pPr>
              <w:spacing w:after="0"/>
              <w:rPr>
                <w:sz w:val="1"/>
                <w:szCs w:val="1"/>
                <w:color w:val="auto"/>
              </w:rPr>
            </w:pPr>
          </w:p>
        </w:tc>
      </w:tr>
      <w:tr>
        <w:trPr>
          <w:trHeight w:val="217"/>
        </w:trPr>
        <w:tc>
          <w:tcPr>
            <w:tcW w:w="220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contracts</w:t>
            </w: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60" w:type="dxa"/>
            <w:vAlign w:val="bottom"/>
            <w:gridSpan w:val="2"/>
            <w:vMerge w:val="continue"/>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E5E5E5"/>
            </w:tcBorders>
            <w:gridSpan w:val="5"/>
          </w:tcPr>
          <w:p>
            <w:pPr>
              <w:ind w:left="60"/>
              <w:spacing w:after="0" w:line="223" w:lineRule="exact"/>
              <w:rPr>
                <w:sz w:val="20"/>
                <w:szCs w:val="20"/>
                <w:color w:val="auto"/>
              </w:rPr>
            </w:pPr>
            <w:r>
              <w:rPr>
                <w:rFonts w:ascii="Arial" w:cs="Arial" w:eastAsia="Arial" w:hAnsi="Arial"/>
                <w:sz w:val="25"/>
                <w:szCs w:val="25"/>
                <w:b w:val="1"/>
                <w:bCs w:val="1"/>
                <w:color w:val="auto"/>
                <w:vertAlign w:val="subscript"/>
              </w:rPr>
              <w:t>Other</w:t>
            </w:r>
            <w:r>
              <w:rPr>
                <w:rFonts w:ascii="Arial" w:cs="Arial" w:eastAsia="Arial" w:hAnsi="Arial"/>
                <w:sz w:val="9"/>
                <w:szCs w:val="9"/>
                <w:b w:val="1"/>
                <w:bCs w:val="1"/>
                <w:color w:val="auto"/>
              </w:rPr>
              <w:t>(3)(4)(5)</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80" w:type="dxa"/>
            <w:vAlign w:val="bottom"/>
            <w:tcBorders>
              <w:bottom w:val="single" w:sz="8" w:color="E5E5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E5E5E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5E5E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0" w:type="dxa"/>
            <w:vAlign w:val="bottom"/>
          </w:tcPr>
          <w:p>
            <w:pPr>
              <w:spacing w:after="0"/>
              <w:rPr>
                <w:sz w:val="1"/>
                <w:szCs w:val="1"/>
                <w:color w:val="auto"/>
              </w:rPr>
            </w:pPr>
          </w:p>
        </w:tc>
      </w:tr>
      <w:tr>
        <w:trPr>
          <w:trHeight w:val="137"/>
        </w:trPr>
        <w:tc>
          <w:tcPr>
            <w:tcW w:w="2200" w:type="dxa"/>
            <w:vAlign w:val="bottom"/>
            <w:gridSpan w:val="5"/>
            <w:shd w:val="clear" w:color="auto" w:fill="E5E5E5"/>
          </w:tcPr>
          <w:p>
            <w:pPr>
              <w:ind w:left="60"/>
              <w:spacing w:after="0" w:line="137" w:lineRule="exact"/>
              <w:rPr>
                <w:sz w:val="20"/>
                <w:szCs w:val="20"/>
                <w:color w:val="auto"/>
              </w:rPr>
            </w:pPr>
            <w:r>
              <w:rPr>
                <w:rFonts w:ascii="Arial" w:cs="Arial" w:eastAsia="Arial" w:hAnsi="Arial"/>
                <w:sz w:val="14"/>
                <w:szCs w:val="14"/>
                <w:b w:val="1"/>
                <w:bCs w:val="1"/>
                <w:color w:val="auto"/>
              </w:rPr>
              <w:t>Total Fair Value of Plan</w:t>
            </w:r>
          </w:p>
        </w:tc>
        <w:tc>
          <w:tcPr>
            <w:tcW w:w="260" w:type="dxa"/>
            <w:vAlign w:val="bottom"/>
            <w:vMerge w:val="restart"/>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177</w:t>
            </w:r>
          </w:p>
        </w:tc>
        <w:tc>
          <w:tcPr>
            <w:tcW w:w="80" w:type="dxa"/>
            <w:vAlign w:val="bottom"/>
            <w:vMerge w:val="restart"/>
            <w:shd w:val="clear" w:color="auto" w:fill="E5E5E5"/>
          </w:tcPr>
          <w:p>
            <w:pPr>
              <w:spacing w:after="0"/>
              <w:rPr>
                <w:sz w:val="11"/>
                <w:szCs w:val="11"/>
                <w:color w:val="auto"/>
              </w:rPr>
            </w:pPr>
          </w:p>
        </w:tc>
        <w:tc>
          <w:tcPr>
            <w:tcW w:w="260" w:type="dxa"/>
            <w:vAlign w:val="bottom"/>
            <w:vMerge w:val="restart"/>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873</w:t>
            </w:r>
          </w:p>
        </w:tc>
        <w:tc>
          <w:tcPr>
            <w:tcW w:w="80" w:type="dxa"/>
            <w:vAlign w:val="bottom"/>
            <w:vMerge w:val="restart"/>
            <w:shd w:val="clear" w:color="auto" w:fill="E5E5E5"/>
          </w:tcPr>
          <w:p>
            <w:pPr>
              <w:spacing w:after="0"/>
              <w:rPr>
                <w:sz w:val="11"/>
                <w:szCs w:val="11"/>
                <w:color w:val="auto"/>
              </w:rPr>
            </w:pPr>
          </w:p>
        </w:tc>
        <w:tc>
          <w:tcPr>
            <w:tcW w:w="300" w:type="dxa"/>
            <w:vAlign w:val="bottom"/>
            <w:vMerge w:val="restart"/>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4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60" w:type="dxa"/>
            <w:vAlign w:val="bottom"/>
            <w:shd w:val="clear" w:color="auto" w:fill="E5E5E5"/>
          </w:tcPr>
          <w:p>
            <w:pPr>
              <w:spacing w:after="0"/>
              <w:rPr>
                <w:sz w:val="11"/>
                <w:szCs w:val="11"/>
                <w:color w:val="auto"/>
              </w:rPr>
            </w:pPr>
          </w:p>
        </w:tc>
        <w:tc>
          <w:tcPr>
            <w:tcW w:w="160" w:type="dxa"/>
            <w:vAlign w:val="bottom"/>
            <w:vMerge w:val="restart"/>
            <w:shd w:val="clear" w:color="auto" w:fill="E5E5E5"/>
          </w:tcPr>
          <w:p>
            <w:pPr>
              <w:ind w:left="60"/>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772</w:t>
            </w:r>
          </w:p>
        </w:tc>
        <w:tc>
          <w:tcPr>
            <w:tcW w:w="80" w:type="dxa"/>
            <w:vAlign w:val="bottom"/>
            <w:vMerge w:val="restart"/>
            <w:shd w:val="clear" w:color="auto" w:fill="E5E5E5"/>
          </w:tcPr>
          <w:p>
            <w:pPr>
              <w:spacing w:after="0"/>
              <w:rPr>
                <w:sz w:val="11"/>
                <w:szCs w:val="11"/>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w w:val="99"/>
              </w:rPr>
              <w:t>1,845</w:t>
            </w:r>
          </w:p>
        </w:tc>
        <w:tc>
          <w:tcPr>
            <w:tcW w:w="80" w:type="dxa"/>
            <w:vAlign w:val="bottom"/>
            <w:vMerge w:val="restart"/>
            <w:shd w:val="clear" w:color="auto" w:fill="E5E5E5"/>
          </w:tcPr>
          <w:p>
            <w:pPr>
              <w:spacing w:after="0"/>
              <w:rPr>
                <w:sz w:val="11"/>
                <w:szCs w:val="11"/>
                <w:color w:val="auto"/>
              </w:rPr>
            </w:pPr>
          </w:p>
        </w:tc>
        <w:tc>
          <w:tcPr>
            <w:tcW w:w="260" w:type="dxa"/>
            <w:vAlign w:val="bottom"/>
            <w:vMerge w:val="restart"/>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857</w:t>
            </w:r>
          </w:p>
        </w:tc>
        <w:tc>
          <w:tcPr>
            <w:tcW w:w="80" w:type="dxa"/>
            <w:vAlign w:val="bottom"/>
            <w:vMerge w:val="restart"/>
            <w:shd w:val="clear" w:color="auto" w:fill="E5E5E5"/>
          </w:tcPr>
          <w:p>
            <w:pPr>
              <w:spacing w:after="0"/>
              <w:rPr>
                <w:sz w:val="11"/>
                <w:szCs w:val="11"/>
                <w:color w:val="auto"/>
              </w:rPr>
            </w:pPr>
          </w:p>
        </w:tc>
        <w:tc>
          <w:tcPr>
            <w:tcW w:w="240" w:type="dxa"/>
            <w:vAlign w:val="bottom"/>
            <w:vMerge w:val="restart"/>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967</w:t>
            </w:r>
          </w:p>
        </w:tc>
        <w:tc>
          <w:tcPr>
            <w:tcW w:w="80" w:type="dxa"/>
            <w:vAlign w:val="bottom"/>
            <w:vMerge w:val="restart"/>
            <w:shd w:val="clear" w:color="auto" w:fill="E5E5E5"/>
          </w:tcPr>
          <w:p>
            <w:pPr>
              <w:spacing w:after="0"/>
              <w:rPr>
                <w:sz w:val="11"/>
                <w:szCs w:val="11"/>
                <w:color w:val="auto"/>
              </w:rPr>
            </w:pPr>
          </w:p>
        </w:tc>
        <w:tc>
          <w:tcPr>
            <w:tcW w:w="2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2,568</w:t>
            </w:r>
          </w:p>
        </w:tc>
        <w:tc>
          <w:tcPr>
            <w:tcW w:w="60" w:type="dxa"/>
            <w:vAlign w:val="bottom"/>
            <w:vMerge w:val="restart"/>
            <w:shd w:val="clear" w:color="auto" w:fill="E5E5E5"/>
          </w:tcPr>
          <w:p>
            <w:pPr>
              <w:spacing w:after="0"/>
              <w:rPr>
                <w:sz w:val="11"/>
                <w:szCs w:val="11"/>
                <w:color w:val="auto"/>
              </w:rPr>
            </w:pPr>
          </w:p>
        </w:tc>
        <w:tc>
          <w:tcPr>
            <w:tcW w:w="160" w:type="dxa"/>
            <w:vAlign w:val="bottom"/>
            <w:vMerge w:val="restart"/>
            <w:shd w:val="clear" w:color="auto" w:fill="E5E5E5"/>
          </w:tcPr>
          <w:p>
            <w:pPr>
              <w:ind w:left="60"/>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196</w:t>
            </w:r>
          </w:p>
        </w:tc>
        <w:tc>
          <w:tcPr>
            <w:tcW w:w="80" w:type="dxa"/>
            <w:vAlign w:val="bottom"/>
            <w:vMerge w:val="restart"/>
            <w:shd w:val="clear" w:color="auto" w:fill="E5E5E5"/>
          </w:tcPr>
          <w:p>
            <w:pPr>
              <w:spacing w:after="0"/>
              <w:rPr>
                <w:sz w:val="11"/>
                <w:szCs w:val="11"/>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w w:val="99"/>
              </w:rPr>
              <w:t>4,588</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E5E5E5"/>
            </w:tcBorders>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vMerge w:val="continue"/>
            <w:shd w:val="clear" w:color="auto" w:fill="E5E5E5"/>
          </w:tcPr>
          <w:p>
            <w:pPr>
              <w:spacing w:after="0"/>
              <w:rPr>
                <w:sz w:val="19"/>
                <w:szCs w:val="19"/>
                <w:color w:val="auto"/>
              </w:rPr>
            </w:pPr>
          </w:p>
        </w:tc>
        <w:tc>
          <w:tcPr>
            <w:tcW w:w="4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60" w:type="dxa"/>
            <w:vAlign w:val="bottom"/>
            <w:tcBorders>
              <w:bottom w:val="single" w:sz="8" w:color="auto"/>
            </w:tcBorders>
            <w:vMerge w:val="continue"/>
            <w:shd w:val="clear" w:color="auto" w:fill="E5E5E5"/>
          </w:tcPr>
          <w:p>
            <w:pPr>
              <w:spacing w:after="0"/>
              <w:rPr>
                <w:sz w:val="19"/>
                <w:szCs w:val="19"/>
                <w:color w:val="auto"/>
              </w:rPr>
            </w:pPr>
          </w:p>
        </w:tc>
        <w:tc>
          <w:tcPr>
            <w:tcW w:w="4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300" w:type="dxa"/>
            <w:vAlign w:val="bottom"/>
            <w:tcBorders>
              <w:bottom w:val="single" w:sz="8" w:color="auto"/>
            </w:tcBorders>
            <w:vMerge w:val="continue"/>
            <w:shd w:val="clear" w:color="auto" w:fill="E5E5E5"/>
          </w:tcPr>
          <w:p>
            <w:pPr>
              <w:spacing w:after="0"/>
              <w:rPr>
                <w:sz w:val="19"/>
                <w:szCs w:val="19"/>
                <w:color w:val="auto"/>
              </w:rPr>
            </w:pPr>
          </w:p>
        </w:tc>
        <w:tc>
          <w:tcPr>
            <w:tcW w:w="40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6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40" w:type="dxa"/>
            <w:vAlign w:val="bottom"/>
            <w:tcBorders>
              <w:bottom w:val="single" w:sz="8" w:color="auto"/>
            </w:tcBorders>
            <w:vMerge w:val="continue"/>
            <w:shd w:val="clear" w:color="auto" w:fill="E5E5E5"/>
          </w:tcPr>
          <w:p>
            <w:pPr>
              <w:spacing w:after="0"/>
              <w:rPr>
                <w:sz w:val="19"/>
                <w:szCs w:val="19"/>
                <w:color w:val="auto"/>
              </w:rPr>
            </w:pPr>
          </w:p>
        </w:tc>
        <w:tc>
          <w:tcPr>
            <w:tcW w:w="48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60" w:type="dxa"/>
            <w:vAlign w:val="bottom"/>
            <w:tcBorders>
              <w:bottom w:val="single" w:sz="8" w:color="auto"/>
            </w:tcBorders>
            <w:vMerge w:val="continue"/>
            <w:shd w:val="clear" w:color="auto" w:fill="E5E5E5"/>
          </w:tcPr>
          <w:p>
            <w:pPr>
              <w:spacing w:after="0"/>
              <w:rPr>
                <w:sz w:val="19"/>
                <w:szCs w:val="19"/>
                <w:color w:val="auto"/>
              </w:rPr>
            </w:pPr>
          </w:p>
        </w:tc>
        <w:tc>
          <w:tcPr>
            <w:tcW w:w="4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40" w:type="dxa"/>
            <w:vAlign w:val="bottom"/>
            <w:tcBorders>
              <w:bottom w:val="single" w:sz="8" w:color="auto"/>
            </w:tcBorders>
            <w:vMerge w:val="continue"/>
            <w:shd w:val="clear" w:color="auto" w:fill="E5E5E5"/>
          </w:tcPr>
          <w:p>
            <w:pPr>
              <w:spacing w:after="0"/>
              <w:rPr>
                <w:sz w:val="19"/>
                <w:szCs w:val="19"/>
                <w:color w:val="auto"/>
              </w:rPr>
            </w:pPr>
          </w:p>
        </w:tc>
        <w:tc>
          <w:tcPr>
            <w:tcW w:w="4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00" w:type="dxa"/>
            <w:vAlign w:val="bottom"/>
            <w:tcBorders>
              <w:bottom w:val="single" w:sz="8" w:color="auto"/>
            </w:tcBorders>
            <w:vMerge w:val="continue"/>
            <w:shd w:val="clear" w:color="auto" w:fill="E5E5E5"/>
          </w:tcPr>
          <w:p>
            <w:pPr>
              <w:spacing w:after="0"/>
              <w:rPr>
                <w:sz w:val="19"/>
                <w:szCs w:val="19"/>
                <w:color w:val="auto"/>
              </w:rPr>
            </w:pPr>
          </w:p>
        </w:tc>
        <w:tc>
          <w:tcPr>
            <w:tcW w:w="52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vMerge w:val="continue"/>
            <w:shd w:val="clear" w:color="auto" w:fill="E5E5E5"/>
          </w:tcPr>
          <w:p>
            <w:pPr>
              <w:spacing w:after="0"/>
              <w:rPr>
                <w:sz w:val="19"/>
                <w:szCs w:val="19"/>
                <w:color w:val="auto"/>
              </w:rPr>
            </w:pPr>
          </w:p>
        </w:tc>
        <w:tc>
          <w:tcPr>
            <w:tcW w:w="6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40" w:type="dxa"/>
            <w:vAlign w:val="bottom"/>
            <w:tcBorders>
              <w:bottom w:val="single" w:sz="8" w:color="auto"/>
            </w:tcBorders>
            <w:vMerge w:val="continue"/>
            <w:shd w:val="clear" w:color="auto" w:fill="E5E5E5"/>
          </w:tcPr>
          <w:p>
            <w:pPr>
              <w:spacing w:after="0"/>
              <w:rPr>
                <w:sz w:val="19"/>
                <w:szCs w:val="19"/>
                <w:color w:val="auto"/>
              </w:rPr>
            </w:pPr>
          </w:p>
        </w:tc>
        <w:tc>
          <w:tcPr>
            <w:tcW w:w="48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-55245</wp:posOffset>
            </wp:positionV>
            <wp:extent cx="4975225" cy="755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4975225" cy="755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42" w:lineRule="auto"/>
        <w:tabs>
          <w:tab w:leader="none" w:pos="360" w:val="left"/>
        </w:tabs>
        <w:numPr>
          <w:ilvl w:val="0"/>
          <w:numId w:val="1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Certain assets that are measured at fair value using the NAV per share (or its equivalent) practical expedient have not been classified in the fair value hierarchy.</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Certain assets that are measured at fair value using the NAV per share (or its equivalent) practical expedient include investments in common collective trusts.</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Level 1 includes net non-financial assets, such as due to/from broker, interest receivables and accrued expenses. The U.S. Plans had no net assets, while the non-U.S. plans had net assets of $28.</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NAV for U.S. Plans (measured at NAV) includes common collective trust funds of $104, which are invested approximately 30% in fixed income securities and approximately 70% in equity securities.</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NAV for the non-U.S. Plans (measured at NAV) includes mortgage funds of approximately $87 in our Netherlands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145</w:t>
      </w:r>
    </w:p>
    <w:p>
      <w:pPr>
        <w:sectPr>
          <w:pgSz w:w="11880" w:h="15480" w:orient="portrait"/>
          <w:cols w:equalWidth="0" w:num="1">
            <w:col w:w="9960"/>
          </w:cols>
          <w:pgMar w:left="960" w:top="730" w:right="960" w:bottom="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December 31, 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7"/>
              </w:rPr>
              <w:t>U.S. Plans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w w:val="94"/>
              </w:rPr>
              <w:t>Non-U.S. Plans</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02"/>
              <w:spacing w:after="0" w:line="157" w:lineRule="exact"/>
              <w:rPr>
                <w:sz w:val="20"/>
                <w:szCs w:val="20"/>
                <w:color w:val="auto"/>
              </w:rPr>
            </w:pPr>
            <w:r>
              <w:rPr>
                <w:rFonts w:ascii="Arial" w:cs="Arial" w:eastAsia="Arial" w:hAnsi="Arial"/>
                <w:sz w:val="16"/>
                <w:szCs w:val="16"/>
                <w:b w:val="1"/>
                <w:bCs w:val="1"/>
                <w:color w:val="auto"/>
                <w:w w:val="87"/>
              </w:rPr>
              <w:t>Assets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02"/>
              <w:spacing w:after="0" w:line="157" w:lineRule="exact"/>
              <w:rPr>
                <w:sz w:val="20"/>
                <w:szCs w:val="20"/>
                <w:color w:val="auto"/>
              </w:rPr>
            </w:pPr>
            <w:r>
              <w:rPr>
                <w:rFonts w:ascii="Arial" w:cs="Arial" w:eastAsia="Arial" w:hAnsi="Arial"/>
                <w:sz w:val="16"/>
                <w:szCs w:val="16"/>
                <w:b w:val="1"/>
                <w:bCs w:val="1"/>
                <w:color w:val="auto"/>
                <w:w w:val="91"/>
              </w:rPr>
              <w:t>Assets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9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Asset Class</w:t>
            </w:r>
          </w:p>
        </w:tc>
        <w:tc>
          <w:tcPr>
            <w:tcW w:w="80" w:type="dxa"/>
            <w:vAlign w:val="bottom"/>
            <w:vMerge w:val="restart"/>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3"/>
                <w:szCs w:val="13"/>
                <w:color w:val="auto"/>
              </w:rPr>
            </w:pPr>
          </w:p>
        </w:tc>
        <w:tc>
          <w:tcPr>
            <w:tcW w:w="72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3"/>
                <w:szCs w:val="13"/>
                <w:color w:val="auto"/>
              </w:rPr>
            </w:pPr>
          </w:p>
        </w:tc>
        <w:tc>
          <w:tcPr>
            <w:tcW w:w="72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3</w:t>
            </w:r>
          </w:p>
        </w:tc>
        <w:tc>
          <w:tcPr>
            <w:tcW w:w="80" w:type="dxa"/>
            <w:vAlign w:val="bottom"/>
            <w:vMerge w:val="restart"/>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7"/>
              </w:rPr>
              <w:t>measured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w w:val="78"/>
              </w:rPr>
              <w:t>Total</w:t>
            </w:r>
          </w:p>
        </w:tc>
        <w:tc>
          <w:tcPr>
            <w:tcW w:w="80" w:type="dxa"/>
            <w:vAlign w:val="bottom"/>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3"/>
                <w:szCs w:val="13"/>
                <w:color w:val="auto"/>
              </w:rPr>
            </w:pPr>
          </w:p>
        </w:tc>
        <w:tc>
          <w:tcPr>
            <w:tcW w:w="700" w:type="dxa"/>
            <w:vAlign w:val="bottom"/>
            <w:gridSpan w:val="2"/>
            <w:vMerge w:val="restart"/>
          </w:tcPr>
          <w:p>
            <w:pPr>
              <w:jc w:val="right"/>
              <w:ind w:right="22"/>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3"/>
                <w:szCs w:val="13"/>
                <w:color w:val="auto"/>
              </w:rPr>
            </w:pPr>
          </w:p>
        </w:tc>
        <w:tc>
          <w:tcPr>
            <w:tcW w:w="72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3"/>
                <w:szCs w:val="13"/>
                <w:color w:val="auto"/>
              </w:rPr>
            </w:pPr>
          </w:p>
        </w:tc>
        <w:tc>
          <w:tcPr>
            <w:tcW w:w="84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w w:val="97"/>
              </w:rPr>
              <w:t>measured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w w:val="78"/>
              </w:rPr>
              <w:t>Total</w:t>
            </w:r>
          </w:p>
        </w:tc>
        <w:tc>
          <w:tcPr>
            <w:tcW w:w="0" w:type="dxa"/>
            <w:vAlign w:val="bottom"/>
          </w:tcPr>
          <w:p>
            <w:pPr>
              <w:spacing w:after="0"/>
              <w:rPr>
                <w:sz w:val="1"/>
                <w:szCs w:val="1"/>
                <w:color w:val="auto"/>
              </w:rPr>
            </w:pPr>
          </w:p>
        </w:tc>
      </w:tr>
      <w:tr>
        <w:trPr>
          <w:trHeight w:val="207"/>
        </w:trPr>
        <w:tc>
          <w:tcPr>
            <w:tcW w:w="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E5E5E5"/>
            </w:tcBorders>
            <w:vMerge w:val="continue"/>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vMerge w:val="continue"/>
          </w:tcPr>
          <w:p>
            <w:pPr>
              <w:spacing w:after="0"/>
              <w:rPr>
                <w:sz w:val="17"/>
                <w:szCs w:val="17"/>
                <w:color w:val="auto"/>
              </w:rPr>
            </w:pPr>
          </w:p>
        </w:tc>
        <w:tc>
          <w:tcPr>
            <w:tcW w:w="8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at NAV</w:t>
            </w:r>
            <w:r>
              <w:rPr>
                <w:rFonts w:ascii="Arial" w:cs="Arial" w:eastAsia="Arial" w:hAnsi="Arial"/>
                <w:sz w:val="10"/>
                <w:szCs w:val="10"/>
                <w:b w:val="1"/>
                <w:bCs w:val="1"/>
                <w:color w:val="auto"/>
              </w:rPr>
              <w:t>(1)</w:t>
            </w: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8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at NAV</w:t>
            </w:r>
            <w:r>
              <w:rPr>
                <w:rFonts w:ascii="Arial" w:cs="Arial" w:eastAsia="Arial" w:hAnsi="Arial"/>
                <w:sz w:val="10"/>
                <w:szCs w:val="10"/>
                <w:b w:val="1"/>
                <w:bCs w:val="1"/>
                <w:color w:val="auto"/>
              </w:rPr>
              <w:t>(1)</w:t>
            </w:r>
          </w:p>
        </w:tc>
        <w:tc>
          <w:tcPr>
            <w:tcW w:w="8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E5E5E5"/>
          </w:tcPr>
          <w:p>
            <w:pPr>
              <w:spacing w:after="0"/>
              <w:rPr>
                <w:sz w:val="20"/>
                <w:szCs w:val="20"/>
                <w:color w:val="auto"/>
              </w:rPr>
            </w:pPr>
          </w:p>
        </w:tc>
        <w:tc>
          <w:tcPr>
            <w:tcW w:w="206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w w:val="99"/>
              </w:rPr>
              <w:t>Cash and cash equivalents</w:t>
            </w:r>
          </w:p>
        </w:tc>
        <w:tc>
          <w:tcPr>
            <w:tcW w:w="260" w:type="dxa"/>
            <w:vAlign w:val="bottom"/>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5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gridSpan w:val="2"/>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246</w:t>
            </w:r>
          </w:p>
        </w:tc>
        <w:tc>
          <w:tcPr>
            <w:tcW w:w="3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246</w:t>
            </w:r>
          </w:p>
        </w:tc>
        <w:tc>
          <w:tcPr>
            <w:tcW w:w="0" w:type="dxa"/>
            <w:vAlign w:val="bottom"/>
          </w:tcPr>
          <w:p>
            <w:pPr>
              <w:spacing w:after="0"/>
              <w:rPr>
                <w:sz w:val="1"/>
                <w:szCs w:val="1"/>
                <w:color w:val="auto"/>
              </w:rPr>
            </w:pPr>
          </w:p>
        </w:tc>
      </w:tr>
      <w:tr>
        <w:trPr>
          <w:trHeight w:val="184"/>
        </w:trPr>
        <w:tc>
          <w:tcPr>
            <w:tcW w:w="2120" w:type="dxa"/>
            <w:vAlign w:val="bottom"/>
            <w:gridSpan w:val="5"/>
          </w:tcPr>
          <w:p>
            <w:pPr>
              <w:ind w:left="6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0" w:type="dxa"/>
            <w:vAlign w:val="bottom"/>
            <w:shd w:val="clear" w:color="auto" w:fill="E5E5E5"/>
          </w:tcPr>
          <w:p>
            <w:pPr>
              <w:spacing w:after="0"/>
              <w:rPr>
                <w:sz w:val="20"/>
                <w:szCs w:val="20"/>
                <w:color w:val="auto"/>
              </w:rPr>
            </w:pPr>
          </w:p>
        </w:tc>
        <w:tc>
          <w:tcPr>
            <w:tcW w:w="2060" w:type="dxa"/>
            <w:vAlign w:val="bottom"/>
            <w:gridSpan w:val="4"/>
            <w:shd w:val="clear" w:color="auto" w:fill="E5E5E5"/>
          </w:tcPr>
          <w:p>
            <w:pPr>
              <w:ind w:left="220"/>
              <w:spacing w:after="0"/>
              <w:rPr>
                <w:sz w:val="20"/>
                <w:szCs w:val="20"/>
                <w:color w:val="auto"/>
              </w:rPr>
            </w:pPr>
            <w:r>
              <w:rPr>
                <w:rFonts w:ascii="Arial" w:cs="Arial" w:eastAsia="Arial" w:hAnsi="Arial"/>
                <w:sz w:val="16"/>
                <w:szCs w:val="16"/>
                <w:b w:val="1"/>
                <w:bCs w:val="1"/>
                <w:color w:val="auto"/>
              </w:rPr>
              <w:t>U.S.</w:t>
            </w: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5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2060" w:type="dxa"/>
            <w:vAlign w:val="bottom"/>
            <w:gridSpan w:val="4"/>
          </w:tcPr>
          <w:p>
            <w:pPr>
              <w:ind w:left="220"/>
              <w:spacing w:after="0"/>
              <w:rPr>
                <w:sz w:val="20"/>
                <w:szCs w:val="20"/>
                <w:color w:val="auto"/>
              </w:rPr>
            </w:pPr>
            <w:r>
              <w:rPr>
                <w:rFonts w:ascii="Arial" w:cs="Arial" w:eastAsia="Arial" w:hAnsi="Arial"/>
                <w:sz w:val="16"/>
                <w:szCs w:val="16"/>
                <w:b w:val="1"/>
                <w:bCs w:val="1"/>
                <w:color w:val="auto"/>
              </w:rPr>
              <w:t>International</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332</w:t>
            </w:r>
          </w:p>
        </w:tc>
        <w:tc>
          <w:tcPr>
            <w:tcW w:w="0" w:type="dxa"/>
            <w:vAlign w:val="bottom"/>
          </w:tcPr>
          <w:p>
            <w:pPr>
              <w:spacing w:after="0"/>
              <w:rPr>
                <w:sz w:val="1"/>
                <w:szCs w:val="1"/>
                <w:color w:val="auto"/>
              </w:rPr>
            </w:pPr>
          </w:p>
        </w:tc>
      </w:tr>
      <w:tr>
        <w:trPr>
          <w:trHeight w:val="190"/>
        </w:trPr>
        <w:tc>
          <w:tcPr>
            <w:tcW w:w="212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Fixed Income Securities:</w:t>
            </w: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E5E5E5"/>
            </w:tcBorders>
            <w:shd w:val="clear" w:color="auto" w:fill="E5E5E5"/>
          </w:tcPr>
          <w:p>
            <w:pPr>
              <w:spacing w:after="0"/>
              <w:rPr>
                <w:sz w:val="2"/>
                <w:szCs w:val="2"/>
                <w:color w:val="auto"/>
              </w:rPr>
            </w:pPr>
          </w:p>
        </w:tc>
        <w:tc>
          <w:tcPr>
            <w:tcW w:w="1200" w:type="dxa"/>
            <w:vAlign w:val="bottom"/>
            <w:tcBorders>
              <w:top w:val="single" w:sz="8" w:color="auto"/>
            </w:tcBorders>
            <w:shd w:val="clear" w:color="auto" w:fill="E5E5E5"/>
          </w:tcPr>
          <w:p>
            <w:pPr>
              <w:spacing w:after="0"/>
              <w:rPr>
                <w:sz w:val="2"/>
                <w:szCs w:val="2"/>
                <w:color w:val="auto"/>
              </w:rPr>
            </w:pPr>
          </w:p>
        </w:tc>
        <w:tc>
          <w:tcPr>
            <w:tcW w:w="500" w:type="dxa"/>
            <w:vAlign w:val="bottom"/>
            <w:tcBorders>
              <w:top w:val="single" w:sz="8" w:color="auto"/>
            </w:tcBorders>
            <w:shd w:val="clear" w:color="auto" w:fill="E5E5E5"/>
          </w:tcPr>
          <w:p>
            <w:pPr>
              <w:spacing w:after="0"/>
              <w:rPr>
                <w:sz w:val="2"/>
                <w:szCs w:val="2"/>
                <w:color w:val="auto"/>
              </w:rPr>
            </w:pPr>
          </w:p>
        </w:tc>
        <w:tc>
          <w:tcPr>
            <w:tcW w:w="2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6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30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66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4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60" w:type="dxa"/>
            <w:vAlign w:val="bottom"/>
            <w:tcBorders>
              <w:top w:val="single" w:sz="8" w:color="E5E5E5"/>
            </w:tcBorders>
            <w:shd w:val="clear" w:color="auto" w:fill="E5E5E5"/>
          </w:tcPr>
          <w:p>
            <w:pPr>
              <w:spacing w:after="0"/>
              <w:rPr>
                <w:sz w:val="2"/>
                <w:szCs w:val="2"/>
                <w:color w:val="auto"/>
              </w:rPr>
            </w:pPr>
          </w:p>
        </w:tc>
        <w:tc>
          <w:tcPr>
            <w:tcW w:w="4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2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6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480" w:type="dxa"/>
            <w:vAlign w:val="bottom"/>
            <w:tcBorders>
              <w:top w:val="single" w:sz="8" w:color="E5E5E5"/>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2060" w:type="dxa"/>
            <w:vAlign w:val="bottom"/>
            <w:gridSpan w:val="4"/>
          </w:tcPr>
          <w:p>
            <w:pPr>
              <w:ind w:left="220"/>
              <w:spacing w:after="0"/>
              <w:rPr>
                <w:sz w:val="20"/>
                <w:szCs w:val="20"/>
                <w:color w:val="auto"/>
              </w:rPr>
            </w:pPr>
            <w:r>
              <w:rPr>
                <w:rFonts w:ascii="Arial" w:cs="Arial" w:eastAsia="Arial" w:hAnsi="Arial"/>
                <w:sz w:val="16"/>
                <w:szCs w:val="16"/>
                <w:b w:val="1"/>
                <w:bCs w:val="1"/>
                <w:color w:val="auto"/>
              </w:rPr>
              <w:t>U.S. treasury securities</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b w:val="1"/>
                <w:bCs w:val="1"/>
                <w:color w:val="auto"/>
              </w:rPr>
              <w:t>67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53"/>
        </w:trPr>
        <w:tc>
          <w:tcPr>
            <w:tcW w:w="60" w:type="dxa"/>
            <w:vAlign w:val="bottom"/>
            <w:shd w:val="clear" w:color="auto" w:fill="E5E5E5"/>
          </w:tcPr>
          <w:p>
            <w:pPr>
              <w:spacing w:after="0"/>
              <w:rPr>
                <w:sz w:val="13"/>
                <w:szCs w:val="13"/>
                <w:color w:val="auto"/>
              </w:rPr>
            </w:pPr>
          </w:p>
        </w:tc>
        <w:tc>
          <w:tcPr>
            <w:tcW w:w="2060" w:type="dxa"/>
            <w:vAlign w:val="bottom"/>
            <w:gridSpan w:val="4"/>
            <w:shd w:val="clear" w:color="auto" w:fill="E5E5E5"/>
          </w:tcPr>
          <w:p>
            <w:pPr>
              <w:ind w:left="220"/>
              <w:spacing w:after="0" w:line="153" w:lineRule="exact"/>
              <w:rPr>
                <w:sz w:val="20"/>
                <w:szCs w:val="20"/>
                <w:color w:val="auto"/>
              </w:rPr>
            </w:pPr>
            <w:r>
              <w:rPr>
                <w:rFonts w:ascii="Arial" w:cs="Arial" w:eastAsia="Arial" w:hAnsi="Arial"/>
                <w:sz w:val="16"/>
                <w:szCs w:val="16"/>
                <w:b w:val="1"/>
                <w:bCs w:val="1"/>
                <w:color w:val="auto"/>
              </w:rPr>
              <w:t>Debt security issued by</w:t>
            </w:r>
          </w:p>
        </w:tc>
        <w:tc>
          <w:tcPr>
            <w:tcW w:w="26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139</w:t>
            </w:r>
          </w:p>
        </w:tc>
        <w:tc>
          <w:tcPr>
            <w:tcW w:w="60" w:type="dxa"/>
            <w:vAlign w:val="bottom"/>
            <w:shd w:val="clear" w:color="auto" w:fill="E5E5E5"/>
          </w:tcPr>
          <w:p>
            <w:pPr>
              <w:spacing w:after="0"/>
              <w:rPr>
                <w:sz w:val="13"/>
                <w:szCs w:val="13"/>
                <w:color w:val="auto"/>
              </w:rPr>
            </w:pPr>
          </w:p>
        </w:tc>
        <w:tc>
          <w:tcPr>
            <w:tcW w:w="300" w:type="dxa"/>
            <w:vAlign w:val="bottom"/>
            <w:shd w:val="clear" w:color="auto" w:fill="E5E5E5"/>
          </w:tcPr>
          <w:p>
            <w:pPr>
              <w:spacing w:after="0"/>
              <w:rPr>
                <w:sz w:val="13"/>
                <w:szCs w:val="13"/>
                <w:color w:val="auto"/>
              </w:rPr>
            </w:pPr>
          </w:p>
        </w:tc>
        <w:tc>
          <w:tcPr>
            <w:tcW w:w="50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13"/>
                <w:szCs w:val="13"/>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4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670</w:t>
            </w:r>
          </w:p>
        </w:tc>
        <w:tc>
          <w:tcPr>
            <w:tcW w:w="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2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4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670</w:t>
            </w:r>
          </w:p>
        </w:tc>
        <w:tc>
          <w:tcPr>
            <w:tcW w:w="0" w:type="dxa"/>
            <w:vAlign w:val="bottom"/>
          </w:tcPr>
          <w:p>
            <w:pPr>
              <w:spacing w:after="0"/>
              <w:rPr>
                <w:sz w:val="1"/>
                <w:szCs w:val="1"/>
                <w:color w:val="auto"/>
              </w:rPr>
            </w:pPr>
          </w:p>
        </w:tc>
      </w:tr>
      <w:tr>
        <w:trPr>
          <w:trHeight w:val="217"/>
        </w:trPr>
        <w:tc>
          <w:tcPr>
            <w:tcW w:w="60" w:type="dxa"/>
            <w:vAlign w:val="bottom"/>
            <w:shd w:val="clear" w:color="auto" w:fill="E5E5E5"/>
          </w:tcPr>
          <w:p>
            <w:pPr>
              <w:spacing w:after="0"/>
              <w:rPr>
                <w:sz w:val="18"/>
                <w:szCs w:val="18"/>
                <w:color w:val="auto"/>
              </w:rPr>
            </w:pPr>
          </w:p>
        </w:tc>
        <w:tc>
          <w:tcPr>
            <w:tcW w:w="2060" w:type="dxa"/>
            <w:vAlign w:val="bottom"/>
            <w:gridSpan w:val="4"/>
            <w:shd w:val="clear" w:color="auto" w:fill="E5E5E5"/>
          </w:tcPr>
          <w:p>
            <w:pPr>
              <w:ind w:left="220"/>
              <w:spacing w:after="0"/>
              <w:rPr>
                <w:sz w:val="20"/>
                <w:szCs w:val="20"/>
                <w:color w:val="auto"/>
              </w:rPr>
            </w:pPr>
            <w:r>
              <w:rPr>
                <w:rFonts w:ascii="Arial" w:cs="Arial" w:eastAsia="Arial" w:hAnsi="Arial"/>
                <w:sz w:val="16"/>
                <w:szCs w:val="16"/>
                <w:b w:val="1"/>
                <w:bCs w:val="1"/>
                <w:color w:val="auto"/>
              </w:rPr>
              <w:t>government agency</w:t>
            </w: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6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gridSpan w:val="2"/>
            <w:vMerge w:val="continue"/>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8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2060" w:type="dxa"/>
            <w:vAlign w:val="bottom"/>
            <w:gridSpan w:val="4"/>
          </w:tcPr>
          <w:p>
            <w:pPr>
              <w:ind w:left="220"/>
              <w:spacing w:after="0"/>
              <w:rPr>
                <w:sz w:val="20"/>
                <w:szCs w:val="20"/>
                <w:color w:val="auto"/>
              </w:rPr>
            </w:pPr>
            <w:r>
              <w:rPr>
                <w:rFonts w:ascii="Arial" w:cs="Arial" w:eastAsia="Arial" w:hAnsi="Arial"/>
                <w:sz w:val="16"/>
                <w:szCs w:val="16"/>
                <w:b w:val="1"/>
                <w:bCs w:val="1"/>
                <w:color w:val="auto"/>
              </w:rPr>
              <w:t>Corporate bonds</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b w:val="1"/>
                <w:bCs w:val="1"/>
                <w:color w:val="auto"/>
              </w:rPr>
              <w:t>599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236</w:t>
            </w:r>
          </w:p>
        </w:tc>
        <w:tc>
          <w:tcPr>
            <w:tcW w:w="0" w:type="dxa"/>
            <w:vAlign w:val="bottom"/>
          </w:tcPr>
          <w:p>
            <w:pPr>
              <w:spacing w:after="0"/>
              <w:rPr>
                <w:sz w:val="1"/>
                <w:szCs w:val="1"/>
                <w:color w:val="auto"/>
              </w:rPr>
            </w:pPr>
          </w:p>
        </w:tc>
      </w:tr>
      <w:tr>
        <w:trPr>
          <w:trHeight w:val="239"/>
        </w:trPr>
        <w:tc>
          <w:tcPr>
            <w:tcW w:w="212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Derivatives</w:t>
            </w: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c>
          <w:tcPr>
            <w:tcW w:w="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20"/>
                <w:szCs w:val="20"/>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5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4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27"/>
        </w:trPr>
        <w:tc>
          <w:tcPr>
            <w:tcW w:w="2120" w:type="dxa"/>
            <w:vAlign w:val="bottom"/>
            <w:gridSpan w:val="5"/>
          </w:tcPr>
          <w:p>
            <w:pPr>
              <w:ind w:left="60"/>
              <w:spacing w:after="0"/>
              <w:rPr>
                <w:sz w:val="20"/>
                <w:szCs w:val="20"/>
                <w:color w:val="auto"/>
              </w:rPr>
            </w:pPr>
            <w:r>
              <w:rPr>
                <w:rFonts w:ascii="Arial" w:cs="Arial" w:eastAsia="Arial" w:hAnsi="Arial"/>
                <w:sz w:val="16"/>
                <w:szCs w:val="16"/>
                <w:b w:val="1"/>
                <w:bCs w:val="1"/>
                <w:color w:val="auto"/>
              </w:rPr>
              <w:t>Real estate</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b w:val="1"/>
                <w:bCs w:val="1"/>
                <w:color w:val="auto"/>
              </w:rPr>
              <w:t>87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182"/>
        </w:trPr>
        <w:tc>
          <w:tcPr>
            <w:tcW w:w="2120" w:type="dxa"/>
            <w:vAlign w:val="bottom"/>
            <w:gridSpan w:val="5"/>
            <w:shd w:val="clear" w:color="auto" w:fill="E5E5E5"/>
          </w:tcPr>
          <w:p>
            <w:pPr>
              <w:ind w:left="60"/>
              <w:spacing w:after="0" w:line="182" w:lineRule="exact"/>
              <w:rPr>
                <w:sz w:val="20"/>
                <w:szCs w:val="20"/>
                <w:color w:val="auto"/>
              </w:rPr>
            </w:pPr>
            <w:r>
              <w:rPr>
                <w:rFonts w:ascii="Arial" w:cs="Arial" w:eastAsia="Arial" w:hAnsi="Arial"/>
                <w:sz w:val="16"/>
                <w:szCs w:val="16"/>
                <w:b w:val="1"/>
                <w:bCs w:val="1"/>
                <w:color w:val="auto"/>
              </w:rPr>
              <w:t>Private equity/venture</w:t>
            </w:r>
          </w:p>
        </w:tc>
        <w:tc>
          <w:tcPr>
            <w:tcW w:w="26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4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5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E5E5"/>
          </w:tcPr>
          <w:p>
            <w:pPr>
              <w:spacing w:after="0"/>
              <w:rPr>
                <w:sz w:val="15"/>
                <w:szCs w:val="15"/>
                <w:color w:val="auto"/>
              </w:rPr>
            </w:pP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167</w:t>
            </w: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4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167</w:t>
            </w: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4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52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258</w:t>
            </w: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48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258</w:t>
            </w:r>
          </w:p>
        </w:tc>
        <w:tc>
          <w:tcPr>
            <w:tcW w:w="0" w:type="dxa"/>
            <w:vAlign w:val="bottom"/>
          </w:tcPr>
          <w:p>
            <w:pPr>
              <w:spacing w:after="0"/>
              <w:rPr>
                <w:sz w:val="1"/>
                <w:szCs w:val="1"/>
                <w:color w:val="auto"/>
              </w:rPr>
            </w:pPr>
          </w:p>
        </w:tc>
      </w:tr>
      <w:tr>
        <w:trPr>
          <w:trHeight w:val="217"/>
        </w:trPr>
        <w:tc>
          <w:tcPr>
            <w:tcW w:w="2120" w:type="dxa"/>
            <w:vAlign w:val="bottom"/>
            <w:gridSpan w:val="5"/>
            <w:shd w:val="clear" w:color="auto" w:fill="E5E5E5"/>
          </w:tcPr>
          <w:p>
            <w:pPr>
              <w:ind w:left="60"/>
              <w:spacing w:after="0"/>
              <w:rPr>
                <w:sz w:val="20"/>
                <w:szCs w:val="20"/>
                <w:color w:val="auto"/>
              </w:rPr>
            </w:pPr>
            <w:r>
              <w:rPr>
                <w:rFonts w:ascii="Arial" w:cs="Arial" w:eastAsia="Arial" w:hAnsi="Arial"/>
                <w:sz w:val="16"/>
                <w:szCs w:val="16"/>
                <w:b w:val="1"/>
                <w:bCs w:val="1"/>
                <w:color w:val="auto"/>
              </w:rPr>
              <w:t>capital</w:t>
            </w: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6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gridSpan w:val="2"/>
            <w:vMerge w:val="continue"/>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6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20" w:type="dxa"/>
            <w:vAlign w:val="bottom"/>
            <w:vMerge w:val="continue"/>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80" w:type="dxa"/>
            <w:vAlign w:val="bottom"/>
            <w:vMerge w:val="continue"/>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120" w:type="dxa"/>
            <w:vAlign w:val="bottom"/>
            <w:gridSpan w:val="5"/>
          </w:tcPr>
          <w:p>
            <w:pPr>
              <w:ind w:left="60"/>
              <w:spacing w:after="0" w:line="147" w:lineRule="exact"/>
              <w:rPr>
                <w:sz w:val="20"/>
                <w:szCs w:val="20"/>
                <w:color w:val="auto"/>
              </w:rPr>
            </w:pPr>
            <w:r>
              <w:rPr>
                <w:rFonts w:ascii="Arial" w:cs="Arial" w:eastAsia="Arial" w:hAnsi="Arial"/>
                <w:sz w:val="16"/>
                <w:szCs w:val="16"/>
                <w:b w:val="1"/>
                <w:bCs w:val="1"/>
                <w:color w:val="auto"/>
              </w:rPr>
              <w:t>Guaranteed insurance</w:t>
            </w:r>
          </w:p>
        </w:tc>
        <w:tc>
          <w:tcPr>
            <w:tcW w:w="2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2,184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w w:val="94"/>
              </w:rPr>
              <w:t>2,184</w:t>
            </w:r>
          </w:p>
        </w:tc>
        <w:tc>
          <w:tcPr>
            <w:tcW w:w="0" w:type="dxa"/>
            <w:vAlign w:val="bottom"/>
          </w:tcPr>
          <w:p>
            <w:pPr>
              <w:spacing w:after="0"/>
              <w:rPr>
                <w:sz w:val="1"/>
                <w:szCs w:val="1"/>
                <w:color w:val="auto"/>
              </w:rPr>
            </w:pPr>
          </w:p>
        </w:tc>
      </w:tr>
      <w:tr>
        <w:trPr>
          <w:trHeight w:val="214"/>
        </w:trPr>
        <w:tc>
          <w:tcPr>
            <w:tcW w:w="2120" w:type="dxa"/>
            <w:vAlign w:val="bottom"/>
            <w:gridSpan w:val="5"/>
          </w:tcPr>
          <w:p>
            <w:pPr>
              <w:ind w:left="60"/>
              <w:spacing w:after="0"/>
              <w:rPr>
                <w:sz w:val="20"/>
                <w:szCs w:val="20"/>
                <w:color w:val="auto"/>
              </w:rPr>
            </w:pPr>
            <w:r>
              <w:rPr>
                <w:rFonts w:ascii="Arial" w:cs="Arial" w:eastAsia="Arial" w:hAnsi="Arial"/>
                <w:sz w:val="16"/>
                <w:szCs w:val="16"/>
                <w:b w:val="1"/>
                <w:bCs w:val="1"/>
                <w:color w:val="auto"/>
              </w:rPr>
              <w:t>contracts</w:t>
            </w:r>
          </w:p>
        </w:tc>
        <w:tc>
          <w:tcPr>
            <w:tcW w:w="2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120" w:type="dxa"/>
            <w:vAlign w:val="bottom"/>
            <w:tcBorders>
              <w:bottom w:val="single" w:sz="8" w:color="E5E5E5"/>
            </w:tcBorders>
            <w:gridSpan w:val="5"/>
            <w:shd w:val="clear" w:color="auto" w:fill="E5E5E5"/>
          </w:tcPr>
          <w:p>
            <w:pPr>
              <w:ind w:left="60"/>
              <w:spacing w:after="0" w:line="226" w:lineRule="exact"/>
              <w:rPr>
                <w:sz w:val="20"/>
                <w:szCs w:val="20"/>
                <w:color w:val="auto"/>
              </w:rPr>
            </w:pPr>
            <w:r>
              <w:rPr>
                <w:rFonts w:ascii="Arial" w:cs="Arial" w:eastAsia="Arial" w:hAnsi="Arial"/>
                <w:sz w:val="26"/>
                <w:szCs w:val="26"/>
                <w:b w:val="1"/>
                <w:bCs w:val="1"/>
                <w:color w:val="auto"/>
                <w:vertAlign w:val="subscript"/>
              </w:rPr>
              <w:t>Other</w:t>
            </w:r>
            <w:r>
              <w:rPr>
                <w:rFonts w:ascii="Arial" w:cs="Arial" w:eastAsia="Arial" w:hAnsi="Arial"/>
                <w:sz w:val="9"/>
                <w:szCs w:val="9"/>
                <w:b w:val="1"/>
                <w:bCs w:val="1"/>
                <w:color w:val="auto"/>
              </w:rPr>
              <w:t>(2)(3)(4)</w:t>
            </w:r>
          </w:p>
        </w:tc>
        <w:tc>
          <w:tcPr>
            <w:tcW w:w="260" w:type="dxa"/>
            <w:vAlign w:val="bottom"/>
            <w:tcBorders>
              <w:bottom w:val="single" w:sz="8" w:color="auto"/>
            </w:tcBorders>
            <w:shd w:val="clear" w:color="auto" w:fill="E5E5E5"/>
          </w:tcPr>
          <w:p>
            <w:pPr>
              <w:spacing w:after="0"/>
              <w:rPr>
                <w:sz w:val="21"/>
                <w:szCs w:val="21"/>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4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163</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160</w:t>
            </w:r>
          </w:p>
        </w:tc>
        <w:tc>
          <w:tcPr>
            <w:tcW w:w="8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Borders>
              <w:bottom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64</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48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127</w:t>
            </w:r>
          </w:p>
        </w:tc>
        <w:tc>
          <w:tcPr>
            <w:tcW w:w="0" w:type="dxa"/>
            <w:vAlign w:val="bottom"/>
          </w:tcPr>
          <w:p>
            <w:pPr>
              <w:spacing w:after="0"/>
              <w:rPr>
                <w:sz w:val="1"/>
                <w:szCs w:val="1"/>
                <w:color w:val="auto"/>
              </w:rPr>
            </w:pPr>
          </w:p>
        </w:tc>
      </w:tr>
      <w:tr>
        <w:trPr>
          <w:trHeight w:val="117"/>
        </w:trPr>
        <w:tc>
          <w:tcPr>
            <w:tcW w:w="2120" w:type="dxa"/>
            <w:vAlign w:val="bottom"/>
            <w:gridSpan w:val="5"/>
          </w:tcPr>
          <w:p>
            <w:pPr>
              <w:ind w:left="60"/>
              <w:spacing w:after="0" w:line="117" w:lineRule="exact"/>
              <w:rPr>
                <w:sz w:val="20"/>
                <w:szCs w:val="20"/>
                <w:color w:val="auto"/>
              </w:rPr>
            </w:pPr>
            <w:r>
              <w:rPr>
                <w:rFonts w:ascii="Arial" w:cs="Arial" w:eastAsia="Arial" w:hAnsi="Arial"/>
                <w:sz w:val="13"/>
                <w:szCs w:val="13"/>
                <w:b w:val="1"/>
                <w:bCs w:val="1"/>
                <w:color w:val="auto"/>
              </w:rPr>
              <w:t>Total Fair Value of Plan</w:t>
            </w:r>
          </w:p>
        </w:tc>
        <w:tc>
          <w:tcPr>
            <w:tcW w:w="2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w:t>
            </w:r>
          </w:p>
        </w:tc>
        <w:tc>
          <w:tcPr>
            <w:tcW w:w="34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w:t>
            </w:r>
          </w:p>
        </w:tc>
        <w:tc>
          <w:tcPr>
            <w:tcW w:w="4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775</w:t>
            </w:r>
          </w:p>
        </w:tc>
        <w:tc>
          <w:tcPr>
            <w:tcW w:w="360" w:type="dxa"/>
            <w:vAlign w:val="bottom"/>
            <w:gridSpan w:val="2"/>
            <w:vMerge w:val="restart"/>
          </w:tcPr>
          <w:p>
            <w:pPr>
              <w:jc w:val="right"/>
              <w:ind w:right="82"/>
              <w:spacing w:after="0"/>
              <w:rPr>
                <w:sz w:val="20"/>
                <w:szCs w:val="20"/>
                <w:color w:val="auto"/>
              </w:rPr>
            </w:pPr>
            <w:r>
              <w:rPr>
                <w:rFonts w:ascii="Arial" w:cs="Arial" w:eastAsia="Arial" w:hAnsi="Arial"/>
                <w:sz w:val="16"/>
                <w:szCs w:val="16"/>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466</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1,407</w:t>
            </w:r>
          </w:p>
        </w:tc>
        <w:tc>
          <w:tcPr>
            <w:tcW w:w="340" w:type="dxa"/>
            <w:vAlign w:val="bottom"/>
            <w:gridSpan w:val="2"/>
            <w:vMerge w:val="restart"/>
          </w:tcPr>
          <w:p>
            <w:pPr>
              <w:jc w:val="right"/>
              <w:ind w:right="6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626</w:t>
            </w:r>
          </w:p>
        </w:tc>
        <w:tc>
          <w:tcPr>
            <w:tcW w:w="34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952</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2,271</w:t>
            </w:r>
          </w:p>
        </w:tc>
        <w:tc>
          <w:tcPr>
            <w:tcW w:w="2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371</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4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w w:val="94"/>
              </w:rPr>
              <w:t>4,220</w:t>
            </w:r>
          </w:p>
        </w:tc>
        <w:tc>
          <w:tcPr>
            <w:tcW w:w="0" w:type="dxa"/>
            <w:vAlign w:val="bottom"/>
          </w:tcPr>
          <w:p>
            <w:pPr>
              <w:spacing w:after="0"/>
              <w:rPr>
                <w:sz w:val="1"/>
                <w:szCs w:val="1"/>
                <w:color w:val="auto"/>
              </w:rPr>
            </w:pPr>
          </w:p>
        </w:tc>
      </w:tr>
      <w:tr>
        <w:trPr>
          <w:trHeight w:val="188"/>
        </w:trPr>
        <w:tc>
          <w:tcPr>
            <w:tcW w:w="2120" w:type="dxa"/>
            <w:vAlign w:val="bottom"/>
            <w:gridSpan w:val="5"/>
          </w:tcPr>
          <w:p>
            <w:pPr>
              <w:ind w:left="60"/>
              <w:spacing w:after="0"/>
              <w:rPr>
                <w:sz w:val="20"/>
                <w:szCs w:val="20"/>
                <w:color w:val="auto"/>
              </w:rPr>
            </w:pPr>
            <w:r>
              <w:rPr>
                <w:rFonts w:ascii="Arial" w:cs="Arial" w:eastAsia="Arial" w:hAnsi="Arial"/>
                <w:sz w:val="16"/>
                <w:szCs w:val="16"/>
                <w:b w:val="1"/>
                <w:bCs w:val="1"/>
                <w:color w:val="auto"/>
              </w:rPr>
              <w:t>Assets</w:t>
            </w:r>
          </w:p>
        </w:tc>
        <w:tc>
          <w:tcPr>
            <w:tcW w:w="26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-55245</wp:posOffset>
            </wp:positionV>
            <wp:extent cx="5030470" cy="755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5030470" cy="755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42" w:lineRule="auto"/>
        <w:tabs>
          <w:tab w:leader="none" w:pos="360" w:val="left"/>
        </w:tabs>
        <w:numPr>
          <w:ilvl w:val="0"/>
          <w:numId w:val="1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Certain assets that are measured at fair value using the NAV per share (or its equivalent) practical expedient have not been classified in the fair value hierarchy.</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Level 1 includes net non-financial (liabilities)/assets, such as due to/from broker, interest receivables and accrued expenses. The U.S. Plans had net liabilities of $(3)</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while the non-U.S. plans had net assets of $51.</w:t>
      </w:r>
    </w:p>
    <w:p>
      <w:pPr>
        <w:spacing w:after="0" w:line="1" w:lineRule="exact"/>
        <w:rPr>
          <w:rFonts w:ascii="Arial" w:cs="Arial" w:eastAsia="Arial" w:hAnsi="Arial"/>
          <w:sz w:val="16"/>
          <w:szCs w:val="16"/>
          <w:b w:val="1"/>
          <w:bCs w:val="1"/>
          <w:i w:val="1"/>
          <w:iCs w:val="1"/>
          <w:color w:val="auto"/>
        </w:rPr>
      </w:pPr>
    </w:p>
    <w:p>
      <w:pPr>
        <w:ind w:left="360" w:hanging="356"/>
        <w:spacing w:after="0" w:line="242" w:lineRule="auto"/>
        <w:tabs>
          <w:tab w:leader="none" w:pos="360" w:val="left"/>
        </w:tabs>
        <w:numPr>
          <w:ilvl w:val="0"/>
          <w:numId w:val="1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NAV for the U.S. Plans includes common collective trust funds of $116 (measured at NAV) which are invested approximately 70% in fixed income securities and approximately 30% in equity securities.</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NAV for the non-U.S. Plans (measured at NAV) includes mortgage funds of approximately $64 in our Netherlands plans.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following tables represents a roll forward of the defined benefit plans assets measured at fair value using significant unobservable inputs (Level 3 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00" w:type="dxa"/>
            <w:vAlign w:val="bottom"/>
          </w:tcPr>
          <w:p>
            <w:pPr>
              <w:spacing w:after="0"/>
              <w:rPr>
                <w:sz w:val="18"/>
                <w:szCs w:val="18"/>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U.S.</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Non-U.S.</w:t>
            </w: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1"/>
              </w:rPr>
              <w:t>Private Equity/</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222"/>
              <w:spacing w:after="0" w:line="142" w:lineRule="exact"/>
              <w:rPr>
                <w:sz w:val="20"/>
                <w:szCs w:val="20"/>
                <w:color w:val="auto"/>
              </w:rPr>
            </w:pPr>
            <w:r>
              <w:rPr>
                <w:rFonts w:ascii="Arial" w:cs="Arial" w:eastAsia="Arial" w:hAnsi="Arial"/>
                <w:sz w:val="16"/>
                <w:szCs w:val="16"/>
                <w:b w:val="1"/>
                <w:bCs w:val="1"/>
                <w:color w:val="auto"/>
                <w:w w:val="92"/>
              </w:rPr>
              <w:t>Guaranteed</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Real Estate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w w:val="99"/>
              </w:rPr>
              <w:t>Real Estate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42"/>
              <w:spacing w:after="0" w:line="155" w:lineRule="exact"/>
              <w:rPr>
                <w:sz w:val="20"/>
                <w:szCs w:val="20"/>
                <w:color w:val="auto"/>
              </w:rPr>
            </w:pPr>
            <w:r>
              <w:rPr>
                <w:rFonts w:ascii="Arial" w:cs="Arial" w:eastAsia="Arial" w:hAnsi="Arial"/>
                <w:sz w:val="16"/>
                <w:szCs w:val="16"/>
                <w:b w:val="1"/>
                <w:bCs w:val="1"/>
                <w:color w:val="auto"/>
                <w:w w:val="89"/>
              </w:rPr>
              <w:t>Insurance</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6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00" w:type="dxa"/>
            <w:vAlign w:val="bottom"/>
            <w:tcBorders>
              <w:bottom w:val="single" w:sz="8" w:color="E5E5E5"/>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0"/>
              </w:rPr>
              <w:t>Venture Capital</w:t>
            </w:r>
          </w:p>
        </w:tc>
        <w:tc>
          <w:tcPr>
            <w:tcW w:w="8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88"/>
              </w:rPr>
              <w:t>Contracts</w:t>
            </w:r>
          </w:p>
        </w:tc>
        <w:tc>
          <w:tcPr>
            <w:tcW w:w="6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2023</w:t>
            </w:r>
          </w:p>
        </w:tc>
        <w:tc>
          <w:tcPr>
            <w:tcW w:w="1120" w:type="dxa"/>
            <w:vAlign w:val="bottom"/>
            <w:shd w:val="clear" w:color="auto" w:fill="E5E5E5"/>
          </w:tcPr>
          <w:p>
            <w:pPr>
              <w:jc w:val="right"/>
              <w:ind w:right="902"/>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106</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3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2,481</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2,591</w:t>
            </w:r>
          </w:p>
        </w:tc>
        <w:tc>
          <w:tcPr>
            <w:tcW w:w="0" w:type="dxa"/>
            <w:vAlign w:val="bottom"/>
          </w:tcPr>
          <w:p>
            <w:pPr>
              <w:spacing w:after="0"/>
              <w:rPr>
                <w:sz w:val="1"/>
                <w:szCs w:val="1"/>
                <w:color w:val="auto"/>
              </w:rPr>
            </w:pPr>
          </w:p>
        </w:tc>
      </w:tr>
      <w:tr>
        <w:trPr>
          <w:trHeight w:val="227"/>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Purchases</w:t>
            </w:r>
          </w:p>
        </w:tc>
        <w:tc>
          <w:tcPr>
            <w:tcW w:w="1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39"/>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Sales</w:t>
            </w:r>
          </w:p>
        </w:tc>
        <w:tc>
          <w:tcPr>
            <w:tcW w:w="1120" w:type="dxa"/>
            <w:vAlign w:val="bottom"/>
            <w:shd w:val="clear" w:color="auto" w:fill="E5E5E5"/>
          </w:tcPr>
          <w:p>
            <w:pPr>
              <w:spacing w:after="0"/>
              <w:rPr>
                <w:sz w:val="20"/>
                <w:szCs w:val="20"/>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1"/>
              </w:rPr>
              <w:t>(22)</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27"/>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Unrealized losses</w:t>
            </w:r>
          </w:p>
        </w:tc>
        <w:tc>
          <w:tcPr>
            <w:tcW w:w="1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Currency translation</w:t>
            </w:r>
          </w:p>
        </w:tc>
        <w:tc>
          <w:tcPr>
            <w:tcW w:w="1120" w:type="dxa"/>
            <w:vAlign w:val="bottom"/>
            <w:tcBorders>
              <w:bottom w:val="single" w:sz="8" w:color="auto"/>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(42)</w:t>
            </w:r>
          </w:p>
        </w:tc>
        <w:tc>
          <w:tcPr>
            <w:tcW w:w="6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02"/>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Balance at December 31, 2024</w:t>
            </w:r>
          </w:p>
        </w:tc>
        <w:tc>
          <w:tcPr>
            <w:tcW w:w="1120" w:type="dxa"/>
            <w:vAlign w:val="bottom"/>
          </w:tcPr>
          <w:p>
            <w:pPr>
              <w:jc w:val="right"/>
              <w:ind w:right="902"/>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2,184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2,271</w:t>
            </w:r>
          </w:p>
        </w:tc>
        <w:tc>
          <w:tcPr>
            <w:tcW w:w="0" w:type="dxa"/>
            <w:vAlign w:val="bottom"/>
          </w:tcPr>
          <w:p>
            <w:pPr>
              <w:spacing w:after="0"/>
              <w:rPr>
                <w:sz w:val="1"/>
                <w:szCs w:val="1"/>
                <w:color w:val="auto"/>
              </w:rPr>
            </w:pPr>
          </w:p>
        </w:tc>
      </w:tr>
      <w:tr>
        <w:trPr>
          <w:trHeight w:val="235"/>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Purchases</w:t>
            </w:r>
          </w:p>
        </w:tc>
        <w:tc>
          <w:tcPr>
            <w:tcW w:w="1120" w:type="dxa"/>
            <w:vAlign w:val="bottom"/>
            <w:shd w:val="clear" w:color="auto" w:fill="E5E5E5"/>
          </w:tcPr>
          <w:p>
            <w:pPr>
              <w:spacing w:after="0"/>
              <w:rPr>
                <w:sz w:val="20"/>
                <w:szCs w:val="20"/>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Sales</w:t>
            </w:r>
          </w:p>
        </w:tc>
        <w:tc>
          <w:tcPr>
            <w:tcW w:w="1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9"/>
        </w:trPr>
        <w:tc>
          <w:tcPr>
            <w:tcW w:w="2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Unrealized gains (losses)</w:t>
            </w:r>
          </w:p>
        </w:tc>
        <w:tc>
          <w:tcPr>
            <w:tcW w:w="1120" w:type="dxa"/>
            <w:vAlign w:val="bottom"/>
            <w:shd w:val="clear" w:color="auto" w:fill="E5E5E5"/>
          </w:tcPr>
          <w:p>
            <w:pPr>
              <w:spacing w:after="0"/>
              <w:rPr>
                <w:sz w:val="20"/>
                <w:szCs w:val="20"/>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11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20</w:t>
            </w:r>
          </w:p>
        </w:tc>
        <w:tc>
          <w:tcPr>
            <w:tcW w:w="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27"/>
        </w:trPr>
        <w:tc>
          <w:tcPr>
            <w:tcW w:w="2600" w:type="dxa"/>
            <w:vAlign w:val="bottom"/>
          </w:tcPr>
          <w:p>
            <w:pPr>
              <w:ind w:left="60"/>
              <w:spacing w:after="0"/>
              <w:rPr>
                <w:sz w:val="20"/>
                <w:szCs w:val="20"/>
                <w:color w:val="auto"/>
              </w:rPr>
            </w:pPr>
            <w:r>
              <w:rPr>
                <w:rFonts w:ascii="Arial" w:cs="Arial" w:eastAsia="Arial" w:hAnsi="Arial"/>
                <w:sz w:val="16"/>
                <w:szCs w:val="16"/>
                <w:b w:val="1"/>
                <w:bCs w:val="1"/>
                <w:color w:val="auto"/>
              </w:rPr>
              <w:t>Acquisition</w:t>
            </w:r>
            <w:r>
              <w:rPr>
                <w:rFonts w:ascii="Arial" w:cs="Arial" w:eastAsia="Arial" w:hAnsi="Arial"/>
                <w:sz w:val="10"/>
                <w:szCs w:val="10"/>
                <w:b w:val="1"/>
                <w:bCs w:val="1"/>
                <w:color w:val="auto"/>
              </w:rPr>
              <w:t>(1)</w:t>
            </w:r>
          </w:p>
        </w:tc>
        <w:tc>
          <w:tcPr>
            <w:tcW w:w="1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131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Currency translation</w:t>
            </w:r>
          </w:p>
        </w:tc>
        <w:tc>
          <w:tcPr>
            <w:tcW w:w="1120" w:type="dxa"/>
            <w:vAlign w:val="bottom"/>
            <w:tcBorders>
              <w:bottom w:val="single" w:sz="8" w:color="auto"/>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163</w:t>
            </w:r>
          </w:p>
        </w:tc>
        <w:tc>
          <w:tcPr>
            <w:tcW w:w="6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177</w:t>
            </w:r>
          </w:p>
        </w:tc>
        <w:tc>
          <w:tcPr>
            <w:tcW w:w="0" w:type="dxa"/>
            <w:vAlign w:val="bottom"/>
          </w:tcPr>
          <w:p>
            <w:pPr>
              <w:spacing w:after="0"/>
              <w:rPr>
                <w:sz w:val="1"/>
                <w:szCs w:val="1"/>
                <w:color w:val="auto"/>
              </w:rPr>
            </w:pPr>
          </w:p>
        </w:tc>
      </w:tr>
      <w:tr>
        <w:trPr>
          <w:trHeight w:val="174"/>
        </w:trPr>
        <w:tc>
          <w:tcPr>
            <w:tcW w:w="26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Balance at December 31, 2025</w:t>
            </w:r>
          </w:p>
        </w:tc>
        <w:tc>
          <w:tcPr>
            <w:tcW w:w="1120" w:type="dxa"/>
            <w:vAlign w:val="bottom"/>
          </w:tcPr>
          <w:p>
            <w:pPr>
              <w:jc w:val="right"/>
              <w:ind w:right="902"/>
              <w:spacing w:after="0" w:line="175" w:lineRule="exact"/>
              <w:rPr>
                <w:sz w:val="20"/>
                <w:szCs w:val="20"/>
                <w:color w:val="auto"/>
              </w:rPr>
            </w:pPr>
            <w:r>
              <w:rPr>
                <w:rFonts w:ascii="Arial" w:cs="Arial" w:eastAsia="Arial" w:hAnsi="Arial"/>
                <w:sz w:val="16"/>
                <w:szCs w:val="16"/>
                <w:b w:val="1"/>
                <w:bCs w:val="1"/>
                <w:color w:val="auto"/>
              </w:rPr>
              <w:t>$</w:t>
            </w:r>
          </w:p>
        </w:tc>
        <w:tc>
          <w:tcPr>
            <w:tcW w:w="3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23</w:t>
            </w:r>
          </w:p>
        </w:tc>
        <w:tc>
          <w:tcPr>
            <w:tcW w:w="30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70</w:t>
            </w:r>
          </w:p>
        </w:tc>
        <w:tc>
          <w:tcPr>
            <w:tcW w:w="24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160"/>
              <w:spacing w:after="0" w:line="175" w:lineRule="exact"/>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2,498</w:t>
            </w:r>
          </w:p>
        </w:tc>
        <w:tc>
          <w:tcPr>
            <w:tcW w:w="40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2,568</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-55880</wp:posOffset>
            </wp:positionV>
            <wp:extent cx="4716780" cy="755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4716780" cy="755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70" w:lineRule="auto"/>
        <w:tabs>
          <w:tab w:leader="none" w:pos="360" w:val="left"/>
        </w:tabs>
        <w:numPr>
          <w:ilvl w:val="0"/>
          <w:numId w:val="1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Level 3 Valuation Method</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Our primary Level 3 assets are Real Estate, Private Equity/Venture Capital investments, and Guaranteed Insurance Contracts. The fair value of our real estate investment funds is based on the Net Asset Value (NAV) of our ownership interest in the funds. NAV information is received from the investment advisers and is primarily derived from third-party real estate appraisals for the properties owned. The fair value for our private equity/venture capital partnership investments are based on our share of the estimated fair values of the underlying investments held by these partnerships as reported (or expected to be reported) in their audited financial statements. Purchases of Guaranteed Insurance Contracts (GICs) include the purchases of buy-in annuity contracts, which have been valued based on the member benefits covered by the contracts adjusted for current market factors. The valuation techniques and inputs for our Level 3 assets have been consistently applied for all periods presented.</w:t>
      </w:r>
    </w:p>
    <w:p>
      <w:pPr>
        <w:spacing w:after="0" w:line="26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146</w:t>
      </w:r>
    </w:p>
    <w:p>
      <w:pPr>
        <w:sectPr>
          <w:pgSz w:w="11880" w:h="15480" w:orient="portrait"/>
          <w:cols w:equalWidth="0" w:num="1">
            <w:col w:w="9960"/>
          </w:cols>
          <w:pgMar w:left="960" w:top="805" w:right="960" w:bottom="0" w:gutter="0" w:footer="0" w:header="0"/>
        </w:sectPr>
      </w:pPr>
    </w:p>
    <w:bookmarkStart w:id="156" w:name="page157"/>
    <w:bookmarkEnd w:id="156"/>
    <w:p>
      <w:pPr>
        <w:spacing w:after="0"/>
        <w:rPr>
          <w:sz w:val="20"/>
          <w:szCs w:val="20"/>
          <w:color w:val="auto"/>
        </w:rPr>
      </w:pPr>
      <w:r>
        <w:rPr>
          <w:rFonts w:ascii="Arial" w:cs="Arial" w:eastAsia="Arial" w:hAnsi="Arial"/>
          <w:sz w:val="19"/>
          <w:szCs w:val="19"/>
          <w:b w:val="1"/>
          <w:bCs w:val="1"/>
          <w:color w:val="DA2031"/>
        </w:rPr>
        <w:t>Investment Strategy</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target asset allocations for our worldwide defined benefit pension plans were: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82"/>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282"/>
              <w:spacing w:after="0"/>
              <w:rPr>
                <w:sz w:val="20"/>
                <w:szCs w:val="20"/>
                <w:color w:val="auto"/>
              </w:rPr>
            </w:pPr>
            <w:r>
              <w:rPr>
                <w:rFonts w:ascii="Arial" w:cs="Arial" w:eastAsia="Arial" w:hAnsi="Arial"/>
                <w:sz w:val="16"/>
                <w:szCs w:val="16"/>
                <w:b w:val="1"/>
                <w:bCs w:val="1"/>
                <w:color w:val="auto"/>
              </w:rPr>
              <w:t>2024</w:t>
            </w:r>
          </w:p>
        </w:tc>
      </w:tr>
      <w:tr>
        <w:trPr>
          <w:trHeight w:val="213"/>
        </w:trPr>
        <w:tc>
          <w:tcPr>
            <w:tcW w:w="3740" w:type="dxa"/>
            <w:vAlign w:val="bottom"/>
            <w:tcBorders>
              <w:bottom w:val="single" w:sz="8" w:color="E5E5E5"/>
            </w:tcBorders>
          </w:tcPr>
          <w:p>
            <w:pPr>
              <w:spacing w:after="0"/>
              <w:rPr>
                <w:sz w:val="18"/>
                <w:szCs w:val="18"/>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U.S.</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5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Non-U.S.</w:t>
            </w:r>
          </w:p>
        </w:tc>
        <w:tc>
          <w:tcPr>
            <w:tcW w:w="60" w:type="dxa"/>
            <w:vAlign w:val="bottom"/>
            <w:tcBorders>
              <w:bottom w:val="single" w:sz="8" w:color="E5E5E5"/>
            </w:tcBorders>
          </w:tcPr>
          <w:p>
            <w:pPr>
              <w:spacing w:after="0"/>
              <w:rPr>
                <w:sz w:val="18"/>
                <w:szCs w:val="18"/>
                <w:color w:val="auto"/>
              </w:rPr>
            </w:pPr>
          </w:p>
        </w:tc>
        <w:tc>
          <w:tcPr>
            <w:tcW w:w="11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U.S.</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5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Non-U.S.</w:t>
            </w:r>
          </w:p>
        </w:tc>
      </w:tr>
      <w:tr>
        <w:trPr>
          <w:trHeight w:val="223"/>
        </w:trPr>
        <w:tc>
          <w:tcPr>
            <w:tcW w:w="37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Equity investments</w:t>
            </w:r>
            <w:r>
              <w:rPr>
                <w:rFonts w:ascii="Arial" w:cs="Arial" w:eastAsia="Arial" w:hAnsi="Arial"/>
                <w:sz w:val="10"/>
                <w:szCs w:val="10"/>
                <w:b w:val="1"/>
                <w:bCs w:val="1"/>
                <w:color w:val="auto"/>
              </w:rPr>
              <w:t>(1)</w:t>
            </w:r>
          </w:p>
        </w:tc>
        <w:tc>
          <w:tcPr>
            <w:tcW w:w="1160" w:type="dxa"/>
            <w:vAlign w:val="bottom"/>
            <w:shd w:val="clear" w:color="auto" w:fill="E5E5E5"/>
          </w:tcPr>
          <w:p>
            <w:pPr>
              <w:jc w:val="center"/>
              <w:ind w:left="302"/>
              <w:spacing w:after="0"/>
              <w:rPr>
                <w:sz w:val="20"/>
                <w:szCs w:val="20"/>
                <w:color w:val="auto"/>
              </w:rPr>
            </w:pPr>
            <w:r>
              <w:rPr>
                <w:rFonts w:ascii="Arial" w:cs="Arial" w:eastAsia="Arial" w:hAnsi="Arial"/>
                <w:sz w:val="16"/>
                <w:szCs w:val="16"/>
                <w:b w:val="1"/>
                <w:bCs w:val="1"/>
                <w:color w:val="auto"/>
                <w:w w:val="93"/>
              </w:rPr>
              <w:t>26%</w:t>
            </w:r>
          </w:p>
        </w:tc>
        <w:tc>
          <w:tcPr>
            <w:tcW w:w="1920" w:type="dxa"/>
            <w:vAlign w:val="bottom"/>
            <w:gridSpan w:val="3"/>
            <w:shd w:val="clear" w:color="auto" w:fill="E5E5E5"/>
          </w:tcPr>
          <w:p>
            <w:pPr>
              <w:jc w:val="center"/>
              <w:ind w:left="362"/>
              <w:spacing w:after="0"/>
              <w:rPr>
                <w:sz w:val="20"/>
                <w:szCs w:val="20"/>
                <w:color w:val="auto"/>
              </w:rPr>
            </w:pPr>
            <w:r>
              <w:rPr>
                <w:rFonts w:ascii="Arial" w:cs="Arial" w:eastAsia="Arial" w:hAnsi="Arial"/>
                <w:sz w:val="16"/>
                <w:szCs w:val="16"/>
                <w:b w:val="1"/>
                <w:bCs w:val="1"/>
                <w:color w:val="auto"/>
                <w:w w:val="99"/>
              </w:rPr>
              <w:t>10%</w:t>
            </w:r>
          </w:p>
        </w:tc>
        <w:tc>
          <w:tcPr>
            <w:tcW w:w="1240" w:type="dxa"/>
            <w:vAlign w:val="bottom"/>
            <w:gridSpan w:val="2"/>
            <w:shd w:val="clear" w:color="auto" w:fill="E5E5E5"/>
          </w:tcPr>
          <w:p>
            <w:pPr>
              <w:jc w:val="center"/>
              <w:ind w:left="342"/>
              <w:spacing w:after="0"/>
              <w:rPr>
                <w:sz w:val="20"/>
                <w:szCs w:val="20"/>
                <w:color w:val="auto"/>
              </w:rPr>
            </w:pPr>
            <w:r>
              <w:rPr>
                <w:rFonts w:ascii="Arial" w:cs="Arial" w:eastAsia="Arial" w:hAnsi="Arial"/>
                <w:sz w:val="16"/>
                <w:szCs w:val="16"/>
                <w:b w:val="1"/>
                <w:bCs w:val="1"/>
                <w:color w:val="auto"/>
                <w:w w:val="93"/>
              </w:rPr>
              <w:t>27%</w:t>
            </w:r>
          </w:p>
        </w:tc>
        <w:tc>
          <w:tcPr>
            <w:tcW w:w="1900" w:type="dxa"/>
            <w:vAlign w:val="bottom"/>
            <w:gridSpan w:val="3"/>
            <w:shd w:val="clear" w:color="auto" w:fill="E5E5E5"/>
          </w:tcPr>
          <w:p>
            <w:pPr>
              <w:jc w:val="center"/>
              <w:ind w:left="362"/>
              <w:spacing w:after="0"/>
              <w:rPr>
                <w:sz w:val="20"/>
                <w:szCs w:val="20"/>
                <w:color w:val="auto"/>
              </w:rPr>
            </w:pPr>
            <w:r>
              <w:rPr>
                <w:rFonts w:ascii="Arial" w:cs="Arial" w:eastAsia="Arial" w:hAnsi="Arial"/>
                <w:sz w:val="16"/>
                <w:szCs w:val="16"/>
                <w:b w:val="1"/>
                <w:bCs w:val="1"/>
                <w:color w:val="auto"/>
                <w:w w:val="94"/>
              </w:rPr>
              <w:t>9%</w:t>
            </w:r>
          </w:p>
        </w:tc>
      </w:tr>
      <w:tr>
        <w:trPr>
          <w:trHeight w:val="227"/>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Fixed income investments</w:t>
            </w:r>
          </w:p>
        </w:tc>
        <w:tc>
          <w:tcPr>
            <w:tcW w:w="1160" w:type="dxa"/>
            <w:vAlign w:val="bottom"/>
          </w:tcPr>
          <w:p>
            <w:pPr>
              <w:jc w:val="center"/>
              <w:ind w:left="302"/>
              <w:spacing w:after="0"/>
              <w:rPr>
                <w:sz w:val="20"/>
                <w:szCs w:val="20"/>
                <w:color w:val="auto"/>
              </w:rPr>
            </w:pPr>
            <w:r>
              <w:rPr>
                <w:rFonts w:ascii="Arial" w:cs="Arial" w:eastAsia="Arial" w:hAnsi="Arial"/>
                <w:sz w:val="16"/>
                <w:szCs w:val="16"/>
                <w:b w:val="1"/>
                <w:bCs w:val="1"/>
                <w:color w:val="auto"/>
                <w:w w:val="93"/>
              </w:rPr>
              <w:t>60%</w:t>
            </w:r>
          </w:p>
        </w:tc>
        <w:tc>
          <w:tcPr>
            <w:tcW w:w="1920" w:type="dxa"/>
            <w:vAlign w:val="bottom"/>
            <w:gridSpan w:val="3"/>
          </w:tcPr>
          <w:p>
            <w:pPr>
              <w:jc w:val="center"/>
              <w:ind w:left="362"/>
              <w:spacing w:after="0"/>
              <w:rPr>
                <w:sz w:val="20"/>
                <w:szCs w:val="20"/>
                <w:color w:val="auto"/>
              </w:rPr>
            </w:pPr>
            <w:r>
              <w:rPr>
                <w:rFonts w:ascii="Arial" w:cs="Arial" w:eastAsia="Arial" w:hAnsi="Arial"/>
                <w:sz w:val="16"/>
                <w:szCs w:val="16"/>
                <w:b w:val="1"/>
                <w:bCs w:val="1"/>
                <w:color w:val="auto"/>
                <w:w w:val="99"/>
              </w:rPr>
              <w:t>20%</w:t>
            </w:r>
          </w:p>
        </w:tc>
        <w:tc>
          <w:tcPr>
            <w:tcW w:w="1240" w:type="dxa"/>
            <w:vAlign w:val="bottom"/>
            <w:gridSpan w:val="2"/>
          </w:tcPr>
          <w:p>
            <w:pPr>
              <w:jc w:val="center"/>
              <w:ind w:left="342"/>
              <w:spacing w:after="0"/>
              <w:rPr>
                <w:sz w:val="20"/>
                <w:szCs w:val="20"/>
                <w:color w:val="auto"/>
              </w:rPr>
            </w:pPr>
            <w:r>
              <w:rPr>
                <w:rFonts w:ascii="Arial" w:cs="Arial" w:eastAsia="Arial" w:hAnsi="Arial"/>
                <w:sz w:val="16"/>
                <w:szCs w:val="16"/>
                <w:b w:val="1"/>
                <w:bCs w:val="1"/>
                <w:color w:val="auto"/>
                <w:w w:val="93"/>
              </w:rPr>
              <w:t>60%</w:t>
            </w:r>
          </w:p>
        </w:tc>
        <w:tc>
          <w:tcPr>
            <w:tcW w:w="1900" w:type="dxa"/>
            <w:vAlign w:val="bottom"/>
            <w:gridSpan w:val="3"/>
          </w:tcPr>
          <w:p>
            <w:pPr>
              <w:jc w:val="center"/>
              <w:ind w:left="362"/>
              <w:spacing w:after="0"/>
              <w:rPr>
                <w:sz w:val="20"/>
                <w:szCs w:val="20"/>
                <w:color w:val="auto"/>
              </w:rPr>
            </w:pPr>
            <w:r>
              <w:rPr>
                <w:rFonts w:ascii="Arial" w:cs="Arial" w:eastAsia="Arial" w:hAnsi="Arial"/>
                <w:sz w:val="16"/>
                <w:szCs w:val="16"/>
                <w:b w:val="1"/>
                <w:bCs w:val="1"/>
                <w:color w:val="auto"/>
                <w:w w:val="93"/>
              </w:rPr>
              <w:t>22%</w:t>
            </w:r>
          </w:p>
        </w:tc>
      </w:tr>
      <w:tr>
        <w:trPr>
          <w:trHeight w:val="239"/>
        </w:trPr>
        <w:tc>
          <w:tcPr>
            <w:tcW w:w="37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Real estate</w:t>
            </w:r>
          </w:p>
        </w:tc>
        <w:tc>
          <w:tcPr>
            <w:tcW w:w="1160" w:type="dxa"/>
            <w:vAlign w:val="bottom"/>
            <w:shd w:val="clear" w:color="auto" w:fill="E5E5E5"/>
          </w:tcPr>
          <w:p>
            <w:pPr>
              <w:jc w:val="center"/>
              <w:ind w:left="302"/>
              <w:spacing w:after="0"/>
              <w:rPr>
                <w:sz w:val="20"/>
                <w:szCs w:val="20"/>
                <w:color w:val="auto"/>
              </w:rPr>
            </w:pPr>
            <w:r>
              <w:rPr>
                <w:rFonts w:ascii="Arial" w:cs="Arial" w:eastAsia="Arial" w:hAnsi="Arial"/>
                <w:sz w:val="16"/>
                <w:szCs w:val="16"/>
                <w:b w:val="1"/>
                <w:bCs w:val="1"/>
                <w:color w:val="auto"/>
                <w:w w:val="94"/>
              </w:rPr>
              <w:t>6%</w:t>
            </w:r>
          </w:p>
        </w:tc>
        <w:tc>
          <w:tcPr>
            <w:tcW w:w="1920" w:type="dxa"/>
            <w:vAlign w:val="bottom"/>
            <w:gridSpan w:val="3"/>
            <w:shd w:val="clear" w:color="auto" w:fill="E5E5E5"/>
          </w:tcPr>
          <w:p>
            <w:pPr>
              <w:jc w:val="center"/>
              <w:ind w:left="382"/>
              <w:spacing w:after="0"/>
              <w:rPr>
                <w:sz w:val="20"/>
                <w:szCs w:val="20"/>
                <w:color w:val="auto"/>
              </w:rPr>
            </w:pPr>
            <w:r>
              <w:rPr>
                <w:rFonts w:ascii="Arial" w:cs="Arial" w:eastAsia="Arial" w:hAnsi="Arial"/>
                <w:sz w:val="16"/>
                <w:szCs w:val="16"/>
                <w:b w:val="1"/>
                <w:bCs w:val="1"/>
                <w:color w:val="auto"/>
                <w:w w:val="94"/>
              </w:rPr>
              <w:t>3%</w:t>
            </w:r>
          </w:p>
        </w:tc>
        <w:tc>
          <w:tcPr>
            <w:tcW w:w="1240" w:type="dxa"/>
            <w:vAlign w:val="bottom"/>
            <w:gridSpan w:val="2"/>
            <w:shd w:val="clear" w:color="auto" w:fill="E5E5E5"/>
          </w:tcPr>
          <w:p>
            <w:pPr>
              <w:jc w:val="center"/>
              <w:ind w:left="342"/>
              <w:spacing w:after="0"/>
              <w:rPr>
                <w:sz w:val="20"/>
                <w:szCs w:val="20"/>
                <w:color w:val="auto"/>
              </w:rPr>
            </w:pPr>
            <w:r>
              <w:rPr>
                <w:rFonts w:ascii="Arial" w:cs="Arial" w:eastAsia="Arial" w:hAnsi="Arial"/>
                <w:sz w:val="16"/>
                <w:szCs w:val="16"/>
                <w:b w:val="1"/>
                <w:bCs w:val="1"/>
                <w:color w:val="auto"/>
                <w:w w:val="94"/>
              </w:rPr>
              <w:t>4%</w:t>
            </w:r>
          </w:p>
        </w:tc>
        <w:tc>
          <w:tcPr>
            <w:tcW w:w="1900" w:type="dxa"/>
            <w:vAlign w:val="bottom"/>
            <w:gridSpan w:val="3"/>
            <w:shd w:val="clear" w:color="auto" w:fill="E5E5E5"/>
          </w:tcPr>
          <w:p>
            <w:pPr>
              <w:jc w:val="center"/>
              <w:ind w:left="362"/>
              <w:spacing w:after="0"/>
              <w:rPr>
                <w:sz w:val="20"/>
                <w:szCs w:val="20"/>
                <w:color w:val="auto"/>
              </w:rPr>
            </w:pPr>
            <w:r>
              <w:rPr>
                <w:rFonts w:ascii="Arial" w:cs="Arial" w:eastAsia="Arial" w:hAnsi="Arial"/>
                <w:sz w:val="16"/>
                <w:szCs w:val="16"/>
                <w:b w:val="1"/>
                <w:bCs w:val="1"/>
                <w:color w:val="auto"/>
                <w:w w:val="94"/>
              </w:rPr>
              <w:t>3%</w:t>
            </w:r>
          </w:p>
        </w:tc>
      </w:tr>
      <w:tr>
        <w:trPr>
          <w:trHeight w:val="227"/>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Private equity/venture capital</w:t>
            </w:r>
          </w:p>
        </w:tc>
        <w:tc>
          <w:tcPr>
            <w:tcW w:w="1160" w:type="dxa"/>
            <w:vAlign w:val="bottom"/>
          </w:tcPr>
          <w:p>
            <w:pPr>
              <w:jc w:val="center"/>
              <w:ind w:left="302"/>
              <w:spacing w:after="0"/>
              <w:rPr>
                <w:sz w:val="20"/>
                <w:szCs w:val="20"/>
                <w:color w:val="auto"/>
              </w:rPr>
            </w:pPr>
            <w:r>
              <w:rPr>
                <w:rFonts w:ascii="Arial" w:cs="Arial" w:eastAsia="Arial" w:hAnsi="Arial"/>
                <w:sz w:val="16"/>
                <w:szCs w:val="16"/>
                <w:b w:val="1"/>
                <w:bCs w:val="1"/>
                <w:color w:val="auto"/>
                <w:w w:val="94"/>
              </w:rPr>
              <w:t>5%</w:t>
            </w:r>
          </w:p>
        </w:tc>
        <w:tc>
          <w:tcPr>
            <w:tcW w:w="1920" w:type="dxa"/>
            <w:vAlign w:val="bottom"/>
            <w:gridSpan w:val="3"/>
          </w:tcPr>
          <w:p>
            <w:pPr>
              <w:jc w:val="center"/>
              <w:ind w:left="382"/>
              <w:spacing w:after="0"/>
              <w:rPr>
                <w:sz w:val="20"/>
                <w:szCs w:val="20"/>
                <w:color w:val="auto"/>
              </w:rPr>
            </w:pPr>
            <w:r>
              <w:rPr>
                <w:rFonts w:ascii="Arial" w:cs="Arial" w:eastAsia="Arial" w:hAnsi="Arial"/>
                <w:sz w:val="16"/>
                <w:szCs w:val="16"/>
                <w:b w:val="1"/>
                <w:bCs w:val="1"/>
                <w:color w:val="auto"/>
                <w:w w:val="94"/>
              </w:rPr>
              <w:t>1%</w:t>
            </w:r>
          </w:p>
        </w:tc>
        <w:tc>
          <w:tcPr>
            <w:tcW w:w="1240" w:type="dxa"/>
            <w:vAlign w:val="bottom"/>
            <w:gridSpan w:val="2"/>
          </w:tcPr>
          <w:p>
            <w:pPr>
              <w:jc w:val="center"/>
              <w:ind w:left="342"/>
              <w:spacing w:after="0"/>
              <w:rPr>
                <w:sz w:val="20"/>
                <w:szCs w:val="20"/>
                <w:color w:val="auto"/>
              </w:rPr>
            </w:pPr>
            <w:r>
              <w:rPr>
                <w:rFonts w:ascii="Arial" w:cs="Arial" w:eastAsia="Arial" w:hAnsi="Arial"/>
                <w:sz w:val="16"/>
                <w:szCs w:val="16"/>
                <w:b w:val="1"/>
                <w:bCs w:val="1"/>
                <w:color w:val="auto"/>
                <w:w w:val="94"/>
              </w:rPr>
              <w:t>7%</w:t>
            </w:r>
          </w:p>
        </w:tc>
        <w:tc>
          <w:tcPr>
            <w:tcW w:w="1900" w:type="dxa"/>
            <w:vAlign w:val="bottom"/>
            <w:gridSpan w:val="3"/>
          </w:tcPr>
          <w:p>
            <w:pPr>
              <w:jc w:val="center"/>
              <w:ind w:left="362"/>
              <w:spacing w:after="0"/>
              <w:rPr>
                <w:sz w:val="20"/>
                <w:szCs w:val="20"/>
                <w:color w:val="auto"/>
              </w:rPr>
            </w:pPr>
            <w:r>
              <w:rPr>
                <w:rFonts w:ascii="Arial" w:cs="Arial" w:eastAsia="Arial" w:hAnsi="Arial"/>
                <w:sz w:val="16"/>
                <w:szCs w:val="16"/>
                <w:b w:val="1"/>
                <w:bCs w:val="1"/>
                <w:color w:val="auto"/>
                <w:w w:val="94"/>
              </w:rPr>
              <w:t>7%</w:t>
            </w:r>
          </w:p>
        </w:tc>
      </w:tr>
      <w:tr>
        <w:trPr>
          <w:trHeight w:val="248"/>
        </w:trPr>
        <w:tc>
          <w:tcPr>
            <w:tcW w:w="37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(1)</w:t>
            </w:r>
          </w:p>
        </w:tc>
        <w:tc>
          <w:tcPr>
            <w:tcW w:w="1160" w:type="dxa"/>
            <w:vAlign w:val="bottom"/>
            <w:tcBorders>
              <w:bottom w:val="single" w:sz="8" w:color="auto"/>
            </w:tcBorders>
            <w:shd w:val="clear" w:color="auto" w:fill="E5E5E5"/>
          </w:tcPr>
          <w:p>
            <w:pPr>
              <w:jc w:val="center"/>
              <w:ind w:left="302"/>
              <w:spacing w:after="0"/>
              <w:rPr>
                <w:sz w:val="20"/>
                <w:szCs w:val="20"/>
                <w:color w:val="auto"/>
              </w:rPr>
            </w:pPr>
            <w:r>
              <w:rPr>
                <w:rFonts w:ascii="Arial" w:cs="Arial" w:eastAsia="Arial" w:hAnsi="Arial"/>
                <w:sz w:val="16"/>
                <w:szCs w:val="16"/>
                <w:b w:val="1"/>
                <w:bCs w:val="1"/>
                <w:color w:val="auto"/>
                <w:w w:val="94"/>
              </w:rPr>
              <w:t>3%</w:t>
            </w:r>
          </w:p>
        </w:tc>
        <w:tc>
          <w:tcPr>
            <w:tcW w:w="340" w:type="dxa"/>
            <w:vAlign w:val="bottom"/>
            <w:tcBorders>
              <w:bottom w:val="single" w:sz="8" w:color="auto"/>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5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66%</w:t>
            </w:r>
          </w:p>
        </w:tc>
        <w:tc>
          <w:tcPr>
            <w:tcW w:w="60" w:type="dxa"/>
            <w:vAlign w:val="bottom"/>
            <w:tcBorders>
              <w:bottom w:val="single" w:sz="8" w:color="E5E5E5"/>
            </w:tcBorders>
            <w:shd w:val="clear" w:color="auto" w:fill="E5E5E5"/>
          </w:tcPr>
          <w:p>
            <w:pPr>
              <w:spacing w:after="0"/>
              <w:rPr>
                <w:sz w:val="21"/>
                <w:szCs w:val="21"/>
                <w:color w:val="auto"/>
              </w:rPr>
            </w:pPr>
          </w:p>
        </w:tc>
        <w:tc>
          <w:tcPr>
            <w:tcW w:w="1180" w:type="dxa"/>
            <w:vAlign w:val="bottom"/>
            <w:tcBorders>
              <w:bottom w:val="single" w:sz="8" w:color="auto"/>
            </w:tcBorders>
            <w:shd w:val="clear" w:color="auto" w:fill="E5E5E5"/>
          </w:tcPr>
          <w:p>
            <w:pPr>
              <w:jc w:val="center"/>
              <w:ind w:left="282"/>
              <w:spacing w:after="0"/>
              <w:rPr>
                <w:sz w:val="20"/>
                <w:szCs w:val="20"/>
                <w:color w:val="auto"/>
              </w:rPr>
            </w:pPr>
            <w:r>
              <w:rPr>
                <w:rFonts w:ascii="Arial" w:cs="Arial" w:eastAsia="Arial" w:hAnsi="Arial"/>
                <w:sz w:val="16"/>
                <w:szCs w:val="16"/>
                <w:b w:val="1"/>
                <w:bCs w:val="1"/>
                <w:color w:val="auto"/>
                <w:w w:val="94"/>
              </w:rPr>
              <w:t>2%</w:t>
            </w:r>
          </w:p>
        </w:tc>
        <w:tc>
          <w:tcPr>
            <w:tcW w:w="320" w:type="dxa"/>
            <w:vAlign w:val="bottom"/>
            <w:tcBorders>
              <w:bottom w:val="single" w:sz="8" w:color="auto"/>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5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3"/>
              </w:rPr>
              <w:t>59%</w:t>
            </w:r>
          </w:p>
        </w:tc>
      </w:tr>
      <w:tr>
        <w:trPr>
          <w:trHeight w:val="174"/>
        </w:trPr>
        <w:tc>
          <w:tcPr>
            <w:tcW w:w="374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Investment Strategy</w:t>
            </w:r>
          </w:p>
        </w:tc>
        <w:tc>
          <w:tcPr>
            <w:tcW w:w="1160" w:type="dxa"/>
            <w:vAlign w:val="bottom"/>
          </w:tcPr>
          <w:p>
            <w:pPr>
              <w:jc w:val="center"/>
              <w:ind w:left="302"/>
              <w:spacing w:after="0" w:line="175" w:lineRule="exact"/>
              <w:rPr>
                <w:sz w:val="20"/>
                <w:szCs w:val="20"/>
                <w:color w:val="auto"/>
              </w:rPr>
            </w:pPr>
            <w:r>
              <w:rPr>
                <w:rFonts w:ascii="Arial" w:cs="Arial" w:eastAsia="Arial" w:hAnsi="Arial"/>
                <w:sz w:val="16"/>
                <w:szCs w:val="16"/>
                <w:b w:val="1"/>
                <w:bCs w:val="1"/>
                <w:color w:val="auto"/>
                <w:w w:val="92"/>
              </w:rPr>
              <w:t>100%</w:t>
            </w:r>
          </w:p>
        </w:tc>
        <w:tc>
          <w:tcPr>
            <w:tcW w:w="1920" w:type="dxa"/>
            <w:vAlign w:val="bottom"/>
            <w:gridSpan w:val="3"/>
          </w:tcPr>
          <w:p>
            <w:pPr>
              <w:jc w:val="center"/>
              <w:ind w:left="362"/>
              <w:spacing w:after="0" w:line="175" w:lineRule="exact"/>
              <w:rPr>
                <w:sz w:val="20"/>
                <w:szCs w:val="20"/>
                <w:color w:val="auto"/>
              </w:rPr>
            </w:pPr>
            <w:r>
              <w:rPr>
                <w:rFonts w:ascii="Arial" w:cs="Arial" w:eastAsia="Arial" w:hAnsi="Arial"/>
                <w:sz w:val="16"/>
                <w:szCs w:val="16"/>
                <w:b w:val="1"/>
                <w:bCs w:val="1"/>
                <w:color w:val="auto"/>
                <w:w w:val="97"/>
              </w:rPr>
              <w:t>100%</w:t>
            </w:r>
          </w:p>
        </w:tc>
        <w:tc>
          <w:tcPr>
            <w:tcW w:w="1240" w:type="dxa"/>
            <w:vAlign w:val="bottom"/>
            <w:gridSpan w:val="2"/>
          </w:tcPr>
          <w:p>
            <w:pPr>
              <w:jc w:val="center"/>
              <w:ind w:left="362"/>
              <w:spacing w:after="0" w:line="175" w:lineRule="exact"/>
              <w:rPr>
                <w:sz w:val="20"/>
                <w:szCs w:val="20"/>
                <w:color w:val="auto"/>
              </w:rPr>
            </w:pPr>
            <w:r>
              <w:rPr>
                <w:rFonts w:ascii="Arial" w:cs="Arial" w:eastAsia="Arial" w:hAnsi="Arial"/>
                <w:sz w:val="16"/>
                <w:szCs w:val="16"/>
                <w:b w:val="1"/>
                <w:bCs w:val="1"/>
                <w:color w:val="auto"/>
                <w:w w:val="97"/>
              </w:rPr>
              <w:t>100%</w:t>
            </w:r>
          </w:p>
        </w:tc>
        <w:tc>
          <w:tcPr>
            <w:tcW w:w="1900" w:type="dxa"/>
            <w:vAlign w:val="bottom"/>
            <w:gridSpan w:val="3"/>
          </w:tcPr>
          <w:p>
            <w:pPr>
              <w:jc w:val="center"/>
              <w:ind w:left="342"/>
              <w:spacing w:after="0" w:line="175" w:lineRule="exact"/>
              <w:rPr>
                <w:sz w:val="20"/>
                <w:szCs w:val="20"/>
                <w:color w:val="auto"/>
              </w:rPr>
            </w:pPr>
            <w:r>
              <w:rPr>
                <w:rFonts w:ascii="Arial" w:cs="Arial" w:eastAsia="Arial" w:hAnsi="Arial"/>
                <w:sz w:val="16"/>
                <w:szCs w:val="16"/>
                <w:b w:val="1"/>
                <w:bCs w:val="1"/>
                <w:color w:val="auto"/>
                <w:w w:val="97"/>
              </w:rPr>
              <w:t>100%</w:t>
            </w:r>
          </w:p>
        </w:tc>
      </w:tr>
      <w:tr>
        <w:trPr>
          <w:trHeight w:val="20"/>
        </w:trPr>
        <w:tc>
          <w:tcPr>
            <w:tcW w:w="3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-42545</wp:posOffset>
            </wp:positionV>
            <wp:extent cx="3970655"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3970655" cy="501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Target allows for an additional allocation to synthetic equity which is offset by cash, which resulted in a negative cash position in Other.</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We employ a total return investment approach whereby a mix of equities and fixed income investments are used to maximize the long-term return of plan assets for a prudent level of risk. The intent of this strategy is to minimize plan expenses by exceeding the interest growth in long-term plan liabilities. Risk tolerance is established through careful consideration of plan liabilities, plan funded status and corporate financial condition. This consideration involves the use of long-term measures that address both return and risk. The investment portfolio contains a diversified blend of equity and fixed income investments. Furthermore, equity investments are diversified across U.S. and non-U.S. stocks, as well as growth, value and small and large capitalizations. Other assets such as real estate, private equity, and hedge funds are used to improve portfolio diversification. Derivatives may be used to hedge market exposure in an efficient, timely and cost-effective manner; however, derivatives may not be used to speculate or leverage the portfolio beyond the market value of the underlying investments. Investment risks and returns are measured and monitored on an ongoing basis through annual liability measurements and quarterly investment portfolio reviews.</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Expected Long-term Rate of Return</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7"/>
          <w:szCs w:val="17"/>
          <w:b w:val="1"/>
          <w:bCs w:val="1"/>
          <w:color w:val="auto"/>
        </w:rPr>
        <w:t>We employ a “building block” approach in determining the long-term rate of return for plan assets. Historical markets are studied and long-term relationships between equities and fixed income are assessed. Current market factors such as inflation and interest rates are evaluated before long-term capital market assumptions are determined. The long-term portfolio return is established giving consideration to investment diversification and rebalancing. Peer data and historical returns are reviewed periodically to assess reasonableness and appropriateness.</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Contributions Disclosure</w:t>
      </w:r>
    </w:p>
    <w:p>
      <w:pPr>
        <w:spacing w:after="0" w:line="118" w:lineRule="exact"/>
        <w:rPr>
          <w:sz w:val="20"/>
          <w:szCs w:val="20"/>
          <w:color w:val="auto"/>
        </w:rPr>
      </w:pPr>
    </w:p>
    <w:p>
      <w:pPr>
        <w:ind w:right="300"/>
        <w:spacing w:after="0" w:line="298" w:lineRule="auto"/>
        <w:rPr>
          <w:sz w:val="20"/>
          <w:szCs w:val="20"/>
          <w:color w:val="auto"/>
        </w:rPr>
      </w:pPr>
      <w:r>
        <w:rPr>
          <w:rFonts w:ascii="Arial" w:cs="Arial" w:eastAsia="Arial" w:hAnsi="Arial"/>
          <w:sz w:val="19"/>
          <w:szCs w:val="19"/>
          <w:b w:val="1"/>
          <w:bCs w:val="1"/>
          <w:color w:val="auto"/>
        </w:rPr>
        <w:t>The following table summarizes cash contributions to our defined benefit pension plans and retiree health benefit plans.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880" w:type="dxa"/>
            <w:vAlign w:val="bottom"/>
          </w:tcPr>
          <w:p>
            <w:pPr>
              <w:spacing w:after="0"/>
              <w:rPr>
                <w:sz w:val="14"/>
                <w:szCs w:val="14"/>
                <w:color w:val="auto"/>
              </w:rPr>
            </w:pPr>
          </w:p>
        </w:tc>
        <w:tc>
          <w:tcPr>
            <w:tcW w:w="10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2025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Arial" w:cs="Arial" w:eastAsia="Arial" w:hAnsi="Arial"/>
                <w:sz w:val="16"/>
                <w:szCs w:val="16"/>
                <w:b w:val="1"/>
                <w:bCs w:val="1"/>
                <w:color w:val="auto"/>
              </w:rPr>
              <w:t>Estimated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880" w:type="dxa"/>
            <w:vAlign w:val="bottom"/>
            <w:tcBorders>
              <w:bottom w:val="single" w:sz="8" w:color="E5E5E5"/>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U.S. Plans</w:t>
            </w:r>
          </w:p>
        </w:tc>
        <w:tc>
          <w:tcPr>
            <w:tcW w:w="1060" w:type="dxa"/>
            <w:vAlign w:val="bottom"/>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w:t>
            </w:r>
          </w:p>
        </w:tc>
        <w:tc>
          <w:tcPr>
            <w:tcW w:w="1220" w:type="dxa"/>
            <w:vAlign w:val="bottom"/>
            <w:gridSpan w:val="2"/>
            <w:shd w:val="clear" w:color="auto" w:fill="E5E5E5"/>
          </w:tcPr>
          <w:p>
            <w:pPr>
              <w:jc w:val="right"/>
              <w:ind w:right="92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115</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Non-U.S. Plans</w:t>
            </w: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E5E5E5"/>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Pension Plans</w:t>
            </w:r>
          </w:p>
        </w:tc>
        <w:tc>
          <w:tcPr>
            <w:tcW w:w="1060" w:type="dxa"/>
            <w:vAlign w:val="bottom"/>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140</w:t>
            </w:r>
          </w:p>
        </w:tc>
        <w:tc>
          <w:tcPr>
            <w:tcW w:w="1220" w:type="dxa"/>
            <w:vAlign w:val="bottom"/>
            <w:gridSpan w:val="2"/>
            <w:shd w:val="clear" w:color="auto" w:fill="E5E5E5"/>
          </w:tcPr>
          <w:p>
            <w:pPr>
              <w:jc w:val="right"/>
              <w:ind w:right="92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Retiree Health</w:t>
            </w: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Borders>
              <w:bottom w:val="single" w:sz="8" w:color="E5E5E5"/>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47"/>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Retirement Plans</w:t>
            </w:r>
          </w:p>
        </w:tc>
        <w:tc>
          <w:tcPr>
            <w:tcW w:w="1060" w:type="dxa"/>
            <w:vAlign w:val="bottom"/>
            <w:tcBorders>
              <w:bottom w:val="single" w:sz="8" w:color="auto"/>
            </w:tcBorders>
            <w:shd w:val="clear" w:color="auto" w:fill="E5E5E5"/>
          </w:tcPr>
          <w:p>
            <w:pPr>
              <w:jc w:val="right"/>
              <w:ind w:right="842"/>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161</w:t>
            </w:r>
          </w:p>
        </w:tc>
        <w:tc>
          <w:tcPr>
            <w:tcW w:w="80" w:type="dxa"/>
            <w:vAlign w:val="bottom"/>
            <w:tcBorders>
              <w:bottom w:val="single" w:sz="8" w:color="E5E5E5"/>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ind w:right="92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-43180</wp:posOffset>
            </wp:positionV>
            <wp:extent cx="1974850"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1974850" cy="50165"/>
                    </a:xfrm>
                    <a:prstGeom prst="rect">
                      <a:avLst/>
                    </a:prstGeom>
                    <a:noFill/>
                  </pic:spPr>
                </pic:pic>
              </a:graphicData>
            </a:graphic>
          </wp:anchor>
        </w:drawing>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Approximately $89 of the 2025 contributions for our U.S. plans were for our tax-qualified defined benefit plans. Approximately $95 of estimated contributions for 2026 are for our U.S. tax-qualified defined benefit plans. However, once the next actuarial valuations and projected results are available, actual contributions required to meet minimum funding requirements will be determined and finalized and may change from the current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147</w:t>
      </w:r>
    </w:p>
    <w:p>
      <w:pPr>
        <w:sectPr>
          <w:pgSz w:w="11880" w:h="15480" w:orient="portrait"/>
          <w:cols w:equalWidth="0" w:num="1">
            <w:col w:w="9960"/>
          </w:cols>
          <w:pgMar w:left="960" w:top="735" w:right="960" w:bottom="0" w:gutter="0" w:footer="0" w:header="0"/>
        </w:sectPr>
      </w:pPr>
    </w:p>
    <w:bookmarkStart w:id="157" w:name="page158"/>
    <w:bookmarkEnd w:id="157"/>
    <w:p>
      <w:pPr>
        <w:spacing w:after="0"/>
        <w:rPr>
          <w:sz w:val="20"/>
          <w:szCs w:val="20"/>
          <w:color w:val="auto"/>
        </w:rPr>
      </w:pPr>
      <w:r>
        <w:rPr>
          <w:rFonts w:ascii="Arial" w:cs="Arial" w:eastAsia="Arial" w:hAnsi="Arial"/>
          <w:sz w:val="21"/>
          <w:szCs w:val="21"/>
          <w:b w:val="1"/>
          <w:bCs w:val="1"/>
          <w:color w:val="DA2031"/>
        </w:rPr>
        <w:t>Estimated Future Benefit Payments</w:t>
      </w:r>
    </w:p>
    <w:p>
      <w:pPr>
        <w:spacing w:after="0" w:line="118" w:lineRule="exact"/>
        <w:rPr>
          <w:sz w:val="20"/>
          <w:szCs w:val="20"/>
          <w:color w:val="auto"/>
        </w:rPr>
      </w:pPr>
    </w:p>
    <w:p>
      <w:pPr>
        <w:ind w:right="560"/>
        <w:spacing w:after="0" w:line="293" w:lineRule="auto"/>
        <w:rPr>
          <w:sz w:val="20"/>
          <w:szCs w:val="20"/>
          <w:color w:val="auto"/>
        </w:rPr>
      </w:pPr>
      <w:r>
        <w:rPr>
          <w:rFonts w:ascii="Arial" w:cs="Arial" w:eastAsia="Arial" w:hAnsi="Arial"/>
          <w:sz w:val="19"/>
          <w:szCs w:val="19"/>
          <w:b w:val="1"/>
          <w:bCs w:val="1"/>
          <w:color w:val="auto"/>
        </w:rPr>
        <w:t>The following benefit payments, which reflect expected future service, as appropriate, are expected to be paid during the following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Pension Benefits</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74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U.S.</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Non-U.S.</w:t>
            </w: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4"/>
              </w:rPr>
              <w:t>Retiree Health</w:t>
            </w:r>
          </w:p>
        </w:tc>
      </w:tr>
      <w:tr>
        <w:trPr>
          <w:trHeight w:val="223"/>
        </w:trPr>
        <w:tc>
          <w:tcPr>
            <w:tcW w:w="37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2026</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239</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313</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552</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r>
      <w:tr>
        <w:trPr>
          <w:trHeight w:val="227"/>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2027</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318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239"/>
        </w:trPr>
        <w:tc>
          <w:tcPr>
            <w:tcW w:w="37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2028</w:t>
            </w:r>
          </w:p>
        </w:tc>
        <w:tc>
          <w:tcPr>
            <w:tcW w:w="9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222</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325</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547</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r>
      <w:tr>
        <w:trPr>
          <w:trHeight w:val="227"/>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2029</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333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239"/>
        </w:trPr>
        <w:tc>
          <w:tcPr>
            <w:tcW w:w="37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2030</w:t>
            </w:r>
          </w:p>
        </w:tc>
        <w:tc>
          <w:tcPr>
            <w:tcW w:w="9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250</w:t>
            </w:r>
          </w:p>
        </w:tc>
        <w:tc>
          <w:tcPr>
            <w:tcW w:w="8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3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341</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591</w:t>
            </w:r>
          </w:p>
        </w:tc>
        <w:tc>
          <w:tcPr>
            <w:tcW w:w="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r>
      <w:tr>
        <w:trPr>
          <w:trHeight w:val="221"/>
        </w:trPr>
        <w:tc>
          <w:tcPr>
            <w:tcW w:w="3740" w:type="dxa"/>
            <w:vAlign w:val="bottom"/>
          </w:tcPr>
          <w:p>
            <w:pPr>
              <w:ind w:left="60"/>
              <w:spacing w:after="0"/>
              <w:rPr>
                <w:sz w:val="20"/>
                <w:szCs w:val="20"/>
                <w:color w:val="auto"/>
              </w:rPr>
            </w:pPr>
            <w:r>
              <w:rPr>
                <w:rFonts w:ascii="Arial" w:cs="Arial" w:eastAsia="Arial" w:hAnsi="Arial"/>
                <w:sz w:val="16"/>
                <w:szCs w:val="16"/>
                <w:b w:val="1"/>
                <w:bCs w:val="1"/>
                <w:color w:val="auto"/>
              </w:rPr>
              <w:t>Years 2031-2035</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b w:val="1"/>
                <w:bCs w:val="1"/>
                <w:color w:val="auto"/>
              </w:rPr>
              <w:t>1,801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2,873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Assumptions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Weighted-average assumptions used to determine benefit obligations at the plan measurement dates: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Pension Benefits</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3"/>
        </w:trPr>
        <w:tc>
          <w:tcPr>
            <w:tcW w:w="36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84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840" w:type="dxa"/>
            <w:vAlign w:val="bottom"/>
          </w:tcPr>
          <w:p>
            <w:pPr>
              <w:spacing w:after="0"/>
              <w:rPr>
                <w:sz w:val="18"/>
                <w:szCs w:val="18"/>
                <w:color w:val="auto"/>
              </w:rPr>
            </w:pPr>
          </w:p>
        </w:tc>
      </w:tr>
      <w:tr>
        <w:trPr>
          <w:trHeight w:val="213"/>
        </w:trPr>
        <w:tc>
          <w:tcPr>
            <w:tcW w:w="3660" w:type="dxa"/>
            <w:vAlign w:val="bottom"/>
            <w:tcBorders>
              <w:bottom w:val="single" w:sz="8" w:color="E5E5E5"/>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U.S.</w:t>
            </w:r>
          </w:p>
        </w:tc>
        <w:tc>
          <w:tcPr>
            <w:tcW w:w="80" w:type="dxa"/>
            <w:vAlign w:val="bottom"/>
            <w:tcBorders>
              <w:top w:val="single" w:sz="8" w:color="auto"/>
              <w:bottom w:val="single" w:sz="8" w:color="E5E5E5"/>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4"/>
              </w:rPr>
              <w:t>Non-U.S.</w:t>
            </w:r>
          </w:p>
        </w:tc>
        <w:tc>
          <w:tcPr>
            <w:tcW w:w="80" w:type="dxa"/>
            <w:vAlign w:val="bottom"/>
            <w:tcBorders>
              <w:bottom w:val="single" w:sz="8" w:color="E5E5E5"/>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U.S.</w:t>
            </w:r>
          </w:p>
        </w:tc>
        <w:tc>
          <w:tcPr>
            <w:tcW w:w="80" w:type="dxa"/>
            <w:vAlign w:val="bottom"/>
            <w:tcBorders>
              <w:top w:val="single" w:sz="8" w:color="auto"/>
              <w:bottom w:val="single" w:sz="8" w:color="E5E5E5"/>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Non-U.S.</w:t>
            </w:r>
          </w:p>
        </w:tc>
        <w:tc>
          <w:tcPr>
            <w:tcW w:w="60" w:type="dxa"/>
            <w:vAlign w:val="bottom"/>
            <w:tcBorders>
              <w:bottom w:val="single" w:sz="8" w:color="E5E5E5"/>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w:t>
            </w:r>
          </w:p>
        </w:tc>
        <w:tc>
          <w:tcPr>
            <w:tcW w:w="60" w:type="dxa"/>
            <w:vAlign w:val="bottom"/>
            <w:tcBorders>
              <w:top w:val="single" w:sz="8" w:color="auto"/>
              <w:bottom w:val="single" w:sz="8" w:color="E5E5E5"/>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4"/>
              </w:rPr>
              <w:t>Non-U.S.</w:t>
            </w:r>
          </w:p>
        </w:tc>
      </w:tr>
      <w:tr>
        <w:trPr>
          <w:trHeight w:val="223"/>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Discount rate</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5.3 %</w:t>
            </w: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4.8 %</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5.6 %</w:t>
            </w: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4.5 %</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4.9 %</w:t>
            </w: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4.1 %</w:t>
            </w:r>
          </w:p>
        </w:tc>
      </w:tr>
      <w:tr>
        <w:trPr>
          <w:trHeight w:val="227"/>
        </w:trPr>
        <w:tc>
          <w:tcPr>
            <w:tcW w:w="3660" w:type="dxa"/>
            <w:vAlign w:val="bottom"/>
          </w:tcPr>
          <w:p>
            <w:pPr>
              <w:ind w:left="60"/>
              <w:spacing w:after="0"/>
              <w:rPr>
                <w:sz w:val="20"/>
                <w:szCs w:val="20"/>
                <w:color w:val="auto"/>
              </w:rPr>
            </w:pPr>
            <w:r>
              <w:rPr>
                <w:rFonts w:ascii="Arial" w:cs="Arial" w:eastAsia="Arial" w:hAnsi="Arial"/>
                <w:sz w:val="16"/>
                <w:szCs w:val="16"/>
                <w:b w:val="1"/>
                <w:bCs w:val="1"/>
                <w:color w:val="auto"/>
              </w:rPr>
              <w:t>Rate of compensation increase</w:t>
            </w:r>
          </w:p>
        </w:tc>
        <w:tc>
          <w:tcPr>
            <w:tcW w:w="12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 %</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2.2 %</w:t>
            </w:r>
          </w:p>
        </w:tc>
        <w:tc>
          <w:tcPr>
            <w:tcW w:w="8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2.3 %</w:t>
            </w:r>
          </w:p>
        </w:tc>
        <w:tc>
          <w:tcPr>
            <w:tcW w:w="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2.7 %</w:t>
            </w:r>
          </w:p>
        </w:tc>
      </w:tr>
      <w:tr>
        <w:trPr>
          <w:trHeight w:val="239"/>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Interest crediting rate</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4.5 %</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2.4 %</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4.6 %</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2.5 %</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4.5 %</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1.5 %</w:t>
            </w:r>
          </w:p>
        </w:tc>
      </w:tr>
      <w:tr>
        <w:trPr>
          <w:trHeight w:val="413"/>
        </w:trPr>
        <w:tc>
          <w:tcPr>
            <w:tcW w:w="3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6"/>
                <w:szCs w:val="16"/>
                <w:b w:val="1"/>
                <w:bCs w:val="1"/>
                <w:color w:val="auto"/>
                <w:w w:val="92"/>
              </w:rPr>
              <w:t>Retiree Health</w:t>
            </w:r>
          </w:p>
        </w:tc>
        <w:tc>
          <w:tcPr>
            <w:tcW w:w="840" w:type="dxa"/>
            <w:vAlign w:val="bottom"/>
            <w:tcBorders>
              <w:bottom w:val="single" w:sz="8" w:color="auto"/>
            </w:tcBorders>
          </w:tcPr>
          <w:p>
            <w:pPr>
              <w:spacing w:after="0"/>
              <w:rPr>
                <w:sz w:val="24"/>
                <w:szCs w:val="24"/>
                <w:color w:val="auto"/>
              </w:rPr>
            </w:pPr>
          </w:p>
        </w:tc>
      </w:tr>
      <w:tr>
        <w:trPr>
          <w:trHeight w:val="213"/>
        </w:trPr>
        <w:tc>
          <w:tcPr>
            <w:tcW w:w="3660" w:type="dxa"/>
            <w:vAlign w:val="bottom"/>
            <w:tcBorders>
              <w:bottom w:val="single" w:sz="8" w:color="E5E5E5"/>
            </w:tcBorders>
          </w:tcPr>
          <w:p>
            <w:pPr>
              <w:spacing w:after="0"/>
              <w:rPr>
                <w:sz w:val="18"/>
                <w:szCs w:val="18"/>
                <w:color w:val="auto"/>
              </w:rPr>
            </w:pPr>
          </w:p>
        </w:tc>
        <w:tc>
          <w:tcPr>
            <w:tcW w:w="98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E5E5E5"/>
            </w:tcBorders>
          </w:tcPr>
          <w:p>
            <w:pPr>
              <w:spacing w:after="0"/>
              <w:rPr>
                <w:sz w:val="18"/>
                <w:szCs w:val="18"/>
                <w:color w:val="auto"/>
              </w:rPr>
            </w:pPr>
          </w:p>
        </w:tc>
        <w:tc>
          <w:tcPr>
            <w:tcW w:w="82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98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E5E5E5"/>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2023</w:t>
            </w:r>
          </w:p>
        </w:tc>
      </w:tr>
      <w:tr>
        <w:trPr>
          <w:trHeight w:val="223"/>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Discount rate</w:t>
            </w:r>
          </w:p>
        </w:tc>
        <w:tc>
          <w:tcPr>
            <w:tcW w:w="9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4.8 %</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4.9 %</w:t>
            </w: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4.7 %</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Weighted-average assumptions used to determine net periodic benefit cost for years ended December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6"/>
                <w:szCs w:val="16"/>
                <w:b w:val="1"/>
                <w:bCs w:val="1"/>
                <w:color w:val="auto"/>
              </w:rPr>
              <w:t>Pension Benefits</w:t>
            </w: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3"/>
        </w:trPr>
        <w:tc>
          <w:tcPr>
            <w:tcW w:w="2920" w:type="dxa"/>
            <w:vAlign w:val="bottom"/>
          </w:tcPr>
          <w:p>
            <w:pPr>
              <w:spacing w:after="0"/>
              <w:rPr>
                <w:sz w:val="18"/>
                <w:szCs w:val="18"/>
                <w:color w:val="auto"/>
              </w:rPr>
            </w:pPr>
          </w:p>
        </w:tc>
        <w:tc>
          <w:tcPr>
            <w:tcW w:w="1720" w:type="dxa"/>
            <w:vAlign w:val="bottom"/>
            <w:gridSpan w:val="3"/>
          </w:tcPr>
          <w:p>
            <w:pPr>
              <w:jc w:val="right"/>
              <w:ind w:right="602"/>
              <w:spacing w:after="0"/>
              <w:rPr>
                <w:sz w:val="20"/>
                <w:szCs w:val="20"/>
                <w:color w:val="auto"/>
              </w:rPr>
            </w:pPr>
            <w:r>
              <w:rPr>
                <w:rFonts w:ascii="Arial" w:cs="Arial" w:eastAsia="Arial" w:hAnsi="Arial"/>
                <w:sz w:val="16"/>
                <w:szCs w:val="16"/>
                <w:b w:val="1"/>
                <w:bCs w:val="1"/>
                <w:color w:val="auto"/>
              </w:rPr>
              <w:t>2026</w:t>
            </w:r>
          </w:p>
        </w:tc>
        <w:tc>
          <w:tcPr>
            <w:tcW w:w="1760" w:type="dxa"/>
            <w:vAlign w:val="bottom"/>
            <w:gridSpan w:val="4"/>
          </w:tcPr>
          <w:p>
            <w:pPr>
              <w:jc w:val="right"/>
              <w:ind w:right="602"/>
              <w:spacing w:after="0"/>
              <w:rPr>
                <w:sz w:val="20"/>
                <w:szCs w:val="20"/>
                <w:color w:val="auto"/>
              </w:rPr>
            </w:pPr>
            <w:r>
              <w:rPr>
                <w:rFonts w:ascii="Arial" w:cs="Arial" w:eastAsia="Arial" w:hAnsi="Arial"/>
                <w:sz w:val="16"/>
                <w:szCs w:val="16"/>
                <w:b w:val="1"/>
                <w:bCs w:val="1"/>
                <w:color w:val="auto"/>
              </w:rPr>
              <w:t>2025</w:t>
            </w:r>
          </w:p>
        </w:tc>
        <w:tc>
          <w:tcPr>
            <w:tcW w:w="1780" w:type="dxa"/>
            <w:vAlign w:val="bottom"/>
            <w:gridSpan w:val="4"/>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780" w:type="dxa"/>
            <w:vAlign w:val="bottom"/>
            <w:gridSpan w:val="4"/>
          </w:tcPr>
          <w:p>
            <w:pPr>
              <w:jc w:val="right"/>
              <w:ind w:right="602"/>
              <w:spacing w:after="0"/>
              <w:rPr>
                <w:sz w:val="20"/>
                <w:szCs w:val="20"/>
                <w:color w:val="auto"/>
              </w:rPr>
            </w:pPr>
            <w:r>
              <w:rPr>
                <w:rFonts w:ascii="Arial" w:cs="Arial" w:eastAsia="Arial" w:hAnsi="Arial"/>
                <w:sz w:val="16"/>
                <w:szCs w:val="16"/>
                <w:b w:val="1"/>
                <w:bCs w:val="1"/>
                <w:color w:val="auto"/>
              </w:rPr>
              <w:t>2023</w:t>
            </w:r>
          </w:p>
        </w:tc>
      </w:tr>
      <w:tr>
        <w:trPr>
          <w:trHeight w:val="213"/>
        </w:trPr>
        <w:tc>
          <w:tcPr>
            <w:tcW w:w="2920" w:type="dxa"/>
            <w:vAlign w:val="bottom"/>
            <w:tcBorders>
              <w:bottom w:val="single" w:sz="8" w:color="E5E5E5"/>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U.S.</w:t>
            </w:r>
          </w:p>
        </w:tc>
        <w:tc>
          <w:tcPr>
            <w:tcW w:w="80" w:type="dxa"/>
            <w:vAlign w:val="bottom"/>
            <w:tcBorders>
              <w:top w:val="single" w:sz="8" w:color="auto"/>
              <w:bottom w:val="single" w:sz="8" w:color="E5E5E5"/>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Non-U.S.</w:t>
            </w:r>
          </w:p>
        </w:tc>
        <w:tc>
          <w:tcPr>
            <w:tcW w:w="60" w:type="dxa"/>
            <w:vAlign w:val="bottom"/>
            <w:tcBorders>
              <w:bottom w:val="single" w:sz="8" w:color="E5E5E5"/>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U.S.</w:t>
            </w:r>
          </w:p>
        </w:tc>
        <w:tc>
          <w:tcPr>
            <w:tcW w:w="80" w:type="dxa"/>
            <w:vAlign w:val="bottom"/>
            <w:tcBorders>
              <w:top w:val="single" w:sz="8" w:color="auto"/>
              <w:bottom w:val="single" w:sz="8" w:color="E5E5E5"/>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Non-U.S.</w:t>
            </w:r>
          </w:p>
        </w:tc>
        <w:tc>
          <w:tcPr>
            <w:tcW w:w="80" w:type="dxa"/>
            <w:vAlign w:val="bottom"/>
            <w:tcBorders>
              <w:bottom w:val="single" w:sz="8" w:color="E5E5E5"/>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U.S.</w:t>
            </w:r>
          </w:p>
        </w:tc>
        <w:tc>
          <w:tcPr>
            <w:tcW w:w="60" w:type="dxa"/>
            <w:vAlign w:val="bottom"/>
            <w:tcBorders>
              <w:top w:val="single" w:sz="8" w:color="auto"/>
              <w:bottom w:val="single" w:sz="8" w:color="E5E5E5"/>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Non-U.S.</w:t>
            </w:r>
          </w:p>
        </w:tc>
        <w:tc>
          <w:tcPr>
            <w:tcW w:w="80" w:type="dxa"/>
            <w:vAlign w:val="bottom"/>
            <w:tcBorders>
              <w:bottom w:val="single" w:sz="8" w:color="E5E5E5"/>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U.S.</w:t>
            </w:r>
          </w:p>
        </w:tc>
        <w:tc>
          <w:tcPr>
            <w:tcW w:w="80" w:type="dxa"/>
            <w:vAlign w:val="bottom"/>
            <w:tcBorders>
              <w:top w:val="single" w:sz="8" w:color="auto"/>
              <w:bottom w:val="single" w:sz="8" w:color="E5E5E5"/>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Non-U.S.</w:t>
            </w:r>
          </w:p>
        </w:tc>
      </w:tr>
      <w:tr>
        <w:trPr>
          <w:trHeight w:val="223"/>
        </w:trPr>
        <w:tc>
          <w:tcPr>
            <w:tcW w:w="2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Discount rate</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5.3 %</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4.8 %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5.6 %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4.5 %</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4.9 %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4.1 %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5.1 %</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4.5 %</w:t>
            </w:r>
          </w:p>
        </w:tc>
      </w:tr>
      <w:tr>
        <w:trPr>
          <w:trHeight w:val="227"/>
        </w:trPr>
        <w:tc>
          <w:tcPr>
            <w:tcW w:w="2920" w:type="dxa"/>
            <w:vAlign w:val="bottom"/>
          </w:tcPr>
          <w:p>
            <w:pPr>
              <w:ind w:left="60"/>
              <w:spacing w:after="0"/>
              <w:rPr>
                <w:sz w:val="20"/>
                <w:szCs w:val="20"/>
                <w:color w:val="auto"/>
              </w:rPr>
            </w:pPr>
            <w:r>
              <w:rPr>
                <w:rFonts w:ascii="Arial" w:cs="Arial" w:eastAsia="Arial" w:hAnsi="Arial"/>
                <w:sz w:val="16"/>
                <w:szCs w:val="16"/>
                <w:b w:val="1"/>
                <w:bCs w:val="1"/>
                <w:color w:val="auto"/>
              </w:rPr>
              <w:t>Expected return on plan assets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7.5 %</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5.0 %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7.8 %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4.8 %</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8.1 %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4.3 %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8.1 %</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4.3 %</w:t>
            </w:r>
          </w:p>
        </w:tc>
      </w:tr>
      <w:tr>
        <w:trPr>
          <w:trHeight w:val="239"/>
        </w:trPr>
        <w:tc>
          <w:tcPr>
            <w:tcW w:w="2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Rate of compensation increase</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 %</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2.2 %</w:t>
            </w:r>
          </w:p>
        </w:tc>
        <w:tc>
          <w:tcPr>
            <w:tcW w:w="6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2.3 %</w:t>
            </w:r>
          </w:p>
        </w:tc>
        <w:tc>
          <w:tcPr>
            <w:tcW w:w="8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2.7 %</w:t>
            </w:r>
          </w:p>
        </w:tc>
        <w:tc>
          <w:tcPr>
            <w:tcW w:w="8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 %</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2.9 %</w:t>
            </w:r>
          </w:p>
        </w:tc>
      </w:tr>
      <w:tr>
        <w:trPr>
          <w:trHeight w:val="221"/>
        </w:trPr>
        <w:tc>
          <w:tcPr>
            <w:tcW w:w="2920" w:type="dxa"/>
            <w:vAlign w:val="bottom"/>
          </w:tcPr>
          <w:p>
            <w:pPr>
              <w:ind w:left="60"/>
              <w:spacing w:after="0"/>
              <w:rPr>
                <w:sz w:val="20"/>
                <w:szCs w:val="20"/>
                <w:color w:val="auto"/>
              </w:rPr>
            </w:pPr>
            <w:r>
              <w:rPr>
                <w:rFonts w:ascii="Arial" w:cs="Arial" w:eastAsia="Arial" w:hAnsi="Arial"/>
                <w:sz w:val="16"/>
                <w:szCs w:val="16"/>
                <w:b w:val="1"/>
                <w:bCs w:val="1"/>
                <w:color w:val="auto"/>
              </w:rPr>
              <w:t>Interest crediting rate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4.5 %</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4.6 %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2.6 %</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4.5 %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2.5 %</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4.5 %</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2.1 %</w:t>
            </w:r>
          </w:p>
        </w:tc>
      </w:tr>
      <w:tr>
        <w:trPr>
          <w:trHeight w:val="424"/>
        </w:trPr>
        <w:tc>
          <w:tcPr>
            <w:tcW w:w="2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6"/>
                <w:szCs w:val="16"/>
                <w:b w:val="1"/>
                <w:bCs w:val="1"/>
                <w:color w:val="auto"/>
              </w:rPr>
              <w:t>Retiree Health</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3"/>
        </w:trPr>
        <w:tc>
          <w:tcPr>
            <w:tcW w:w="2920" w:type="dxa"/>
            <w:vAlign w:val="bottom"/>
            <w:tcBorders>
              <w:bottom w:val="single" w:sz="8" w:color="E5E5E5"/>
            </w:tcBorders>
          </w:tcPr>
          <w:p>
            <w:pPr>
              <w:spacing w:after="0"/>
              <w:rPr>
                <w:sz w:val="18"/>
                <w:szCs w:val="18"/>
                <w:color w:val="auto"/>
              </w:rPr>
            </w:pPr>
          </w:p>
        </w:tc>
        <w:tc>
          <w:tcPr>
            <w:tcW w:w="82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820" w:type="dxa"/>
            <w:vAlign w:val="bottom"/>
            <w:tcBorders>
              <w:bottom w:val="single" w:sz="8" w:color="E5E5E5"/>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82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80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bottom w:val="single" w:sz="8" w:color="E5E5E5"/>
            </w:tcBorders>
          </w:tcPr>
          <w:p>
            <w:pPr>
              <w:spacing w:after="0"/>
              <w:rPr>
                <w:sz w:val="18"/>
                <w:szCs w:val="18"/>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2023</w:t>
            </w:r>
          </w:p>
        </w:tc>
      </w:tr>
      <w:tr>
        <w:trPr>
          <w:trHeight w:val="223"/>
        </w:trPr>
        <w:tc>
          <w:tcPr>
            <w:tcW w:w="29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Discount rate</w:t>
            </w:r>
          </w:p>
        </w:tc>
        <w:tc>
          <w:tcPr>
            <w:tcW w:w="8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80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4.8 %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4.9 %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4.7 %</w:t>
            </w:r>
          </w:p>
        </w:tc>
        <w:tc>
          <w:tcPr>
            <w:tcW w:w="9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5.0 %</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Note: Expected return on plan assets is not applicable to retiree health benefits as these plans are not funded. Rate of compensation increase is not applicable to retiree health benefits as compensation levels do not impact earned benefits.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Assumed health care cost trend rates were as follows:</w:t>
      </w:r>
    </w:p>
    <w:p>
      <w:pPr>
        <w:spacing w:after="0" w:line="83"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tcBorders>
              <w:bottom w:val="single" w:sz="8" w:color="E5E5E5"/>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E5E5E5"/>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23"/>
        </w:trPr>
        <w:tc>
          <w:tcPr>
            <w:tcW w:w="78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Health care cost trend rate assumed for next year</w:t>
            </w:r>
          </w:p>
        </w:tc>
        <w:tc>
          <w:tcPr>
            <w:tcW w:w="500" w:type="dxa"/>
            <w:vAlign w:val="bottom"/>
            <w:shd w:val="clear" w:color="auto" w:fill="E5E5E5"/>
          </w:tcPr>
          <w:p>
            <w:pPr>
              <w:jc w:val="center"/>
              <w:ind w:left="2"/>
              <w:spacing w:after="0"/>
              <w:rPr>
                <w:sz w:val="20"/>
                <w:szCs w:val="20"/>
                <w:color w:val="auto"/>
              </w:rPr>
            </w:pPr>
            <w:r>
              <w:rPr>
                <w:rFonts w:ascii="Arial" w:cs="Arial" w:eastAsia="Arial" w:hAnsi="Arial"/>
                <w:sz w:val="16"/>
                <w:szCs w:val="16"/>
                <w:b w:val="1"/>
                <w:bCs w:val="1"/>
                <w:color w:val="auto"/>
              </w:rPr>
              <w:t>6.5 %</w:t>
            </w:r>
          </w:p>
        </w:tc>
        <w:tc>
          <w:tcPr>
            <w:tcW w:w="1580" w:type="dxa"/>
            <w:vAlign w:val="bottom"/>
            <w:gridSpan w:val="2"/>
            <w:shd w:val="clear" w:color="auto" w:fill="E5E5E5"/>
          </w:tcPr>
          <w:p>
            <w:pPr>
              <w:jc w:val="center"/>
              <w:ind w:left="1062"/>
              <w:spacing w:after="0"/>
              <w:rPr>
                <w:sz w:val="20"/>
                <w:szCs w:val="20"/>
                <w:color w:val="auto"/>
              </w:rPr>
            </w:pPr>
            <w:r>
              <w:rPr>
                <w:rFonts w:ascii="Arial" w:cs="Arial" w:eastAsia="Arial" w:hAnsi="Arial"/>
                <w:sz w:val="16"/>
                <w:szCs w:val="16"/>
                <w:b w:val="1"/>
                <w:bCs w:val="1"/>
                <w:color w:val="auto"/>
                <w:w w:val="97"/>
              </w:rPr>
              <w:t>6.0 %</w:t>
            </w:r>
          </w:p>
        </w:tc>
      </w:tr>
      <w:tr>
        <w:trPr>
          <w:trHeight w:val="227"/>
        </w:trPr>
        <w:tc>
          <w:tcPr>
            <w:tcW w:w="7880" w:type="dxa"/>
            <w:vAlign w:val="bottom"/>
            <w:gridSpan w:val="2"/>
          </w:tcPr>
          <w:p>
            <w:pPr>
              <w:ind w:left="60"/>
              <w:spacing w:after="0"/>
              <w:rPr>
                <w:sz w:val="20"/>
                <w:szCs w:val="20"/>
                <w:color w:val="auto"/>
              </w:rPr>
            </w:pPr>
            <w:r>
              <w:rPr>
                <w:rFonts w:ascii="Arial" w:cs="Arial" w:eastAsia="Arial" w:hAnsi="Arial"/>
                <w:sz w:val="16"/>
                <w:szCs w:val="16"/>
                <w:b w:val="1"/>
                <w:bCs w:val="1"/>
                <w:color w:val="auto"/>
              </w:rPr>
              <w:t>Rate to which the cost trend rate is assumed to decline (the ultimate trend rate)</w:t>
            </w:r>
          </w:p>
        </w:tc>
        <w:tc>
          <w:tcPr>
            <w:tcW w:w="500" w:type="dxa"/>
            <w:vAlign w:val="bottom"/>
          </w:tcPr>
          <w:p>
            <w:pPr>
              <w:jc w:val="center"/>
              <w:ind w:left="2"/>
              <w:spacing w:after="0"/>
              <w:rPr>
                <w:sz w:val="20"/>
                <w:szCs w:val="20"/>
                <w:color w:val="auto"/>
              </w:rPr>
            </w:pPr>
            <w:r>
              <w:rPr>
                <w:rFonts w:ascii="Arial" w:cs="Arial" w:eastAsia="Arial" w:hAnsi="Arial"/>
                <w:sz w:val="16"/>
                <w:szCs w:val="16"/>
                <w:b w:val="1"/>
                <w:bCs w:val="1"/>
                <w:color w:val="auto"/>
              </w:rPr>
              <w:t>4.2 %</w:t>
            </w:r>
          </w:p>
        </w:tc>
        <w:tc>
          <w:tcPr>
            <w:tcW w:w="1580" w:type="dxa"/>
            <w:vAlign w:val="bottom"/>
            <w:gridSpan w:val="2"/>
          </w:tcPr>
          <w:p>
            <w:pPr>
              <w:jc w:val="center"/>
              <w:ind w:left="1062"/>
              <w:spacing w:after="0"/>
              <w:rPr>
                <w:sz w:val="20"/>
                <w:szCs w:val="20"/>
                <w:color w:val="auto"/>
              </w:rPr>
            </w:pPr>
            <w:r>
              <w:rPr>
                <w:rFonts w:ascii="Arial" w:cs="Arial" w:eastAsia="Arial" w:hAnsi="Arial"/>
                <w:sz w:val="16"/>
                <w:szCs w:val="16"/>
                <w:b w:val="1"/>
                <w:bCs w:val="1"/>
                <w:color w:val="auto"/>
                <w:w w:val="97"/>
              </w:rPr>
              <w:t>4.2 %</w:t>
            </w:r>
          </w:p>
        </w:tc>
      </w:tr>
      <w:tr>
        <w:trPr>
          <w:trHeight w:val="239"/>
        </w:trPr>
        <w:tc>
          <w:tcPr>
            <w:tcW w:w="78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Year that the rate reaches the ultimate trend rate</w:t>
            </w:r>
          </w:p>
        </w:tc>
        <w:tc>
          <w:tcPr>
            <w:tcW w:w="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rPr>
              <w:t>2029</w:t>
            </w:r>
          </w:p>
        </w:tc>
        <w:tc>
          <w:tcPr>
            <w:tcW w:w="1580" w:type="dxa"/>
            <w:vAlign w:val="bottom"/>
            <w:gridSpan w:val="2"/>
            <w:shd w:val="clear" w:color="auto" w:fill="E5E5E5"/>
          </w:tcPr>
          <w:p>
            <w:pPr>
              <w:jc w:val="center"/>
              <w:ind w:left="1042"/>
              <w:spacing w:after="0"/>
              <w:rPr>
                <w:sz w:val="20"/>
                <w:szCs w:val="20"/>
                <w:color w:val="auto"/>
              </w:rPr>
            </w:pPr>
            <w:r>
              <w:rPr>
                <w:rFonts w:ascii="Arial" w:cs="Arial" w:eastAsia="Arial" w:hAnsi="Arial"/>
                <w:sz w:val="16"/>
                <w:szCs w:val="16"/>
                <w:b w:val="1"/>
                <w:bCs w:val="1"/>
                <w:color w:val="auto"/>
                <w:w w:val="95"/>
              </w:rPr>
              <w:t>2028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Defined Contribution Plans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 have defined contribution savings and investment plans in several countries, including the U.S., the U.K. and Canada. In many instances, employees who participated in the defined benefit pension plans that have been amended to freeze future service accruals were transitioned to an enhanced defined contribution plan. In these plans, employees are allowed to contribute a portion of their salaries and bonuses to the plans, and we match a portion of the employee contributions. We recorded charges related to our defined contribution plans of $26 in 2025, $40 in 2024 and $40 in 2023.</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During 2025, the Company suspended its full year employer matching contribution for its legacy Xerox U.S. based 401(k) plan for salaried (non-union) employees. The employer matching contribution was reinstated for 2026 and began to be paid on a per-pay-period basis.</w:t>
      </w:r>
    </w:p>
    <w:p>
      <w:pPr>
        <w:spacing w:after="0" w:line="39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148</w:t>
      </w:r>
    </w:p>
    <w:p>
      <w:pPr>
        <w:sectPr>
          <w:pgSz w:w="11880" w:h="15480" w:orient="portrait"/>
          <w:cols w:equalWidth="0" w:num="1">
            <w:col w:w="9960"/>
          </w:cols>
          <w:pgMar w:left="960" w:top="730" w:right="960" w:bottom="0" w:gutter="0" w:footer="0" w:header="0"/>
        </w:sectPr>
      </w:pPr>
    </w:p>
    <w:bookmarkStart w:id="158" w:name="page159"/>
    <w:bookmarkEnd w:id="158"/>
    <w:p>
      <w:pPr>
        <w:spacing w:after="0"/>
        <w:rPr>
          <w:sz w:val="20"/>
          <w:szCs w:val="20"/>
          <w:color w:val="auto"/>
        </w:rPr>
      </w:pPr>
      <w:r>
        <w:rPr>
          <w:rFonts w:ascii="Arial" w:cs="Arial" w:eastAsia="Arial" w:hAnsi="Arial"/>
          <w:sz w:val="23"/>
          <w:szCs w:val="23"/>
          <w:b w:val="1"/>
          <w:bCs w:val="1"/>
          <w:color w:val="DA2031"/>
        </w:rPr>
        <w:t>Note 19 - Income and Other Taxes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Loss before income taxes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82"/>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3"/>
        </w:trPr>
        <w:tc>
          <w:tcPr>
            <w:tcW w:w="582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23"/>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Domestic loss</w:t>
            </w:r>
          </w:p>
        </w:tc>
        <w:tc>
          <w:tcPr>
            <w:tcW w:w="900" w:type="dxa"/>
            <w:vAlign w:val="bottom"/>
            <w:shd w:val="clear" w:color="auto" w:fill="E5E5E5"/>
          </w:tcPr>
          <w:p>
            <w:pPr>
              <w:jc w:val="right"/>
              <w:ind w:right="68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(396)</w:t>
            </w:r>
          </w:p>
        </w:tc>
        <w:tc>
          <w:tcPr>
            <w:tcW w:w="400" w:type="dxa"/>
            <w:vAlign w:val="bottom"/>
            <w:gridSpan w:val="2"/>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(877)</w:t>
            </w:r>
          </w:p>
        </w:tc>
        <w:tc>
          <w:tcPr>
            <w:tcW w:w="420" w:type="dxa"/>
            <w:vAlign w:val="bottom"/>
            <w:gridSpan w:val="2"/>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w:t>
            </w:r>
          </w:p>
        </w:tc>
      </w:tr>
      <w:tr>
        <w:trPr>
          <w:trHeight w:val="223"/>
        </w:trPr>
        <w:tc>
          <w:tcPr>
            <w:tcW w:w="58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Foreign (loss) income</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r>
      <w:tr>
        <w:trPr>
          <w:trHeight w:val="232"/>
        </w:trPr>
        <w:tc>
          <w:tcPr>
            <w:tcW w:w="58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Loss before Income taxes</w:t>
            </w:r>
          </w:p>
        </w:tc>
        <w:tc>
          <w:tcPr>
            <w:tcW w:w="900" w:type="dxa"/>
            <w:vAlign w:val="bottom"/>
            <w:tcBorders>
              <w:bottom w:val="single" w:sz="8" w:color="auto"/>
            </w:tcBorders>
            <w:shd w:val="clear" w:color="auto" w:fill="E5E5E5"/>
          </w:tcPr>
          <w:p>
            <w:pPr>
              <w:jc w:val="right"/>
              <w:ind w:right="68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(488)</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(1,216)</w:t>
            </w:r>
          </w:p>
        </w:tc>
        <w:tc>
          <w:tcPr>
            <w:tcW w:w="8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-42545</wp:posOffset>
            </wp:positionV>
            <wp:extent cx="2640330"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2640330" cy="5016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components of Income tax expense (benefit)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3"/>
        </w:trPr>
        <w:tc>
          <w:tcPr>
            <w:tcW w:w="582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23"/>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Federal Income Taxes</w:t>
            </w:r>
          </w:p>
        </w:tc>
        <w:tc>
          <w:tcPr>
            <w:tcW w:w="92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r>
      <w:tr>
        <w:trPr>
          <w:trHeight w:val="227"/>
        </w:trPr>
        <w:tc>
          <w:tcPr>
            <w:tcW w:w="5820" w:type="dxa"/>
            <w:vAlign w:val="bottom"/>
          </w:tcPr>
          <w:p>
            <w:pPr>
              <w:ind w:left="280"/>
              <w:spacing w:after="0"/>
              <w:rPr>
                <w:sz w:val="20"/>
                <w:szCs w:val="20"/>
                <w:color w:val="auto"/>
              </w:rPr>
            </w:pPr>
            <w:r>
              <w:rPr>
                <w:rFonts w:ascii="Arial" w:cs="Arial" w:eastAsia="Arial" w:hAnsi="Arial"/>
                <w:sz w:val="16"/>
                <w:szCs w:val="16"/>
                <w:b w:val="1"/>
                <w:bCs w:val="1"/>
                <w:color w:val="auto"/>
              </w:rPr>
              <w:t>Current</w:t>
            </w:r>
          </w:p>
        </w:tc>
        <w:tc>
          <w:tcPr>
            <w:tcW w:w="920" w:type="dxa"/>
            <w:vAlign w:val="bottom"/>
          </w:tcPr>
          <w:p>
            <w:pPr>
              <w:jc w:val="right"/>
              <w:ind w:right="70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239"/>
        </w:trPr>
        <w:tc>
          <w:tcPr>
            <w:tcW w:w="58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Deferred</w:t>
            </w:r>
          </w:p>
        </w:tc>
        <w:tc>
          <w:tcPr>
            <w:tcW w:w="92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424</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(65)</w:t>
            </w:r>
          </w:p>
        </w:tc>
      </w:tr>
      <w:tr>
        <w:trPr>
          <w:trHeight w:val="231"/>
        </w:trPr>
        <w:tc>
          <w:tcPr>
            <w:tcW w:w="5820" w:type="dxa"/>
            <w:vAlign w:val="bottom"/>
          </w:tcPr>
          <w:p>
            <w:pPr>
              <w:ind w:left="60"/>
              <w:spacing w:after="0"/>
              <w:rPr>
                <w:sz w:val="20"/>
                <w:szCs w:val="20"/>
                <w:color w:val="auto"/>
              </w:rPr>
            </w:pPr>
            <w:r>
              <w:rPr>
                <w:rFonts w:ascii="Arial" w:cs="Arial" w:eastAsia="Arial" w:hAnsi="Arial"/>
                <w:sz w:val="16"/>
                <w:szCs w:val="16"/>
                <w:b w:val="1"/>
                <w:bCs w:val="1"/>
                <w:color w:val="auto"/>
              </w:rPr>
              <w:t>Foreign Income Taxes</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5"/>
        </w:trPr>
        <w:tc>
          <w:tcPr>
            <w:tcW w:w="58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Current</w:t>
            </w:r>
          </w:p>
        </w:tc>
        <w:tc>
          <w:tcPr>
            <w:tcW w:w="92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r>
      <w:tr>
        <w:trPr>
          <w:trHeight w:val="227"/>
        </w:trPr>
        <w:tc>
          <w:tcPr>
            <w:tcW w:w="5820" w:type="dxa"/>
            <w:vAlign w:val="bottom"/>
          </w:tcPr>
          <w:p>
            <w:pPr>
              <w:ind w:left="280"/>
              <w:spacing w:after="0"/>
              <w:rPr>
                <w:sz w:val="20"/>
                <w:szCs w:val="20"/>
                <w:color w:val="auto"/>
              </w:rPr>
            </w:pPr>
            <w:r>
              <w:rPr>
                <w:rFonts w:ascii="Arial" w:cs="Arial" w:eastAsia="Arial" w:hAnsi="Arial"/>
                <w:sz w:val="16"/>
                <w:szCs w:val="16"/>
                <w:b w:val="1"/>
                <w:bCs w:val="1"/>
                <w:color w:val="auto"/>
              </w:rPr>
              <w:t>Deferred</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239"/>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State Income Taxes</w:t>
            </w:r>
          </w:p>
        </w:tc>
        <w:tc>
          <w:tcPr>
            <w:tcW w:w="92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r>
      <w:tr>
        <w:trPr>
          <w:trHeight w:val="227"/>
        </w:trPr>
        <w:tc>
          <w:tcPr>
            <w:tcW w:w="5820" w:type="dxa"/>
            <w:vAlign w:val="bottom"/>
          </w:tcPr>
          <w:p>
            <w:pPr>
              <w:ind w:left="280"/>
              <w:spacing w:after="0"/>
              <w:rPr>
                <w:sz w:val="20"/>
                <w:szCs w:val="20"/>
                <w:color w:val="auto"/>
              </w:rPr>
            </w:pPr>
            <w:r>
              <w:rPr>
                <w:rFonts w:ascii="Arial" w:cs="Arial" w:eastAsia="Arial" w:hAnsi="Arial"/>
                <w:sz w:val="16"/>
                <w:szCs w:val="16"/>
                <w:b w:val="1"/>
                <w:bCs w:val="1"/>
                <w:color w:val="auto"/>
              </w:rPr>
              <w:t>Current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8"/>
        </w:trPr>
        <w:tc>
          <w:tcPr>
            <w:tcW w:w="582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rPr>
              <w:t>Deferred</w:t>
            </w:r>
          </w:p>
        </w:tc>
        <w:tc>
          <w:tcPr>
            <w:tcW w:w="920" w:type="dxa"/>
            <w:vAlign w:val="bottom"/>
            <w:tcBorders>
              <w:bottom w:val="single" w:sz="8" w:color="auto"/>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101</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(24)</w:t>
            </w:r>
          </w:p>
        </w:tc>
      </w:tr>
      <w:tr>
        <w:trPr>
          <w:trHeight w:val="174"/>
        </w:trPr>
        <w:tc>
          <w:tcPr>
            <w:tcW w:w="58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Income tax expense (benefit)</w:t>
            </w:r>
          </w:p>
        </w:tc>
        <w:tc>
          <w:tcPr>
            <w:tcW w:w="920" w:type="dxa"/>
            <w:vAlign w:val="bottom"/>
          </w:tcPr>
          <w:p>
            <w:pPr>
              <w:jc w:val="right"/>
              <w:ind w:right="702"/>
              <w:spacing w:after="0" w:line="175" w:lineRule="exact"/>
              <w:rPr>
                <w:sz w:val="20"/>
                <w:szCs w:val="20"/>
                <w:color w:val="auto"/>
              </w:rPr>
            </w:pPr>
            <w:r>
              <w:rPr>
                <w:rFonts w:ascii="Arial" w:cs="Arial" w:eastAsia="Arial" w:hAnsi="Arial"/>
                <w:sz w:val="16"/>
                <w:szCs w:val="16"/>
                <w:b w:val="1"/>
                <w:bCs w:val="1"/>
                <w:color w:val="auto"/>
              </w:rPr>
              <w:t>$</w:t>
            </w:r>
          </w:p>
        </w:tc>
        <w:tc>
          <w:tcPr>
            <w:tcW w:w="4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541</w:t>
            </w:r>
          </w:p>
        </w:tc>
        <w:tc>
          <w:tcPr>
            <w:tcW w:w="400" w:type="dxa"/>
            <w:vAlign w:val="bottom"/>
            <w:gridSpan w:val="2"/>
          </w:tcPr>
          <w:p>
            <w:pPr>
              <w:jc w:val="right"/>
              <w:ind w:right="180"/>
              <w:spacing w:after="0" w:line="175" w:lineRule="exact"/>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105</w:t>
            </w:r>
          </w:p>
        </w:tc>
        <w:tc>
          <w:tcPr>
            <w:tcW w:w="42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(29)</w:t>
            </w:r>
          </w:p>
        </w:tc>
      </w:tr>
      <w:tr>
        <w:trPr>
          <w:trHeight w:val="20"/>
        </w:trPr>
        <w:tc>
          <w:tcPr>
            <w:tcW w:w="5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-42545</wp:posOffset>
            </wp:positionV>
            <wp:extent cx="2640330" cy="50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2640330" cy="50165"/>
                    </a:xfrm>
                    <a:prstGeom prst="rect">
                      <a:avLst/>
                    </a:prstGeom>
                    <a:noFill/>
                  </pic:spPr>
                </pic:pic>
              </a:graphicData>
            </a:graphic>
          </wp:anchor>
        </w:drawing>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A reconciliation of the U.S. federal statutory income tax rate to the consolidated income tax rate pursuant to the disclosure requirements of ASU 2023-09 was as follows:</w:t>
      </w:r>
    </w:p>
    <w:p>
      <w:pPr>
        <w:spacing w:after="0" w:line="26" w:lineRule="exact"/>
        <w:rPr>
          <w:sz w:val="20"/>
          <w:szCs w:val="20"/>
          <w:color w:val="auto"/>
        </w:rPr>
      </w:pPr>
    </w:p>
    <w:p>
      <w:pPr>
        <w:jc w:val="center"/>
        <w:ind w:left="7120"/>
        <w:spacing w:after="0"/>
        <w:rPr>
          <w:sz w:val="20"/>
          <w:szCs w:val="20"/>
          <w:color w:val="auto"/>
        </w:rPr>
      </w:pPr>
      <w:r>
        <w:rPr>
          <w:rFonts w:ascii="Arial" w:cs="Arial" w:eastAsia="Arial" w:hAnsi="Arial"/>
          <w:sz w:val="16"/>
          <w:szCs w:val="16"/>
          <w:b w:val="1"/>
          <w:bCs w:val="1"/>
          <w:color w:val="auto"/>
        </w:rPr>
        <w:t>Year Ended</w:t>
      </w:r>
    </w:p>
    <w:p>
      <w:pPr>
        <w:jc w:val="center"/>
        <w:ind w:left="7120"/>
        <w:spacing w:after="0"/>
        <w:rPr>
          <w:sz w:val="20"/>
          <w:szCs w:val="20"/>
          <w:color w:val="auto"/>
        </w:rPr>
      </w:pPr>
      <w:r>
        <w:rPr>
          <w:rFonts w:ascii="Arial" w:cs="Arial" w:eastAsia="Arial" w:hAnsi="Arial"/>
          <w:sz w:val="16"/>
          <w:szCs w:val="16"/>
          <w:b w:val="1"/>
          <w:bCs w:val="1"/>
          <w:color w:val="auto"/>
        </w:rPr>
        <w:t>December 31,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20" w:type="dxa"/>
            <w:vAlign w:val="bottom"/>
            <w:tcBorders>
              <w:bottom w:val="single" w:sz="8" w:color="E5E5E5"/>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E5E5E5"/>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Percent</w:t>
            </w:r>
          </w:p>
        </w:tc>
      </w:tr>
      <w:tr>
        <w:trPr>
          <w:trHeight w:val="223"/>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Loss before Income Taxes</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6"/>
              </w:rPr>
              <w:t>(488)</w:t>
            </w:r>
          </w:p>
        </w:tc>
        <w:tc>
          <w:tcPr>
            <w:tcW w:w="80" w:type="dxa"/>
            <w:vAlign w:val="bottom"/>
            <w:shd w:val="clear" w:color="auto" w:fill="E5E5E5"/>
          </w:tcPr>
          <w:p>
            <w:pPr>
              <w:spacing w:after="0"/>
              <w:rPr>
                <w:sz w:val="19"/>
                <w:szCs w:val="19"/>
                <w:color w:val="auto"/>
              </w:rPr>
            </w:pPr>
          </w:p>
        </w:tc>
        <w:tc>
          <w:tcPr>
            <w:tcW w:w="1380" w:type="dxa"/>
            <w:vAlign w:val="bottom"/>
            <w:shd w:val="clear" w:color="auto" w:fill="E5E5E5"/>
          </w:tcPr>
          <w:p>
            <w:pPr>
              <w:spacing w:after="0"/>
              <w:rPr>
                <w:sz w:val="19"/>
                <w:szCs w:val="19"/>
                <w:color w:val="auto"/>
              </w:rPr>
            </w:pPr>
          </w:p>
        </w:tc>
      </w:tr>
      <w:tr>
        <w:trPr>
          <w:trHeight w:val="233"/>
        </w:trPr>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3"/>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U.S. federal statutory income tax rate</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6"/>
              </w:rPr>
              <w:t>(102)</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21.0 %</w:t>
            </w:r>
          </w:p>
        </w:tc>
      </w:tr>
      <w:tr>
        <w:trPr>
          <w:trHeight w:val="227"/>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State and local income taxes, net of federal (national) income tax effect</w:t>
            </w:r>
            <w:r>
              <w:rPr>
                <w:rFonts w:ascii="Arial" w:cs="Arial" w:eastAsia="Arial" w:hAnsi="Arial"/>
                <w:sz w:val="10"/>
                <w:szCs w:val="10"/>
                <w:b w:val="1"/>
                <w:bCs w:val="1"/>
                <w:color w:val="auto"/>
              </w:rPr>
              <w:t>(1)</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(16.4)%</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Foreign tax effects</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380" w:type="dxa"/>
            <w:vAlign w:val="bottom"/>
            <w:shd w:val="clear" w:color="auto" w:fill="E5E5E5"/>
          </w:tcPr>
          <w:p>
            <w:pPr>
              <w:spacing w:after="0"/>
              <w:rPr>
                <w:sz w:val="20"/>
                <w:szCs w:val="20"/>
                <w:color w:val="auto"/>
              </w:rPr>
            </w:pPr>
          </w:p>
        </w:tc>
      </w:tr>
      <w:tr>
        <w:trPr>
          <w:trHeight w:val="231"/>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Brazil</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71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Changes in valuation allowances</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1.2 %</w:t>
            </w:r>
          </w:p>
        </w:tc>
      </w:tr>
      <w:tr>
        <w:trPr>
          <w:trHeight w:val="227"/>
        </w:trPr>
        <w:tc>
          <w:tcPr>
            <w:tcW w:w="7120" w:type="dxa"/>
            <w:vAlign w:val="bottom"/>
          </w:tcPr>
          <w:p>
            <w:pPr>
              <w:ind w:left="2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(0.6)%</w:t>
            </w:r>
          </w:p>
        </w:tc>
      </w:tr>
      <w:tr>
        <w:trPr>
          <w:trHeight w:val="239"/>
        </w:trPr>
        <w:tc>
          <w:tcPr>
            <w:tcW w:w="712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Germany</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r>
      <w:tr>
        <w:trPr>
          <w:trHeight w:val="231"/>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Switzerland</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71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Effect of rates different than statutory</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(2.1)%</w:t>
            </w:r>
          </w:p>
        </w:tc>
      </w:tr>
      <w:tr>
        <w:trPr>
          <w:trHeight w:val="227"/>
        </w:trPr>
        <w:tc>
          <w:tcPr>
            <w:tcW w:w="7120" w:type="dxa"/>
            <w:vAlign w:val="bottom"/>
          </w:tcPr>
          <w:p>
            <w:pPr>
              <w:ind w:left="2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1.0 %</w:t>
            </w:r>
          </w:p>
        </w:tc>
      </w:tr>
      <w:tr>
        <w:trPr>
          <w:trHeight w:val="239"/>
        </w:trPr>
        <w:tc>
          <w:tcPr>
            <w:tcW w:w="712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United Kingdom</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380" w:type="dxa"/>
            <w:vAlign w:val="bottom"/>
            <w:shd w:val="clear" w:color="auto" w:fill="E5E5E5"/>
          </w:tcPr>
          <w:p>
            <w:pPr>
              <w:spacing w:after="0"/>
              <w:rPr>
                <w:sz w:val="20"/>
                <w:szCs w:val="20"/>
                <w:color w:val="auto"/>
              </w:rPr>
            </w:pPr>
          </w:p>
        </w:tc>
      </w:tr>
      <w:tr>
        <w:trPr>
          <w:trHeight w:val="227"/>
        </w:trPr>
        <w:tc>
          <w:tcPr>
            <w:tcW w:w="7120" w:type="dxa"/>
            <w:vAlign w:val="bottom"/>
          </w:tcPr>
          <w:p>
            <w:pPr>
              <w:ind w:left="280"/>
              <w:spacing w:after="0"/>
              <w:rPr>
                <w:sz w:val="20"/>
                <w:szCs w:val="20"/>
                <w:color w:val="auto"/>
              </w:rPr>
            </w:pPr>
            <w:r>
              <w:rPr>
                <w:rFonts w:ascii="Arial" w:cs="Arial" w:eastAsia="Arial" w:hAnsi="Arial"/>
                <w:sz w:val="16"/>
                <w:szCs w:val="16"/>
                <w:b w:val="1"/>
                <w:bCs w:val="1"/>
                <w:color w:val="auto"/>
              </w:rPr>
              <w:t>Changes in valuation allowances</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(5.5)%</w:t>
            </w:r>
          </w:p>
        </w:tc>
      </w:tr>
      <w:tr>
        <w:trPr>
          <w:trHeight w:val="239"/>
        </w:trPr>
        <w:tc>
          <w:tcPr>
            <w:tcW w:w="71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Other</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1.2 %</w:t>
            </w:r>
          </w:p>
        </w:tc>
      </w:tr>
      <w:tr>
        <w:trPr>
          <w:trHeight w:val="231"/>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Other foreign jurisdictions</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(0.4)%</w:t>
            </w:r>
          </w:p>
        </w:tc>
      </w:tr>
      <w:tr>
        <w:trPr>
          <w:trHeight w:val="235"/>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Effect of cross-border tax laws</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380" w:type="dxa"/>
            <w:vAlign w:val="bottom"/>
            <w:shd w:val="clear" w:color="auto" w:fill="E5E5E5"/>
          </w:tcPr>
          <w:p>
            <w:pPr>
              <w:spacing w:after="0"/>
              <w:rPr>
                <w:sz w:val="20"/>
                <w:szCs w:val="20"/>
                <w:color w:val="auto"/>
              </w:rPr>
            </w:pPr>
          </w:p>
        </w:tc>
      </w:tr>
      <w:tr>
        <w:trPr>
          <w:trHeight w:val="227"/>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Subpart F</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(2.1)%</w:t>
            </w:r>
          </w:p>
        </w:tc>
      </w:tr>
      <w:tr>
        <w:trPr>
          <w:trHeight w:val="239"/>
        </w:trPr>
        <w:tc>
          <w:tcPr>
            <w:tcW w:w="712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GILTI</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(6.2)%</w:t>
            </w:r>
          </w:p>
        </w:tc>
      </w:tr>
      <w:tr>
        <w:trPr>
          <w:trHeight w:val="227"/>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(0.8)%</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Tax credits</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380" w:type="dxa"/>
            <w:vAlign w:val="bottom"/>
            <w:shd w:val="clear" w:color="auto" w:fill="E5E5E5"/>
          </w:tcPr>
          <w:p>
            <w:pPr>
              <w:spacing w:after="0"/>
              <w:rPr>
                <w:sz w:val="20"/>
                <w:szCs w:val="20"/>
                <w:color w:val="auto"/>
              </w:rPr>
            </w:pPr>
          </w:p>
        </w:tc>
      </w:tr>
      <w:tr>
        <w:trPr>
          <w:trHeight w:val="227"/>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0.6 %</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Changes in valuation allowances</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483</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(99.0)%</w:t>
            </w:r>
          </w:p>
        </w:tc>
      </w:tr>
      <w:tr>
        <w:trPr>
          <w:trHeight w:val="231"/>
        </w:trPr>
        <w:tc>
          <w:tcPr>
            <w:tcW w:w="7120" w:type="dxa"/>
            <w:vAlign w:val="bottom"/>
          </w:tcPr>
          <w:p>
            <w:pPr>
              <w:ind w:left="60"/>
              <w:spacing w:after="0"/>
              <w:rPr>
                <w:sz w:val="20"/>
                <w:szCs w:val="20"/>
                <w:color w:val="auto"/>
              </w:rPr>
            </w:pPr>
            <w:r>
              <w:rPr>
                <w:rFonts w:ascii="Arial" w:cs="Arial" w:eastAsia="Arial" w:hAnsi="Arial"/>
                <w:sz w:val="16"/>
                <w:szCs w:val="16"/>
                <w:b w:val="1"/>
                <w:bCs w:val="1"/>
                <w:color w:val="auto"/>
              </w:rPr>
              <w:t>Non-taxable or non-deductible items</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712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Stock-based compensation</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r>
      <w:tr>
        <w:trPr>
          <w:trHeight w:val="227"/>
        </w:trPr>
        <w:tc>
          <w:tcPr>
            <w:tcW w:w="7120" w:type="dxa"/>
            <w:vAlign w:val="bottom"/>
          </w:tcPr>
          <w:p>
            <w:pPr>
              <w:ind w:left="180"/>
              <w:spacing w:after="0"/>
              <w:rPr>
                <w:sz w:val="20"/>
                <w:szCs w:val="20"/>
                <w:color w:val="auto"/>
              </w:rPr>
            </w:pPr>
            <w:r>
              <w:rPr>
                <w:rFonts w:ascii="Arial" w:cs="Arial" w:eastAsia="Arial" w:hAnsi="Arial"/>
                <w:sz w:val="16"/>
                <w:szCs w:val="16"/>
                <w:b w:val="1"/>
                <w:bCs w:val="1"/>
                <w:color w:val="auto"/>
              </w:rPr>
              <w:t>Other</w:t>
            </w: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(1.4)%</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Other Adjustments</w:t>
            </w:r>
          </w:p>
        </w:tc>
        <w:tc>
          <w:tcPr>
            <w:tcW w:w="980" w:type="dxa"/>
            <w:vAlign w:val="bottom"/>
            <w:shd w:val="clear" w:color="auto" w:fill="E5E5E5"/>
          </w:tcPr>
          <w:p>
            <w:pPr>
              <w:spacing w:after="0"/>
              <w:rPr>
                <w:sz w:val="20"/>
                <w:szCs w:val="20"/>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0.6 %</w:t>
            </w:r>
          </w:p>
        </w:tc>
      </w:tr>
      <w:tr>
        <w:trPr>
          <w:trHeight w:val="223"/>
        </w:trPr>
        <w:tc>
          <w:tcPr>
            <w:tcW w:w="71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Changes in unrecognized tax benefits</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5E5E5"/>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0.6 %</w:t>
            </w:r>
          </w:p>
        </w:tc>
      </w:tr>
      <w:tr>
        <w:trPr>
          <w:trHeight w:val="232"/>
        </w:trPr>
        <w:tc>
          <w:tcPr>
            <w:tcW w:w="71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Effective Tax Rate</w:t>
            </w:r>
          </w:p>
        </w:tc>
        <w:tc>
          <w:tcPr>
            <w:tcW w:w="980" w:type="dxa"/>
            <w:vAlign w:val="bottom"/>
            <w:tcBorders>
              <w:bottom w:val="single" w:sz="8" w:color="auto"/>
            </w:tcBorders>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541</w:t>
            </w:r>
          </w:p>
        </w:tc>
        <w:tc>
          <w:tcPr>
            <w:tcW w:w="80" w:type="dxa"/>
            <w:vAlign w:val="bottom"/>
            <w:tcBorders>
              <w:bottom w:val="single" w:sz="8" w:color="E5E5E5"/>
            </w:tcBorders>
            <w:shd w:val="clear" w:color="auto" w:fill="E5E5E5"/>
          </w:tcPr>
          <w:p>
            <w:pPr>
              <w:spacing w:after="0"/>
              <w:rPr>
                <w:sz w:val="20"/>
                <w:szCs w:val="20"/>
                <w:color w:val="auto"/>
              </w:rPr>
            </w:pP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-43180</wp:posOffset>
            </wp:positionV>
            <wp:extent cx="1826895" cy="50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182689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3" w:lineRule="exact"/>
        <w:rPr>
          <w:sz w:val="20"/>
          <w:szCs w:val="20"/>
          <w:color w:val="auto"/>
        </w:rPr>
      </w:pPr>
    </w:p>
    <w:p>
      <w:pPr>
        <w:ind w:left="360" w:hanging="356"/>
        <w:spacing w:after="0" w:line="270" w:lineRule="auto"/>
        <w:tabs>
          <w:tab w:leader="none" w:pos="360" w:val="left"/>
        </w:tabs>
        <w:numPr>
          <w:ilvl w:val="0"/>
          <w:numId w:val="1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State Taxes in Illinois, New Jersey, New York, Connecticut, Florida, Maryland, Georgia and Alabama make up the majority (greater than 50%) of the tax effect in this category.</w:t>
      </w:r>
    </w:p>
    <w:p>
      <w:pPr>
        <w:spacing w:after="0" w:line="24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149</w:t>
      </w:r>
    </w:p>
    <w:p>
      <w:pPr>
        <w:sectPr>
          <w:pgSz w:w="11880" w:h="15480" w:orient="portrait"/>
          <w:cols w:equalWidth="0" w:num="1">
            <w:col w:w="9960"/>
          </w:cols>
          <w:pgMar w:left="960" w:top="637" w:right="960" w:bottom="0" w:gutter="0" w:footer="0" w:header="0"/>
        </w:sectPr>
      </w:pPr>
    </w:p>
    <w:bookmarkStart w:id="159" w:name="page160"/>
    <w:bookmarkEnd w:id="159"/>
    <w:p>
      <w:pPr>
        <w:spacing w:after="0" w:line="281" w:lineRule="auto"/>
        <w:rPr>
          <w:sz w:val="20"/>
          <w:szCs w:val="20"/>
          <w:color w:val="auto"/>
        </w:rPr>
      </w:pPr>
      <w:r>
        <w:rPr>
          <w:rFonts w:ascii="Arial" w:cs="Arial" w:eastAsia="Arial" w:hAnsi="Arial"/>
          <w:sz w:val="19"/>
          <w:szCs w:val="19"/>
          <w:b w:val="1"/>
          <w:bCs w:val="1"/>
          <w:color w:val="auto"/>
        </w:rPr>
        <w:t>A reconciliation of the U.S. federal statutory income tax rate to the consolidated effective income tax rate for the years ended December 31, 2024, and 2023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2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6"/>
                <w:szCs w:val="16"/>
                <w:b w:val="1"/>
                <w:bCs w:val="1"/>
                <w:color w:val="auto"/>
              </w:rPr>
              <w:t>Year Ended December 31,</w:t>
            </w:r>
          </w:p>
        </w:tc>
      </w:tr>
      <w:tr>
        <w:trPr>
          <w:trHeight w:val="213"/>
        </w:trPr>
        <w:tc>
          <w:tcPr>
            <w:tcW w:w="7120" w:type="dxa"/>
            <w:vAlign w:val="bottom"/>
            <w:tcBorders>
              <w:bottom w:val="single" w:sz="8" w:color="E5E5E5"/>
            </w:tcBorders>
          </w:tcPr>
          <w:p>
            <w:pPr>
              <w:spacing w:after="0"/>
              <w:rPr>
                <w:sz w:val="18"/>
                <w:szCs w:val="18"/>
                <w:color w:val="auto"/>
              </w:rPr>
            </w:pP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r>
      <w:tr>
        <w:trPr>
          <w:trHeight w:val="223"/>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U.S. federal statutory income tax rate</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21.0 %</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21.0 %</w:t>
            </w:r>
          </w:p>
        </w:tc>
      </w:tr>
      <w:tr>
        <w:trPr>
          <w:trHeight w:val="227"/>
        </w:trPr>
        <w:tc>
          <w:tcPr>
            <w:tcW w:w="7120" w:type="dxa"/>
            <w:vAlign w:val="bottom"/>
          </w:tcPr>
          <w:p>
            <w:pPr>
              <w:ind w:left="60"/>
              <w:spacing w:after="0"/>
              <w:rPr>
                <w:sz w:val="20"/>
                <w:szCs w:val="20"/>
                <w:color w:val="auto"/>
              </w:rPr>
            </w:pPr>
            <w:r>
              <w:rPr>
                <w:rFonts w:ascii="Arial" w:cs="Arial" w:eastAsia="Arial" w:hAnsi="Arial"/>
                <w:sz w:val="16"/>
                <w:szCs w:val="16"/>
                <w:b w:val="1"/>
                <w:bCs w:val="1"/>
                <w:color w:val="auto"/>
              </w:rPr>
              <w:t>Nondeductible expenses</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(32.2)%</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Effect of tax law changes</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 %</w:t>
            </w:r>
          </w:p>
        </w:tc>
        <w:tc>
          <w:tcPr>
            <w:tcW w:w="80" w:type="dxa"/>
            <w:vAlign w:val="bottom"/>
            <w:shd w:val="clear" w:color="auto" w:fill="E5E5E5"/>
          </w:tcPr>
          <w:p>
            <w:pPr>
              <w:spacing w:after="0"/>
              <w:rPr>
                <w:sz w:val="20"/>
                <w:szCs w:val="20"/>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 %</w:t>
            </w:r>
          </w:p>
        </w:tc>
      </w:tr>
      <w:tr>
        <w:trPr>
          <w:trHeight w:val="227"/>
        </w:trPr>
        <w:tc>
          <w:tcPr>
            <w:tcW w:w="7120" w:type="dxa"/>
            <w:vAlign w:val="bottom"/>
          </w:tcPr>
          <w:p>
            <w:pPr>
              <w:ind w:left="60"/>
              <w:spacing w:after="0"/>
              <w:rPr>
                <w:sz w:val="20"/>
                <w:szCs w:val="20"/>
                <w:color w:val="auto"/>
              </w:rPr>
            </w:pPr>
            <w:r>
              <w:rPr>
                <w:rFonts w:ascii="Arial" w:cs="Arial" w:eastAsia="Arial" w:hAnsi="Arial"/>
                <w:sz w:val="16"/>
                <w:szCs w:val="16"/>
                <w:b w:val="1"/>
                <w:bCs w:val="1"/>
                <w:color w:val="auto"/>
              </w:rPr>
              <w:t>Change in valuation allowance for deferred tax assets</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15.6 %</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State taxes, net of federal benefit</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1.0 %</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(21.9)%</w:t>
            </w:r>
          </w:p>
        </w:tc>
      </w:tr>
      <w:tr>
        <w:trPr>
          <w:trHeight w:val="227"/>
        </w:trPr>
        <w:tc>
          <w:tcPr>
            <w:tcW w:w="7120" w:type="dxa"/>
            <w:vAlign w:val="bottom"/>
          </w:tcPr>
          <w:p>
            <w:pPr>
              <w:ind w:left="60"/>
              <w:spacing w:after="0"/>
              <w:rPr>
                <w:sz w:val="20"/>
                <w:szCs w:val="20"/>
                <w:color w:val="auto"/>
              </w:rPr>
            </w:pPr>
            <w:r>
              <w:rPr>
                <w:rFonts w:ascii="Arial" w:cs="Arial" w:eastAsia="Arial" w:hAnsi="Arial"/>
                <w:sz w:val="16"/>
                <w:szCs w:val="16"/>
                <w:b w:val="1"/>
                <w:bCs w:val="1"/>
                <w:color w:val="auto"/>
              </w:rPr>
              <w:t>Audit and other tax return adjustments</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0.6 %</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83.0 %</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Tax-exempt income, credits and incentives</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1.1 %</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59.0 %</w:t>
            </w:r>
          </w:p>
        </w:tc>
      </w:tr>
      <w:tr>
        <w:trPr>
          <w:trHeight w:val="227"/>
        </w:trPr>
        <w:tc>
          <w:tcPr>
            <w:tcW w:w="7120" w:type="dxa"/>
            <w:vAlign w:val="bottom"/>
          </w:tcPr>
          <w:p>
            <w:pPr>
              <w:ind w:left="60"/>
              <w:spacing w:after="0"/>
              <w:rPr>
                <w:sz w:val="20"/>
                <w:szCs w:val="20"/>
                <w:color w:val="auto"/>
              </w:rPr>
            </w:pPr>
            <w:r>
              <w:rPr>
                <w:rFonts w:ascii="Arial" w:cs="Arial" w:eastAsia="Arial" w:hAnsi="Arial"/>
                <w:sz w:val="16"/>
                <w:szCs w:val="16"/>
                <w:b w:val="1"/>
                <w:bCs w:val="1"/>
                <w:color w:val="auto"/>
              </w:rPr>
              <w:t>Foreign rate differential adjusted for U.S. taxation of foreign profits</w:t>
            </w:r>
            <w:r>
              <w:rPr>
                <w:rFonts w:ascii="Arial" w:cs="Arial" w:eastAsia="Arial" w:hAnsi="Arial"/>
                <w:sz w:val="10"/>
                <w:szCs w:val="10"/>
                <w:b w:val="1"/>
                <w:bCs w:val="1"/>
                <w:color w:val="auto"/>
              </w:rPr>
              <w:t>(1)</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(32.3)%</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Stock-based compensation</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(0.2)%</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(13.0)%</w:t>
            </w:r>
          </w:p>
        </w:tc>
      </w:tr>
      <w:tr>
        <w:trPr>
          <w:trHeight w:val="227"/>
        </w:trPr>
        <w:tc>
          <w:tcPr>
            <w:tcW w:w="7120" w:type="dxa"/>
            <w:vAlign w:val="bottom"/>
          </w:tcPr>
          <w:p>
            <w:pPr>
              <w:ind w:left="60"/>
              <w:spacing w:after="0"/>
              <w:rPr>
                <w:sz w:val="20"/>
                <w:szCs w:val="20"/>
                <w:color w:val="auto"/>
              </w:rPr>
            </w:pPr>
            <w:r>
              <w:rPr>
                <w:rFonts w:ascii="Arial" w:cs="Arial" w:eastAsia="Arial" w:hAnsi="Arial"/>
                <w:sz w:val="16"/>
                <w:szCs w:val="16"/>
                <w:b w:val="1"/>
                <w:bCs w:val="1"/>
                <w:color w:val="auto"/>
              </w:rPr>
              <w:t>Goodwill impairment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 %</w:t>
            </w:r>
          </w:p>
        </w:tc>
      </w:tr>
      <w:tr>
        <w:trPr>
          <w:trHeight w:val="239"/>
        </w:trPr>
        <w:tc>
          <w:tcPr>
            <w:tcW w:w="71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Divestitures</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0.2 %</w:t>
            </w:r>
          </w:p>
        </w:tc>
        <w:tc>
          <w:tcPr>
            <w:tcW w:w="14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25.3 %</w:t>
            </w:r>
          </w:p>
        </w:tc>
      </w:tr>
      <w:tr>
        <w:trPr>
          <w:trHeight w:val="222"/>
        </w:trPr>
        <w:tc>
          <w:tcPr>
            <w:tcW w:w="71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0.3 %</w:t>
            </w:r>
          </w:p>
        </w:tc>
        <w:tc>
          <w:tcPr>
            <w:tcW w:w="80" w:type="dxa"/>
            <w:vAlign w:val="bottom"/>
            <w:tcBorders>
              <w:bottom w:val="single" w:sz="8" w:color="E5E5E5"/>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w:t>
            </w:r>
          </w:p>
        </w:tc>
      </w:tr>
      <w:tr>
        <w:trPr>
          <w:trHeight w:val="232"/>
        </w:trPr>
        <w:tc>
          <w:tcPr>
            <w:tcW w:w="71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Effective income tax rate</w:t>
            </w: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(8.6)%</w:t>
            </w:r>
          </w:p>
        </w:tc>
        <w:tc>
          <w:tcPr>
            <w:tcW w:w="80" w:type="dxa"/>
            <w:vAlign w:val="bottom"/>
            <w:tcBorders>
              <w:bottom w:val="single" w:sz="8" w:color="E5E5E5"/>
            </w:tcBorders>
            <w:shd w:val="clear" w:color="auto" w:fill="E5E5E5"/>
          </w:tcPr>
          <w:p>
            <w:pPr>
              <w:spacing w:after="0"/>
              <w:rPr>
                <w:sz w:val="20"/>
                <w:szCs w:val="20"/>
                <w:color w:val="auto"/>
              </w:rPr>
            </w:pP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103.6 %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-42545</wp:posOffset>
            </wp:positionV>
            <wp:extent cx="1826895"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1">
                      <a:extLst>
                        <a:ext uri="{28A0092B-C50C-407E-A947-70E740481C1C}"/>
                      </a:extLst>
                    </a:blip>
                    <a:srcRect/>
                    <a:stretch>
                      <a:fillRect/>
                    </a:stretch>
                  </pic:blipFill>
                  <pic:spPr bwMode="auto">
                    <a:xfrm>
                      <a:off x="0" y="0"/>
                      <a:ext cx="182689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70" w:lineRule="auto"/>
        <w:tabs>
          <w:tab w:leader="none" w:pos="360" w:val="left"/>
        </w:tabs>
        <w:numPr>
          <w:ilvl w:val="0"/>
          <w:numId w:val="13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“U.S. taxation of foreign profits” represents the U.S. tax, net of foreign tax credits, associated with actual and deemed repatriations of earnings from our non-U.S. subsidiaries.</w:t>
      </w:r>
    </w:p>
    <w:p>
      <w:pPr>
        <w:spacing w:after="0" w:line="63"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A summary of income taxes paid by jurisdiction pursuant to the disclosure requirements of ASU 2023-09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362"/>
              <w:spacing w:after="0"/>
              <w:rPr>
                <w:sz w:val="20"/>
                <w:szCs w:val="20"/>
                <w:color w:val="auto"/>
              </w:rPr>
            </w:pPr>
            <w:r>
              <w:rPr>
                <w:rFonts w:ascii="Arial" w:cs="Arial" w:eastAsia="Arial" w:hAnsi="Arial"/>
                <w:sz w:val="16"/>
                <w:szCs w:val="16"/>
                <w:b w:val="1"/>
                <w:bCs w:val="1"/>
                <w:color w:val="auto"/>
              </w:rPr>
              <w:t>Year Ended</w:t>
            </w:r>
          </w:p>
        </w:tc>
      </w:tr>
      <w:tr>
        <w:trPr>
          <w:trHeight w:val="207"/>
        </w:trPr>
        <w:tc>
          <w:tcPr>
            <w:tcW w:w="826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4"/>
              </w:rPr>
              <w:t>December 31, 2025</w:t>
            </w:r>
          </w:p>
        </w:tc>
      </w:tr>
      <w:tr>
        <w:trPr>
          <w:trHeight w:val="223"/>
        </w:trPr>
        <w:tc>
          <w:tcPr>
            <w:tcW w:w="82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Federal</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31"/>
        </w:trPr>
        <w:tc>
          <w:tcPr>
            <w:tcW w:w="8260" w:type="dxa"/>
            <w:vAlign w:val="bottom"/>
          </w:tcPr>
          <w:p>
            <w:pPr>
              <w:ind w:left="60"/>
              <w:spacing w:after="0"/>
              <w:rPr>
                <w:sz w:val="20"/>
                <w:szCs w:val="20"/>
                <w:color w:val="auto"/>
              </w:rPr>
            </w:pPr>
            <w:r>
              <w:rPr>
                <w:rFonts w:ascii="Arial" w:cs="Arial" w:eastAsia="Arial" w:hAnsi="Arial"/>
                <w:sz w:val="16"/>
                <w:szCs w:val="16"/>
                <w:b w:val="1"/>
                <w:bCs w:val="1"/>
                <w:color w:val="auto"/>
              </w:rPr>
              <w:t>State and local</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235"/>
        </w:trPr>
        <w:tc>
          <w:tcPr>
            <w:tcW w:w="82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Foreign</w:t>
            </w:r>
          </w:p>
        </w:tc>
        <w:tc>
          <w:tcPr>
            <w:tcW w:w="160" w:type="dxa"/>
            <w:vAlign w:val="bottom"/>
            <w:shd w:val="clear" w:color="auto" w:fill="E5E5E5"/>
          </w:tcPr>
          <w:p>
            <w:pPr>
              <w:spacing w:after="0"/>
              <w:rPr>
                <w:sz w:val="20"/>
                <w:szCs w:val="20"/>
                <w:color w:val="auto"/>
              </w:rPr>
            </w:pPr>
          </w:p>
        </w:tc>
        <w:tc>
          <w:tcPr>
            <w:tcW w:w="1540" w:type="dxa"/>
            <w:vAlign w:val="bottom"/>
            <w:shd w:val="clear" w:color="auto" w:fill="E5E5E5"/>
          </w:tcPr>
          <w:p>
            <w:pPr>
              <w:spacing w:after="0"/>
              <w:rPr>
                <w:sz w:val="20"/>
                <w:szCs w:val="20"/>
                <w:color w:val="auto"/>
              </w:rPr>
            </w:pPr>
          </w:p>
        </w:tc>
      </w:tr>
      <w:tr>
        <w:trPr>
          <w:trHeight w:val="227"/>
        </w:trPr>
        <w:tc>
          <w:tcPr>
            <w:tcW w:w="8260" w:type="dxa"/>
            <w:vAlign w:val="bottom"/>
          </w:tcPr>
          <w:p>
            <w:pPr>
              <w:ind w:left="180"/>
              <w:spacing w:after="0"/>
              <w:rPr>
                <w:sz w:val="20"/>
                <w:szCs w:val="20"/>
                <w:color w:val="auto"/>
              </w:rPr>
            </w:pPr>
            <w:r>
              <w:rPr>
                <w:rFonts w:ascii="Arial" w:cs="Arial" w:eastAsia="Arial" w:hAnsi="Arial"/>
                <w:sz w:val="16"/>
                <w:szCs w:val="16"/>
                <w:b w:val="1"/>
                <w:bCs w:val="1"/>
                <w:color w:val="auto"/>
              </w:rPr>
              <w:t>Canada</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239"/>
        </w:trPr>
        <w:tc>
          <w:tcPr>
            <w:tcW w:w="826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France</w:t>
            </w:r>
          </w:p>
        </w:tc>
        <w:tc>
          <w:tcPr>
            <w:tcW w:w="160" w:type="dxa"/>
            <w:vAlign w:val="bottom"/>
            <w:shd w:val="clear" w:color="auto" w:fill="E5E5E5"/>
          </w:tcPr>
          <w:p>
            <w:pPr>
              <w:spacing w:after="0"/>
              <w:rPr>
                <w:sz w:val="20"/>
                <w:szCs w:val="20"/>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w:t>
            </w:r>
          </w:p>
        </w:tc>
      </w:tr>
      <w:tr>
        <w:trPr>
          <w:trHeight w:val="227"/>
        </w:trPr>
        <w:tc>
          <w:tcPr>
            <w:tcW w:w="8260" w:type="dxa"/>
            <w:vAlign w:val="bottom"/>
          </w:tcPr>
          <w:p>
            <w:pPr>
              <w:ind w:left="180"/>
              <w:spacing w:after="0"/>
              <w:rPr>
                <w:sz w:val="20"/>
                <w:szCs w:val="20"/>
                <w:color w:val="auto"/>
              </w:rPr>
            </w:pPr>
            <w:r>
              <w:rPr>
                <w:rFonts w:ascii="Arial" w:cs="Arial" w:eastAsia="Arial" w:hAnsi="Arial"/>
                <w:sz w:val="16"/>
                <w:szCs w:val="16"/>
                <w:b w:val="1"/>
                <w:bCs w:val="1"/>
                <w:color w:val="auto"/>
              </w:rPr>
              <w:t>Ireland</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239"/>
        </w:trPr>
        <w:tc>
          <w:tcPr>
            <w:tcW w:w="8260" w:type="dxa"/>
            <w:vAlign w:val="bottom"/>
            <w:shd w:val="clear" w:color="auto" w:fill="E5E5E5"/>
          </w:tcPr>
          <w:p>
            <w:pPr>
              <w:ind w:left="180"/>
              <w:spacing w:after="0"/>
              <w:rPr>
                <w:sz w:val="20"/>
                <w:szCs w:val="20"/>
                <w:color w:val="auto"/>
              </w:rPr>
            </w:pPr>
            <w:r>
              <w:rPr>
                <w:rFonts w:ascii="Arial" w:cs="Arial" w:eastAsia="Arial" w:hAnsi="Arial"/>
                <w:sz w:val="16"/>
                <w:szCs w:val="16"/>
                <w:b w:val="1"/>
                <w:bCs w:val="1"/>
                <w:color w:val="auto"/>
              </w:rPr>
              <w:t>Germany</w:t>
            </w:r>
          </w:p>
        </w:tc>
        <w:tc>
          <w:tcPr>
            <w:tcW w:w="160" w:type="dxa"/>
            <w:vAlign w:val="bottom"/>
            <w:shd w:val="clear" w:color="auto" w:fill="E5E5E5"/>
          </w:tcPr>
          <w:p>
            <w:pPr>
              <w:spacing w:after="0"/>
              <w:rPr>
                <w:sz w:val="20"/>
                <w:szCs w:val="20"/>
                <w:color w:val="auto"/>
              </w:rPr>
            </w:pP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r>
      <w:tr>
        <w:trPr>
          <w:trHeight w:val="227"/>
        </w:trPr>
        <w:tc>
          <w:tcPr>
            <w:tcW w:w="8260" w:type="dxa"/>
            <w:vAlign w:val="bottom"/>
          </w:tcPr>
          <w:p>
            <w:pPr>
              <w:ind w:left="180"/>
              <w:spacing w:after="0"/>
              <w:rPr>
                <w:sz w:val="20"/>
                <w:szCs w:val="20"/>
                <w:color w:val="auto"/>
              </w:rPr>
            </w:pPr>
            <w:r>
              <w:rPr>
                <w:rFonts w:ascii="Arial" w:cs="Arial" w:eastAsia="Arial" w:hAnsi="Arial"/>
                <w:sz w:val="16"/>
                <w:szCs w:val="16"/>
                <w:b w:val="1"/>
                <w:bCs w:val="1"/>
                <w:color w:val="auto"/>
              </w:rPr>
              <w:t>Switzerland</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248"/>
        </w:trPr>
        <w:tc>
          <w:tcPr>
            <w:tcW w:w="8260" w:type="dxa"/>
            <w:vAlign w:val="bottom"/>
            <w:tcBorders>
              <w:bottom w:val="single" w:sz="8" w:color="E5E5E5"/>
            </w:tcBorders>
            <w:shd w:val="clear" w:color="auto" w:fill="E5E5E5"/>
          </w:tcPr>
          <w:p>
            <w:pPr>
              <w:ind w:left="180"/>
              <w:spacing w:after="0"/>
              <w:rPr>
                <w:sz w:val="20"/>
                <w:szCs w:val="20"/>
                <w:color w:val="auto"/>
              </w:rPr>
            </w:pPr>
            <w:r>
              <w:rPr>
                <w:rFonts w:ascii="Arial" w:cs="Arial" w:eastAsia="Arial" w:hAnsi="Arial"/>
                <w:sz w:val="16"/>
                <w:szCs w:val="16"/>
                <w:b w:val="1"/>
                <w:bCs w:val="1"/>
                <w:color w:val="auto"/>
              </w:rPr>
              <w:t>Other foreign</w:t>
            </w:r>
          </w:p>
        </w:tc>
        <w:tc>
          <w:tcPr>
            <w:tcW w:w="160" w:type="dxa"/>
            <w:vAlign w:val="bottom"/>
            <w:tcBorders>
              <w:bottom w:val="single" w:sz="8" w:color="auto"/>
            </w:tcBorders>
            <w:shd w:val="clear" w:color="auto" w:fill="E5E5E5"/>
          </w:tcPr>
          <w:p>
            <w:pPr>
              <w:spacing w:after="0"/>
              <w:rPr>
                <w:sz w:val="21"/>
                <w:szCs w:val="21"/>
                <w:color w:val="auto"/>
              </w:rPr>
            </w:pP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r>
      <w:tr>
        <w:trPr>
          <w:trHeight w:val="193"/>
        </w:trPr>
        <w:tc>
          <w:tcPr>
            <w:tcW w:w="826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Total foreign</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r>
      <w:tr>
        <w:trPr>
          <w:trHeight w:val="232"/>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cash paid for income taxes (net of refunds)</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-42545</wp:posOffset>
            </wp:positionV>
            <wp:extent cx="1097280" cy="50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2">
                      <a:extLst>
                        <a:ext uri="{28A0092B-C50C-407E-A947-70E740481C1C}"/>
                      </a:extLst>
                    </a:blip>
                    <a:srcRect/>
                    <a:stretch>
                      <a:fillRect/>
                    </a:stretch>
                  </pic:blipFill>
                  <pic:spPr bwMode="auto">
                    <a:xfrm>
                      <a:off x="0" y="0"/>
                      <a:ext cx="1097280" cy="50165"/>
                    </a:xfrm>
                    <a:prstGeom prst="rect">
                      <a:avLst/>
                    </a:prstGeom>
                    <a:noFill/>
                  </pic:spPr>
                </pic:pic>
              </a:graphicData>
            </a:graphic>
          </wp:anchor>
        </w:drawing>
      </w:r>
    </w:p>
    <w:p>
      <w:pPr>
        <w:spacing w:after="0" w:line="11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color w:val="auto"/>
        </w:rPr>
        <w:t>On a consolidated basis, we paid a total of $65, $65 and $51 in income taxes to federal, foreign and state jurisdictions during the three years ended December 31, 2025</w:t>
      </w:r>
      <w:r>
        <w:rPr>
          <w:rFonts w:ascii="Times New Roman" w:cs="Times New Roman" w:eastAsia="Times New Roman" w:hAnsi="Times New Roman"/>
          <w:sz w:val="19"/>
          <w:szCs w:val="19"/>
          <w:color w:val="auto"/>
        </w:rPr>
        <w:t>,</w:t>
      </w:r>
      <w:r>
        <w:rPr>
          <w:rFonts w:ascii="Arial" w:cs="Arial" w:eastAsia="Arial" w:hAnsi="Arial"/>
          <w:sz w:val="19"/>
          <w:szCs w:val="19"/>
          <w:b w:val="1"/>
          <w:bCs w:val="1"/>
          <w:color w:val="auto"/>
        </w:rPr>
        <w:t xml:space="preserve"> 2024 and 2023,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 were allocated to the following items: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5620" w:type="dxa"/>
            <w:vAlign w:val="bottom"/>
            <w:tcBorders>
              <w:bottom w:val="single" w:sz="8" w:color="E5E5E5"/>
            </w:tcBorders>
          </w:tcPr>
          <w:p>
            <w:pPr>
              <w:spacing w:after="0"/>
              <w:rPr>
                <w:sz w:val="18"/>
                <w:szCs w:val="18"/>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r>
      <w:tr>
        <w:trPr>
          <w:trHeight w:val="223"/>
        </w:trPr>
        <w:tc>
          <w:tcPr>
            <w:tcW w:w="56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Income tax expense (benefit) on Loss before income taxes</w:t>
            </w:r>
          </w:p>
        </w:tc>
        <w:tc>
          <w:tcPr>
            <w:tcW w:w="960" w:type="dxa"/>
            <w:vAlign w:val="bottom"/>
            <w:shd w:val="clear" w:color="auto" w:fill="E5E5E5"/>
          </w:tcPr>
          <w:p>
            <w:pPr>
              <w:jc w:val="right"/>
              <w:ind w:right="74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541</w:t>
            </w:r>
          </w:p>
        </w:tc>
        <w:tc>
          <w:tcPr>
            <w:tcW w:w="4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105</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r>
      <w:tr>
        <w:trPr>
          <w:trHeight w:val="233"/>
        </w:trPr>
        <w:tc>
          <w:tcPr>
            <w:tcW w:w="5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3"/>
        </w:trPr>
        <w:tc>
          <w:tcPr>
            <w:tcW w:w="56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Income tax (expense) benefit Common shareholders' equity:</w:t>
            </w:r>
          </w:p>
        </w:tc>
        <w:tc>
          <w:tcPr>
            <w:tcW w:w="96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r>
      <w:tr>
        <w:trPr>
          <w:trHeight w:val="227"/>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Changes in defined benefit plans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93</w:t>
            </w:r>
          </w:p>
        </w:tc>
      </w:tr>
      <w:tr>
        <w:trPr>
          <w:trHeight w:val="239"/>
        </w:trPr>
        <w:tc>
          <w:tcPr>
            <w:tcW w:w="56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Cash flow hedges</w:t>
            </w:r>
          </w:p>
        </w:tc>
        <w:tc>
          <w:tcPr>
            <w:tcW w:w="96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w:t>
            </w:r>
          </w:p>
        </w:tc>
      </w:tr>
      <w:tr>
        <w:trPr>
          <w:trHeight w:val="227"/>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Translation adjustments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39"/>
        </w:trPr>
        <w:tc>
          <w:tcPr>
            <w:tcW w:w="562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Additional paid-in capital</w:t>
            </w:r>
          </w:p>
        </w:tc>
        <w:tc>
          <w:tcPr>
            <w:tcW w:w="96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150</w:t>
      </w:r>
    </w:p>
    <w:p>
      <w:pPr>
        <w:sectPr>
          <w:pgSz w:w="11880" w:h="15480" w:orient="portrait"/>
          <w:cols w:equalWidth="0" w:num="1">
            <w:col w:w="9960"/>
          </w:cols>
          <w:pgMar w:left="960" w:top="645" w:right="960" w:bottom="0" w:gutter="0" w:footer="0" w:header="0"/>
        </w:sectPr>
      </w:pPr>
    </w:p>
    <w:bookmarkStart w:id="160" w:name="page161"/>
    <w:bookmarkEnd w:id="160"/>
    <w:p>
      <w:pPr>
        <w:spacing w:after="0"/>
        <w:rPr>
          <w:sz w:val="20"/>
          <w:szCs w:val="20"/>
          <w:color w:val="auto"/>
        </w:rPr>
      </w:pPr>
      <w:r>
        <w:rPr>
          <w:rFonts w:ascii="Arial" w:cs="Arial" w:eastAsia="Arial" w:hAnsi="Arial"/>
          <w:sz w:val="19"/>
          <w:szCs w:val="19"/>
          <w:b w:val="1"/>
          <w:bCs w:val="1"/>
          <w:color w:val="DA2031"/>
        </w:rPr>
        <w:t>Unrecognized Tax Benefits and Audit Resolutions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recognize tax liabilities when, despite our belief that our tax return positions are supportable, we believe that certain positions may not be fully sustained upon review by tax authorities. Each period, we assess uncertain tax positions for recognition, measurement and effective settlement. Benefits from uncertain tax positions are measured at the largest amount of benefit that is greater than 50 percent likely of being realized upon settlement - the more-likely-than-not recognition threshold. Where we have determined that our tax return filing position does not satisfy the more-likely-than not recognition threshold, we have recorded no tax benefits. These assessments require the use of considerable estimates and judgments and can increase or decrease our effective tax rate, as well as impact our operating results. A difference in the ultimate resolution of uncertain tax positions from what is currently estimated could have a material impact on our results of operations and financial condition.</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calculation of our tax liabilities involves dealing with uncertainties in the application of complex tax laws and regulations in a variety of jurisdictions. We are also subject to ongoing tax examinations in numerous jurisdictions due to the extensive geographical scope of our operations. As a result, we have received, and may in the future receive, proposed tax adjustments and tax assessments in multiple jurisdictions. We regularly assess the likelihood of the outcomes resulting from these ongoing tax examinations as part of our continuing assessment of uncertain tax positions to determine our provision for income taxes. The specific timing of when the resolution of each tax position will be reached is uncertain.</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reconciliation of the beginning and ending amount of unrecognized tax benefits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40" w:type="dxa"/>
            <w:vAlign w:val="bottom"/>
            <w:tcBorders>
              <w:bottom w:val="single" w:sz="8" w:color="E5E5E5"/>
            </w:tcBorders>
          </w:tcPr>
          <w:p>
            <w:pPr>
              <w:spacing w:after="0"/>
              <w:rPr>
                <w:sz w:val="18"/>
                <w:szCs w:val="18"/>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r>
      <w:tr>
        <w:trPr>
          <w:trHeight w:val="223"/>
        </w:trPr>
        <w:tc>
          <w:tcPr>
            <w:tcW w:w="5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January 1</w:t>
            </w:r>
          </w:p>
        </w:tc>
        <w:tc>
          <w:tcPr>
            <w:tcW w:w="980" w:type="dxa"/>
            <w:vAlign w:val="bottom"/>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95</w:t>
            </w:r>
          </w:p>
        </w:tc>
        <w:tc>
          <w:tcPr>
            <w:tcW w:w="1020" w:type="dxa"/>
            <w:vAlign w:val="bottom"/>
            <w:gridSpan w:val="2"/>
            <w:shd w:val="clear" w:color="auto" w:fill="E5E5E5"/>
          </w:tcPr>
          <w:p>
            <w:pPr>
              <w:jc w:val="right"/>
              <w:ind w:right="74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140</w:t>
            </w:r>
          </w:p>
        </w:tc>
        <w:tc>
          <w:tcPr>
            <w:tcW w:w="400" w:type="dxa"/>
            <w:vAlign w:val="bottom"/>
            <w:gridSpan w:val="2"/>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110</w:t>
            </w:r>
          </w:p>
        </w:tc>
      </w:tr>
      <w:tr>
        <w:trPr>
          <w:trHeight w:val="227"/>
        </w:trPr>
        <w:tc>
          <w:tcPr>
            <w:tcW w:w="5640" w:type="dxa"/>
            <w:vAlign w:val="bottom"/>
          </w:tcPr>
          <w:p>
            <w:pPr>
              <w:ind w:left="60"/>
              <w:spacing w:after="0"/>
              <w:rPr>
                <w:sz w:val="20"/>
                <w:szCs w:val="20"/>
                <w:color w:val="auto"/>
              </w:rPr>
            </w:pPr>
            <w:r>
              <w:rPr>
                <w:rFonts w:ascii="Arial" w:cs="Arial" w:eastAsia="Arial" w:hAnsi="Arial"/>
                <w:sz w:val="16"/>
                <w:szCs w:val="16"/>
                <w:b w:val="1"/>
                <w:bCs w:val="1"/>
                <w:color w:val="auto"/>
              </w:rPr>
              <w:t>Additions related to current year</w:t>
            </w:r>
          </w:p>
        </w:tc>
        <w:tc>
          <w:tcPr>
            <w:tcW w:w="98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b w:val="1"/>
                <w:bCs w:val="1"/>
                <w:color w:val="auto"/>
              </w:rPr>
              <w:t>2</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39"/>
        </w:trPr>
        <w:tc>
          <w:tcPr>
            <w:tcW w:w="5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Additions related to prior years positions</w:t>
            </w:r>
          </w:p>
        </w:tc>
        <w:tc>
          <w:tcPr>
            <w:tcW w:w="980" w:type="dxa"/>
            <w:vAlign w:val="bottom"/>
            <w:shd w:val="clear" w:color="auto" w:fill="E5E5E5"/>
          </w:tcPr>
          <w:p>
            <w:pPr>
              <w:spacing w:after="0"/>
              <w:rPr>
                <w:sz w:val="20"/>
                <w:szCs w:val="20"/>
                <w:color w:val="auto"/>
              </w:rPr>
            </w:pPr>
          </w:p>
        </w:tc>
        <w:tc>
          <w:tcPr>
            <w:tcW w:w="4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r>
      <w:tr>
        <w:trPr>
          <w:trHeight w:val="227"/>
        </w:trPr>
        <w:tc>
          <w:tcPr>
            <w:tcW w:w="5640" w:type="dxa"/>
            <w:vAlign w:val="bottom"/>
          </w:tcPr>
          <w:p>
            <w:pPr>
              <w:ind w:left="60"/>
              <w:spacing w:after="0"/>
              <w:rPr>
                <w:sz w:val="20"/>
                <w:szCs w:val="20"/>
                <w:color w:val="auto"/>
              </w:rPr>
            </w:pPr>
            <w:r>
              <w:rPr>
                <w:rFonts w:ascii="Arial" w:cs="Arial" w:eastAsia="Arial" w:hAnsi="Arial"/>
                <w:sz w:val="16"/>
                <w:szCs w:val="16"/>
                <w:b w:val="1"/>
                <w:bCs w:val="1"/>
                <w:color w:val="auto"/>
              </w:rPr>
              <w:t>Additions related to business acquisitions</w:t>
            </w:r>
          </w:p>
        </w:tc>
        <w:tc>
          <w:tcPr>
            <w:tcW w:w="98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b w:val="1"/>
                <w:bCs w:val="1"/>
                <w:color w:val="auto"/>
              </w:rPr>
              <w:t>20</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9"/>
        </w:trPr>
        <w:tc>
          <w:tcPr>
            <w:tcW w:w="5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Reductions related to prior years positions</w:t>
            </w:r>
          </w:p>
        </w:tc>
        <w:tc>
          <w:tcPr>
            <w:tcW w:w="98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r>
      <w:tr>
        <w:trPr>
          <w:trHeight w:val="227"/>
        </w:trPr>
        <w:tc>
          <w:tcPr>
            <w:tcW w:w="5640" w:type="dxa"/>
            <w:vAlign w:val="bottom"/>
          </w:tcPr>
          <w:p>
            <w:pPr>
              <w:ind w:left="60"/>
              <w:spacing w:after="0"/>
              <w:rPr>
                <w:sz w:val="20"/>
                <w:szCs w:val="20"/>
                <w:color w:val="auto"/>
              </w:rPr>
            </w:pPr>
            <w:r>
              <w:rPr>
                <w:rFonts w:ascii="Arial" w:cs="Arial" w:eastAsia="Arial" w:hAnsi="Arial"/>
                <w:sz w:val="16"/>
                <w:szCs w:val="16"/>
                <w:b w:val="1"/>
                <w:bCs w:val="1"/>
                <w:color w:val="auto"/>
              </w:rPr>
              <w:t>Settlements with taxing authorities</w:t>
            </w:r>
            <w:r>
              <w:rPr>
                <w:rFonts w:ascii="Arial" w:cs="Arial" w:eastAsia="Arial" w:hAnsi="Arial"/>
                <w:sz w:val="10"/>
                <w:szCs w:val="10"/>
                <w:b w:val="1"/>
                <w:bCs w:val="1"/>
                <w:color w:val="auto"/>
              </w:rPr>
              <w:t>(1)</w:t>
            </w:r>
          </w:p>
        </w:tc>
        <w:tc>
          <w:tcPr>
            <w:tcW w:w="98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39"/>
        </w:trPr>
        <w:tc>
          <w:tcPr>
            <w:tcW w:w="5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Reductions related to lapse of statute of limitations</w:t>
            </w:r>
          </w:p>
        </w:tc>
        <w:tc>
          <w:tcPr>
            <w:tcW w:w="98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(80)</w:t>
            </w:r>
          </w:p>
        </w:tc>
        <w:tc>
          <w:tcPr>
            <w:tcW w:w="6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r>
      <w:tr>
        <w:trPr>
          <w:trHeight w:val="223"/>
        </w:trPr>
        <w:tc>
          <w:tcPr>
            <w:tcW w:w="564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Currency</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E5E5E5"/>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32"/>
        </w:trPr>
        <w:tc>
          <w:tcPr>
            <w:tcW w:w="56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w:t>
            </w:r>
          </w:p>
        </w:tc>
        <w:tc>
          <w:tcPr>
            <w:tcW w:w="980" w:type="dxa"/>
            <w:vAlign w:val="bottom"/>
            <w:tcBorders>
              <w:bottom w:val="single" w:sz="8" w:color="auto"/>
            </w:tcBorders>
            <w:shd w:val="clear" w:color="auto" w:fill="E5E5E5"/>
          </w:tcPr>
          <w:p>
            <w:pPr>
              <w:jc w:val="right"/>
              <w:ind w:right="76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35</w:t>
            </w:r>
          </w:p>
        </w:tc>
        <w:tc>
          <w:tcPr>
            <w:tcW w:w="60" w:type="dxa"/>
            <w:vAlign w:val="bottom"/>
            <w:tcBorders>
              <w:bottom w:val="single" w:sz="8" w:color="E5E5E5"/>
            </w:tcBorders>
            <w:shd w:val="clear" w:color="auto" w:fill="E5E5E5"/>
          </w:tcPr>
          <w:p>
            <w:pPr>
              <w:spacing w:after="0"/>
              <w:rPr>
                <w:sz w:val="20"/>
                <w:szCs w:val="20"/>
                <w:color w:val="auto"/>
              </w:rPr>
            </w:pPr>
          </w:p>
        </w:tc>
        <w:tc>
          <w:tcPr>
            <w:tcW w:w="960" w:type="dxa"/>
            <w:vAlign w:val="bottom"/>
            <w:tcBorders>
              <w:bottom w:val="single" w:sz="8" w:color="auto"/>
            </w:tcBorders>
            <w:shd w:val="clear" w:color="auto" w:fill="E5E5E5"/>
          </w:tcPr>
          <w:p>
            <w:pPr>
              <w:jc w:val="right"/>
              <w:ind w:right="74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95</w:t>
            </w:r>
          </w:p>
        </w:tc>
        <w:tc>
          <w:tcPr>
            <w:tcW w:w="8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-42545</wp:posOffset>
            </wp:positionV>
            <wp:extent cx="2750820"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3">
                      <a:extLst>
                        <a:ext uri="{28A0092B-C50C-407E-A947-70E740481C1C}"/>
                      </a:extLst>
                    </a:blip>
                    <a:srcRect/>
                    <a:stretch>
                      <a:fillRect/>
                    </a:stretch>
                  </pic:blipFill>
                  <pic:spPr bwMode="auto">
                    <a:xfrm>
                      <a:off x="0" y="0"/>
                      <a:ext cx="2750820"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majority of settlements did not result in the utilization of cash.</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Included in the balances at December 31, 2025, 2024 and 2023 are $(2), $(2) and $(31), respectively, of tax positions that are highly certain of realizability but for which there is uncertainty about the timing or that they may be reduced through an indirect benefit from other taxing jurisdictions. Because of the impact of deferred tax accounting, other than for the possible incurrence of interest and penalties, the disallowance of these positions would not affect the annual effective tax rate.</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Within income tax expense, we recognize interest and penalties accrued on unrecognized tax benefits, as well as interest received from favorable settlements. We had $6, $0 and $(2) accrued for the payment of interest and penalties associated with unrecognized tax benefits at December 31, 2025, 2024 and 2023, respectively.</w:t>
      </w:r>
    </w:p>
    <w:p>
      <w:pPr>
        <w:spacing w:after="0" w:line="61" w:lineRule="exact"/>
        <w:rPr>
          <w:sz w:val="20"/>
          <w:szCs w:val="20"/>
          <w:color w:val="auto"/>
        </w:rPr>
      </w:pPr>
    </w:p>
    <w:p>
      <w:pPr>
        <w:jc w:val="both"/>
        <w:spacing w:after="0" w:line="356" w:lineRule="auto"/>
        <w:rPr>
          <w:sz w:val="20"/>
          <w:szCs w:val="20"/>
          <w:color w:val="auto"/>
        </w:rPr>
      </w:pPr>
      <w:r>
        <w:rPr>
          <w:rFonts w:ascii="Arial" w:cs="Arial" w:eastAsia="Arial" w:hAnsi="Arial"/>
          <w:sz w:val="17"/>
          <w:szCs w:val="17"/>
          <w:b w:val="1"/>
          <w:bCs w:val="1"/>
          <w:color w:val="auto"/>
        </w:rPr>
        <w:t>In the U.S., we are no longer subject to U.S. federal income tax examinations for years before 2022. With respect to our major foreign jurisdictions, we are no longer subject to tax examinations by tax authorities for years before 2017.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Deferred Income Taxes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At December 31, 2025 we have not provided deferred taxes on our undistributed pre-1987 Earnings &amp; Profits as such undistributed earnings have been determined to be indefinitely reinvested and we currently do not plan to initiate any action that would precipitate a deferred tax impact. Further, post-1986 earnings and profits associated with those foreign subsidiaries acquired in the Lexmark Acquisition have been determined to be indefinitely reinvested. Additionally, we have also not provided deferred taxes on the outside basis differences in our investments in foreign subsidiaries that are unrelated to undistributed earnings. These basis differences are also indefinitely reinvested. A determination of the unrecognized deferred taxes related to these components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151</w:t>
      </w:r>
    </w:p>
    <w:p>
      <w:pPr>
        <w:sectPr>
          <w:pgSz w:w="11880" w:h="15480" w:orient="portrait"/>
          <w:cols w:equalWidth="0" w:num="1">
            <w:col w:w="9960"/>
          </w:cols>
          <w:pgMar w:left="960" w:top="648" w:right="960" w:bottom="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The tax effects of temporary differences that give rise to significant portions of the deferred taxes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9"/>
              </w:rPr>
              <w:t>December 31,</w:t>
            </w:r>
          </w:p>
        </w:tc>
        <w:tc>
          <w:tcPr>
            <w:tcW w:w="920" w:type="dxa"/>
            <w:vAlign w:val="bottom"/>
            <w:tcBorders>
              <w:bottom w:val="single" w:sz="8" w:color="auto"/>
            </w:tcBorders>
          </w:tcPr>
          <w:p>
            <w:pPr>
              <w:spacing w:after="0"/>
              <w:rPr>
                <w:sz w:val="18"/>
                <w:szCs w:val="18"/>
                <w:color w:val="auto"/>
              </w:rPr>
            </w:pPr>
          </w:p>
        </w:tc>
      </w:tr>
      <w:tr>
        <w:trPr>
          <w:trHeight w:val="213"/>
        </w:trPr>
        <w:tc>
          <w:tcPr>
            <w:tcW w:w="7020" w:type="dxa"/>
            <w:vAlign w:val="bottom"/>
            <w:tcBorders>
              <w:bottom w:val="single" w:sz="8" w:color="E5E5E5"/>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223"/>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Deferred Tax Assets</w:t>
            </w:r>
          </w:p>
        </w:tc>
        <w:tc>
          <w:tcPr>
            <w:tcW w:w="88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Research and development</w:t>
            </w:r>
          </w:p>
        </w:tc>
        <w:tc>
          <w:tcPr>
            <w:tcW w:w="88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249</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227</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Post-retirement medical benefits</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43</w:t>
            </w: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Net operating losses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1,131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322</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Operating reserves, accruals and deferrals</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183</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232</w:t>
            </w: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Tax credit carryforwards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80</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Disallowed interest expense carryforward</w:t>
            </w:r>
            <w:r>
              <w:rPr>
                <w:rFonts w:ascii="Arial" w:cs="Arial" w:eastAsia="Arial" w:hAnsi="Arial"/>
                <w:sz w:val="10"/>
                <w:szCs w:val="10"/>
                <w:b w:val="1"/>
                <w:bCs w:val="1"/>
                <w:color w:val="auto"/>
              </w:rPr>
              <w:t>(1)</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173</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23</w:t>
            </w: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Deferred and share-based compensation</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22</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Pension</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122</w:t>
            </w: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Finance lease and installment sales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64</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Operating lease liabilities</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33</w:t>
            </w:r>
          </w:p>
        </w:tc>
      </w:tr>
      <w:tr>
        <w:trPr>
          <w:trHeight w:val="223"/>
        </w:trPr>
        <w:tc>
          <w:tcPr>
            <w:tcW w:w="70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10"/>
                <w:szCs w:val="10"/>
                <w:b w:val="1"/>
                <w:bCs w:val="1"/>
                <w:color w:val="auto"/>
              </w:rPr>
              <w:t>(1)</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80" w:type="dxa"/>
            <w:vAlign w:val="bottom"/>
            <w:tcBorders>
              <w:bottom w:val="single" w:sz="8" w:color="E5E5E5"/>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45</w:t>
            </w:r>
          </w:p>
        </w:tc>
      </w:tr>
      <w:tr>
        <w:trPr>
          <w:trHeight w:val="223"/>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Subtotal</w:t>
            </w:r>
          </w:p>
        </w:tc>
        <w:tc>
          <w:tcPr>
            <w:tcW w:w="88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2,242</w:t>
            </w:r>
          </w:p>
        </w:tc>
        <w:tc>
          <w:tcPr>
            <w:tcW w:w="8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1,213</w:t>
            </w:r>
          </w:p>
        </w:tc>
      </w:tr>
      <w:tr>
        <w:trPr>
          <w:trHeight w:val="223"/>
        </w:trPr>
        <w:tc>
          <w:tcPr>
            <w:tcW w:w="70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Valuation allowance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(1,933)</w:t>
            </w:r>
          </w:p>
        </w:tc>
        <w:tc>
          <w:tcPr>
            <w:tcW w:w="80" w:type="dxa"/>
            <w:vAlign w:val="bottom"/>
            <w:tcBorders>
              <w:bottom w:val="single" w:sz="8" w:color="E5E5E5"/>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w:t>
            </w:r>
          </w:p>
        </w:tc>
      </w:tr>
      <w:tr>
        <w:trPr>
          <w:trHeight w:val="213"/>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880" w:type="dxa"/>
            <w:vAlign w:val="bottom"/>
            <w:shd w:val="clear" w:color="auto" w:fill="E5E5E5"/>
          </w:tcPr>
          <w:p>
            <w:pPr>
              <w:jc w:val="right"/>
              <w:ind w:right="6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309</w:t>
            </w:r>
          </w:p>
        </w:tc>
        <w:tc>
          <w:tcPr>
            <w:tcW w:w="5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702</w:t>
            </w:r>
          </w:p>
        </w:tc>
      </w:tr>
      <w:tr>
        <w:trPr>
          <w:trHeight w:val="179"/>
        </w:trPr>
        <w:tc>
          <w:tcPr>
            <w:tcW w:w="7020" w:type="dxa"/>
            <w:vAlign w:val="bottom"/>
            <w:tcBorders>
              <w:top w:val="single" w:sz="8" w:color="E5E5E5"/>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E5E5E5"/>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33"/>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Deferred Tax Liabilities</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Intangibles and goodwill</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84</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Depreciation</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Unremitted earnings of foreign subsidiaries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26</w:t>
            </w:r>
          </w:p>
        </w:tc>
      </w:tr>
      <w:tr>
        <w:trPr>
          <w:trHeight w:val="239"/>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Operating lease ROU assets</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41</w:t>
            </w:r>
          </w:p>
        </w:tc>
      </w:tr>
      <w:tr>
        <w:trPr>
          <w:trHeight w:val="222"/>
        </w:trPr>
        <w:tc>
          <w:tcPr>
            <w:tcW w:w="702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bottom w:val="single" w:sz="8" w:color="E5E5E5"/>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21</w:t>
            </w:r>
          </w:p>
        </w:tc>
      </w:tr>
      <w:tr>
        <w:trPr>
          <w:trHeight w:val="213"/>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w:t>
            </w:r>
          </w:p>
        </w:tc>
        <w:tc>
          <w:tcPr>
            <w:tcW w:w="880" w:type="dxa"/>
            <w:vAlign w:val="bottom"/>
            <w:shd w:val="clear" w:color="auto" w:fill="E5E5E5"/>
          </w:tcPr>
          <w:p>
            <w:pPr>
              <w:jc w:val="right"/>
              <w:ind w:right="6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349</w:t>
            </w:r>
          </w:p>
        </w:tc>
        <w:tc>
          <w:tcPr>
            <w:tcW w:w="5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172</w:t>
            </w:r>
          </w:p>
        </w:tc>
      </w:tr>
      <w:tr>
        <w:trPr>
          <w:trHeight w:val="169"/>
        </w:trPr>
        <w:tc>
          <w:tcPr>
            <w:tcW w:w="7020" w:type="dxa"/>
            <w:vAlign w:val="bottom"/>
            <w:tcBorders>
              <w:top w:val="single" w:sz="8" w:color="E5E5E5"/>
              <w:bottom w:val="single" w:sz="8" w:color="E5E5E5"/>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E5E5E5"/>
              <w:bottom w:val="single" w:sz="8" w:color="E5E5E5"/>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r>
      <w:tr>
        <w:trPr>
          <w:trHeight w:val="232"/>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Total Deferred tax (liability) asset, net</w:t>
            </w:r>
          </w:p>
        </w:tc>
        <w:tc>
          <w:tcPr>
            <w:tcW w:w="880" w:type="dxa"/>
            <w:vAlign w:val="bottom"/>
            <w:shd w:val="clear" w:color="auto" w:fill="E5E5E5"/>
          </w:tcPr>
          <w:p>
            <w:pPr>
              <w:jc w:val="right"/>
              <w:ind w:right="662"/>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w:t>
            </w:r>
          </w:p>
        </w:tc>
        <w:tc>
          <w:tcPr>
            <w:tcW w:w="5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530</w:t>
            </w:r>
          </w:p>
        </w:tc>
      </w:tr>
      <w:tr>
        <w:trPr>
          <w:trHeight w:val="160"/>
        </w:trPr>
        <w:tc>
          <w:tcPr>
            <w:tcW w:w="7020" w:type="dxa"/>
            <w:vAlign w:val="bottom"/>
            <w:tcBorders>
              <w:top w:val="single" w:sz="8" w:color="E5E5E5"/>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E5E5E5"/>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33"/>
        </w:trPr>
        <w:tc>
          <w:tcPr>
            <w:tcW w:w="70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Reconciliation to the Consolidated Balance Sheets</w:t>
            </w:r>
          </w:p>
        </w:tc>
        <w:tc>
          <w:tcPr>
            <w:tcW w:w="88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r>
      <w:tr>
        <w:trPr>
          <w:trHeight w:val="227"/>
        </w:trPr>
        <w:tc>
          <w:tcPr>
            <w:tcW w:w="7020" w:type="dxa"/>
            <w:vAlign w:val="bottom"/>
          </w:tcPr>
          <w:p>
            <w:pPr>
              <w:ind w:left="60"/>
              <w:spacing w:after="0"/>
              <w:rPr>
                <w:sz w:val="20"/>
                <w:szCs w:val="20"/>
                <w:color w:val="auto"/>
              </w:rPr>
            </w:pPr>
            <w:r>
              <w:rPr>
                <w:rFonts w:ascii="Arial" w:cs="Arial" w:eastAsia="Arial" w:hAnsi="Arial"/>
                <w:sz w:val="16"/>
                <w:szCs w:val="16"/>
                <w:b w:val="1"/>
                <w:bCs w:val="1"/>
                <w:color w:val="auto"/>
              </w:rPr>
              <w:t>Deferred tax assets</w:t>
            </w:r>
          </w:p>
        </w:tc>
        <w:tc>
          <w:tcPr>
            <w:tcW w:w="88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615</w:t>
            </w:r>
          </w:p>
        </w:tc>
      </w:tr>
      <w:tr>
        <w:trPr>
          <w:trHeight w:val="248"/>
        </w:trPr>
        <w:tc>
          <w:tcPr>
            <w:tcW w:w="7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Deferred tax liabilities</w:t>
            </w:r>
            <w:r>
              <w:rPr>
                <w:rFonts w:ascii="Arial" w:cs="Arial" w:eastAsia="Arial" w:hAnsi="Arial"/>
                <w:sz w:val="10"/>
                <w:szCs w:val="10"/>
                <w:b w:val="1"/>
                <w:bCs w:val="1"/>
                <w:color w:val="auto"/>
              </w:rPr>
              <w:t>(2)</w:t>
            </w:r>
          </w:p>
        </w:tc>
        <w:tc>
          <w:tcPr>
            <w:tcW w:w="880" w:type="dxa"/>
            <w:vAlign w:val="bottom"/>
            <w:tcBorders>
              <w:bottom w:val="single" w:sz="8" w:color="auto"/>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(138)</w:t>
            </w:r>
          </w:p>
        </w:tc>
        <w:tc>
          <w:tcPr>
            <w:tcW w:w="8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auto"/>
            </w:tcBorders>
            <w:shd w:val="clear" w:color="auto" w:fill="E5E5E5"/>
          </w:tcPr>
          <w:p>
            <w:pPr>
              <w:spacing w:after="0"/>
              <w:rPr>
                <w:sz w:val="21"/>
                <w:szCs w:val="21"/>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(85)</w:t>
            </w:r>
          </w:p>
        </w:tc>
      </w:tr>
      <w:tr>
        <w:trPr>
          <w:trHeight w:val="174"/>
        </w:trPr>
        <w:tc>
          <w:tcPr>
            <w:tcW w:w="70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 Deferred tax (liability) asset, net</w:t>
            </w:r>
          </w:p>
        </w:tc>
        <w:tc>
          <w:tcPr>
            <w:tcW w:w="880" w:type="dxa"/>
            <w:vAlign w:val="bottom"/>
          </w:tcPr>
          <w:p>
            <w:pPr>
              <w:jc w:val="right"/>
              <w:ind w:right="662"/>
              <w:spacing w:after="0" w:line="175"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(40)</w:t>
            </w:r>
          </w:p>
        </w:tc>
        <w:tc>
          <w:tcPr>
            <w:tcW w:w="580" w:type="dxa"/>
            <w:vAlign w:val="bottom"/>
            <w:gridSpan w:val="2"/>
          </w:tcPr>
          <w:p>
            <w:pPr>
              <w:jc w:val="right"/>
              <w:ind w:right="360"/>
              <w:spacing w:after="0" w:line="175"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530</w:t>
            </w:r>
          </w:p>
        </w:tc>
      </w:tr>
      <w:tr>
        <w:trPr>
          <w:trHeight w:val="20"/>
        </w:trPr>
        <w:tc>
          <w:tcPr>
            <w:tcW w:w="7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-754380</wp:posOffset>
            </wp:positionV>
            <wp:extent cx="1863725" cy="501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4">
                      <a:extLst>
                        <a:ext uri="{28A0092B-C50C-407E-A947-70E740481C1C}"/>
                      </a:extLst>
                    </a:blip>
                    <a:srcRect/>
                    <a:stretch>
                      <a:fillRect/>
                    </a:stretch>
                  </pic:blipFill>
                  <pic:spPr bwMode="auto">
                    <a:xfrm>
                      <a:off x="0" y="0"/>
                      <a:ext cx="1863725" cy="5016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-42545</wp:posOffset>
            </wp:positionV>
            <wp:extent cx="1863725"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5">
                      <a:extLst>
                        <a:ext uri="{28A0092B-C50C-407E-A947-70E740481C1C}"/>
                      </a:extLst>
                    </a:blip>
                    <a:srcRect/>
                    <a:stretch>
                      <a:fillRect/>
                    </a:stretch>
                  </pic:blipFill>
                  <pic:spPr bwMode="auto">
                    <a:xfrm>
                      <a:off x="0" y="0"/>
                      <a:ext cx="1863725" cy="50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tabs>
          <w:tab w:leader="none" w:pos="360" w:val="left"/>
        </w:tabs>
        <w:numPr>
          <w:ilvl w:val="0"/>
          <w:numId w:val="1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Prior year amounts have been reclassified to conform to the current year presentation.</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3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Represents the deferred tax liabilities recorded in Other long-term liabilities - refer to Note 14 - Supplementary Financial Information.</w:t>
      </w:r>
    </w:p>
    <w:p>
      <w:pPr>
        <w:spacing w:after="0" w:line="13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color w:val="auto"/>
        </w:rPr>
        <w:t>We record the estimated future tax effects of temporary differences between the tax basis of assets and liabilities and the amounts reported, as well as net operating loss and tax credit carryforwards. Deferred tax assets are assessed for realizability and, where applicable, a valuation allowance is recorded to reduce the total deferred tax asset to an amount that will, more-likely-than-not, be realized in the future. We apply judgment in assessing the realizability of these deferred tax assets and the need for any valuation allowances. In determining the amount of deferred tax assets that are more-likely-than-not to be realized, we considered historical profitability, projected future taxable income, the expected timing of the reversals of existing temporary differences and tax planning strategies.</w:t>
      </w:r>
    </w:p>
    <w:p>
      <w:pPr>
        <w:spacing w:after="0" w:line="4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The net change in the total valuation allowance for the three years ended December 31, 2025, 2024 and 2023 was an increase of $1,422, $136 and $9, respectively. The valuation allowance relates primarily to certain net operating loss carryforwards, tax credit carryforwards and deductible temporary differences for which we have concluded it is more-likely-than-not that these items will not be realized in the ordinary course of operations.</w:t>
      </w:r>
    </w:p>
    <w:p>
      <w:pPr>
        <w:spacing w:after="0" w:line="3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At December 31, 2025, we had tax credit carryforwards of $90 available to offset future income taxes, of which $1 is available to carryforward indefinitely while the majority of the remaining $89 will expire in 2026, if not utilized. We also had net operating loss carryforwards for income tax purposes of $6.5 billion that will begin to expire in 2026 through 2045, if not utilized, and $1.6 billion available to offset future taxable income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152</w:t>
      </w:r>
    </w:p>
    <w:p>
      <w:pPr>
        <w:sectPr>
          <w:pgSz w:w="11880" w:h="15480" w:orient="portrait"/>
          <w:cols w:equalWidth="0" w:num="1">
            <w:col w:w="9960"/>
          </w:cols>
          <w:pgMar w:left="960" w:top="649" w:right="960" w:bottom="0" w:gutter="0" w:footer="0" w:header="0"/>
        </w:sectPr>
      </w:pPr>
    </w:p>
    <w:bookmarkStart w:id="162" w:name="page163"/>
    <w:bookmarkEnd w:id="162"/>
    <w:p>
      <w:pPr>
        <w:spacing w:after="0"/>
        <w:rPr>
          <w:sz w:val="20"/>
          <w:szCs w:val="20"/>
          <w:color w:val="auto"/>
        </w:rPr>
      </w:pPr>
      <w:r>
        <w:rPr>
          <w:rFonts w:ascii="Arial" w:cs="Arial" w:eastAsia="Arial" w:hAnsi="Arial"/>
          <w:sz w:val="23"/>
          <w:szCs w:val="23"/>
          <w:b w:val="1"/>
          <w:bCs w:val="1"/>
          <w:color w:val="DA2031"/>
        </w:rPr>
        <w:t>Note 20 – Contingencies and Litigation</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Legal Matters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are involved in a variety of claims, lawsuits, investigations and proceedings concerning: securities law; governmental entity contracting, servicing and procurement law; intellectual property law; environmental law; employment law; the Employee Retirement Income Security Act (ERISA); and other laws and regulations.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Additionally, guarantees, indemnifications and claims may arise during the ordinary course of business from relationships with suppliers, customers and nonconsolidated affiliates, as well as through divestitures and sales of businesses,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final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2025, we have accrued our estimate of liability incurred under our indemnification arrangements and guarantees.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Brazil Contingencies</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Brazilian operations have received or been the subject of numerous governmental assessments related to indirect and other taxes. These tax matters principally relate to claims for taxes on the internal transfer of inventory, municipal service taxes on rentals and gross revenue taxes. We are disputing these tax matters and intend to vigorously defend our positions. Based on the opinion of legal counsel and current reserves for those matters deemed probable of loss, we do not believe that the ultimate resolution of these matters will materially impact our results of operations, financial position or cash flows. Below is a summary of our Brazilian tax contingencies: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02"/>
              <w:spacing w:after="0"/>
              <w:rPr>
                <w:sz w:val="20"/>
                <w:szCs w:val="20"/>
                <w:color w:val="auto"/>
              </w:rPr>
            </w:pPr>
            <w:r>
              <w:rPr>
                <w:rFonts w:ascii="Arial" w:cs="Arial" w:eastAsia="Arial" w:hAnsi="Arial"/>
                <w:sz w:val="16"/>
                <w:szCs w:val="16"/>
                <w:b w:val="1"/>
                <w:bCs w:val="1"/>
                <w:color w:val="auto"/>
                <w:w w:val="99"/>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22"/>
              <w:spacing w:after="0"/>
              <w:rPr>
                <w:sz w:val="20"/>
                <w:szCs w:val="20"/>
                <w:color w:val="auto"/>
              </w:rPr>
            </w:pPr>
            <w:r>
              <w:rPr>
                <w:rFonts w:ascii="Arial" w:cs="Arial" w:eastAsia="Arial" w:hAnsi="Arial"/>
                <w:sz w:val="16"/>
                <w:szCs w:val="16"/>
                <w:b w:val="1"/>
                <w:bCs w:val="1"/>
                <w:color w:val="auto"/>
                <w:w w:val="97"/>
              </w:rPr>
              <w:t>December 31,</w:t>
            </w:r>
          </w:p>
        </w:tc>
      </w:tr>
      <w:tr>
        <w:trPr>
          <w:trHeight w:val="207"/>
        </w:trPr>
        <w:tc>
          <w:tcPr>
            <w:tcW w:w="672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r>
      <w:tr>
        <w:trPr>
          <w:trHeight w:val="223"/>
        </w:trPr>
        <w:tc>
          <w:tcPr>
            <w:tcW w:w="6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Tax contingency - unreserved</w:t>
            </w:r>
          </w:p>
        </w:tc>
        <w:tc>
          <w:tcPr>
            <w:tcW w:w="2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338</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305</w:t>
            </w:r>
          </w:p>
        </w:tc>
      </w:tr>
      <w:tr>
        <w:trPr>
          <w:trHeight w:val="227"/>
        </w:trPr>
        <w:tc>
          <w:tcPr>
            <w:tcW w:w="6720" w:type="dxa"/>
            <w:vAlign w:val="bottom"/>
          </w:tcPr>
          <w:p>
            <w:pPr>
              <w:ind w:left="60"/>
              <w:spacing w:after="0"/>
              <w:rPr>
                <w:sz w:val="20"/>
                <w:szCs w:val="20"/>
                <w:color w:val="auto"/>
              </w:rPr>
            </w:pPr>
            <w:r>
              <w:rPr>
                <w:rFonts w:ascii="Arial" w:cs="Arial" w:eastAsia="Arial" w:hAnsi="Arial"/>
                <w:sz w:val="16"/>
                <w:szCs w:val="16"/>
                <w:b w:val="1"/>
                <w:bCs w:val="1"/>
                <w:color w:val="auto"/>
              </w:rPr>
              <w:t>Escrow cash deposits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r>
        <w:trPr>
          <w:trHeight w:val="239"/>
        </w:trPr>
        <w:tc>
          <w:tcPr>
            <w:tcW w:w="6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Surety bonds</w:t>
            </w:r>
          </w:p>
        </w:tc>
        <w:tc>
          <w:tcPr>
            <w:tcW w:w="20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115</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88</w:t>
            </w:r>
          </w:p>
        </w:tc>
      </w:tr>
      <w:tr>
        <w:trPr>
          <w:trHeight w:val="227"/>
        </w:trPr>
        <w:tc>
          <w:tcPr>
            <w:tcW w:w="6720" w:type="dxa"/>
            <w:vAlign w:val="bottom"/>
          </w:tcPr>
          <w:p>
            <w:pPr>
              <w:ind w:left="60"/>
              <w:spacing w:after="0"/>
              <w:rPr>
                <w:sz w:val="20"/>
                <w:szCs w:val="20"/>
                <w:color w:val="auto"/>
              </w:rPr>
            </w:pPr>
            <w:r>
              <w:rPr>
                <w:rFonts w:ascii="Arial" w:cs="Arial" w:eastAsia="Arial" w:hAnsi="Arial"/>
                <w:sz w:val="16"/>
                <w:szCs w:val="16"/>
                <w:b w:val="1"/>
                <w:bCs w:val="1"/>
                <w:color w:val="auto"/>
              </w:rPr>
              <w:t>Letters of credit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39"/>
        </w:trPr>
        <w:tc>
          <w:tcPr>
            <w:tcW w:w="6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Liens on Brazilian assets</w:t>
            </w:r>
          </w:p>
        </w:tc>
        <w:tc>
          <w:tcPr>
            <w:tcW w:w="20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increase in the unreserved portion of the tax contingency was primarily due to currency, as well as interest, partially offset by closed cases. With respect to the unreserved tax contingency, the majority has been assessed by management as being remote as to the likelihood of ultimately resulting in a loss to the Company. In connection with the above proceedings, customary local regulations may require us to make escrow cash deposits or post other security of up to half of the total amount in dispute, as well as additional surety bonds and letters of credit, which include associated indexation. Generally, any escrowed amounts would be refundable and any liens on assets would be removed to the extent the matters are resolved in our favor. We are also involved in certain disputes with contract and former employees. Exposures related to labor matters are not material to the financial statements as of December 31, 2025 and 2024. We routinely assess all these matters as to probability of ultimately incurring a liability against our Brazilian operations and record our best estimate of the ultimate loss in situations where we assess the likelihood of an ultimate loss as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153</w:t>
      </w:r>
    </w:p>
    <w:p>
      <w:pPr>
        <w:sectPr>
          <w:pgSz w:w="11880" w:h="15480" w:orient="portrait"/>
          <w:cols w:equalWidth="0" w:num="1">
            <w:col w:w="9960"/>
          </w:cols>
          <w:pgMar w:left="960" w:top="724" w:right="960" w:bottom="0" w:gutter="0" w:footer="0" w:header="0"/>
        </w:sectPr>
      </w:pPr>
    </w:p>
    <w:bookmarkStart w:id="163" w:name="page164"/>
    <w:bookmarkEnd w:id="163"/>
    <w:p>
      <w:pPr>
        <w:spacing w:after="0"/>
        <w:rPr>
          <w:sz w:val="20"/>
          <w:szCs w:val="20"/>
          <w:color w:val="auto"/>
        </w:rPr>
      </w:pPr>
      <w:r>
        <w:rPr>
          <w:rFonts w:ascii="Arial" w:cs="Arial" w:eastAsia="Arial" w:hAnsi="Arial"/>
          <w:sz w:val="21"/>
          <w:szCs w:val="21"/>
          <w:b w:val="1"/>
          <w:bCs w:val="1"/>
          <w:color w:val="DA2031"/>
        </w:rPr>
        <w:t>Litigation</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We are engaged in numerous legal actions arising in the ordinary course of our business. While there can be no assurance, as of December 31, 2025, we believe that the ultimate outcome of these other legal actions will not have a material adverse effect on our business, results of operations, financial condition or cash flows.</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Guarantees, Indemnifications and Other Agreement</w:t>
      </w:r>
    </w:p>
    <w:p>
      <w:pPr>
        <w:spacing w:after="0" w:line="137" w:lineRule="exact"/>
        <w:rPr>
          <w:sz w:val="20"/>
          <w:szCs w:val="20"/>
          <w:color w:val="auto"/>
        </w:rPr>
      </w:pPr>
    </w:p>
    <w:p>
      <w:pPr>
        <w:ind w:right="4060"/>
        <w:spacing w:after="0" w:line="384" w:lineRule="auto"/>
        <w:rPr>
          <w:sz w:val="20"/>
          <w:szCs w:val="20"/>
          <w:color w:val="auto"/>
        </w:rPr>
      </w:pPr>
      <w:r>
        <w:rPr>
          <w:rFonts w:ascii="Arial" w:cs="Arial" w:eastAsia="Arial" w:hAnsi="Arial"/>
          <w:sz w:val="19"/>
          <w:szCs w:val="19"/>
          <w:b w:val="1"/>
          <w:bCs w:val="1"/>
          <w:color w:val="DA2031"/>
        </w:rPr>
        <w:t xml:space="preserve">Indemnifications Provided as Part of Contracts and Agreements </w:t>
      </w:r>
      <w:r>
        <w:rPr>
          <w:rFonts w:ascii="Arial" w:cs="Arial" w:eastAsia="Arial" w:hAnsi="Arial"/>
          <w:sz w:val="19"/>
          <w:szCs w:val="19"/>
          <w:b w:val="1"/>
          <w:bCs w:val="1"/>
          <w:i w:val="1"/>
          <w:iCs w:val="1"/>
          <w:u w:val="single" w:color="auto"/>
          <w:color w:val="DA2031"/>
        </w:rPr>
        <w:t>Acquisitions/Divestitures:</w:t>
      </w:r>
    </w:p>
    <w:p>
      <w:pPr>
        <w:jc w:val="both"/>
        <w:spacing w:after="0" w:line="274" w:lineRule="auto"/>
        <w:rPr>
          <w:sz w:val="20"/>
          <w:szCs w:val="20"/>
          <w:color w:val="auto"/>
        </w:rPr>
      </w:pPr>
      <w:r>
        <w:rPr>
          <w:rFonts w:ascii="Arial" w:cs="Arial" w:eastAsia="Arial" w:hAnsi="Arial"/>
          <w:sz w:val="18"/>
          <w:szCs w:val="18"/>
          <w:b w:val="1"/>
          <w:bCs w:val="1"/>
          <w:color w:val="auto"/>
        </w:rPr>
        <w:t>We have indemnified, subject to certain deductibles and limits, the purchasers of businesses or divested assets for the occurrence of specified events under certain of our divestiture agreements. In addition, we customarily agree to hold the other party harmless against losses arising from a breach of representations and covenants, including such matters as adequate title to assets sold, intellectual property rights, specified environmental matters and certain income taxes arising prior to the date of acquisition. Where appropriate, an obligation for such indemnifications is recorded as a liability at the time of the acquisition or divestiture. Since the obligated amounts of these types of indemnifications are often not explicitly stated and/or are contingent on the occurrence of future events, the overall maximum amount of the obligation under such indemnifications cannot be reasonably estimated. Other than obligations recorded as liabilities at the time of divestiture, we have not historically made significant payments for these indemnifications. Additionally, under certain of our acquisition agreements, we have provided for additional consideration to be paid to the sellers if established financial targets are achieved post-closing.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Other Agreements: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We are also party to the following types of agreements pursuant to which we may be obligated to indemnify the other party with respect to certain matters:</w:t>
      </w:r>
    </w:p>
    <w:p>
      <w:pPr>
        <w:spacing w:after="0" w:line="1" w:lineRule="exact"/>
        <w:rPr>
          <w:sz w:val="20"/>
          <w:szCs w:val="20"/>
          <w:color w:val="auto"/>
        </w:rPr>
      </w:pPr>
    </w:p>
    <w:p>
      <w:pPr>
        <w:ind w:left="360" w:hanging="312"/>
        <w:spacing w:after="0" w:line="287" w:lineRule="auto"/>
        <w:tabs>
          <w:tab w:leader="none" w:pos="360" w:val="left"/>
        </w:tabs>
        <w:numPr>
          <w:ilvl w:val="0"/>
          <w:numId w:val="140"/>
        </w:numPr>
        <w:rPr>
          <w:rFonts w:ascii="Arial" w:cs="Arial" w:eastAsia="Arial" w:hAnsi="Arial"/>
          <w:sz w:val="19"/>
          <w:szCs w:val="19"/>
          <w:b w:val="1"/>
          <w:bCs w:val="1"/>
          <w:color w:val="DA2031"/>
        </w:rPr>
      </w:pPr>
      <w:r>
        <w:rPr>
          <w:rFonts w:ascii="Arial" w:cs="Arial" w:eastAsia="Arial" w:hAnsi="Arial"/>
          <w:sz w:val="19"/>
          <w:szCs w:val="19"/>
          <w:b w:val="1"/>
          <w:bCs w:val="1"/>
          <w:color w:val="auto"/>
        </w:rPr>
        <w:t>Guarantees on behalf of our subsidiaries with respect to real estate leases. These lease guarantees may remain in effect subsequent to the sale of the subsidiary.</w:t>
      </w:r>
    </w:p>
    <w:p>
      <w:pPr>
        <w:spacing w:after="0" w:line="1" w:lineRule="exact"/>
        <w:rPr>
          <w:rFonts w:ascii="Arial" w:cs="Arial" w:eastAsia="Arial" w:hAnsi="Arial"/>
          <w:sz w:val="19"/>
          <w:szCs w:val="19"/>
          <w:b w:val="1"/>
          <w:bCs w:val="1"/>
          <w:color w:val="DA2031"/>
        </w:rPr>
      </w:pPr>
    </w:p>
    <w:p>
      <w:pPr>
        <w:jc w:val="both"/>
        <w:ind w:left="360" w:hanging="312"/>
        <w:spacing w:after="0" w:line="276" w:lineRule="auto"/>
        <w:tabs>
          <w:tab w:leader="none" w:pos="360" w:val="left"/>
        </w:tabs>
        <w:numPr>
          <w:ilvl w:val="0"/>
          <w:numId w:val="140"/>
        </w:numPr>
        <w:rPr>
          <w:rFonts w:ascii="Arial" w:cs="Arial" w:eastAsia="Arial" w:hAnsi="Arial"/>
          <w:sz w:val="19"/>
          <w:szCs w:val="19"/>
          <w:b w:val="1"/>
          <w:bCs w:val="1"/>
          <w:color w:val="DA2031"/>
        </w:rPr>
      </w:pPr>
      <w:r>
        <w:rPr>
          <w:rFonts w:ascii="Arial" w:cs="Arial" w:eastAsia="Arial" w:hAnsi="Arial"/>
          <w:sz w:val="19"/>
          <w:szCs w:val="19"/>
          <w:b w:val="1"/>
          <w:bCs w:val="1"/>
          <w:color w:val="auto"/>
        </w:rPr>
        <w:t>Agreements to indemnify various service providers, trustees and bank agents from any third-party claims related to their performance on our behalf, with the exception of claims that result from a third-party's own willful misconduct or gross negligence.</w:t>
      </w:r>
    </w:p>
    <w:p>
      <w:pPr>
        <w:spacing w:after="0" w:line="2" w:lineRule="exact"/>
        <w:rPr>
          <w:rFonts w:ascii="Arial" w:cs="Arial" w:eastAsia="Arial" w:hAnsi="Arial"/>
          <w:sz w:val="19"/>
          <w:szCs w:val="19"/>
          <w:b w:val="1"/>
          <w:bCs w:val="1"/>
          <w:color w:val="DA2031"/>
        </w:rPr>
      </w:pPr>
    </w:p>
    <w:p>
      <w:pPr>
        <w:jc w:val="both"/>
        <w:ind w:left="360" w:hanging="312"/>
        <w:spacing w:after="0" w:line="323" w:lineRule="auto"/>
        <w:tabs>
          <w:tab w:leader="none" w:pos="360" w:val="left"/>
        </w:tabs>
        <w:numPr>
          <w:ilvl w:val="0"/>
          <w:numId w:val="140"/>
        </w:numPr>
        <w:rPr>
          <w:rFonts w:ascii="Arial" w:cs="Arial" w:eastAsia="Arial" w:hAnsi="Arial"/>
          <w:sz w:val="17"/>
          <w:szCs w:val="17"/>
          <w:b w:val="1"/>
          <w:bCs w:val="1"/>
          <w:color w:val="DA2031"/>
        </w:rPr>
      </w:pPr>
      <w:r>
        <w:rPr>
          <w:rFonts w:ascii="Arial" w:cs="Arial" w:eastAsia="Arial" w:hAnsi="Arial"/>
          <w:sz w:val="17"/>
          <w:szCs w:val="17"/>
          <w:b w:val="1"/>
          <w:bCs w:val="1"/>
          <w:color w:val="auto"/>
        </w:rPr>
        <w:t>Guarantees of our performance in certain sales and services contracts to our customers and indirectly the performance of third parties with whom we have subcontracted for their services. This includes indemnifications to customers for losses that may be sustained as a result of the use of our equipment at a customer's location.</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each of these circumstances, our payment is conditioned on the other party making a claim pursuant to the procedures specified in the particular contract and such procedures also typically allow us to challenge the other party's claims. In the case of lease guarantees, we may contest the liabilities asserted under the lease. Further, our obligations under these agreements and guarantees may be limited in terms of time and/or amount, and in some instances, we may have recourse against third parties for certain payments we made.</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Patent Indemnifications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most sales transactions to resellers of our products, we indemnify against possible claims of patent infringement caused by our products or solutions. In addition, we indemnify certain software providers against claims that may arise as a result of our use or our subsidiaries', customers' or resellers' use of their software in our products and solutions. These indemnities usually do not include limits on the claims, provided the claim is made pursuant to the procedures required in the sales contract.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Indemnification of Officers and Directors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corporate by-laws of Xerox Holdings Corporation and Xerox Corporation require that, except to the extent expressly prohibited by law, we must indemnify Xerox Holdings Corporation's and Xerox Corporation's officers and directors, respectively, against judgments, fines, penalties and amounts paid in settlement, including legal fees and all appeals, incurred in connection with civil or criminal action or proceedings, as it relates to their services to Xerox Holdings Corporation and/or Xerox Corporation and their subsidiaries. Although the by-laws provide no limit on the amount of indemnification, Xerox Holdings Corporation or Xerox Corporation may have recourse against our insurance carriers for certain payments made by Xerox Holdings Corporation or Xerox Corporation. However,</w:t>
      </w:r>
    </w:p>
    <w:p>
      <w:pPr>
        <w:sectPr>
          <w:pgSz w:w="11880" w:h="15480" w:orient="portrait"/>
          <w:cols w:equalWidth="0" w:num="1">
            <w:col w:w="9960"/>
          </w:cols>
          <w:pgMar w:left="960" w:top="730" w:right="960" w:bottom="0" w:gutter="0" w:footer="0" w:header="0"/>
        </w:sectPr>
      </w:pPr>
    </w:p>
    <w:p>
      <w:pPr>
        <w:spacing w:after="0" w:line="34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154</w:t>
      </w:r>
    </w:p>
    <w:p>
      <w:pPr>
        <w:sectPr>
          <w:pgSz w:w="11880" w:h="15480" w:orient="portrait"/>
          <w:cols w:equalWidth="0" w:num="1">
            <w:col w:w="9960"/>
          </w:cols>
          <w:pgMar w:left="960" w:top="730" w:right="960" w:bottom="0" w:gutter="0" w:footer="0" w:header="0"/>
          <w:type w:val="continuous"/>
        </w:sectPr>
      </w:pPr>
    </w:p>
    <w:bookmarkStart w:id="164" w:name="page165"/>
    <w:bookmarkEnd w:id="164"/>
    <w:p>
      <w:pPr>
        <w:jc w:val="both"/>
        <w:spacing w:after="0" w:line="261" w:lineRule="auto"/>
        <w:rPr>
          <w:sz w:val="20"/>
          <w:szCs w:val="20"/>
          <w:color w:val="auto"/>
        </w:rPr>
      </w:pPr>
      <w:r>
        <w:rPr>
          <w:rFonts w:ascii="Arial" w:cs="Arial" w:eastAsia="Arial" w:hAnsi="Arial"/>
          <w:sz w:val="19"/>
          <w:szCs w:val="19"/>
          <w:b w:val="1"/>
          <w:bCs w:val="1"/>
          <w:color w:val="auto"/>
        </w:rPr>
        <w:t>certain indemnification payments (such as those related to "clawback" provisions in certain compensation arrangements) may not be covered under Xerox Holdings Corporation's and Xerox Corporation's directors' and officers' insurance coverage. Xerox Holdings Corporation and Xerox Corporation also indemnify certain fiduciaries of our employee benefit plans for liabilities incurred in their service as fiduciary whether or not they are officers of Xerox Holdings Corporation or Xerox Corporation. Finally, in connection with Xerox Holdings Corporation's and/or Xerox Corporation's acquisition of businesses, we may become contractually obligated to indemnify certain former and current directors, officers and employees of those businesses in accordance with pre-acquisition by-laws and/or indemnification agreements and/or applicable state law.</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Guarantees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We have issued or provided approximately $279 of guarantees as of December 31, 2025 in the form of letters of credit or surety bonds issued to i) support certain insurance programs; ii) support our obligations related to the Brazil tax contingencies (see </w:t>
      </w:r>
      <w:r>
        <w:rPr>
          <w:rFonts w:ascii="Arial" w:cs="Arial" w:eastAsia="Arial" w:hAnsi="Arial"/>
          <w:sz w:val="19"/>
          <w:szCs w:val="19"/>
          <w:b w:val="1"/>
          <w:bCs w:val="1"/>
          <w:color w:val="DA2031"/>
        </w:rPr>
        <w:t>Brazil Contingencies</w:t>
      </w:r>
      <w:r>
        <w:rPr>
          <w:rFonts w:ascii="Arial" w:cs="Arial" w:eastAsia="Arial" w:hAnsi="Arial"/>
          <w:sz w:val="19"/>
          <w:szCs w:val="19"/>
          <w:b w:val="1"/>
          <w:bCs w:val="1"/>
          <w:color w:val="auto"/>
        </w:rPr>
        <w:t>); iii) support our obligations related to our U.K. pension plans; and iv) support certain contracts, primarily with public sector customers, which require us to provide a surety bond as a guarantee of our performance of contractual obligations.</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general, we would only be liable for the amount of these guarantees in the event we, or one of our direct or indirect subsidiaries whose obligations we have guaranteed, defaulted in performing our obligations under each contract; the probability of which we believe is remote. We believe that our capacity in the surety markets as well as under various credit arrangements (including our ABL Credit Facility) is sufficient to allow us to respond to future requests for proposals that require such credit support.</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Note 21 -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Series A Convertible Perpetual Voting Preferred Stock</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As of December 31, 2025, Xerox Holdings Corporation had one class of preferred stock outstanding. Xerox Holdings Corporation has issued 180,000 shares of Series A Preferred Stock that have an aggregate liquidation value of $180 and a carrying value of $214. The Series A Preferred Stock pays quarterly cash dividends at a rate of 8% per year ($14 per year), on a cumulative basis. Each share of Series A Preferred Stock is convertible at any time, at the option of the holder, into 37.4532 shares of common stock of Xerox Holdings Corporation for a total of 6,742 thousand shares (reflecting an initial conversion price of approximately $26.70 per share of common stock), subject to customary anti-dilution adjustments. At December 31, 2025, 6,742 thousand shares of Common Stock were reserved for conversion of the Series A Preferred Stock.</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If the closing price of Xerox Holdings Corporation common stock exceeds $39.00 or 146.1% of the initial conversion price of $26.70 per share of common stock for 20 out of 30 consecutive trading days, Xerox Holdings Corporation will have the right to cause any or all of the Series A Preferred Stock to be converted into shares of common stock at the then applicable conversion rate. The Series A Preferred Stock is also convertible, at the option of the holder, upon a change in control, at the applicable conversion rate plus an additional number of shares determined by reference to the price paid for our common stock upon such change in control. In addition, upon the occurrence of certain fundamental change events, including a change in control or the delisting of Xerox Holdings Corporation's common stock, a holder of Series A Preferred Stock has the right to require Xerox Holdings Corporation to redeem any or all of the preferred stock in cash at a redemption price per share equal to the liquidation preference and any accrued and unpaid dividends up to, but not including, the redemption date. The Series A Preferred Stock is classified as temporary equity (i.e., apart from permanent equity) as a result of the contingent redemption feature.</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Series A Preferred Stock Voting Rights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The Xerox Holdings Corporation Series A Preferred Stock votes together with the Xerox Holdings Corporation common stock, as a single class, on all matters submitted to the shareholders of Xerox Holdings Corporation, but the Xerox Holdings Corporation Series A Voting Preferred Stock is only entitled to one vote for every ten shares of Xerox Holdings Corporation common stock into which the Xerox Holdings Corporation Series A Preferred Stock is convertible (674,157 votes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155</w:t>
      </w:r>
    </w:p>
    <w:p>
      <w:pPr>
        <w:sectPr>
          <w:pgSz w:w="11880" w:h="15480" w:orient="portrait"/>
          <w:cols w:equalWidth="0" w:num="1">
            <w:col w:w="9960"/>
          </w:cols>
          <w:pgMar w:left="960" w:top="736" w:right="960" w:bottom="0" w:gutter="0" w:footer="0" w:header="0"/>
        </w:sectPr>
      </w:pPr>
    </w:p>
    <w:bookmarkStart w:id="165" w:name="page166"/>
    <w:bookmarkEnd w:id="165"/>
    <w:p>
      <w:pPr>
        <w:spacing w:after="0"/>
        <w:rPr>
          <w:sz w:val="20"/>
          <w:szCs w:val="20"/>
          <w:color w:val="auto"/>
        </w:rPr>
      </w:pPr>
      <w:r>
        <w:rPr>
          <w:rFonts w:ascii="Arial" w:cs="Arial" w:eastAsia="Arial" w:hAnsi="Arial"/>
          <w:sz w:val="23"/>
          <w:szCs w:val="23"/>
          <w:b w:val="1"/>
          <w:bCs w:val="1"/>
          <w:color w:val="DA2031"/>
        </w:rPr>
        <w:t>Note 22 – Shareholders’ Equity</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Xerox Holdings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Preferred Stock</w:t>
      </w:r>
    </w:p>
    <w:p>
      <w:pPr>
        <w:spacing w:after="0" w:line="11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Xerox Holdings Corporation is authorized to issue approximately 22 million shares of cumulative Preferred stock, $1.00 par value per share. Refer to Note 21 - Preferred Stock for additional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Common Stock</w:t>
      </w:r>
    </w:p>
    <w:p>
      <w:pPr>
        <w:spacing w:after="0" w:line="11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Xerox Holdings Corporation is authorized to issue 437.5 million shares of Common stock, $1.00 par value per share. At December 31, 2025, 23 million shares were reserved for issuance under our incentive compensation plans and 7 million shares were reserved for conversion of the Series A Convertible Perpetual Preferred Voting Stock.</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Treasury Stock</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Xerox Holdings Corporation accounts for the repurchased Common stock under the cost method and includes such Treasury stock as a component of our Common shareholders' equity. Retirement of Treasury stock is recorded as a reduction of Common stock and Additional paid-in capital at the time such retirement is approved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Icahn Share Repurchase</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On September 28, 2023, Xerox Holdings Corporation entered into a share purchase agreement (the Purchase Agreement) with Carl C. Icahn and certain of his affiliates (Icahn Parties) pursuant to which the Company agreed to purchase an aggregate of approximately 34 million shares of the Company’s Common Stock, at a price of $15.84 per share, the closing price on September 27, 2023, the last full trading day prior to the execution of the Purchase Agreement, for an aggregate purchase price of approximately $542. The purchase was completed and settled on September 28, 2023 and was funded by a $555 Credit Agreement with Jefferies Finance LLC (Jefferies Finance), as the Administrative Agent, Collateral Agent and Lender. This loan was subsequently repaid in November 2023 with the proceeds from a Term Loan B Credit Facility (Refer to Note 15 – Debt for additional information regarding the Term Loan B Credit Facility). Aggregate fees associated with the share repurchase were approximately $11 and include the 1% excise tax on net share repurchases as required by the Inflation Reduction Act of 2022. The costs incurred are included as part of the cost of Treasury Stock.</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following table reflects the changes in Common and Treasury stock shares (shares in thousands). The Treasury stock repurchases in the table below include the repurchases under the current Xerox Holdings Corporation authorized share repurchase program.</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jc w:val="right"/>
              <w:ind w:right="142"/>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6"/>
                <w:szCs w:val="16"/>
                <w:color w:val="auto"/>
              </w:rPr>
            </w:pPr>
          </w:p>
        </w:tc>
        <w:tc>
          <w:tcPr>
            <w:tcW w:w="1500" w:type="dxa"/>
            <w:vAlign w:val="bottom"/>
          </w:tcPr>
          <w:p>
            <w:pPr>
              <w:jc w:val="right"/>
              <w:ind w:right="162"/>
              <w:spacing w:after="0"/>
              <w:rPr>
                <w:sz w:val="20"/>
                <w:szCs w:val="20"/>
                <w:color w:val="auto"/>
              </w:rPr>
            </w:pPr>
            <w:r>
              <w:rPr>
                <w:rFonts w:ascii="Arial" w:cs="Arial" w:eastAsia="Arial" w:hAnsi="Arial"/>
                <w:sz w:val="16"/>
                <w:szCs w:val="16"/>
                <w:b w:val="1"/>
                <w:bCs w:val="1"/>
                <w:color w:val="auto"/>
              </w:rPr>
              <w:t>Treasury Stock</w:t>
            </w:r>
          </w:p>
        </w:tc>
      </w:tr>
      <w:tr>
        <w:trPr>
          <w:trHeight w:val="207"/>
        </w:trPr>
        <w:tc>
          <w:tcPr>
            <w:tcW w:w="6880" w:type="dxa"/>
            <w:vAlign w:val="bottom"/>
            <w:tcBorders>
              <w:bottom w:val="single" w:sz="8" w:color="E5E5E5"/>
            </w:tcBorders>
          </w:tcPr>
          <w:p>
            <w:pPr>
              <w:spacing w:after="0"/>
              <w:rPr>
                <w:sz w:val="17"/>
                <w:szCs w:val="17"/>
                <w:color w:val="auto"/>
              </w:rPr>
            </w:pPr>
          </w:p>
        </w:tc>
        <w:tc>
          <w:tcPr>
            <w:tcW w:w="15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E5E5E5"/>
            </w:tcBorders>
          </w:tcPr>
          <w:p>
            <w:pPr>
              <w:spacing w:after="0"/>
              <w:rPr>
                <w:sz w:val="17"/>
                <w:szCs w:val="17"/>
                <w:color w:val="auto"/>
              </w:rPr>
            </w:pPr>
          </w:p>
        </w:tc>
        <w:tc>
          <w:tcPr>
            <w:tcW w:w="15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Shares</w:t>
            </w: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2022</w:t>
            </w: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155,781</w:t>
            </w:r>
          </w:p>
        </w:tc>
        <w:tc>
          <w:tcPr>
            <w:tcW w:w="80" w:type="dxa"/>
            <w:vAlign w:val="bottom"/>
            <w:shd w:val="clear" w:color="auto" w:fill="E5E5E5"/>
          </w:tcPr>
          <w:p>
            <w:pPr>
              <w:spacing w:after="0"/>
              <w:rPr>
                <w:sz w:val="19"/>
                <w:szCs w:val="19"/>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Stock based compensation plans, net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1,608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9"/>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Acquisition of Treasury stock</w:t>
            </w: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34,245</w:t>
            </w:r>
          </w:p>
        </w:tc>
      </w:tr>
      <w:tr>
        <w:trPr>
          <w:trHeight w:val="22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Cancellation of Treasury stock</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(34,245)</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(34,245)</w:t>
            </w:r>
          </w:p>
        </w:tc>
      </w:tr>
      <w:tr>
        <w:trPr>
          <w:trHeight w:val="223"/>
        </w:trPr>
        <w:tc>
          <w:tcPr>
            <w:tcW w:w="688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2023</w:t>
            </w:r>
          </w:p>
        </w:tc>
        <w:tc>
          <w:tcPr>
            <w:tcW w:w="1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123,144</w:t>
            </w:r>
          </w:p>
        </w:tc>
        <w:tc>
          <w:tcPr>
            <w:tcW w:w="80" w:type="dxa"/>
            <w:vAlign w:val="bottom"/>
            <w:tcBorders>
              <w:top w:val="single" w:sz="8" w:color="E5E5E5"/>
            </w:tcBorders>
            <w:shd w:val="clear" w:color="auto" w:fill="E5E5E5"/>
          </w:tcPr>
          <w:p>
            <w:pPr>
              <w:spacing w:after="0"/>
              <w:rPr>
                <w:sz w:val="19"/>
                <w:szCs w:val="19"/>
                <w:color w:val="auto"/>
              </w:rPr>
            </w:pPr>
          </w:p>
        </w:tc>
        <w:tc>
          <w:tcPr>
            <w:tcW w:w="1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22"/>
        </w:trPr>
        <w:tc>
          <w:tcPr>
            <w:tcW w:w="68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Stock based compensation plans, net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1,291</w:t>
            </w:r>
          </w:p>
        </w:tc>
        <w:tc>
          <w:tcPr>
            <w:tcW w:w="80" w:type="dxa"/>
            <w:vAlign w:val="bottom"/>
            <w:tcBorders>
              <w:bottom w:val="single" w:sz="8" w:color="E5E5E5"/>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6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Balance at December 31, 2024</w:t>
            </w: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124,435</w:t>
            </w:r>
          </w:p>
        </w:tc>
        <w:tc>
          <w:tcPr>
            <w:tcW w:w="80" w:type="dxa"/>
            <w:vAlign w:val="bottom"/>
            <w:shd w:val="clear" w:color="auto" w:fill="E5E5E5"/>
          </w:tcPr>
          <w:p>
            <w:pPr>
              <w:spacing w:after="0"/>
              <w:rPr>
                <w:sz w:val="19"/>
                <w:szCs w:val="19"/>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Stock based compensation plans, net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1,453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8"/>
        </w:trPr>
        <w:tc>
          <w:tcPr>
            <w:tcW w:w="6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Exercise of warrants</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2,156</w:t>
            </w:r>
          </w:p>
        </w:tc>
        <w:tc>
          <w:tcPr>
            <w:tcW w:w="80" w:type="dxa"/>
            <w:vAlign w:val="bottom"/>
            <w:tcBorders>
              <w:bottom w:val="single" w:sz="8" w:color="E5E5E5"/>
            </w:tcBorders>
            <w:shd w:val="clear" w:color="auto" w:fill="E5E5E5"/>
          </w:tcPr>
          <w:p>
            <w:pPr>
              <w:spacing w:after="0"/>
              <w:rPr>
                <w:sz w:val="21"/>
                <w:szCs w:val="21"/>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174"/>
        </w:trPr>
        <w:tc>
          <w:tcPr>
            <w:tcW w:w="688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Balance at December 31, 2025</w:t>
            </w:r>
          </w:p>
        </w:tc>
        <w:tc>
          <w:tcPr>
            <w:tcW w:w="15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128,044</w:t>
            </w:r>
          </w:p>
        </w:tc>
        <w:tc>
          <w:tcPr>
            <w:tcW w:w="80" w:type="dxa"/>
            <w:vAlign w:val="bottom"/>
          </w:tcPr>
          <w:p>
            <w:pPr>
              <w:spacing w:after="0"/>
              <w:rPr>
                <w:sz w:val="15"/>
                <w:szCs w:val="15"/>
                <w:color w:val="auto"/>
              </w:rPr>
            </w:pPr>
          </w:p>
        </w:tc>
        <w:tc>
          <w:tcPr>
            <w:tcW w:w="15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w:t>
            </w:r>
          </w:p>
        </w:tc>
      </w:tr>
      <w:tr>
        <w:trPr>
          <w:trHeight w:val="20"/>
        </w:trPr>
        <w:tc>
          <w:tcPr>
            <w:tcW w:w="6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-55880</wp:posOffset>
            </wp:positionV>
            <wp:extent cx="2000250" cy="755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6">
                      <a:extLst>
                        <a:ext uri="{28A0092B-C50C-407E-A947-70E740481C1C}"/>
                      </a:extLst>
                    </a:blip>
                    <a:srcRect/>
                    <a:stretch>
                      <a:fillRect/>
                    </a:stretch>
                  </pic:blipFill>
                  <pic:spPr bwMode="auto">
                    <a:xfrm>
                      <a:off x="0" y="0"/>
                      <a:ext cx="2000250" cy="7556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Unregistered Sales of Equity Securities</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In connection with the issuance of the 2030 Note, Xerox Holdings issued a pre-funded warrant (the Warrant), exercisable for 2,160,256 shares of Xerox Holdings Corporation’s common stock (Common Stock), at an exercise price of $1.00 per share, of which $0.99 was prefunded, to one of the purchasers of the 2030 Notes. The exercise price and the number of shares of common stock issuable upon exercise of the Warrant were subject to appropriate adjustment in the event of certain stock dividends, stock splits, stock combinations, or similar events effecting the Common Stock. The Warrant was exercised during the third quarter 2025. Refer to Note 15 - Debt for additional information regarding the issuance of the 2030 No</w:t>
      </w:r>
      <w:r>
        <w:rPr>
          <w:rFonts w:ascii="Times New Roman" w:cs="Times New Roman" w:eastAsia="Times New Roman" w:hAnsi="Times New Roman"/>
          <w:sz w:val="19"/>
          <w:szCs w:val="19"/>
          <w:color w:val="auto"/>
        </w:rPr>
        <w:t>te.</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Xerox</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At December 31, 2025, Xerox Corporation has 1,000 authorized shares of Common stock, $1.00 par value per share, of which 100 shares are issued and outstanding and held by Xerox Holdings Corporation.</w:t>
      </w:r>
    </w:p>
    <w:p>
      <w:pPr>
        <w:spacing w:after="0" w:line="28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156</w:t>
      </w:r>
    </w:p>
    <w:p>
      <w:pPr>
        <w:sectPr>
          <w:pgSz w:w="11880" w:h="15480" w:orient="portrait"/>
          <w:cols w:equalWidth="0" w:num="1">
            <w:col w:w="9960"/>
          </w:cols>
          <w:pgMar w:left="960" w:top="637" w:right="960" w:bottom="0" w:gutter="0" w:footer="0" w:header="0"/>
        </w:sectPr>
      </w:pPr>
    </w:p>
    <w:bookmarkStart w:id="166" w:name="page167"/>
    <w:bookmarkEnd w:id="166"/>
    <w:p>
      <w:pPr>
        <w:spacing w:after="0"/>
        <w:rPr>
          <w:sz w:val="20"/>
          <w:szCs w:val="20"/>
          <w:color w:val="auto"/>
        </w:rPr>
      </w:pPr>
      <w:r>
        <w:rPr>
          <w:rFonts w:ascii="Arial" w:cs="Arial" w:eastAsia="Arial" w:hAnsi="Arial"/>
          <w:sz w:val="23"/>
          <w:szCs w:val="23"/>
          <w:b w:val="1"/>
          <w:bCs w:val="1"/>
          <w:color w:val="DA2031"/>
        </w:rPr>
        <w:t>Note 23 –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DA2031"/>
        </w:rPr>
        <w:t>(shares in thousands, unless otherwise noted)</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We have a long-term incentive plan whereby eligible employees may be granted restricted stock units (RSUs), performance share units (PSUs) and stock options (SOs). We grant stock-based compensation awards in order to continue to attract and retain qualified employees and to better align employees' interests with those of our shareholders. Each of these awards is subject to settlement with newly issued shares of Xerox Holdings Corporation's common stock. At December 31, 2025 and 2024, 3 million and 5 million shares, respectively, were available for grant of awards.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Stock-based compensation expense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3"/>
        </w:trPr>
        <w:tc>
          <w:tcPr>
            <w:tcW w:w="5320" w:type="dxa"/>
            <w:vAlign w:val="bottom"/>
            <w:tcBorders>
              <w:bottom w:val="single" w:sz="8" w:color="E5E5E5"/>
            </w:tcBorders>
          </w:tcPr>
          <w:p>
            <w:pPr>
              <w:spacing w:after="0"/>
              <w:rPr>
                <w:sz w:val="18"/>
                <w:szCs w:val="18"/>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Stock-based compensation expense, pre-tax</w:t>
            </w:r>
          </w:p>
        </w:tc>
        <w:tc>
          <w:tcPr>
            <w:tcW w:w="1080" w:type="dxa"/>
            <w:vAlign w:val="bottom"/>
            <w:shd w:val="clear" w:color="auto" w:fill="E5E5E5"/>
          </w:tcPr>
          <w:p>
            <w:pPr>
              <w:jc w:val="right"/>
              <w:ind w:right="862"/>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45</w:t>
            </w:r>
          </w:p>
        </w:tc>
        <w:tc>
          <w:tcPr>
            <w:tcW w:w="42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w:t>
            </w:r>
          </w:p>
        </w:tc>
        <w:tc>
          <w:tcPr>
            <w:tcW w:w="44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w:t>
            </w:r>
          </w:p>
        </w:tc>
      </w:tr>
      <w:tr>
        <w:trPr>
          <w:trHeight w:val="221"/>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Income tax benefit recognized in earnings</w:t>
            </w:r>
          </w:p>
        </w:tc>
        <w:tc>
          <w:tcPr>
            <w:tcW w:w="1080" w:type="dxa"/>
            <w:vAlign w:val="bottom"/>
          </w:tcPr>
          <w:p>
            <w:pPr>
              <w:spacing w:after="0"/>
              <w:rPr>
                <w:sz w:val="19"/>
                <w:szCs w:val="19"/>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b w:val="1"/>
                <w:bCs w:val="1"/>
                <w:color w:val="auto"/>
              </w:rPr>
              <w:t>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Restricted Stock Units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Compensation expense for RSUs is based upon the grant-date market price and is recognized on a straight-line basis over the vesting period, based on management's estimate of the number of shares expected to vest. RSUs granted in 2025 vest one-third on the first anniversary of the grant date, with the remainder vesting in equal quarterly installments over the subsequent two years of service. RSUs granted in 2024 and 2023 vest ratably over three years, with one-third vesting on each anniversary of the grant date.</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Performance Share Units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 xml:space="preserve">PSU awards are comprised of a performance-based component (Operating income) as well as a market-based component (Relative Total Shareholder Return (RTSR)). PSUs granted in 2025 and 2024 are entirely performance-based with an RTSR modifier - see </w:t>
      </w:r>
      <w:r>
        <w:rPr>
          <w:rFonts w:ascii="Arial" w:cs="Arial" w:eastAsia="Arial" w:hAnsi="Arial"/>
          <w:sz w:val="19"/>
          <w:szCs w:val="19"/>
          <w:b w:val="1"/>
          <w:bCs w:val="1"/>
          <w:i w:val="1"/>
          <w:iCs w:val="1"/>
          <w:u w:val="single" w:color="auto"/>
          <w:color w:val="DA2031"/>
        </w:rPr>
        <w:t>Market-Based Component</w:t>
      </w:r>
      <w:r>
        <w:rPr>
          <w:rFonts w:ascii="Arial" w:cs="Arial" w:eastAsia="Arial" w:hAnsi="Arial"/>
          <w:sz w:val="19"/>
          <w:szCs w:val="19"/>
          <w:b w:val="1"/>
          <w:bCs w:val="1"/>
          <w:color w:val="auto"/>
        </w:rPr>
        <w:t xml:space="preserve"> below. PSUs granted in 2023 are entirely market-based. The metrics and weightings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w w:val="97"/>
              </w:rPr>
              <w:t>Award Year (Metric Weighting)</w:t>
            </w:r>
          </w:p>
        </w:tc>
        <w:tc>
          <w:tcPr>
            <w:tcW w:w="1160" w:type="dxa"/>
            <w:vAlign w:val="bottom"/>
            <w:tcBorders>
              <w:bottom w:val="single" w:sz="8" w:color="auto"/>
            </w:tcBorders>
          </w:tcPr>
          <w:p>
            <w:pPr>
              <w:spacing w:after="0"/>
              <w:rPr>
                <w:sz w:val="18"/>
                <w:szCs w:val="18"/>
                <w:color w:val="auto"/>
              </w:rPr>
            </w:pPr>
          </w:p>
        </w:tc>
      </w:tr>
      <w:tr>
        <w:trPr>
          <w:trHeight w:val="227"/>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Performance Metric</w:t>
            </w:r>
          </w:p>
        </w:tc>
        <w:tc>
          <w:tcPr>
            <w:tcW w:w="4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2023</w:t>
            </w:r>
          </w:p>
        </w:tc>
      </w:tr>
      <w:tr>
        <w:trPr>
          <w:trHeight w:val="238"/>
        </w:trPr>
        <w:tc>
          <w:tcPr>
            <w:tcW w:w="516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Operating income</w:t>
            </w:r>
            <w:r>
              <w:rPr>
                <w:rFonts w:ascii="Arial" w:cs="Arial" w:eastAsia="Arial" w:hAnsi="Arial"/>
                <w:sz w:val="10"/>
                <w:szCs w:val="10"/>
                <w:b w:val="1"/>
                <w:bCs w:val="1"/>
                <w:color w:val="auto"/>
              </w:rPr>
              <w:t>(1)</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c>
          <w:tcPr>
            <w:tcW w:w="60" w:type="dxa"/>
            <w:vAlign w:val="bottom"/>
            <w:shd w:val="clear" w:color="auto" w:fill="DBDBDB"/>
          </w:tcPr>
          <w:p>
            <w:pPr>
              <w:spacing w:after="0"/>
              <w:rPr>
                <w:sz w:val="20"/>
                <w:szCs w:val="20"/>
                <w:color w:val="auto"/>
              </w:rPr>
            </w:pPr>
          </w:p>
        </w:tc>
        <w:tc>
          <w:tcPr>
            <w:tcW w:w="2020" w:type="dxa"/>
            <w:vAlign w:val="bottom"/>
            <w:gridSpan w:val="3"/>
            <w:shd w:val="clear" w:color="auto" w:fill="DBDBDB"/>
          </w:tcPr>
          <w:p>
            <w:pPr>
              <w:jc w:val="right"/>
              <w:ind w:right="480"/>
              <w:spacing w:after="0"/>
              <w:rPr>
                <w:sz w:val="20"/>
                <w:szCs w:val="20"/>
                <w:color w:val="auto"/>
              </w:rPr>
            </w:pPr>
            <w:r>
              <w:rPr>
                <w:rFonts w:ascii="Arial" w:cs="Arial" w:eastAsia="Arial" w:hAnsi="Arial"/>
                <w:sz w:val="16"/>
                <w:szCs w:val="16"/>
                <w:b w:val="1"/>
                <w:bCs w:val="1"/>
                <w:color w:val="auto"/>
              </w:rPr>
              <w:t>— %</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r>
      <w:tr>
        <w:trPr>
          <w:trHeight w:val="242"/>
        </w:trPr>
        <w:tc>
          <w:tcPr>
            <w:tcW w:w="516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Operating income improvement</w:t>
            </w:r>
            <w:r>
              <w:rPr>
                <w:rFonts w:ascii="Arial" w:cs="Arial" w:eastAsia="Arial" w:hAnsi="Arial"/>
                <w:sz w:val="10"/>
                <w:szCs w:val="10"/>
                <w:b w:val="1"/>
                <w:bCs w:val="1"/>
                <w:color w:val="auto"/>
              </w:rPr>
              <w:t>(1)</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 %</w:t>
            </w:r>
          </w:p>
        </w:tc>
      </w:tr>
      <w:tr>
        <w:trPr>
          <w:trHeight w:val="243"/>
        </w:trPr>
        <w:tc>
          <w:tcPr>
            <w:tcW w:w="5160" w:type="dxa"/>
            <w:vAlign w:val="bottom"/>
            <w:tcBorders>
              <w:bottom w:val="single" w:sz="8" w:color="DBDBDB"/>
            </w:tcBorders>
            <w:gridSpan w:val="2"/>
            <w:shd w:val="clear" w:color="auto" w:fill="DBDBDB"/>
          </w:tcPr>
          <w:p>
            <w:pPr>
              <w:ind w:left="60"/>
              <w:spacing w:after="0"/>
              <w:rPr>
                <w:sz w:val="20"/>
                <w:szCs w:val="20"/>
                <w:color w:val="auto"/>
              </w:rPr>
            </w:pPr>
            <w:r>
              <w:rPr>
                <w:rFonts w:ascii="Arial" w:cs="Arial" w:eastAsia="Arial" w:hAnsi="Arial"/>
                <w:sz w:val="16"/>
                <w:szCs w:val="16"/>
                <w:b w:val="1"/>
                <w:bCs w:val="1"/>
                <w:color w:val="auto"/>
              </w:rPr>
              <w:t>Relative total shareholder return</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6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 %</w:t>
            </w:r>
          </w:p>
        </w:tc>
        <w:tc>
          <w:tcPr>
            <w:tcW w:w="6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100 %</w:t>
            </w:r>
          </w:p>
        </w:tc>
      </w:tr>
      <w:tr>
        <w:trPr>
          <w:trHeight w:val="209"/>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100 %</w:t>
            </w: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-55245</wp:posOffset>
            </wp:positionV>
            <wp:extent cx="3090545" cy="755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7">
                      <a:extLst>
                        <a:ext uri="{28A0092B-C50C-407E-A947-70E740481C1C}"/>
                      </a:extLst>
                    </a:blip>
                    <a:srcRect/>
                    <a:stretch>
                      <a:fillRect/>
                    </a:stretch>
                  </pic:blipFill>
                  <pic:spPr bwMode="auto">
                    <a:xfrm>
                      <a:off x="0" y="0"/>
                      <a:ext cx="3090545" cy="7556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70" w:lineRule="exact"/>
        <w:rPr>
          <w:sz w:val="20"/>
          <w:szCs w:val="20"/>
          <w:color w:val="auto"/>
        </w:rPr>
      </w:pPr>
    </w:p>
    <w:p>
      <w:pPr>
        <w:ind w:left="360" w:hanging="356"/>
        <w:spacing w:after="0" w:line="270" w:lineRule="auto"/>
        <w:tabs>
          <w:tab w:leader="none" w:pos="360" w:val="left"/>
        </w:tabs>
        <w:numPr>
          <w:ilvl w:val="0"/>
          <w:numId w:val="1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PSUs granted in 2025 and 2024 are performance-based and subject to an operating income metric and an RTSR modifier that may increase or decrease the number of shares that vest by up to 15% and 25%, respectively.</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measures are independent of each other and depending on the achievement of these metrics, a recipient of a PSU award is entitled to receive a number of shares equal to a percentage, ranging from 0% to 200% of the PSU award granted. All PSUs granted have a three-year cliff vesting from the date of grant.</w:t>
      </w:r>
    </w:p>
    <w:p>
      <w:pPr>
        <w:spacing w:after="0" w:line="6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In August 2025, the Board of Directors of Xerox Holdings Corporation approved a modification to the 2025 PSUs that increased the threshold, target, and maximum operating income performance levels to reflect the inclusion of Lexmark’s estimated operating income from the July 1, 2025 acquisition date through December 31, 2025.</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u w:val="single" w:color="auto"/>
          <w:color w:val="DA2031"/>
        </w:rPr>
        <w:t>Performance-Based Component:</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color w:val="000000"/>
        </w:rPr>
        <w:t>This PSU component vests contingent upon meeting predetermined annual</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color w:val="000000"/>
        </w:rPr>
        <w:t>and/or cumulative performance metrics. The 2025 PSU metric vests based on the achievement of a one-year predetermined operating income goal for fiscal year 2025. The 2024 PSU metric vests contingent upon meeting predetermined annual, as well as cumulative, operating income improvement goals established for four discrete performance periods (2024, 2025 and 2026) weighted 20%, respectively, and a three-year cumulative goal (2024-2026) weighted 40%. The fair value of this PSU component is determined using the grant-date market price for the underlying stock. Compensation expense is recognized on a straight-line basis over the three-year vesting period, based on management's estimate of the number of shares expected to vest and based on achievement of the applicable performance targets. If actual results exceed the stated targets, all plan participants have the potential to earn additional shares of common stock up to a maximum over-achievement of 100% of the original grant. If the stated targets are not met, any recognized compensation cost would be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157</w:t>
      </w:r>
    </w:p>
    <w:p>
      <w:pPr>
        <w:sectPr>
          <w:pgSz w:w="11880" w:h="15480" w:orient="portrait"/>
          <w:cols w:equalWidth="0" w:num="1">
            <w:col w:w="9960"/>
          </w:cols>
          <w:pgMar w:left="960" w:top="724" w:right="960" w:bottom="0" w:gutter="0" w:footer="0" w:header="0"/>
        </w:sectPr>
      </w:pPr>
    </w:p>
    <w:bookmarkStart w:id="167" w:name="page168"/>
    <w:bookmarkEnd w:id="167"/>
    <w:p>
      <w:pPr>
        <w:jc w:val="both"/>
        <w:spacing w:after="0" w:line="272" w:lineRule="auto"/>
        <w:rPr>
          <w:sz w:val="20"/>
          <w:szCs w:val="20"/>
          <w:color w:val="auto"/>
        </w:rPr>
      </w:pPr>
      <w:r>
        <w:rPr>
          <w:rFonts w:ascii="Arial" w:cs="Arial" w:eastAsia="Arial" w:hAnsi="Arial"/>
          <w:sz w:val="18"/>
          <w:szCs w:val="18"/>
          <w:b w:val="1"/>
          <w:bCs w:val="1"/>
          <w:i w:val="1"/>
          <w:iCs w:val="1"/>
          <w:u w:val="single" w:color="auto"/>
          <w:color w:val="DA2031"/>
        </w:rPr>
        <w:t>Market-Based Component</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color w:val="000000"/>
        </w:rPr>
        <w:t>The RTSR metric, included as part of the 2025 PSU, is based on Xerox Holdings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color w:val="000000"/>
        </w:rPr>
        <w:t>Corporation's stock price appreciation, inclusive of dividends paid, measured over a three-year performance period (2025-2027). RTSR will be determined by ranking Xerox Holdings Corporation and the companies within the S&amp;P 600 Information Technology Index, as approved by the Compensation and Human Capital Committee of the Board, from highest to lowest according to their respective TSRs, for the three-year performance period. Payout for this portion of the 2025 PSU will be determined based on the RTSR for the three-year measurement period, and based on this result, the RTSR modifier can increase or decrease the number of shares that ultimately vest by 15%. Final payout will be determined based on Xerox’s Operating income metric, and depending on the RTSR performance, a potential increase or decrease of 15%, with a maximum over-achievement of 100% of the original grant. The RTSR metric, included as part of the 2024 PSU, is based on Xerox Holdings Corporation's stock price appreciation, inclusive of dividends paid, measured over three equally weighted performance periods (2024, 2024-2025, and 2024-2026). RTSR will be determined by ranking Xerox Holdings Corporation and the companies within the S&amp;P 600 Information Technology Index, as approved by the Compensation and Human Capital Committee of the Board, from highest to lowest according to their respective TSRs, for each of the three performance periods. Payout for this portion of the 2024 PSU will be determined based on the average RTSR of the three measurement periods, and based on these results, the RTSR modifier can increase or decrease the number of shares that ultimately vest by 25%. Final payout will be determined based on the cumulative results of the four individually weighted measurement periods of Xerox’s Operating income improvement metric, and depending on the RTSR performance, a potential increase or decrease of 25%, with a maximum over-achievement of 100% of the original grant. The RTSR metric, included as part of the 2023 PSU, is based on Xerox Holdings Corporation's stock price appreciation, inclusive of dividends paid, measured over three equally weighted performance periods (2023, 2023-2024, and 2023-2025). RTSR will be determined by ranking Xerox Holdings Corporation and the companies within two distinct market indices, as approved by the Compensation and Human Capital Committee of the Board, from highest to lowest according to their respective TSRs, for each of the three performance periods. Payout for the 2023 PSU will be determined based on the weighted average of Xerox Holdings Corporation's payout for each of the three performance periods. Payout for these portions of the PSU metrics will be determined based on total return targets. Since these metrics represent market conditions, Monte Carlo simulations were used to determine their respective grant-date fair values.</w:t>
      </w:r>
    </w:p>
    <w:p>
      <w:pPr>
        <w:spacing w:after="0" w:line="30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A summary of Xerox Holding's key valuation input assumptions used in the Monte Carlo simulation relative to awards granted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4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 Award</w:t>
            </w:r>
          </w:p>
        </w:tc>
        <w:tc>
          <w:tcPr>
            <w:tcW w:w="6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2024 Award</w:t>
            </w:r>
          </w:p>
        </w:tc>
        <w:tc>
          <w:tcPr>
            <w:tcW w:w="6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2023 Award</w:t>
            </w:r>
          </w:p>
        </w:tc>
      </w:tr>
      <w:tr>
        <w:trPr>
          <w:trHeight w:val="223"/>
        </w:trPr>
        <w:tc>
          <w:tcPr>
            <w:tcW w:w="53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Term</w:t>
            </w:r>
          </w:p>
        </w:tc>
        <w:tc>
          <w:tcPr>
            <w:tcW w:w="24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 years</w:t>
            </w:r>
          </w:p>
        </w:tc>
        <w:tc>
          <w:tcPr>
            <w:tcW w:w="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 years</w:t>
            </w:r>
          </w:p>
        </w:tc>
        <w:tc>
          <w:tcPr>
            <w:tcW w:w="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 years</w:t>
            </w:r>
          </w:p>
        </w:tc>
      </w:tr>
      <w:tr>
        <w:trPr>
          <w:trHeight w:val="227"/>
        </w:trPr>
        <w:tc>
          <w:tcPr>
            <w:tcW w:w="5340" w:type="dxa"/>
            <w:vAlign w:val="bottom"/>
          </w:tcPr>
          <w:p>
            <w:pPr>
              <w:ind w:left="60"/>
              <w:spacing w:after="0"/>
              <w:rPr>
                <w:sz w:val="20"/>
                <w:szCs w:val="20"/>
                <w:color w:val="auto"/>
              </w:rPr>
            </w:pPr>
            <w:r>
              <w:rPr>
                <w:rFonts w:ascii="Arial" w:cs="Arial" w:eastAsia="Arial" w:hAnsi="Arial"/>
                <w:sz w:val="16"/>
                <w:szCs w:val="16"/>
                <w:b w:val="1"/>
                <w:bCs w:val="1"/>
                <w:color w:val="auto"/>
              </w:rPr>
              <w:t>Risk-free interest rate</w:t>
            </w:r>
            <w:r>
              <w:rPr>
                <w:rFonts w:ascii="Arial" w:cs="Arial" w:eastAsia="Arial" w:hAnsi="Arial"/>
                <w:sz w:val="10"/>
                <w:szCs w:val="10"/>
                <w:b w:val="1"/>
                <w:bCs w:val="1"/>
                <w:color w:val="auto"/>
              </w:rPr>
              <w:t>(1)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3.92 %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4.20 %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3.80 %</w:t>
            </w:r>
          </w:p>
        </w:tc>
      </w:tr>
      <w:tr>
        <w:trPr>
          <w:trHeight w:val="239"/>
        </w:trPr>
        <w:tc>
          <w:tcPr>
            <w:tcW w:w="53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Volatility</w:t>
            </w:r>
            <w:r>
              <w:rPr>
                <w:rFonts w:ascii="Arial" w:cs="Arial" w:eastAsia="Arial" w:hAnsi="Arial"/>
                <w:sz w:val="10"/>
                <w:szCs w:val="10"/>
                <w:b w:val="1"/>
                <w:bCs w:val="1"/>
                <w:color w:val="auto"/>
              </w:rPr>
              <w:t>(2)</w:t>
            </w:r>
          </w:p>
        </w:tc>
        <w:tc>
          <w:tcPr>
            <w:tcW w:w="24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47.92 %</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42.88 %</w:t>
            </w:r>
          </w:p>
        </w:tc>
        <w:tc>
          <w:tcPr>
            <w:tcW w:w="6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52.21 %</w:t>
            </w:r>
          </w:p>
        </w:tc>
      </w:tr>
      <w:tr>
        <w:trPr>
          <w:trHeight w:val="221"/>
        </w:trPr>
        <w:tc>
          <w:tcPr>
            <w:tcW w:w="5340" w:type="dxa"/>
            <w:vAlign w:val="bottom"/>
          </w:tcPr>
          <w:p>
            <w:pPr>
              <w:ind w:left="60"/>
              <w:spacing w:after="0"/>
              <w:rPr>
                <w:sz w:val="20"/>
                <w:szCs w:val="20"/>
                <w:color w:val="auto"/>
              </w:rPr>
            </w:pPr>
            <w:r>
              <w:rPr>
                <w:rFonts w:ascii="Arial" w:cs="Arial" w:eastAsia="Arial" w:hAnsi="Arial"/>
                <w:sz w:val="16"/>
                <w:szCs w:val="16"/>
                <w:b w:val="1"/>
                <w:bCs w:val="1"/>
                <w:color w:val="auto"/>
              </w:rPr>
              <w:t>Weighted average fair value</w:t>
            </w:r>
            <w:r>
              <w:rPr>
                <w:rFonts w:ascii="Arial" w:cs="Arial" w:eastAsia="Arial" w:hAnsi="Arial"/>
                <w:sz w:val="10"/>
                <w:szCs w:val="10"/>
                <w:b w:val="1"/>
                <w:bCs w:val="1"/>
                <w:color w:val="auto"/>
              </w:rPr>
              <w:t>(3)</w:t>
            </w:r>
          </w:p>
        </w:tc>
        <w:tc>
          <w:tcPr>
            <w:tcW w:w="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5.15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18.29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b w:val="1"/>
                <w:bCs w:val="1"/>
                <w:color w:val="auto"/>
              </w:rPr>
              <w:t>23.00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60" w:hanging="356"/>
        <w:spacing w:after="0" w:line="242" w:lineRule="auto"/>
        <w:tabs>
          <w:tab w:leader="none" w:pos="360" w:val="left"/>
        </w:tabs>
        <w:numPr>
          <w:ilvl w:val="0"/>
          <w:numId w:val="14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risk-free interest rate was based on the zero-coupon U.S. Treasury yield curve on the valuation date, with a maturity matched to the performance period.</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4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Volatility is derived from historical stock prices as well as implied volatility when appropriate and available.</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4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weighted average of fair values used to record compensation expense as determined by the Monte Carlo simulation.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RTSR metrics are compared against total return targets to determine the payout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500" w:type="dxa"/>
            <w:vAlign w:val="bottom"/>
          </w:tcPr>
          <w:p>
            <w:pPr>
              <w:jc w:val="right"/>
              <w:ind w:right="502"/>
              <w:spacing w:after="0"/>
              <w:rPr>
                <w:sz w:val="20"/>
                <w:szCs w:val="20"/>
                <w:color w:val="auto"/>
              </w:rPr>
            </w:pPr>
            <w:r>
              <w:rPr>
                <w:rFonts w:ascii="Arial" w:cs="Arial" w:eastAsia="Arial" w:hAnsi="Arial"/>
                <w:sz w:val="16"/>
                <w:szCs w:val="16"/>
                <w:b w:val="1"/>
                <w:bCs w:val="1"/>
                <w:color w:val="auto"/>
              </w:rPr>
              <w:t>2025</w:t>
            </w:r>
          </w:p>
        </w:tc>
        <w:tc>
          <w:tcPr>
            <w:tcW w:w="1560" w:type="dxa"/>
            <w:vAlign w:val="bottom"/>
            <w:gridSpan w:val="2"/>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181"/>
        </w:trPr>
        <w:tc>
          <w:tcPr>
            <w:tcW w:w="53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Payout Percentage</w:t>
            </w:r>
          </w:p>
        </w:tc>
        <w:tc>
          <w:tcPr>
            <w:tcW w:w="15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0"/>
              </w:rPr>
              <w:t>Percentile Ranking</w:t>
            </w:r>
          </w:p>
        </w:tc>
        <w:tc>
          <w:tcPr>
            <w:tcW w:w="60" w:type="dxa"/>
            <w:vAlign w:val="bottom"/>
          </w:tcPr>
          <w:p>
            <w:pPr>
              <w:spacing w:after="0"/>
              <w:rPr>
                <w:sz w:val="15"/>
                <w:szCs w:val="15"/>
                <w:color w:val="auto"/>
              </w:rPr>
            </w:pPr>
          </w:p>
        </w:tc>
        <w:tc>
          <w:tcPr>
            <w:tcW w:w="15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0"/>
              </w:rPr>
              <w:t>Percentile Ranking</w:t>
            </w:r>
          </w:p>
        </w:tc>
        <w:tc>
          <w:tcPr>
            <w:tcW w:w="60" w:type="dxa"/>
            <w:vAlign w:val="bottom"/>
          </w:tcPr>
          <w:p>
            <w:pPr>
              <w:spacing w:after="0"/>
              <w:rPr>
                <w:sz w:val="15"/>
                <w:szCs w:val="15"/>
                <w:color w:val="auto"/>
              </w:rPr>
            </w:pPr>
          </w:p>
        </w:tc>
        <w:tc>
          <w:tcPr>
            <w:tcW w:w="15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w w:val="90"/>
              </w:rPr>
              <w:t>Percentile Ranking</w:t>
            </w:r>
          </w:p>
        </w:tc>
        <w:tc>
          <w:tcPr>
            <w:tcW w:w="0" w:type="dxa"/>
            <w:vAlign w:val="bottom"/>
          </w:tcPr>
          <w:p>
            <w:pPr>
              <w:spacing w:after="0"/>
              <w:rPr>
                <w:sz w:val="1"/>
                <w:szCs w:val="1"/>
                <w:color w:val="auto"/>
              </w:rPr>
            </w:pPr>
          </w:p>
        </w:tc>
      </w:tr>
      <w:tr>
        <w:trPr>
          <w:trHeight w:val="168"/>
        </w:trPr>
        <w:tc>
          <w:tcPr>
            <w:tcW w:w="5340" w:type="dxa"/>
            <w:vAlign w:val="bottom"/>
            <w:gridSpan w:val="3"/>
            <w:vMerge w:val="continue"/>
          </w:tcPr>
          <w:p>
            <w:pPr>
              <w:spacing w:after="0"/>
              <w:rPr>
                <w:sz w:val="14"/>
                <w:szCs w:val="14"/>
                <w:color w:val="auto"/>
              </w:rPr>
            </w:pPr>
          </w:p>
        </w:tc>
        <w:tc>
          <w:tcPr>
            <w:tcW w:w="15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0"/>
              </w:rPr>
              <w:t>Return Targets</w:t>
            </w:r>
            <w:r>
              <w:rPr>
                <w:rFonts w:ascii="Arial" w:cs="Arial" w:eastAsia="Arial" w:hAnsi="Arial"/>
                <w:sz w:val="10"/>
                <w:szCs w:val="10"/>
                <w:b w:val="1"/>
                <w:bCs w:val="1"/>
                <w:color w:val="auto"/>
                <w:w w:val="90"/>
              </w:rPr>
              <w:t>(1)</w:t>
            </w:r>
          </w:p>
        </w:tc>
        <w:tc>
          <w:tcPr>
            <w:tcW w:w="60" w:type="dxa"/>
            <w:vAlign w:val="bottom"/>
          </w:tcPr>
          <w:p>
            <w:pPr>
              <w:spacing w:after="0"/>
              <w:rPr>
                <w:sz w:val="14"/>
                <w:szCs w:val="14"/>
                <w:color w:val="auto"/>
              </w:rPr>
            </w:pPr>
          </w:p>
        </w:tc>
        <w:tc>
          <w:tcPr>
            <w:tcW w:w="15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0"/>
              </w:rPr>
              <w:t>Return Targets</w:t>
            </w:r>
            <w:r>
              <w:rPr>
                <w:rFonts w:ascii="Arial" w:cs="Arial" w:eastAsia="Arial" w:hAnsi="Arial"/>
                <w:sz w:val="10"/>
                <w:szCs w:val="10"/>
                <w:b w:val="1"/>
                <w:bCs w:val="1"/>
                <w:color w:val="auto"/>
                <w:w w:val="90"/>
              </w:rPr>
              <w:t>(1)</w:t>
            </w:r>
          </w:p>
        </w:tc>
        <w:tc>
          <w:tcPr>
            <w:tcW w:w="60" w:type="dxa"/>
            <w:vAlign w:val="bottom"/>
          </w:tcPr>
          <w:p>
            <w:pPr>
              <w:spacing w:after="0"/>
              <w:rPr>
                <w:sz w:val="14"/>
                <w:szCs w:val="14"/>
                <w:color w:val="auto"/>
              </w:rPr>
            </w:pPr>
          </w:p>
        </w:tc>
        <w:tc>
          <w:tcPr>
            <w:tcW w:w="15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0"/>
              </w:rPr>
              <w:t>Return Targets</w:t>
            </w:r>
            <w:r>
              <w:rPr>
                <w:rFonts w:ascii="Arial" w:cs="Arial" w:eastAsia="Arial" w:hAnsi="Arial"/>
                <w:sz w:val="10"/>
                <w:szCs w:val="10"/>
                <w:b w:val="1"/>
                <w:bCs w:val="1"/>
                <w:color w:val="auto"/>
                <w:w w:val="90"/>
              </w:rPr>
              <w:t>(1)</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1320" w:type="dxa"/>
            <w:vAlign w:val="bottom"/>
            <w:tcBorders>
              <w:top w:val="single" w:sz="8" w:color="auto"/>
              <w:bottom w:val="single" w:sz="8" w:color="E5E5E5"/>
            </w:tcBorders>
          </w:tcPr>
          <w:p>
            <w:pPr>
              <w:spacing w:after="0" w:line="20" w:lineRule="exact"/>
              <w:rPr>
                <w:sz w:val="1"/>
                <w:szCs w:val="1"/>
                <w:color w:val="auto"/>
              </w:rPr>
            </w:pPr>
          </w:p>
        </w:tc>
        <w:tc>
          <w:tcPr>
            <w:tcW w:w="3960" w:type="dxa"/>
            <w:vAlign w:val="bottom"/>
            <w:tcBorders>
              <w:bottom w:val="single" w:sz="8" w:color="E5E5E5"/>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200%</w:t>
            </w:r>
          </w:p>
        </w:tc>
        <w:tc>
          <w:tcPr>
            <w:tcW w:w="3960" w:type="dxa"/>
            <w:vAlign w:val="bottom"/>
            <w:shd w:val="clear" w:color="auto" w:fill="E5E5E5"/>
          </w:tcPr>
          <w:p>
            <w:pPr>
              <w:spacing w:after="0"/>
              <w:rPr>
                <w:sz w:val="19"/>
                <w:szCs w:val="19"/>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E5E5E5"/>
          </w:tcPr>
          <w:p>
            <w:pPr>
              <w:spacing w:after="0"/>
              <w:rPr>
                <w:sz w:val="19"/>
                <w:szCs w:val="19"/>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E5E5E5"/>
          </w:tcPr>
          <w:p>
            <w:pPr>
              <w:spacing w:after="0"/>
              <w:rPr>
                <w:sz w:val="19"/>
                <w:szCs w:val="19"/>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0"/>
              </w:rPr>
              <w:t>75th and above</w:t>
            </w:r>
          </w:p>
        </w:tc>
        <w:tc>
          <w:tcPr>
            <w:tcW w:w="0" w:type="dxa"/>
            <w:vAlign w:val="bottom"/>
          </w:tcPr>
          <w:p>
            <w:pPr>
              <w:spacing w:after="0"/>
              <w:rPr>
                <w:sz w:val="1"/>
                <w:szCs w:val="1"/>
                <w:color w:val="auto"/>
              </w:rPr>
            </w:pPr>
          </w:p>
        </w:tc>
      </w:tr>
      <w:tr>
        <w:trPr>
          <w:trHeight w:val="22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100%</w:t>
            </w:r>
          </w:p>
        </w:tc>
        <w:tc>
          <w:tcPr>
            <w:tcW w:w="39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50th</w:t>
            </w:r>
          </w:p>
        </w:tc>
        <w:tc>
          <w:tcPr>
            <w:tcW w:w="0" w:type="dxa"/>
            <w:vAlign w:val="bottom"/>
          </w:tcPr>
          <w:p>
            <w:pPr>
              <w:spacing w:after="0"/>
              <w:rPr>
                <w:sz w:val="1"/>
                <w:szCs w:val="1"/>
                <w:color w:val="auto"/>
              </w:rPr>
            </w:pPr>
          </w:p>
        </w:tc>
      </w:tr>
      <w:tr>
        <w:trPr>
          <w:trHeight w:val="239"/>
        </w:trPr>
        <w:tc>
          <w:tcPr>
            <w:tcW w:w="13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50%</w:t>
            </w:r>
          </w:p>
        </w:tc>
        <w:tc>
          <w:tcPr>
            <w:tcW w:w="39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1"/>
              </w:rPr>
              <w:t>25th</w:t>
            </w:r>
          </w:p>
        </w:tc>
        <w:tc>
          <w:tcPr>
            <w:tcW w:w="0" w:type="dxa"/>
            <w:vAlign w:val="bottom"/>
          </w:tcPr>
          <w:p>
            <w:pPr>
              <w:spacing w:after="0"/>
              <w:rPr>
                <w:sz w:val="1"/>
                <w:szCs w:val="1"/>
                <w:color w:val="auto"/>
              </w:rPr>
            </w:pPr>
          </w:p>
        </w:tc>
      </w:tr>
      <w:tr>
        <w:trPr>
          <w:trHeight w:val="22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25%</w:t>
            </w:r>
          </w:p>
        </w:tc>
        <w:tc>
          <w:tcPr>
            <w:tcW w:w="39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0"/>
              </w:rPr>
              <w:t>75th and above</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239"/>
        </w:trPr>
        <w:tc>
          <w:tcPr>
            <w:tcW w:w="13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15%</w:t>
            </w:r>
          </w:p>
        </w:tc>
        <w:tc>
          <w:tcPr>
            <w:tcW w:w="39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0"/>
              </w:rPr>
              <w:t>75th and above</w:t>
            </w:r>
          </w:p>
        </w:tc>
        <w:tc>
          <w:tcPr>
            <w:tcW w:w="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22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0%</w:t>
            </w:r>
          </w:p>
        </w:tc>
        <w:tc>
          <w:tcPr>
            <w:tcW w:w="39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50th</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50th</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Below 25th</w:t>
            </w:r>
          </w:p>
        </w:tc>
        <w:tc>
          <w:tcPr>
            <w:tcW w:w="0" w:type="dxa"/>
            <w:vAlign w:val="bottom"/>
          </w:tcPr>
          <w:p>
            <w:pPr>
              <w:spacing w:after="0"/>
              <w:rPr>
                <w:sz w:val="1"/>
                <w:szCs w:val="1"/>
                <w:color w:val="auto"/>
              </w:rPr>
            </w:pPr>
          </w:p>
        </w:tc>
      </w:tr>
      <w:tr>
        <w:trPr>
          <w:trHeight w:val="239"/>
        </w:trPr>
        <w:tc>
          <w:tcPr>
            <w:tcW w:w="138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(15)%</w:t>
            </w:r>
          </w:p>
        </w:tc>
        <w:tc>
          <w:tcPr>
            <w:tcW w:w="39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1"/>
              </w:rPr>
              <w:t>25th and below</w:t>
            </w:r>
          </w:p>
        </w:tc>
        <w:tc>
          <w:tcPr>
            <w:tcW w:w="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E5E5E5"/>
          </w:tcPr>
          <w:p>
            <w:pPr>
              <w:spacing w:after="0"/>
              <w:rPr>
                <w:sz w:val="20"/>
                <w:szCs w:val="20"/>
                <w:color w:val="auto"/>
              </w:rPr>
            </w:pP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r>
        <w:trPr>
          <w:trHeight w:val="221"/>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(25)%</w:t>
            </w:r>
          </w:p>
        </w:tc>
        <w:tc>
          <w:tcPr>
            <w:tcW w:w="39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25th and below</w:t>
            </w:r>
          </w:p>
        </w:tc>
        <w:tc>
          <w:tcPr>
            <w:tcW w:w="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n/a</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60" w:hanging="356"/>
        <w:spacing w:after="0"/>
        <w:tabs>
          <w:tab w:leader="none" w:pos="360" w:val="left"/>
        </w:tabs>
        <w:numPr>
          <w:ilvl w:val="0"/>
          <w:numId w:val="1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 performance between the levels described above, the degree of vesting is interpolated on a linear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158</w:t>
      </w:r>
    </w:p>
    <w:p>
      <w:pPr>
        <w:sectPr>
          <w:pgSz w:w="11880" w:h="15480" w:orient="portrait"/>
          <w:cols w:equalWidth="0" w:num="1">
            <w:col w:w="9960"/>
          </w:cols>
          <w:pgMar w:left="960" w:top="736" w:right="960" w:bottom="0" w:gutter="0" w:footer="0" w:header="0"/>
        </w:sectPr>
      </w:pPr>
    </w:p>
    <w:bookmarkStart w:id="168" w:name="page169"/>
    <w:bookmarkEnd w:id="168"/>
    <w:p>
      <w:pPr>
        <w:jc w:val="both"/>
        <w:spacing w:after="0" w:line="276" w:lineRule="auto"/>
        <w:rPr>
          <w:sz w:val="20"/>
          <w:szCs w:val="20"/>
          <w:color w:val="auto"/>
        </w:rPr>
      </w:pPr>
      <w:r>
        <w:rPr>
          <w:rFonts w:ascii="Arial" w:cs="Arial" w:eastAsia="Arial" w:hAnsi="Arial"/>
          <w:sz w:val="19"/>
          <w:szCs w:val="19"/>
          <w:b w:val="1"/>
          <w:bCs w:val="1"/>
          <w:color w:val="auto"/>
        </w:rPr>
        <w:t>Compensation expense for the market-based component of the PSU awards is recognized on a straight-line basis over the vesting period based on the fair value determined by the Monte Carlo simulation and, except in cases of employee forfeiture, cannot be reversed regardless of performance.</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DA2031"/>
        </w:rPr>
        <w:t xml:space="preserve">Note: </w:t>
      </w:r>
      <w:r>
        <w:rPr>
          <w:rFonts w:ascii="Arial" w:cs="Arial" w:eastAsia="Arial" w:hAnsi="Arial"/>
          <w:sz w:val="18"/>
          <w:szCs w:val="18"/>
          <w:b w:val="1"/>
          <w:bCs w:val="1"/>
          <w:color w:val="000000"/>
        </w:rPr>
        <w:t>With respect to all stock-based compensation programs, Management’s estimate of the number of shares</w:t>
      </w:r>
      <w:r>
        <w:rPr>
          <w:rFonts w:ascii="Arial" w:cs="Arial" w:eastAsia="Arial" w:hAnsi="Arial"/>
          <w:sz w:val="18"/>
          <w:szCs w:val="18"/>
          <w:b w:val="1"/>
          <w:bCs w:val="1"/>
          <w:color w:val="DA2031"/>
        </w:rPr>
        <w:t xml:space="preserve"> </w:t>
      </w:r>
      <w:r>
        <w:rPr>
          <w:rFonts w:ascii="Arial" w:cs="Arial" w:eastAsia="Arial" w:hAnsi="Arial"/>
          <w:sz w:val="18"/>
          <w:szCs w:val="18"/>
          <w:b w:val="1"/>
          <w:bCs w:val="1"/>
          <w:color w:val="000000"/>
        </w:rPr>
        <w:t>expected to vest at the time of grant reflects an estimate for forfeitures based on our historical forfeiture rate to date. Should actual forfeitures differ from management’s estimate, the activity will be reflected in a subsequent period. In addition, RSUs, PSUs and SOs awarded to employees who are retirement-eligible at the date of grant, become retirement-eligible during the vesting period, or are terminated not-for-cause (e.g., as part of a restructuring initiative), vest based on service provided from the date of grant to the date of separation.</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Summary of Stock-based Compensation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2"/>
              <w:spacing w:after="0" w:line="157" w:lineRule="exact"/>
              <w:rPr>
                <w:sz w:val="20"/>
                <w:szCs w:val="20"/>
                <w:color w:val="auto"/>
              </w:rPr>
            </w:pPr>
            <w:r>
              <w:rPr>
                <w:rFonts w:ascii="Arial" w:cs="Arial" w:eastAsia="Arial" w:hAnsi="Arial"/>
                <w:sz w:val="16"/>
                <w:szCs w:val="16"/>
                <w:b w:val="1"/>
                <w:bCs w:val="1"/>
                <w:color w:val="auto"/>
                <w:w w:val="88"/>
              </w:rPr>
              <w:t>Weighted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102"/>
              <w:spacing w:after="0" w:line="157" w:lineRule="exact"/>
              <w:rPr>
                <w:sz w:val="20"/>
                <w:szCs w:val="20"/>
                <w:color w:val="auto"/>
              </w:rPr>
            </w:pPr>
            <w:r>
              <w:rPr>
                <w:rFonts w:ascii="Arial" w:cs="Arial" w:eastAsia="Arial" w:hAnsi="Arial"/>
                <w:sz w:val="16"/>
                <w:szCs w:val="16"/>
                <w:b w:val="1"/>
                <w:bCs w:val="1"/>
                <w:color w:val="auto"/>
                <w:w w:val="91"/>
              </w:rPr>
              <w:t>Weighted</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90"/>
              </w:rPr>
              <w:t>Average Grant</w:t>
            </w:r>
          </w:p>
        </w:tc>
        <w:tc>
          <w:tcPr>
            <w:tcW w:w="80" w:type="dxa"/>
            <w:vAlign w:val="bottom"/>
          </w:tcPr>
          <w:p>
            <w:pPr>
              <w:spacing w:after="0"/>
              <w:rPr>
                <w:sz w:val="13"/>
                <w:szCs w:val="13"/>
                <w:color w:val="auto"/>
              </w:rPr>
            </w:pPr>
          </w:p>
        </w:tc>
        <w:tc>
          <w:tcPr>
            <w:tcW w:w="94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90"/>
              </w:rPr>
              <w:t>Average Grant</w:t>
            </w:r>
          </w:p>
        </w:tc>
        <w:tc>
          <w:tcPr>
            <w:tcW w:w="60" w:type="dxa"/>
            <w:vAlign w:val="bottom"/>
          </w:tcPr>
          <w:p>
            <w:pPr>
              <w:spacing w:after="0"/>
              <w:rPr>
                <w:sz w:val="13"/>
                <w:szCs w:val="13"/>
                <w:color w:val="auto"/>
              </w:rPr>
            </w:pPr>
          </w:p>
        </w:tc>
        <w:tc>
          <w:tcPr>
            <w:tcW w:w="9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90"/>
              </w:rPr>
              <w:t>Average Grant</w:t>
            </w:r>
          </w:p>
        </w:tc>
        <w:tc>
          <w:tcPr>
            <w:tcW w:w="0" w:type="dxa"/>
            <w:vAlign w:val="bottom"/>
          </w:tcPr>
          <w:p>
            <w:pPr>
              <w:spacing w:after="0"/>
              <w:rPr>
                <w:sz w:val="1"/>
                <w:szCs w:val="1"/>
                <w:color w:val="auto"/>
              </w:rPr>
            </w:pPr>
          </w:p>
        </w:tc>
      </w:tr>
      <w:tr>
        <w:trPr>
          <w:trHeight w:val="207"/>
        </w:trPr>
        <w:tc>
          <w:tcPr>
            <w:tcW w:w="60" w:type="dxa"/>
            <w:vAlign w:val="bottom"/>
            <w:tcBorders>
              <w:bottom w:val="single" w:sz="8" w:color="E5E5E5"/>
            </w:tcBorders>
          </w:tcPr>
          <w:p>
            <w:pPr>
              <w:spacing w:after="0"/>
              <w:rPr>
                <w:sz w:val="17"/>
                <w:szCs w:val="17"/>
                <w:color w:val="auto"/>
              </w:rPr>
            </w:pPr>
          </w:p>
        </w:tc>
        <w:tc>
          <w:tcPr>
            <w:tcW w:w="1500" w:type="dxa"/>
            <w:vAlign w:val="bottom"/>
            <w:tcBorders>
              <w:bottom w:val="single" w:sz="8" w:color="E5E5E5"/>
            </w:tcBorders>
          </w:tcPr>
          <w:p>
            <w:pPr>
              <w:spacing w:after="0"/>
              <w:rPr>
                <w:sz w:val="17"/>
                <w:szCs w:val="17"/>
                <w:color w:val="auto"/>
              </w:rPr>
            </w:pPr>
          </w:p>
        </w:tc>
        <w:tc>
          <w:tcPr>
            <w:tcW w:w="140" w:type="dxa"/>
            <w:vAlign w:val="bottom"/>
            <w:tcBorders>
              <w:bottom w:val="single" w:sz="8" w:color="E5E5E5"/>
            </w:tcBorders>
          </w:tcPr>
          <w:p>
            <w:pPr>
              <w:spacing w:after="0"/>
              <w:rPr>
                <w:sz w:val="17"/>
                <w:szCs w:val="17"/>
                <w:color w:val="auto"/>
              </w:rPr>
            </w:pPr>
          </w:p>
        </w:tc>
        <w:tc>
          <w:tcPr>
            <w:tcW w:w="700" w:type="dxa"/>
            <w:vAlign w:val="bottom"/>
            <w:tcBorders>
              <w:bottom w:val="single" w:sz="8" w:color="E5E5E5"/>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1"/>
              </w:rPr>
              <w:t>Date Fair Value</w:t>
            </w:r>
          </w:p>
        </w:tc>
        <w:tc>
          <w:tcPr>
            <w:tcW w:w="80" w:type="dxa"/>
            <w:vAlign w:val="bottom"/>
            <w:tcBorders>
              <w:bottom w:val="single" w:sz="8" w:color="E5E5E5"/>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1"/>
              </w:rPr>
              <w:t>Date Fair Value</w:t>
            </w:r>
          </w:p>
        </w:tc>
        <w:tc>
          <w:tcPr>
            <w:tcW w:w="60" w:type="dxa"/>
            <w:vAlign w:val="bottom"/>
            <w:tcBorders>
              <w:bottom w:val="single" w:sz="8" w:color="E5E5E5"/>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1"/>
              </w:rPr>
              <w:t>Date Fair Value</w:t>
            </w:r>
          </w:p>
        </w:tc>
        <w:tc>
          <w:tcPr>
            <w:tcW w:w="0" w:type="dxa"/>
            <w:vAlign w:val="bottom"/>
          </w:tcPr>
          <w:p>
            <w:pPr>
              <w:spacing w:after="0"/>
              <w:rPr>
                <w:sz w:val="1"/>
                <w:szCs w:val="1"/>
                <w:color w:val="auto"/>
              </w:rPr>
            </w:pPr>
          </w:p>
        </w:tc>
      </w:tr>
      <w:tr>
        <w:trPr>
          <w:trHeight w:val="174"/>
        </w:trPr>
        <w:tc>
          <w:tcPr>
            <w:tcW w:w="2400" w:type="dxa"/>
            <w:vAlign w:val="bottom"/>
            <w:gridSpan w:val="4"/>
            <w:shd w:val="clear" w:color="auto" w:fill="E5E5E5"/>
          </w:tcPr>
          <w:p>
            <w:pPr>
              <w:ind w:left="60"/>
              <w:spacing w:after="0" w:line="174" w:lineRule="exact"/>
              <w:rPr>
                <w:sz w:val="20"/>
                <w:szCs w:val="20"/>
                <w:color w:val="auto"/>
              </w:rPr>
            </w:pPr>
            <w:r>
              <w:rPr>
                <w:rFonts w:ascii="Arial" w:cs="Arial" w:eastAsia="Arial" w:hAnsi="Arial"/>
                <w:sz w:val="16"/>
                <w:szCs w:val="16"/>
                <w:b w:val="1"/>
                <w:bCs w:val="1"/>
                <w:color w:val="auto"/>
              </w:rPr>
              <w:t>Restricted Stock Units</w:t>
            </w:r>
          </w:p>
        </w:tc>
        <w:tc>
          <w:tcPr>
            <w:tcW w:w="9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2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E5E5E5"/>
            </w:tcBorders>
            <w:shd w:val="clear" w:color="auto" w:fill="E5E5E5"/>
          </w:tcPr>
          <w:p>
            <w:pPr>
              <w:spacing w:after="0"/>
              <w:rPr>
                <w:sz w:val="2"/>
                <w:szCs w:val="2"/>
                <w:color w:val="auto"/>
              </w:rPr>
            </w:pPr>
          </w:p>
        </w:tc>
        <w:tc>
          <w:tcPr>
            <w:tcW w:w="1500" w:type="dxa"/>
            <w:vAlign w:val="bottom"/>
            <w:tcBorders>
              <w:top w:val="single" w:sz="8" w:color="auto"/>
            </w:tcBorders>
            <w:shd w:val="clear" w:color="auto" w:fill="E5E5E5"/>
          </w:tcPr>
          <w:p>
            <w:pPr>
              <w:spacing w:after="0"/>
              <w:rPr>
                <w:sz w:val="2"/>
                <w:szCs w:val="2"/>
                <w:color w:val="auto"/>
              </w:rPr>
            </w:pPr>
          </w:p>
        </w:tc>
        <w:tc>
          <w:tcPr>
            <w:tcW w:w="140" w:type="dxa"/>
            <w:vAlign w:val="bottom"/>
            <w:tcBorders>
              <w:top w:val="single" w:sz="8" w:color="auto"/>
            </w:tcBorders>
            <w:shd w:val="clear" w:color="auto" w:fill="E5E5E5"/>
          </w:tcPr>
          <w:p>
            <w:pPr>
              <w:spacing w:after="0"/>
              <w:rPr>
                <w:sz w:val="2"/>
                <w:szCs w:val="2"/>
                <w:color w:val="auto"/>
              </w:rPr>
            </w:pPr>
          </w:p>
        </w:tc>
        <w:tc>
          <w:tcPr>
            <w:tcW w:w="700" w:type="dxa"/>
            <w:vAlign w:val="bottom"/>
            <w:tcBorders>
              <w:top w:val="single" w:sz="8" w:color="E5E5E5"/>
            </w:tcBorders>
            <w:shd w:val="clear" w:color="auto" w:fill="E5E5E5"/>
          </w:tcPr>
          <w:p>
            <w:pPr>
              <w:spacing w:after="0"/>
              <w:rPr>
                <w:sz w:val="2"/>
                <w:szCs w:val="2"/>
                <w:color w:val="auto"/>
              </w:rPr>
            </w:pPr>
          </w:p>
        </w:tc>
        <w:tc>
          <w:tcPr>
            <w:tcW w:w="96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9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96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6"/>
                <w:szCs w:val="16"/>
                <w:b w:val="1"/>
                <w:bCs w:val="1"/>
                <w:color w:val="auto"/>
              </w:rPr>
              <w:t>Outstanding at January 1</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6,314</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15.48</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4,672</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b w:val="1"/>
                <w:bCs w:val="1"/>
                <w:color w:val="auto"/>
              </w:rPr>
              <w:t>18.46</w:t>
            </w:r>
          </w:p>
        </w:tc>
        <w:tc>
          <w:tcPr>
            <w:tcW w:w="10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3,221</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23.16</w:t>
            </w:r>
          </w:p>
        </w:tc>
        <w:tc>
          <w:tcPr>
            <w:tcW w:w="0" w:type="dxa"/>
            <w:vAlign w:val="bottom"/>
          </w:tcPr>
          <w:p>
            <w:pPr>
              <w:spacing w:after="0"/>
              <w:rPr>
                <w:sz w:val="1"/>
                <w:szCs w:val="1"/>
                <w:color w:val="auto"/>
              </w:rPr>
            </w:pPr>
          </w:p>
        </w:tc>
      </w:tr>
      <w:tr>
        <w:trPr>
          <w:trHeight w:val="239"/>
        </w:trPr>
        <w:tc>
          <w:tcPr>
            <w:tcW w:w="2400" w:type="dxa"/>
            <w:vAlign w:val="bottom"/>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Granted</w:t>
            </w:r>
            <w:r>
              <w:rPr>
                <w:rFonts w:ascii="Arial" w:cs="Arial" w:eastAsia="Arial" w:hAnsi="Arial"/>
                <w:sz w:val="10"/>
                <w:szCs w:val="10"/>
                <w:b w:val="1"/>
                <w:bCs w:val="1"/>
                <w:color w:val="auto"/>
              </w:rPr>
              <w:t>(1)</w:t>
            </w:r>
          </w:p>
        </w:tc>
        <w:tc>
          <w:tcPr>
            <w:tcW w:w="9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8,951</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5.51</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4,159</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14.09</w:t>
            </w:r>
          </w:p>
        </w:tc>
        <w:tc>
          <w:tcPr>
            <w:tcW w:w="102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3,382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16.56</w:t>
            </w:r>
          </w:p>
        </w:tc>
        <w:tc>
          <w:tcPr>
            <w:tcW w:w="0" w:type="dxa"/>
            <w:vAlign w:val="bottom"/>
          </w:tcPr>
          <w:p>
            <w:pPr>
              <w:spacing w:after="0"/>
              <w:rPr>
                <w:sz w:val="1"/>
                <w:szCs w:val="1"/>
                <w:color w:val="auto"/>
              </w:rPr>
            </w:pPr>
          </w:p>
        </w:tc>
      </w:tr>
      <w:tr>
        <w:trPr>
          <w:trHeight w:val="227"/>
        </w:trPr>
        <w:tc>
          <w:tcPr>
            <w:tcW w:w="2400" w:type="dxa"/>
            <w:vAlign w:val="bottom"/>
            <w:gridSpan w:val="4"/>
          </w:tcPr>
          <w:p>
            <w:pPr>
              <w:ind w:left="60"/>
              <w:spacing w:after="0"/>
              <w:rPr>
                <w:sz w:val="20"/>
                <w:szCs w:val="20"/>
                <w:color w:val="auto"/>
              </w:rPr>
            </w:pPr>
            <w:r>
              <w:rPr>
                <w:rFonts w:ascii="Arial" w:cs="Arial" w:eastAsia="Arial" w:hAnsi="Arial"/>
                <w:sz w:val="16"/>
                <w:szCs w:val="16"/>
                <w:b w:val="1"/>
                <w:bCs w:val="1"/>
                <w:color w:val="auto"/>
              </w:rPr>
              <w:t>Vested</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17.78</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b w:val="1"/>
                <w:bCs w:val="1"/>
                <w:color w:val="auto"/>
              </w:rPr>
              <w:t>19.04</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(1,593)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23.73</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E5E5E5"/>
            </w:tcBorders>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Forfeited</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(973)</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8.20</w:t>
            </w:r>
          </w:p>
        </w:tc>
        <w:tc>
          <w:tcPr>
            <w:tcW w:w="80" w:type="dxa"/>
            <w:vAlign w:val="bottom"/>
            <w:tcBorders>
              <w:bottom w:val="single" w:sz="8" w:color="E5E5E5"/>
            </w:tcBorders>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17.27</w:t>
            </w:r>
          </w:p>
        </w:tc>
        <w:tc>
          <w:tcPr>
            <w:tcW w:w="60" w:type="dxa"/>
            <w:vAlign w:val="bottom"/>
            <w:tcBorders>
              <w:bottom w:val="single" w:sz="8" w:color="E5E5E5"/>
            </w:tcBorders>
            <w:shd w:val="clear" w:color="auto" w:fill="E5E5E5"/>
          </w:tcPr>
          <w:p>
            <w:pPr>
              <w:spacing w:after="0"/>
              <w:rPr>
                <w:sz w:val="21"/>
                <w:szCs w:val="21"/>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(338)</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19.27</w:t>
            </w:r>
          </w:p>
        </w:tc>
        <w:tc>
          <w:tcPr>
            <w:tcW w:w="0" w:type="dxa"/>
            <w:vAlign w:val="bottom"/>
          </w:tcPr>
          <w:p>
            <w:pPr>
              <w:spacing w:after="0"/>
              <w:rPr>
                <w:sz w:val="1"/>
                <w:szCs w:val="1"/>
                <w:color w:val="auto"/>
              </w:rPr>
            </w:pPr>
          </w:p>
        </w:tc>
      </w:tr>
      <w:tr>
        <w:trPr>
          <w:trHeight w:val="213"/>
        </w:trPr>
        <w:tc>
          <w:tcPr>
            <w:tcW w:w="240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auto"/>
              </w:rPr>
              <w:t>Outstanding at December 31</w:t>
            </w:r>
          </w:p>
        </w:tc>
        <w:tc>
          <w:tcPr>
            <w:tcW w:w="96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11,922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8.13</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6,314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15.48</w:t>
            </w:r>
          </w:p>
        </w:tc>
        <w:tc>
          <w:tcPr>
            <w:tcW w:w="1020" w:type="dxa"/>
            <w:vAlign w:val="bottom"/>
            <w:gridSpan w:val="2"/>
          </w:tcPr>
          <w:p>
            <w:pPr>
              <w:jc w:val="right"/>
              <w:ind w:right="2"/>
              <w:spacing w:after="0" w:line="175" w:lineRule="exact"/>
              <w:rPr>
                <w:sz w:val="20"/>
                <w:szCs w:val="20"/>
                <w:color w:val="auto"/>
              </w:rPr>
            </w:pPr>
            <w:r>
              <w:rPr>
                <w:rFonts w:ascii="Arial" w:cs="Arial" w:eastAsia="Arial" w:hAnsi="Arial"/>
                <w:sz w:val="16"/>
                <w:szCs w:val="16"/>
                <w:b w:val="1"/>
                <w:bCs w:val="1"/>
                <w:color w:val="auto"/>
              </w:rPr>
              <w:t>4,672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18.46</w:t>
            </w:r>
          </w:p>
        </w:tc>
        <w:tc>
          <w:tcPr>
            <w:tcW w:w="0" w:type="dxa"/>
            <w:vAlign w:val="bottom"/>
          </w:tcPr>
          <w:p>
            <w:pPr>
              <w:spacing w:after="0"/>
              <w:rPr>
                <w:sz w:val="1"/>
                <w:szCs w:val="1"/>
                <w:color w:val="auto"/>
              </w:rPr>
            </w:pPr>
          </w:p>
        </w:tc>
      </w:tr>
      <w:tr>
        <w:trPr>
          <w:trHeight w:val="155"/>
        </w:trPr>
        <w:tc>
          <w:tcPr>
            <w:tcW w:w="2400" w:type="dxa"/>
            <w:vAlign w:val="bottom"/>
            <w:tcBorders>
              <w:top w:val="single" w:sz="8" w:color="E5E5E5"/>
            </w:tcBorders>
            <w:gridSpan w:val="4"/>
            <w:shd w:val="clear" w:color="auto" w:fill="E5E5E5"/>
          </w:tcPr>
          <w:p>
            <w:pPr>
              <w:ind w:left="60"/>
              <w:spacing w:after="0" w:line="155" w:lineRule="exact"/>
              <w:rPr>
                <w:sz w:val="20"/>
                <w:szCs w:val="20"/>
                <w:color w:val="auto"/>
              </w:rPr>
            </w:pPr>
            <w:r>
              <w:rPr>
                <w:rFonts w:ascii="Arial" w:cs="Arial" w:eastAsia="Arial" w:hAnsi="Arial"/>
                <w:sz w:val="16"/>
                <w:szCs w:val="16"/>
                <w:b w:val="1"/>
                <w:bCs w:val="1"/>
                <w:color w:val="auto"/>
              </w:rPr>
              <w:t>Performance Shares</w:t>
            </w:r>
          </w:p>
        </w:tc>
        <w:tc>
          <w:tcPr>
            <w:tcW w:w="960" w:type="dxa"/>
            <w:vAlign w:val="bottom"/>
            <w:tcBorders>
              <w:top w:val="single" w:sz="8" w:color="auto"/>
            </w:tcBorders>
            <w:shd w:val="clear" w:color="auto" w:fill="E5E5E5"/>
          </w:tcPr>
          <w:p>
            <w:pPr>
              <w:spacing w:after="0"/>
              <w:rPr>
                <w:sz w:val="13"/>
                <w:szCs w:val="13"/>
                <w:color w:val="auto"/>
              </w:rPr>
            </w:pPr>
          </w:p>
        </w:tc>
        <w:tc>
          <w:tcPr>
            <w:tcW w:w="60" w:type="dxa"/>
            <w:vAlign w:val="bottom"/>
            <w:tcBorders>
              <w:top w:val="single" w:sz="8" w:color="E5E5E5"/>
            </w:tcBorders>
            <w:shd w:val="clear" w:color="auto" w:fill="E5E5E5"/>
          </w:tcPr>
          <w:p>
            <w:pPr>
              <w:spacing w:after="0"/>
              <w:rPr>
                <w:sz w:val="13"/>
                <w:szCs w:val="13"/>
                <w:color w:val="auto"/>
              </w:rPr>
            </w:pPr>
          </w:p>
        </w:tc>
        <w:tc>
          <w:tcPr>
            <w:tcW w:w="160" w:type="dxa"/>
            <w:vAlign w:val="bottom"/>
            <w:tcBorders>
              <w:top w:val="single" w:sz="8" w:color="E5E5E5"/>
            </w:tcBorders>
            <w:shd w:val="clear" w:color="auto" w:fill="E5E5E5"/>
          </w:tcPr>
          <w:p>
            <w:pPr>
              <w:spacing w:after="0"/>
              <w:rPr>
                <w:sz w:val="13"/>
                <w:szCs w:val="13"/>
                <w:color w:val="auto"/>
              </w:rPr>
            </w:pPr>
          </w:p>
        </w:tc>
        <w:tc>
          <w:tcPr>
            <w:tcW w:w="1280" w:type="dxa"/>
            <w:vAlign w:val="bottom"/>
            <w:tcBorders>
              <w:top w:val="single" w:sz="8" w:color="E5E5E5"/>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940" w:type="dxa"/>
            <w:vAlign w:val="bottom"/>
            <w:tcBorders>
              <w:top w:val="single" w:sz="8" w:color="auto"/>
            </w:tcBorders>
            <w:shd w:val="clear" w:color="auto" w:fill="E5E5E5"/>
          </w:tcPr>
          <w:p>
            <w:pPr>
              <w:spacing w:after="0"/>
              <w:rPr>
                <w:sz w:val="13"/>
                <w:szCs w:val="13"/>
                <w:color w:val="auto"/>
              </w:rPr>
            </w:pPr>
          </w:p>
        </w:tc>
        <w:tc>
          <w:tcPr>
            <w:tcW w:w="80" w:type="dxa"/>
            <w:vAlign w:val="bottom"/>
            <w:tcBorders>
              <w:top w:val="single" w:sz="8" w:color="E5E5E5"/>
            </w:tcBorders>
            <w:shd w:val="clear" w:color="auto" w:fill="E5E5E5"/>
          </w:tcPr>
          <w:p>
            <w:pPr>
              <w:spacing w:after="0"/>
              <w:rPr>
                <w:sz w:val="13"/>
                <w:szCs w:val="13"/>
                <w:color w:val="auto"/>
              </w:rPr>
            </w:pPr>
          </w:p>
        </w:tc>
        <w:tc>
          <w:tcPr>
            <w:tcW w:w="160" w:type="dxa"/>
            <w:vAlign w:val="bottom"/>
            <w:tcBorders>
              <w:top w:val="single" w:sz="8" w:color="E5E5E5"/>
            </w:tcBorders>
            <w:shd w:val="clear" w:color="auto" w:fill="E5E5E5"/>
          </w:tcPr>
          <w:p>
            <w:pPr>
              <w:spacing w:after="0"/>
              <w:rPr>
                <w:sz w:val="13"/>
                <w:szCs w:val="13"/>
                <w:color w:val="auto"/>
              </w:rPr>
            </w:pPr>
          </w:p>
        </w:tc>
        <w:tc>
          <w:tcPr>
            <w:tcW w:w="1280" w:type="dxa"/>
            <w:vAlign w:val="bottom"/>
            <w:tcBorders>
              <w:top w:val="single" w:sz="8" w:color="E5E5E5"/>
            </w:tcBorders>
            <w:shd w:val="clear" w:color="auto" w:fill="E5E5E5"/>
          </w:tcPr>
          <w:p>
            <w:pPr>
              <w:spacing w:after="0"/>
              <w:rPr>
                <w:sz w:val="13"/>
                <w:szCs w:val="13"/>
                <w:color w:val="auto"/>
              </w:rPr>
            </w:pPr>
          </w:p>
        </w:tc>
        <w:tc>
          <w:tcPr>
            <w:tcW w:w="60" w:type="dxa"/>
            <w:vAlign w:val="bottom"/>
            <w:tcBorders>
              <w:top w:val="single" w:sz="8" w:color="E5E5E5"/>
            </w:tcBorders>
            <w:shd w:val="clear" w:color="auto" w:fill="E5E5E5"/>
          </w:tcPr>
          <w:p>
            <w:pPr>
              <w:spacing w:after="0"/>
              <w:rPr>
                <w:sz w:val="13"/>
                <w:szCs w:val="13"/>
                <w:color w:val="auto"/>
              </w:rPr>
            </w:pPr>
          </w:p>
        </w:tc>
        <w:tc>
          <w:tcPr>
            <w:tcW w:w="960" w:type="dxa"/>
            <w:vAlign w:val="bottom"/>
            <w:tcBorders>
              <w:top w:val="single" w:sz="8" w:color="auto"/>
            </w:tcBorders>
            <w:shd w:val="clear" w:color="auto" w:fill="E5E5E5"/>
          </w:tcPr>
          <w:p>
            <w:pPr>
              <w:spacing w:after="0"/>
              <w:rPr>
                <w:sz w:val="13"/>
                <w:szCs w:val="13"/>
                <w:color w:val="auto"/>
              </w:rPr>
            </w:pPr>
          </w:p>
        </w:tc>
        <w:tc>
          <w:tcPr>
            <w:tcW w:w="60" w:type="dxa"/>
            <w:vAlign w:val="bottom"/>
            <w:tcBorders>
              <w:top w:val="single" w:sz="8" w:color="E5E5E5"/>
            </w:tcBorders>
            <w:shd w:val="clear" w:color="auto" w:fill="E5E5E5"/>
          </w:tcPr>
          <w:p>
            <w:pPr>
              <w:spacing w:after="0"/>
              <w:rPr>
                <w:sz w:val="13"/>
                <w:szCs w:val="13"/>
                <w:color w:val="auto"/>
              </w:rPr>
            </w:pPr>
          </w:p>
        </w:tc>
        <w:tc>
          <w:tcPr>
            <w:tcW w:w="160" w:type="dxa"/>
            <w:vAlign w:val="bottom"/>
            <w:tcBorders>
              <w:top w:val="single" w:sz="8" w:color="E5E5E5"/>
            </w:tcBorders>
            <w:shd w:val="clear" w:color="auto" w:fill="E5E5E5"/>
          </w:tcPr>
          <w:p>
            <w:pPr>
              <w:spacing w:after="0"/>
              <w:rPr>
                <w:sz w:val="13"/>
                <w:szCs w:val="13"/>
                <w:color w:val="auto"/>
              </w:rPr>
            </w:pPr>
          </w:p>
        </w:tc>
        <w:tc>
          <w:tcPr>
            <w:tcW w:w="1280" w:type="dxa"/>
            <w:vAlign w:val="bottom"/>
            <w:tcBorders>
              <w:top w:val="single" w:sz="8" w:color="E5E5E5"/>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E5E5E5"/>
            </w:tcBorders>
            <w:shd w:val="clear" w:color="auto" w:fill="E5E5E5"/>
          </w:tcPr>
          <w:p>
            <w:pPr>
              <w:spacing w:after="0"/>
              <w:rPr>
                <w:sz w:val="2"/>
                <w:szCs w:val="2"/>
                <w:color w:val="auto"/>
              </w:rPr>
            </w:pPr>
          </w:p>
        </w:tc>
        <w:tc>
          <w:tcPr>
            <w:tcW w:w="1500" w:type="dxa"/>
            <w:vAlign w:val="bottom"/>
            <w:tcBorders>
              <w:top w:val="single" w:sz="8" w:color="auto"/>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700" w:type="dxa"/>
            <w:vAlign w:val="bottom"/>
            <w:tcBorders>
              <w:top w:val="single" w:sz="8" w:color="E5E5E5"/>
            </w:tcBorders>
            <w:shd w:val="clear" w:color="auto" w:fill="E5E5E5"/>
          </w:tcPr>
          <w:p>
            <w:pPr>
              <w:spacing w:after="0"/>
              <w:rPr>
                <w:sz w:val="2"/>
                <w:szCs w:val="2"/>
                <w:color w:val="auto"/>
              </w:rPr>
            </w:pPr>
          </w:p>
        </w:tc>
        <w:tc>
          <w:tcPr>
            <w:tcW w:w="96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94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96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6"/>
                <w:szCs w:val="16"/>
                <w:b w:val="1"/>
                <w:bCs w:val="1"/>
                <w:color w:val="auto"/>
              </w:rPr>
              <w:t>Outstanding at January 1</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2,066</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21.59</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2,039</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b w:val="1"/>
                <w:bCs w:val="1"/>
                <w:color w:val="auto"/>
              </w:rPr>
              <w:t>24.18</w:t>
            </w:r>
          </w:p>
        </w:tc>
        <w:tc>
          <w:tcPr>
            <w:tcW w:w="102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1,729</w:t>
            </w:r>
          </w:p>
        </w:tc>
        <w:tc>
          <w:tcPr>
            <w:tcW w:w="220" w:type="dxa"/>
            <w:vAlign w:val="bottom"/>
            <w:gridSpan w:val="2"/>
          </w:tcPr>
          <w:p>
            <w:pPr>
              <w:ind w:left="120"/>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28.38</w:t>
            </w:r>
          </w:p>
        </w:tc>
        <w:tc>
          <w:tcPr>
            <w:tcW w:w="0" w:type="dxa"/>
            <w:vAlign w:val="bottom"/>
          </w:tcPr>
          <w:p>
            <w:pPr>
              <w:spacing w:after="0"/>
              <w:rPr>
                <w:sz w:val="1"/>
                <w:szCs w:val="1"/>
                <w:color w:val="auto"/>
              </w:rPr>
            </w:pPr>
          </w:p>
        </w:tc>
      </w:tr>
      <w:tr>
        <w:trPr>
          <w:trHeight w:val="239"/>
        </w:trPr>
        <w:tc>
          <w:tcPr>
            <w:tcW w:w="2400" w:type="dxa"/>
            <w:vAlign w:val="bottom"/>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Granted</w:t>
            </w:r>
            <w:r>
              <w:rPr>
                <w:rFonts w:ascii="Arial" w:cs="Arial" w:eastAsia="Arial" w:hAnsi="Arial"/>
                <w:sz w:val="10"/>
                <w:szCs w:val="10"/>
                <w:b w:val="1"/>
                <w:bCs w:val="1"/>
                <w:color w:val="auto"/>
              </w:rPr>
              <w:t>(1)</w:t>
            </w:r>
          </w:p>
        </w:tc>
        <w:tc>
          <w:tcPr>
            <w:tcW w:w="9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1,912</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4.46</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1,243</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8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13.89</w:t>
            </w:r>
          </w:p>
        </w:tc>
        <w:tc>
          <w:tcPr>
            <w:tcW w:w="102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940</w:t>
            </w:r>
          </w:p>
        </w:tc>
        <w:tc>
          <w:tcPr>
            <w:tcW w:w="6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22.97</w:t>
            </w:r>
          </w:p>
        </w:tc>
        <w:tc>
          <w:tcPr>
            <w:tcW w:w="0" w:type="dxa"/>
            <w:vAlign w:val="bottom"/>
          </w:tcPr>
          <w:p>
            <w:pPr>
              <w:spacing w:after="0"/>
              <w:rPr>
                <w:sz w:val="1"/>
                <w:szCs w:val="1"/>
                <w:color w:val="auto"/>
              </w:rPr>
            </w:pPr>
          </w:p>
        </w:tc>
      </w:tr>
      <w:tr>
        <w:trPr>
          <w:trHeight w:val="227"/>
        </w:trPr>
        <w:tc>
          <w:tcPr>
            <w:tcW w:w="2400" w:type="dxa"/>
            <w:vAlign w:val="bottom"/>
            <w:gridSpan w:val="4"/>
          </w:tcPr>
          <w:p>
            <w:pPr>
              <w:ind w:left="60"/>
              <w:spacing w:after="0"/>
              <w:rPr>
                <w:sz w:val="20"/>
                <w:szCs w:val="20"/>
                <w:color w:val="auto"/>
              </w:rPr>
            </w:pPr>
            <w:r>
              <w:rPr>
                <w:rFonts w:ascii="Arial" w:cs="Arial" w:eastAsia="Arial" w:hAnsi="Arial"/>
                <w:sz w:val="16"/>
                <w:szCs w:val="16"/>
                <w:b w:val="1"/>
                <w:bCs w:val="1"/>
                <w:color w:val="auto"/>
              </w:rPr>
              <w:t>Vested</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E5E5E5"/>
            </w:tcBorders>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Forfeited/Expired</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(1,560)</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15.67</w:t>
            </w:r>
          </w:p>
        </w:tc>
        <w:tc>
          <w:tcPr>
            <w:tcW w:w="80" w:type="dxa"/>
            <w:vAlign w:val="bottom"/>
            <w:tcBorders>
              <w:bottom w:val="single" w:sz="8" w:color="E5E5E5"/>
            </w:tcBorders>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(1,216)</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17.67</w:t>
            </w:r>
          </w:p>
        </w:tc>
        <w:tc>
          <w:tcPr>
            <w:tcW w:w="60" w:type="dxa"/>
            <w:vAlign w:val="bottom"/>
            <w:tcBorders>
              <w:bottom w:val="single" w:sz="8" w:color="E5E5E5"/>
            </w:tcBorders>
            <w:shd w:val="clear" w:color="auto" w:fill="E5E5E5"/>
          </w:tcPr>
          <w:p>
            <w:pPr>
              <w:spacing w:after="0"/>
              <w:rPr>
                <w:sz w:val="21"/>
                <w:szCs w:val="21"/>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(630)</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33.86</w:t>
            </w:r>
          </w:p>
        </w:tc>
        <w:tc>
          <w:tcPr>
            <w:tcW w:w="0" w:type="dxa"/>
            <w:vAlign w:val="bottom"/>
          </w:tcPr>
          <w:p>
            <w:pPr>
              <w:spacing w:after="0"/>
              <w:rPr>
                <w:sz w:val="1"/>
                <w:szCs w:val="1"/>
                <w:color w:val="auto"/>
              </w:rPr>
            </w:pPr>
          </w:p>
        </w:tc>
      </w:tr>
      <w:tr>
        <w:trPr>
          <w:trHeight w:val="174"/>
        </w:trPr>
        <w:tc>
          <w:tcPr>
            <w:tcW w:w="240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auto"/>
              </w:rPr>
              <w:t>Outstanding at December 31</w:t>
            </w:r>
          </w:p>
        </w:tc>
        <w:tc>
          <w:tcPr>
            <w:tcW w:w="96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2,418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11.87</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2,066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
              <w:spacing w:after="0" w:line="175" w:lineRule="exact"/>
              <w:rPr>
                <w:sz w:val="20"/>
                <w:szCs w:val="20"/>
                <w:color w:val="auto"/>
              </w:rPr>
            </w:pPr>
            <w:r>
              <w:rPr>
                <w:rFonts w:ascii="Arial" w:cs="Arial" w:eastAsia="Arial" w:hAnsi="Arial"/>
                <w:sz w:val="16"/>
                <w:szCs w:val="16"/>
                <w:b w:val="1"/>
                <w:bCs w:val="1"/>
                <w:color w:val="auto"/>
              </w:rPr>
              <w:t>21.59</w:t>
            </w:r>
          </w:p>
        </w:tc>
        <w:tc>
          <w:tcPr>
            <w:tcW w:w="1020" w:type="dxa"/>
            <w:vAlign w:val="bottom"/>
            <w:gridSpan w:val="2"/>
          </w:tcPr>
          <w:p>
            <w:pPr>
              <w:jc w:val="right"/>
              <w:ind w:right="2"/>
              <w:spacing w:after="0" w:line="175" w:lineRule="exact"/>
              <w:rPr>
                <w:sz w:val="20"/>
                <w:szCs w:val="20"/>
                <w:color w:val="auto"/>
              </w:rPr>
            </w:pPr>
            <w:r>
              <w:rPr>
                <w:rFonts w:ascii="Arial" w:cs="Arial" w:eastAsia="Arial" w:hAnsi="Arial"/>
                <w:sz w:val="16"/>
                <w:szCs w:val="16"/>
                <w:b w:val="1"/>
                <w:bCs w:val="1"/>
                <w:color w:val="auto"/>
              </w:rPr>
              <w:t>2,039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24.18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-942340</wp:posOffset>
            </wp:positionV>
            <wp:extent cx="651510" cy="755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8">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-942340</wp:posOffset>
            </wp:positionV>
            <wp:extent cx="651510" cy="755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9">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-942340</wp:posOffset>
            </wp:positionV>
            <wp:extent cx="651510" cy="755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0">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-55245</wp:posOffset>
            </wp:positionV>
            <wp:extent cx="651510" cy="755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1">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-55245</wp:posOffset>
            </wp:positionV>
            <wp:extent cx="651510" cy="755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2">
                      <a:extLst>
                        <a:ext uri="{28A0092B-C50C-407E-A947-70E740481C1C}"/>
                      </a:extLst>
                    </a:blip>
                    <a:srcRect/>
                    <a:stretch>
                      <a:fillRect/>
                    </a:stretch>
                  </pic:blipFill>
                  <pic:spPr bwMode="auto">
                    <a:xfrm>
                      <a:off x="0" y="0"/>
                      <a:ext cx="651510" cy="75565"/>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-55245</wp:posOffset>
            </wp:positionV>
            <wp:extent cx="651510" cy="75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3">
                      <a:extLst>
                        <a:ext uri="{28A0092B-C50C-407E-A947-70E740481C1C}"/>
                      </a:extLst>
                    </a:blip>
                    <a:srcRect/>
                    <a:stretch>
                      <a:fillRect/>
                    </a:stretch>
                  </pic:blipFill>
                  <pic:spPr bwMode="auto">
                    <a:xfrm>
                      <a:off x="0" y="0"/>
                      <a:ext cx="651510" cy="7556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31" w:lineRule="exact"/>
        <w:rPr>
          <w:sz w:val="20"/>
          <w:szCs w:val="20"/>
          <w:color w:val="auto"/>
        </w:rPr>
      </w:pPr>
    </w:p>
    <w:p>
      <w:pPr>
        <w:ind w:left="360" w:hanging="356"/>
        <w:spacing w:after="0" w:line="270" w:lineRule="auto"/>
        <w:tabs>
          <w:tab w:leader="none" w:pos="360" w:val="left"/>
        </w:tabs>
        <w:numPr>
          <w:ilvl w:val="0"/>
          <w:numId w:val="14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RSUs and PSUs granted in 2025 reflect a higher number of shares granted, primarily due to a lower average grant-date fair value of the Company’s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 related to non-vested stock-based awards at December 31, 2025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Awards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89"/>
              </w:rPr>
              <w:t>Unrecognized Compensation</w:t>
            </w:r>
          </w:p>
        </w:tc>
        <w:tc>
          <w:tcPr>
            <w:tcW w:w="80" w:type="dxa"/>
            <w:vAlign w:val="bottom"/>
          </w:tcPr>
          <w:p>
            <w:pPr>
              <w:spacing w:after="0"/>
              <w:rPr>
                <w:sz w:val="16"/>
                <w:szCs w:val="16"/>
                <w:color w:val="auto"/>
              </w:rPr>
            </w:pPr>
          </w:p>
        </w:tc>
        <w:tc>
          <w:tcPr>
            <w:tcW w:w="2280" w:type="dxa"/>
            <w:vAlign w:val="bottom"/>
          </w:tcPr>
          <w:p>
            <w:pPr>
              <w:jc w:val="right"/>
              <w:ind w:right="22"/>
              <w:spacing w:after="0"/>
              <w:rPr>
                <w:sz w:val="20"/>
                <w:szCs w:val="20"/>
                <w:color w:val="auto"/>
              </w:rPr>
            </w:pPr>
            <w:r>
              <w:rPr>
                <w:rFonts w:ascii="Arial" w:cs="Arial" w:eastAsia="Arial" w:hAnsi="Arial"/>
                <w:sz w:val="16"/>
                <w:szCs w:val="16"/>
                <w:b w:val="1"/>
                <w:bCs w:val="1"/>
                <w:color w:val="auto"/>
                <w:w w:val="95"/>
              </w:rPr>
              <w:t>Remaining Weighted-Average</w:t>
            </w:r>
          </w:p>
        </w:tc>
        <w:tc>
          <w:tcPr>
            <w:tcW w:w="0" w:type="dxa"/>
            <w:vAlign w:val="bottom"/>
          </w:tcPr>
          <w:p>
            <w:pPr>
              <w:spacing w:after="0"/>
              <w:rPr>
                <w:sz w:val="1"/>
                <w:szCs w:val="1"/>
                <w:color w:val="auto"/>
              </w:rPr>
            </w:pPr>
          </w:p>
        </w:tc>
      </w:tr>
      <w:tr>
        <w:trPr>
          <w:trHeight w:val="207"/>
        </w:trPr>
        <w:tc>
          <w:tcPr>
            <w:tcW w:w="5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22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Vesting Period (Years)</w:t>
            </w:r>
          </w:p>
        </w:tc>
        <w:tc>
          <w:tcPr>
            <w:tcW w:w="0" w:type="dxa"/>
            <w:vAlign w:val="bottom"/>
          </w:tcPr>
          <w:p>
            <w:pPr>
              <w:spacing w:after="0"/>
              <w:rPr>
                <w:sz w:val="1"/>
                <w:szCs w:val="1"/>
                <w:color w:val="auto"/>
              </w:rPr>
            </w:pPr>
          </w:p>
        </w:tc>
      </w:tr>
      <w:tr>
        <w:trPr>
          <w:trHeight w:val="223"/>
        </w:trPr>
        <w:tc>
          <w:tcPr>
            <w:tcW w:w="52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Restricted Stock Units</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w:t>
            </w:r>
          </w:p>
        </w:tc>
        <w:tc>
          <w:tcPr>
            <w:tcW w:w="236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27"/>
        </w:trPr>
        <w:tc>
          <w:tcPr>
            <w:tcW w:w="5220" w:type="dxa"/>
            <w:vAlign w:val="bottom"/>
          </w:tcPr>
          <w:p>
            <w:pPr>
              <w:ind w:left="60"/>
              <w:spacing w:after="0"/>
              <w:rPr>
                <w:sz w:val="20"/>
                <w:szCs w:val="20"/>
                <w:color w:val="auto"/>
              </w:rPr>
            </w:pPr>
            <w:r>
              <w:rPr>
                <w:rFonts w:ascii="Arial" w:cs="Arial" w:eastAsia="Arial" w:hAnsi="Arial"/>
                <w:sz w:val="16"/>
                <w:szCs w:val="16"/>
                <w:b w:val="1"/>
                <w:bCs w:val="1"/>
                <w:color w:val="auto"/>
              </w:rPr>
              <w:t>Performance Shares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Stock Options</w:t>
            </w:r>
            <w:r>
              <w:rPr>
                <w:rFonts w:ascii="Arial" w:cs="Arial" w:eastAsia="Arial" w:hAnsi="Arial"/>
                <w:sz w:val="10"/>
                <w:szCs w:val="10"/>
                <w:b w:val="1"/>
                <w:bCs w:val="1"/>
                <w:color w:val="auto"/>
              </w:rPr>
              <w:t>(1)</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2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23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74"/>
        </w:trPr>
        <w:tc>
          <w:tcPr>
            <w:tcW w:w="522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Total</w:t>
            </w:r>
          </w:p>
        </w:tc>
        <w:tc>
          <w:tcPr>
            <w:tcW w:w="22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w:t>
            </w:r>
          </w:p>
        </w:tc>
        <w:tc>
          <w:tcPr>
            <w:tcW w:w="2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57</w:t>
            </w:r>
          </w:p>
        </w:tc>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-55245</wp:posOffset>
            </wp:positionV>
            <wp:extent cx="1501140" cy="75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4">
                      <a:extLst>
                        <a:ext uri="{28A0092B-C50C-407E-A947-70E740481C1C}"/>
                      </a:extLst>
                    </a:blip>
                    <a:srcRect/>
                    <a:stretch>
                      <a:fillRect/>
                    </a:stretch>
                  </pic:blipFill>
                  <pic:spPr bwMode="auto">
                    <a:xfrm>
                      <a:off x="0" y="0"/>
                      <a:ext cx="150114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w:t>
      </w:r>
    </w:p>
    <w:p>
      <w:pPr>
        <w:spacing w:after="0" w:line="11" w:lineRule="exact"/>
        <w:rPr>
          <w:sz w:val="20"/>
          <w:szCs w:val="20"/>
          <w:color w:val="auto"/>
        </w:rPr>
      </w:pPr>
    </w:p>
    <w:p>
      <w:pPr>
        <w:ind w:left="360" w:hanging="356"/>
        <w:spacing w:after="0"/>
        <w:tabs>
          <w:tab w:leader="none" w:pos="360" w:val="left"/>
        </w:tabs>
        <w:numPr>
          <w:ilvl w:val="0"/>
          <w:numId w:val="14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CareAR SOs granted in May 2022.</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aggregate intrinsic value of outstanding stock-based awards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Awards</w:t>
            </w:r>
          </w:p>
        </w:tc>
        <w:tc>
          <w:tcPr>
            <w:tcW w:w="8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December 31, 2025</w:t>
            </w:r>
          </w:p>
        </w:tc>
      </w:tr>
      <w:tr>
        <w:trPr>
          <w:trHeight w:val="223"/>
        </w:trPr>
        <w:tc>
          <w:tcPr>
            <w:tcW w:w="78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Restricted Stock Units</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r>
      <w:tr>
        <w:trPr>
          <w:trHeight w:val="221"/>
        </w:trPr>
        <w:tc>
          <w:tcPr>
            <w:tcW w:w="7800" w:type="dxa"/>
            <w:vAlign w:val="bottom"/>
          </w:tcPr>
          <w:p>
            <w:pPr>
              <w:ind w:left="60"/>
              <w:spacing w:after="0"/>
              <w:rPr>
                <w:sz w:val="20"/>
                <w:szCs w:val="20"/>
                <w:color w:val="auto"/>
              </w:rPr>
            </w:pPr>
            <w:r>
              <w:rPr>
                <w:rFonts w:ascii="Arial" w:cs="Arial" w:eastAsia="Arial" w:hAnsi="Arial"/>
                <w:sz w:val="16"/>
                <w:szCs w:val="16"/>
                <w:b w:val="1"/>
                <w:bCs w:val="1"/>
                <w:color w:val="auto"/>
              </w:rPr>
              <w:t>Performance Shares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intrinsic value and actual tax benefit realized for all vested and exercised stock-based awards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81"/>
        </w:trPr>
        <w:tc>
          <w:tcPr>
            <w:tcW w:w="25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Awards</w:t>
            </w:r>
          </w:p>
        </w:tc>
        <w:tc>
          <w:tcPr>
            <w:tcW w:w="60" w:type="dxa"/>
            <w:vAlign w:val="bottom"/>
            <w:vMerge w:val="restart"/>
          </w:tcPr>
          <w:p>
            <w:pPr>
              <w:spacing w:after="0"/>
              <w:rPr>
                <w:sz w:val="15"/>
                <w:szCs w:val="15"/>
                <w:color w:val="auto"/>
              </w:rPr>
            </w:pPr>
          </w:p>
        </w:tc>
        <w:tc>
          <w:tcPr>
            <w:tcW w:w="1180" w:type="dxa"/>
            <w:vAlign w:val="bottom"/>
            <w:gridSpan w:val="2"/>
          </w:tcPr>
          <w:p>
            <w:pPr>
              <w:jc w:val="right"/>
              <w:ind w:right="62"/>
              <w:spacing w:after="0" w:line="181" w:lineRule="exact"/>
              <w:rPr>
                <w:sz w:val="20"/>
                <w:szCs w:val="20"/>
                <w:color w:val="auto"/>
              </w:rPr>
            </w:pPr>
            <w:r>
              <w:rPr>
                <w:rFonts w:ascii="Arial" w:cs="Arial" w:eastAsia="Arial" w:hAnsi="Arial"/>
                <w:sz w:val="16"/>
                <w:szCs w:val="16"/>
                <w:b w:val="1"/>
                <w:bCs w:val="1"/>
                <w:color w:val="auto"/>
                <w:w w:val="97"/>
              </w:rPr>
              <w:t>Total Intrinsic</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w w:val="90"/>
              </w:rPr>
              <w:t>Tax Benefit</w:t>
            </w:r>
          </w:p>
        </w:tc>
        <w:tc>
          <w:tcPr>
            <w:tcW w:w="80" w:type="dxa"/>
            <w:vAlign w:val="bottom"/>
          </w:tcPr>
          <w:p>
            <w:pPr>
              <w:spacing w:after="0"/>
              <w:rPr>
                <w:sz w:val="15"/>
                <w:szCs w:val="15"/>
                <w:color w:val="auto"/>
              </w:rPr>
            </w:pPr>
          </w:p>
        </w:tc>
        <w:tc>
          <w:tcPr>
            <w:tcW w:w="1160" w:type="dxa"/>
            <w:vAlign w:val="bottom"/>
            <w:gridSpan w:val="2"/>
          </w:tcPr>
          <w:p>
            <w:pPr>
              <w:jc w:val="right"/>
              <w:ind w:right="42"/>
              <w:spacing w:after="0" w:line="181" w:lineRule="exact"/>
              <w:rPr>
                <w:sz w:val="20"/>
                <w:szCs w:val="20"/>
                <w:color w:val="auto"/>
              </w:rPr>
            </w:pPr>
            <w:r>
              <w:rPr>
                <w:rFonts w:ascii="Arial" w:cs="Arial" w:eastAsia="Arial" w:hAnsi="Arial"/>
                <w:sz w:val="16"/>
                <w:szCs w:val="16"/>
                <w:b w:val="1"/>
                <w:bCs w:val="1"/>
                <w:color w:val="auto"/>
                <w:w w:val="97"/>
              </w:rPr>
              <w:t>Total Intrinsic</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0"/>
              </w:rPr>
              <w:t>Tax Benefit</w:t>
            </w:r>
          </w:p>
        </w:tc>
        <w:tc>
          <w:tcPr>
            <w:tcW w:w="80" w:type="dxa"/>
            <w:vAlign w:val="bottom"/>
          </w:tcPr>
          <w:p>
            <w:pPr>
              <w:spacing w:after="0"/>
              <w:rPr>
                <w:sz w:val="15"/>
                <w:szCs w:val="15"/>
                <w:color w:val="auto"/>
              </w:rPr>
            </w:pPr>
          </w:p>
        </w:tc>
        <w:tc>
          <w:tcPr>
            <w:tcW w:w="1160" w:type="dxa"/>
            <w:vAlign w:val="bottom"/>
            <w:gridSpan w:val="2"/>
          </w:tcPr>
          <w:p>
            <w:pPr>
              <w:jc w:val="right"/>
              <w:ind w:right="42"/>
              <w:spacing w:after="0" w:line="181" w:lineRule="exact"/>
              <w:rPr>
                <w:sz w:val="20"/>
                <w:szCs w:val="20"/>
                <w:color w:val="auto"/>
              </w:rPr>
            </w:pPr>
            <w:r>
              <w:rPr>
                <w:rFonts w:ascii="Arial" w:cs="Arial" w:eastAsia="Arial" w:hAnsi="Arial"/>
                <w:sz w:val="16"/>
                <w:szCs w:val="16"/>
                <w:b w:val="1"/>
                <w:bCs w:val="1"/>
                <w:color w:val="auto"/>
                <w:w w:val="97"/>
              </w:rPr>
              <w:t>Total Intrinsic</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0"/>
              </w:rPr>
              <w:t>Tax Benefit</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5E5E5"/>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Value</w:t>
            </w:r>
          </w:p>
        </w:tc>
        <w:tc>
          <w:tcPr>
            <w:tcW w:w="6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Restricted Stock Units</w:t>
            </w:r>
          </w:p>
        </w:tc>
        <w:tc>
          <w:tcPr>
            <w:tcW w:w="280" w:type="dxa"/>
            <w:vAlign w:val="bottom"/>
            <w:shd w:val="clear" w:color="auto" w:fill="E5E5E5"/>
          </w:tcPr>
          <w:p>
            <w:pPr>
              <w:jc w:val="right"/>
              <w:ind w:right="6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18</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340" w:type="dxa"/>
            <w:vAlign w:val="bottom"/>
            <w:gridSpan w:val="2"/>
            <w:shd w:val="clear" w:color="auto" w:fill="E5E5E5"/>
          </w:tcPr>
          <w:p>
            <w:pPr>
              <w:jc w:val="right"/>
              <w:ind w:right="4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21"/>
        </w:trPr>
        <w:tc>
          <w:tcPr>
            <w:tcW w:w="260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 Share Units</w:t>
            </w:r>
          </w:p>
        </w:tc>
        <w:tc>
          <w:tcPr>
            <w:tcW w:w="28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159</w:t>
      </w:r>
    </w:p>
    <w:p>
      <w:pPr>
        <w:sectPr>
          <w:pgSz w:w="11880" w:h="15480" w:orient="portrait"/>
          <w:cols w:equalWidth="0" w:num="1">
            <w:col w:w="9960"/>
          </w:cols>
          <w:pgMar w:left="960" w:top="736" w:right="960" w:bottom="0" w:gutter="0" w:footer="0" w:header="0"/>
        </w:sectPr>
      </w:pPr>
    </w:p>
    <w:bookmarkStart w:id="169" w:name="page170"/>
    <w:bookmarkEnd w:id="169"/>
    <w:p>
      <w:pPr>
        <w:spacing w:after="0"/>
        <w:rPr>
          <w:sz w:val="20"/>
          <w:szCs w:val="20"/>
          <w:color w:val="auto"/>
        </w:rPr>
      </w:pPr>
      <w:r>
        <w:rPr>
          <w:rFonts w:ascii="Arial" w:cs="Arial" w:eastAsia="Arial" w:hAnsi="Arial"/>
          <w:sz w:val="23"/>
          <w:szCs w:val="23"/>
          <w:b w:val="1"/>
          <w:bCs w:val="1"/>
          <w:color w:val="DA2031"/>
        </w:rPr>
        <w:t>Note 24 – Other Comprehensive Income (Loss)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Comprehensive Income (Loss) is comprised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5"/>
              </w:rPr>
              <w:t>Pre-tax</w:t>
            </w:r>
          </w:p>
        </w:tc>
        <w:tc>
          <w:tcPr>
            <w:tcW w:w="80" w:type="dxa"/>
            <w:vAlign w:val="bottom"/>
            <w:tcBorders>
              <w:bottom w:val="single" w:sz="8" w:color="E5E5E5"/>
            </w:tcBorders>
          </w:tcPr>
          <w:p>
            <w:pPr>
              <w:spacing w:after="0"/>
              <w:rPr>
                <w:sz w:val="18"/>
                <w:szCs w:val="18"/>
                <w:color w:val="auto"/>
              </w:rPr>
            </w:pPr>
          </w:p>
        </w:tc>
        <w:tc>
          <w:tcPr>
            <w:tcW w:w="9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Net of Tax</w:t>
            </w:r>
          </w:p>
        </w:tc>
        <w:tc>
          <w:tcPr>
            <w:tcW w:w="6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Pre-tax</w:t>
            </w:r>
          </w:p>
        </w:tc>
        <w:tc>
          <w:tcPr>
            <w:tcW w:w="60" w:type="dxa"/>
            <w:vAlign w:val="bottom"/>
            <w:tcBorders>
              <w:bottom w:val="single" w:sz="8" w:color="E5E5E5"/>
            </w:tcBorders>
          </w:tcPr>
          <w:p>
            <w:pPr>
              <w:spacing w:after="0"/>
              <w:rPr>
                <w:sz w:val="18"/>
                <w:szCs w:val="18"/>
                <w:color w:val="auto"/>
              </w:rPr>
            </w:pPr>
          </w:p>
        </w:tc>
        <w:tc>
          <w:tcPr>
            <w:tcW w:w="9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Net of Tax</w:t>
            </w: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Pre-tax</w:t>
            </w:r>
          </w:p>
        </w:tc>
        <w:tc>
          <w:tcPr>
            <w:tcW w:w="8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3"/>
        </w:trPr>
        <w:tc>
          <w:tcPr>
            <w:tcW w:w="39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Net Translation Adjustments Gains (Losses)</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305</w:t>
            </w:r>
          </w:p>
        </w:tc>
        <w:tc>
          <w:tcPr>
            <w:tcW w:w="46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305</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(120)</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191</w:t>
            </w:r>
          </w:p>
        </w:tc>
        <w:tc>
          <w:tcPr>
            <w:tcW w:w="420" w:type="dxa"/>
            <w:vAlign w:val="bottom"/>
            <w:gridSpan w:val="2"/>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191</w:t>
            </w:r>
          </w:p>
        </w:tc>
        <w:tc>
          <w:tcPr>
            <w:tcW w:w="0" w:type="dxa"/>
            <w:vAlign w:val="bottom"/>
          </w:tcPr>
          <w:p>
            <w:pPr>
              <w:spacing w:after="0"/>
              <w:rPr>
                <w:sz w:val="1"/>
                <w:szCs w:val="1"/>
                <w:color w:val="auto"/>
              </w:rPr>
            </w:pPr>
          </w:p>
        </w:tc>
      </w:tr>
      <w:tr>
        <w:trPr>
          <w:trHeight w:val="222"/>
        </w:trPr>
        <w:tc>
          <w:tcPr>
            <w:tcW w:w="3980" w:type="dxa"/>
            <w:vAlign w:val="bottom"/>
            <w:tcBorders>
              <w:top w:val="single" w:sz="8" w:color="E5E5E5"/>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Borders>
              <w:top w:val="single" w:sz="8" w:color="E5E5E5"/>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Unrealized (Losses) Gains</w:t>
            </w:r>
          </w:p>
        </w:tc>
        <w:tc>
          <w:tcPr>
            <w:tcW w:w="18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56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58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5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980" w:type="dxa"/>
            <w:vAlign w:val="bottom"/>
          </w:tcPr>
          <w:p>
            <w:pPr>
              <w:ind w:left="280"/>
              <w:spacing w:after="0"/>
              <w:rPr>
                <w:sz w:val="20"/>
                <w:szCs w:val="20"/>
                <w:color w:val="auto"/>
              </w:rPr>
            </w:pPr>
            <w:r>
              <w:rPr>
                <w:rFonts w:ascii="Arial" w:cs="Arial" w:eastAsia="Arial" w:hAnsi="Arial"/>
                <w:sz w:val="16"/>
                <w:szCs w:val="16"/>
                <w:b w:val="1"/>
                <w:bCs w:val="1"/>
                <w:color w:val="auto"/>
                <w:w w:val="98"/>
              </w:rPr>
              <w:t>Changes in fair value of cash flow hedges losses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182"/>
        </w:trPr>
        <w:tc>
          <w:tcPr>
            <w:tcW w:w="3980" w:type="dxa"/>
            <w:vAlign w:val="bottom"/>
            <w:shd w:val="clear" w:color="auto" w:fill="E5E5E5"/>
          </w:tcPr>
          <w:p>
            <w:pPr>
              <w:ind w:left="280"/>
              <w:spacing w:after="0" w:line="182" w:lineRule="exact"/>
              <w:rPr>
                <w:sz w:val="20"/>
                <w:szCs w:val="20"/>
                <w:color w:val="auto"/>
              </w:rPr>
            </w:pPr>
            <w:r>
              <w:rPr>
                <w:rFonts w:ascii="Arial" w:cs="Arial" w:eastAsia="Arial" w:hAnsi="Arial"/>
                <w:sz w:val="16"/>
                <w:szCs w:val="16"/>
                <w:b w:val="1"/>
                <w:bCs w:val="1"/>
                <w:color w:val="auto"/>
              </w:rPr>
              <w:t>Changes in cash flow hedges reclassed to</w:t>
            </w:r>
          </w:p>
        </w:tc>
        <w:tc>
          <w:tcPr>
            <w:tcW w:w="180" w:type="dxa"/>
            <w:vAlign w:val="bottom"/>
            <w:shd w:val="clear" w:color="auto" w:fill="E5E5E5"/>
          </w:tcPr>
          <w:p>
            <w:pPr>
              <w:spacing w:after="0"/>
              <w:rPr>
                <w:sz w:val="15"/>
                <w:szCs w:val="15"/>
                <w:color w:val="auto"/>
              </w:rPr>
            </w:pPr>
          </w:p>
        </w:tc>
        <w:tc>
          <w:tcPr>
            <w:tcW w:w="74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5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w:t>
            </w: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10</w:t>
            </w:r>
          </w:p>
        </w:tc>
        <w:tc>
          <w:tcPr>
            <w:tcW w:w="6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5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58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E5E5E5"/>
            </w:tcBorders>
            <w:shd w:val="clear" w:color="auto" w:fill="E5E5E5"/>
          </w:tcPr>
          <w:p>
            <w:pPr>
              <w:ind w:left="280"/>
              <w:spacing w:after="0"/>
              <w:rPr>
                <w:sz w:val="20"/>
                <w:szCs w:val="20"/>
                <w:color w:val="auto"/>
              </w:rPr>
            </w:pPr>
            <w:r>
              <w:rPr>
                <w:rFonts w:ascii="Arial" w:cs="Arial" w:eastAsia="Arial" w:hAnsi="Arial"/>
                <w:sz w:val="16"/>
                <w:szCs w:val="16"/>
                <w:b w:val="1"/>
                <w:bCs w:val="1"/>
                <w:color w:val="auto"/>
              </w:rPr>
              <w:t>earnings</w:t>
            </w:r>
            <w:r>
              <w:rPr>
                <w:rFonts w:ascii="Arial" w:cs="Arial" w:eastAsia="Arial" w:hAnsi="Arial"/>
                <w:sz w:val="10"/>
                <w:szCs w:val="10"/>
                <w:b w:val="1"/>
                <w:bCs w:val="1"/>
                <w:color w:val="auto"/>
              </w:rPr>
              <w:t>(1)</w:t>
            </w:r>
          </w:p>
        </w:tc>
        <w:tc>
          <w:tcPr>
            <w:tcW w:w="18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38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vMerge w:val="continue"/>
            <w:shd w:val="clear" w:color="auto" w:fill="E5E5E5"/>
          </w:tcPr>
          <w:p>
            <w:pPr>
              <w:spacing w:after="0"/>
              <w:rPr>
                <w:sz w:val="19"/>
                <w:szCs w:val="19"/>
                <w:color w:val="auto"/>
              </w:rPr>
            </w:pPr>
          </w:p>
        </w:tc>
        <w:tc>
          <w:tcPr>
            <w:tcW w:w="6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980" w:type="dxa"/>
            <w:vAlign w:val="bottom"/>
            <w:tcBorders>
              <w:bottom w:val="single" w:sz="8" w:color="E5E5E5"/>
            </w:tcBorders>
          </w:tcPr>
          <w:p>
            <w:pPr>
              <w:ind w:left="60"/>
              <w:spacing w:after="0"/>
              <w:rPr>
                <w:sz w:val="20"/>
                <w:szCs w:val="20"/>
                <w:color w:val="auto"/>
              </w:rPr>
            </w:pPr>
            <w:r>
              <w:rPr>
                <w:rFonts w:ascii="Arial" w:cs="Arial" w:eastAsia="Arial" w:hAnsi="Arial"/>
                <w:sz w:val="16"/>
                <w:szCs w:val="16"/>
                <w:b w:val="1"/>
                <w:bCs w:val="1"/>
                <w:color w:val="auto"/>
              </w:rPr>
              <w:t>Net Unrealized (Losses) Gains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E5E5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6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w:t>
            </w:r>
          </w:p>
        </w:tc>
        <w:tc>
          <w:tcPr>
            <w:tcW w:w="6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2"/>
        </w:trPr>
        <w:tc>
          <w:tcPr>
            <w:tcW w:w="39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80" w:type="dxa"/>
            <w:vAlign w:val="bottom"/>
          </w:tcPr>
          <w:p>
            <w:pPr>
              <w:ind w:left="60"/>
              <w:spacing w:after="0"/>
              <w:rPr>
                <w:sz w:val="20"/>
                <w:szCs w:val="20"/>
                <w:color w:val="auto"/>
              </w:rPr>
            </w:pPr>
            <w:r>
              <w:rPr>
                <w:rFonts w:ascii="Arial" w:cs="Arial" w:eastAsia="Arial" w:hAnsi="Arial"/>
                <w:sz w:val="16"/>
                <w:szCs w:val="16"/>
                <w:b w:val="1"/>
                <w:bCs w:val="1"/>
                <w:color w:val="auto"/>
              </w:rPr>
              <w:t>Defined Benefit Plans Gains (Losses)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Net actuarial/prior service gains (losses)</w:t>
            </w:r>
          </w:p>
        </w:tc>
        <w:tc>
          <w:tcPr>
            <w:tcW w:w="180" w:type="dxa"/>
            <w:vAlign w:val="bottom"/>
            <w:shd w:val="clear" w:color="auto" w:fill="E5E5E5"/>
          </w:tcPr>
          <w:p>
            <w:pPr>
              <w:spacing w:after="0"/>
              <w:rPr>
                <w:sz w:val="20"/>
                <w:szCs w:val="20"/>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148</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129</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(400)</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(300)</w:t>
            </w:r>
          </w:p>
        </w:tc>
        <w:tc>
          <w:tcPr>
            <w:tcW w:w="0" w:type="dxa"/>
            <w:vAlign w:val="bottom"/>
          </w:tcPr>
          <w:p>
            <w:pPr>
              <w:spacing w:after="0"/>
              <w:rPr>
                <w:sz w:val="1"/>
                <w:szCs w:val="1"/>
                <w:color w:val="auto"/>
              </w:rPr>
            </w:pPr>
          </w:p>
        </w:tc>
      </w:tr>
      <w:tr>
        <w:trPr>
          <w:trHeight w:val="227"/>
        </w:trPr>
        <w:tc>
          <w:tcPr>
            <w:tcW w:w="3980" w:type="dxa"/>
            <w:vAlign w:val="bottom"/>
          </w:tcPr>
          <w:p>
            <w:pPr>
              <w:ind w:left="280"/>
              <w:spacing w:after="0"/>
              <w:rPr>
                <w:sz w:val="20"/>
                <w:szCs w:val="20"/>
                <w:color w:val="auto"/>
              </w:rPr>
            </w:pPr>
            <w:r>
              <w:rPr>
                <w:rFonts w:ascii="Arial" w:cs="Arial" w:eastAsia="Arial" w:hAnsi="Arial"/>
                <w:sz w:val="16"/>
                <w:szCs w:val="16"/>
                <w:b w:val="1"/>
                <w:bCs w:val="1"/>
                <w:color w:val="auto"/>
              </w:rPr>
              <w:t>Prior service amortization/curtailment</w:t>
            </w:r>
            <w:r>
              <w:rPr>
                <w:rFonts w:ascii="Arial" w:cs="Arial" w:eastAsia="Arial" w:hAnsi="Arial"/>
                <w:sz w:val="10"/>
                <w:szCs w:val="10"/>
                <w:b w:val="1"/>
                <w:bCs w:val="1"/>
                <w:color w:val="auto"/>
              </w:rPr>
              <w:t>(2)</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39"/>
        </w:trPr>
        <w:tc>
          <w:tcPr>
            <w:tcW w:w="3980" w:type="dxa"/>
            <w:vAlign w:val="bottom"/>
            <w:shd w:val="clear" w:color="auto" w:fill="E5E5E5"/>
          </w:tcPr>
          <w:p>
            <w:pPr>
              <w:ind w:left="280"/>
              <w:spacing w:after="0"/>
              <w:rPr>
                <w:sz w:val="20"/>
                <w:szCs w:val="20"/>
                <w:color w:val="auto"/>
              </w:rPr>
            </w:pPr>
            <w:r>
              <w:rPr>
                <w:rFonts w:ascii="Arial" w:cs="Arial" w:eastAsia="Arial" w:hAnsi="Arial"/>
                <w:sz w:val="16"/>
                <w:szCs w:val="16"/>
                <w:b w:val="1"/>
                <w:bCs w:val="1"/>
                <w:color w:val="auto"/>
              </w:rPr>
              <w:t>Actuarial loss amortization/settlement</w:t>
            </w:r>
            <w:r>
              <w:rPr>
                <w:rFonts w:ascii="Arial" w:cs="Arial" w:eastAsia="Arial" w:hAnsi="Arial"/>
                <w:sz w:val="10"/>
                <w:szCs w:val="10"/>
                <w:b w:val="1"/>
                <w:bCs w:val="1"/>
                <w:color w:val="auto"/>
              </w:rPr>
              <w:t>(2)</w:t>
            </w:r>
          </w:p>
        </w:tc>
        <w:tc>
          <w:tcPr>
            <w:tcW w:w="180" w:type="dxa"/>
            <w:vAlign w:val="bottom"/>
            <w:shd w:val="clear" w:color="auto" w:fill="E5E5E5"/>
          </w:tcPr>
          <w:p>
            <w:pPr>
              <w:spacing w:after="0"/>
              <w:rPr>
                <w:sz w:val="20"/>
                <w:szCs w:val="20"/>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w:t>
            </w:r>
          </w:p>
        </w:tc>
        <w:tc>
          <w:tcPr>
            <w:tcW w:w="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57</w:t>
            </w:r>
          </w:p>
        </w:tc>
        <w:tc>
          <w:tcPr>
            <w:tcW w:w="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73</w:t>
            </w:r>
          </w:p>
        </w:tc>
        <w:tc>
          <w:tcPr>
            <w:tcW w:w="6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65</w:t>
            </w:r>
          </w:p>
        </w:tc>
        <w:tc>
          <w:tcPr>
            <w:tcW w:w="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E5E5E5"/>
            </w:tcBorders>
          </w:tcPr>
          <w:p>
            <w:pPr>
              <w:ind w:left="280"/>
              <w:spacing w:after="0"/>
              <w:rPr>
                <w:sz w:val="20"/>
                <w:szCs w:val="20"/>
                <w:color w:val="auto"/>
              </w:rPr>
            </w:pPr>
            <w:r>
              <w:rPr>
                <w:rFonts w:ascii="Arial" w:cs="Arial" w:eastAsia="Arial" w:hAnsi="Arial"/>
                <w:sz w:val="16"/>
                <w:szCs w:val="16"/>
                <w:b w:val="1"/>
                <w:bCs w:val="1"/>
                <w:color w:val="auto"/>
              </w:rPr>
              <w:t>Other (losses) gains</w:t>
            </w:r>
            <w:r>
              <w:rPr>
                <w:rFonts w:ascii="Arial" w:cs="Arial" w:eastAsia="Arial" w:hAnsi="Arial"/>
                <w:sz w:val="10"/>
                <w:szCs w:val="10"/>
                <w:b w:val="1"/>
                <w:bCs w:val="1"/>
                <w:color w:val="auto"/>
              </w:rPr>
              <w:t>(3)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80" w:type="dxa"/>
            <w:vAlign w:val="bottom"/>
            <w:tcBorders>
              <w:bottom w:val="single" w:sz="8" w:color="E5E5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w:t>
            </w:r>
          </w:p>
        </w:tc>
        <w:tc>
          <w:tcPr>
            <w:tcW w:w="60" w:type="dxa"/>
            <w:vAlign w:val="bottom"/>
            <w:tcBorders>
              <w:bottom w:val="single" w:sz="8" w:color="E5E5E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Changes in Defined Benefit Plans Gains (Losses)</w:t>
            </w:r>
          </w:p>
        </w:tc>
        <w:tc>
          <w:tcPr>
            <w:tcW w:w="1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116</w:t>
            </w:r>
          </w:p>
        </w:tc>
        <w:tc>
          <w:tcPr>
            <w:tcW w:w="8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93</w:t>
            </w:r>
          </w:p>
        </w:tc>
        <w:tc>
          <w:tcPr>
            <w:tcW w:w="60" w:type="dxa"/>
            <w:vAlign w:val="bottom"/>
            <w:tcBorders>
              <w:bottom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98</w:t>
            </w:r>
          </w:p>
        </w:tc>
        <w:tc>
          <w:tcPr>
            <w:tcW w:w="6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88</w:t>
            </w:r>
          </w:p>
        </w:tc>
        <w:tc>
          <w:tcPr>
            <w:tcW w:w="80" w:type="dxa"/>
            <w:vAlign w:val="bottom"/>
            <w:tcBorders>
              <w:bottom w:val="single" w:sz="8" w:color="E5E5E5"/>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(424)</w:t>
            </w:r>
          </w:p>
        </w:tc>
        <w:tc>
          <w:tcPr>
            <w:tcW w:w="80" w:type="dxa"/>
            <w:vAlign w:val="bottom"/>
            <w:tcBorders>
              <w:bottom w:val="single" w:sz="8" w:color="E5E5E5"/>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(331)</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Other Comprehensive Income (Loss)</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410</w:t>
            </w:r>
          </w:p>
        </w:tc>
        <w:tc>
          <w:tcPr>
            <w:tcW w:w="460" w:type="dxa"/>
            <w:vAlign w:val="bottom"/>
            <w:gridSpan w:val="2"/>
            <w:shd w:val="clear" w:color="auto" w:fill="E5E5E5"/>
          </w:tcPr>
          <w:p>
            <w:pPr>
              <w:jc w:val="right"/>
              <w:ind w:right="162"/>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388</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420" w:type="dxa"/>
            <w:vAlign w:val="bottom"/>
            <w:gridSpan w:val="2"/>
            <w:shd w:val="clear" w:color="auto" w:fill="E5E5E5"/>
          </w:tcPr>
          <w:p>
            <w:pPr>
              <w:jc w:val="right"/>
              <w:ind w:right="14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(233)</w:t>
            </w:r>
          </w:p>
        </w:tc>
        <w:tc>
          <w:tcPr>
            <w:tcW w:w="420" w:type="dxa"/>
            <w:vAlign w:val="bottom"/>
            <w:gridSpan w:val="2"/>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(139)</w:t>
            </w:r>
          </w:p>
        </w:tc>
        <w:tc>
          <w:tcPr>
            <w:tcW w:w="0" w:type="dxa"/>
            <w:vAlign w:val="bottom"/>
          </w:tcPr>
          <w:p>
            <w:pPr>
              <w:spacing w:after="0"/>
              <w:rPr>
                <w:sz w:val="1"/>
                <w:szCs w:val="1"/>
                <w:color w:val="auto"/>
              </w:rPr>
            </w:pPr>
          </w:p>
        </w:tc>
      </w:tr>
      <w:tr>
        <w:trPr>
          <w:trHeight w:val="270"/>
        </w:trPr>
        <w:tc>
          <w:tcPr>
            <w:tcW w:w="3980" w:type="dxa"/>
            <w:vAlign w:val="bottom"/>
            <w:tcBorders>
              <w:top w:val="single" w:sz="8" w:color="E5E5E5"/>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tc>
        <w:tc>
          <w:tcPr>
            <w:tcW w:w="1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Borders>
              <w:top w:val="single" w:sz="8" w:color="E5E5E5"/>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Borders>
              <w:top w:val="single" w:sz="8" w:color="E5E5E5"/>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60" w:type="dxa"/>
            <w:vAlign w:val="bottom"/>
            <w:tcBorders>
              <w:top w:val="single" w:sz="8" w:color="E5E5E5"/>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E5E5E5"/>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0" w:type="dxa"/>
            <w:vAlign w:val="bottom"/>
            <w:tcBorders>
              <w:top w:val="single" w:sz="8" w:color="E5E5E5"/>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-214630</wp:posOffset>
            </wp:positionV>
            <wp:extent cx="3804285" cy="501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5">
                      <a:extLst>
                        <a:ext uri="{28A0092B-C50C-407E-A947-70E740481C1C}"/>
                      </a:extLst>
                    </a:blip>
                    <a:srcRect/>
                    <a:stretch>
                      <a:fillRect/>
                    </a:stretch>
                  </pic:blipFill>
                  <pic:spPr bwMode="auto">
                    <a:xfrm>
                      <a:off x="0" y="0"/>
                      <a:ext cx="3804285" cy="50165"/>
                    </a:xfrm>
                    <a:prstGeom prst="rect">
                      <a:avLst/>
                    </a:prstGeom>
                    <a:noFill/>
                  </pic:spPr>
                </pic:pic>
              </a:graphicData>
            </a:graphic>
          </wp:anchor>
        </w:drawing>
      </w:r>
    </w:p>
    <w:p>
      <w:pPr>
        <w:ind w:left="360" w:hanging="356"/>
        <w:spacing w:after="0" w:line="242" w:lineRule="auto"/>
        <w:tabs>
          <w:tab w:leader="none" w:pos="360" w:val="left"/>
        </w:tabs>
        <w:numPr>
          <w:ilvl w:val="0"/>
          <w:numId w:val="1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Reclassified to Cost of sales and interest expense- refer to Note 16 - Financial Instruments for additional information regarding our cash flow hedges.</w:t>
      </w:r>
    </w:p>
    <w:p>
      <w:pPr>
        <w:spacing w:after="0" w:line="1"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Reclassified to Total Net Periodic Benefit Cost - refer to Note 18 - Employee Benefit Plans for additional information.</w:t>
      </w:r>
    </w:p>
    <w:p>
      <w:pPr>
        <w:spacing w:after="0" w:line="2" w:lineRule="exact"/>
        <w:rPr>
          <w:rFonts w:ascii="Arial" w:cs="Arial" w:eastAsia="Arial" w:hAnsi="Arial"/>
          <w:sz w:val="16"/>
          <w:szCs w:val="16"/>
          <w:b w:val="1"/>
          <w:bCs w:val="1"/>
          <w:i w:val="1"/>
          <w:iCs w:val="1"/>
          <w:color w:val="auto"/>
        </w:rPr>
      </w:pPr>
    </w:p>
    <w:p>
      <w:pPr>
        <w:ind w:left="360" w:hanging="356"/>
        <w:spacing w:after="0"/>
        <w:tabs>
          <w:tab w:leader="none" w:pos="360" w:val="left"/>
        </w:tabs>
        <w:numPr>
          <w:ilvl w:val="0"/>
          <w:numId w:val="14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Primarily represents currency impact on cumulative amount of benefit plan net actuarial losses and prior service credits in AOCL.</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Accumulated Other Comprehensive Loss (AOCL)</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AOCL is comprised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3"/>
        </w:trPr>
        <w:tc>
          <w:tcPr>
            <w:tcW w:w="588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223"/>
        </w:trPr>
        <w:tc>
          <w:tcPr>
            <w:tcW w:w="5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Cumulative translation adjustments</w:t>
            </w:r>
          </w:p>
        </w:tc>
        <w:tc>
          <w:tcPr>
            <w:tcW w:w="30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(1,861)</w:t>
            </w:r>
          </w:p>
        </w:tc>
        <w:tc>
          <w:tcPr>
            <w:tcW w:w="2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(2,166)</w:t>
            </w:r>
          </w:p>
        </w:tc>
        <w:tc>
          <w:tcPr>
            <w:tcW w:w="3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(2,046)</w:t>
            </w:r>
          </w:p>
        </w:tc>
      </w:tr>
      <w:tr>
        <w:trPr>
          <w:trHeight w:val="227"/>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Other unrealized (losses) gains,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48"/>
        </w:trPr>
        <w:tc>
          <w:tcPr>
            <w:tcW w:w="5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Benefit plans net actuarial losses and prior service credits</w:t>
            </w:r>
          </w:p>
        </w:tc>
        <w:tc>
          <w:tcPr>
            <w:tcW w:w="30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(1,446)</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(1,539)</w:t>
            </w:r>
          </w:p>
        </w:tc>
        <w:tc>
          <w:tcPr>
            <w:tcW w:w="80" w:type="dxa"/>
            <w:vAlign w:val="bottom"/>
            <w:tcBorders>
              <w:bottom w:val="single" w:sz="8" w:color="E5E5E5"/>
            </w:tcBorders>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(1,627)</w:t>
            </w:r>
          </w:p>
        </w:tc>
      </w:tr>
      <w:tr>
        <w:trPr>
          <w:trHeight w:val="189"/>
        </w:trPr>
        <w:tc>
          <w:tcPr>
            <w:tcW w:w="5880" w:type="dxa"/>
            <w:vAlign w:val="bottom"/>
          </w:tcPr>
          <w:p>
            <w:pPr>
              <w:ind w:left="60"/>
              <w:spacing w:after="0"/>
              <w:rPr>
                <w:sz w:val="20"/>
                <w:szCs w:val="20"/>
                <w:color w:val="auto"/>
              </w:rPr>
            </w:pPr>
            <w:r>
              <w:rPr>
                <w:rFonts w:ascii="Arial" w:cs="Arial" w:eastAsia="Arial" w:hAnsi="Arial"/>
                <w:sz w:val="16"/>
                <w:szCs w:val="16"/>
                <w:b w:val="1"/>
                <w:bCs w:val="1"/>
                <w:color w:val="auto"/>
              </w:rPr>
              <w:t>Total Accumulated Other Comprehensive Loss</w:t>
            </w:r>
          </w:p>
        </w:tc>
        <w:tc>
          <w:tcPr>
            <w:tcW w:w="30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(3,311)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(3,699)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(3,676)</w:t>
            </w:r>
          </w:p>
        </w:tc>
      </w:tr>
      <w:tr>
        <w:trPr>
          <w:trHeight w:val="20"/>
        </w:trPr>
        <w:tc>
          <w:tcPr>
            <w:tcW w:w="5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-42545</wp:posOffset>
            </wp:positionV>
            <wp:extent cx="2584450" cy="501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6">
                      <a:extLst>
                        <a:ext uri="{28A0092B-C50C-407E-A947-70E740481C1C}"/>
                      </a:extLst>
                    </a:blip>
                    <a:srcRect/>
                    <a:stretch>
                      <a:fillRect/>
                    </a:stretch>
                  </pic:blipFill>
                  <pic:spPr bwMode="auto">
                    <a:xfrm>
                      <a:off x="0" y="0"/>
                      <a:ext cx="2584450" cy="5016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utilize the aggregate portfolio approach for releasing disproportionate income tax effects from AOCL.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160</w:t>
      </w:r>
    </w:p>
    <w:p>
      <w:pPr>
        <w:sectPr>
          <w:pgSz w:w="11880" w:h="15480" w:orient="portrait"/>
          <w:cols w:equalWidth="0" w:num="1">
            <w:col w:w="9960"/>
          </w:cols>
          <w:pgMar w:left="960" w:top="724" w:right="960" w:bottom="0" w:gutter="0" w:footer="0" w:header="0"/>
        </w:sectPr>
      </w:pPr>
    </w:p>
    <w:bookmarkStart w:id="170" w:name="page171"/>
    <w:bookmarkEnd w:id="170"/>
    <w:p>
      <w:pPr>
        <w:spacing w:after="0"/>
        <w:rPr>
          <w:sz w:val="20"/>
          <w:szCs w:val="20"/>
          <w:color w:val="auto"/>
        </w:rPr>
      </w:pPr>
      <w:r>
        <w:rPr>
          <w:rFonts w:ascii="Arial" w:cs="Arial" w:eastAsia="Arial" w:hAnsi="Arial"/>
          <w:sz w:val="23"/>
          <w:szCs w:val="23"/>
          <w:b w:val="1"/>
          <w:bCs w:val="1"/>
          <w:color w:val="DA2031"/>
        </w:rPr>
        <w:t>Note 25 – Loss per Share</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following table sets forth the computation of basic and diluted loss per share of Xerox Holdings Corporation's Common stock (shares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60" w:type="dxa"/>
            <w:vAlign w:val="bottom"/>
            <w:tcBorders>
              <w:bottom w:val="single" w:sz="8" w:color="E5E5E5"/>
            </w:tcBorders>
          </w:tcPr>
          <w:p>
            <w:pPr>
              <w:spacing w:after="0"/>
              <w:rPr>
                <w:sz w:val="18"/>
                <w:szCs w:val="18"/>
                <w:color w:val="auto"/>
              </w:rPr>
            </w:pPr>
          </w:p>
        </w:tc>
        <w:tc>
          <w:tcPr>
            <w:tcW w:w="170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1000" w:type="dxa"/>
            <w:vAlign w:val="bottom"/>
            <w:tcBorders>
              <w:bottom w:val="single" w:sz="8" w:color="E5E5E5"/>
            </w:tcBorders>
          </w:tcPr>
          <w:p>
            <w:pPr>
              <w:spacing w:after="0"/>
              <w:rPr>
                <w:sz w:val="18"/>
                <w:szCs w:val="18"/>
                <w:color w:val="auto"/>
              </w:rPr>
            </w:pPr>
          </w:p>
        </w:tc>
        <w:tc>
          <w:tcPr>
            <w:tcW w:w="266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r>
      <w:tr>
        <w:trPr>
          <w:trHeight w:val="203"/>
        </w:trPr>
        <w:tc>
          <w:tcPr>
            <w:tcW w:w="60" w:type="dxa"/>
            <w:vAlign w:val="bottom"/>
            <w:tcBorders>
              <w:bottom w:val="single" w:sz="8" w:color="E5E5E5"/>
            </w:tcBorders>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6"/>
                <w:szCs w:val="16"/>
                <w:b w:val="1"/>
                <w:bCs w:val="1"/>
                <w:color w:val="auto"/>
                <w:w w:val="97"/>
              </w:rPr>
              <w:t>Basic Loss per Share:</w:t>
            </w:r>
          </w:p>
        </w:tc>
        <w:tc>
          <w:tcPr>
            <w:tcW w:w="3780" w:type="dxa"/>
            <w:vAlign w:val="bottom"/>
            <w:tcBorders>
              <w:bottom w:val="single" w:sz="8" w:color="E5E5E5"/>
            </w:tcBorders>
            <w:gridSpan w:val="3"/>
            <w:shd w:val="clear" w:color="auto" w:fill="E5E5E5"/>
          </w:tcPr>
          <w:p>
            <w:pPr>
              <w:spacing w:after="0"/>
              <w:rPr>
                <w:sz w:val="17"/>
                <w:szCs w:val="17"/>
                <w:color w:val="auto"/>
              </w:rPr>
            </w:pPr>
          </w:p>
        </w:tc>
        <w:tc>
          <w:tcPr>
            <w:tcW w:w="34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spacing w:after="0"/>
              <w:rPr>
                <w:sz w:val="17"/>
                <w:szCs w:val="17"/>
                <w:color w:val="auto"/>
              </w:rPr>
            </w:pPr>
          </w:p>
        </w:tc>
        <w:tc>
          <w:tcPr>
            <w:tcW w:w="80" w:type="dxa"/>
            <w:vAlign w:val="bottom"/>
            <w:tcBorders>
              <w:bottom w:val="single" w:sz="8" w:color="E5E5E5"/>
            </w:tcBorders>
            <w:shd w:val="clear" w:color="auto" w:fill="E5E5E5"/>
          </w:tcPr>
          <w:p>
            <w:pPr>
              <w:spacing w:after="0"/>
              <w:rPr>
                <w:sz w:val="17"/>
                <w:szCs w:val="17"/>
                <w:color w:val="auto"/>
              </w:rPr>
            </w:pPr>
          </w:p>
        </w:tc>
        <w:tc>
          <w:tcPr>
            <w:tcW w:w="32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spacing w:after="0"/>
              <w:rPr>
                <w:sz w:val="17"/>
                <w:szCs w:val="17"/>
                <w:color w:val="auto"/>
              </w:rPr>
            </w:pPr>
          </w:p>
        </w:tc>
        <w:tc>
          <w:tcPr>
            <w:tcW w:w="80" w:type="dxa"/>
            <w:vAlign w:val="bottom"/>
            <w:tcBorders>
              <w:bottom w:val="single" w:sz="8" w:color="E5E5E5"/>
            </w:tcBorders>
            <w:shd w:val="clear" w:color="auto" w:fill="E5E5E5"/>
          </w:tcPr>
          <w:p>
            <w:pPr>
              <w:spacing w:after="0"/>
              <w:rPr>
                <w:sz w:val="17"/>
                <w:szCs w:val="17"/>
                <w:color w:val="auto"/>
              </w:rPr>
            </w:pPr>
          </w:p>
        </w:tc>
        <w:tc>
          <w:tcPr>
            <w:tcW w:w="34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E5E5E5"/>
            </w:tcBorders>
            <w:shd w:val="clear" w:color="auto" w:fill="E5E5E5"/>
          </w:tcPr>
          <w:p>
            <w:pPr>
              <w:spacing w:after="0"/>
              <w:rPr>
                <w:sz w:val="17"/>
                <w:szCs w:val="17"/>
                <w:color w:val="auto"/>
              </w:rPr>
            </w:pPr>
          </w:p>
        </w:tc>
      </w:tr>
      <w:tr>
        <w:trPr>
          <w:trHeight w:val="227"/>
        </w:trPr>
        <w:tc>
          <w:tcPr>
            <w:tcW w:w="60" w:type="dxa"/>
            <w:vAlign w:val="bottom"/>
          </w:tcPr>
          <w:p>
            <w:pPr>
              <w:spacing w:after="0"/>
              <w:rPr>
                <w:sz w:val="19"/>
                <w:szCs w:val="19"/>
                <w:color w:val="auto"/>
              </w:rPr>
            </w:pPr>
          </w:p>
        </w:tc>
        <w:tc>
          <w:tcPr>
            <w:tcW w:w="5480" w:type="dxa"/>
            <w:vAlign w:val="bottom"/>
            <w:gridSpan w:val="4"/>
          </w:tcPr>
          <w:p>
            <w:pPr>
              <w:spacing w:after="0"/>
              <w:rPr>
                <w:sz w:val="20"/>
                <w:szCs w:val="20"/>
                <w:color w:val="auto"/>
              </w:rPr>
            </w:pPr>
            <w:r>
              <w:rPr>
                <w:rFonts w:ascii="Arial" w:cs="Arial" w:eastAsia="Arial" w:hAnsi="Arial"/>
                <w:sz w:val="16"/>
                <w:szCs w:val="16"/>
                <w:b w:val="1"/>
                <w:bCs w:val="1"/>
                <w:color w:val="auto"/>
              </w:rPr>
              <w:t>Net (Loss) Income</w:t>
            </w:r>
          </w:p>
        </w:tc>
        <w:tc>
          <w:tcPr>
            <w:tcW w:w="34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(1,029)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(1,321)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5480" w:type="dxa"/>
            <w:vAlign w:val="bottom"/>
            <w:tcBorders>
              <w:bottom w:val="single" w:sz="8" w:color="E5E5E5"/>
            </w:tcBorders>
            <w:gridSpan w:val="4"/>
            <w:shd w:val="clear" w:color="auto" w:fill="E5E5E5"/>
          </w:tcPr>
          <w:p>
            <w:pPr>
              <w:spacing w:after="0"/>
              <w:rPr>
                <w:sz w:val="20"/>
                <w:szCs w:val="20"/>
                <w:color w:val="auto"/>
              </w:rPr>
            </w:pPr>
            <w:r>
              <w:rPr>
                <w:rFonts w:ascii="Arial" w:cs="Arial" w:eastAsia="Arial" w:hAnsi="Arial"/>
                <w:sz w:val="16"/>
                <w:szCs w:val="16"/>
                <w:b w:val="1"/>
                <w:bCs w:val="1"/>
                <w:color w:val="auto"/>
              </w:rPr>
              <w:t>Accrued dividends on preferred stock</w:t>
            </w:r>
          </w:p>
        </w:tc>
        <w:tc>
          <w:tcPr>
            <w:tcW w:w="34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r>
      <w:tr>
        <w:trPr>
          <w:trHeight w:val="213"/>
        </w:trPr>
        <w:tc>
          <w:tcPr>
            <w:tcW w:w="60" w:type="dxa"/>
            <w:vAlign w:val="bottom"/>
          </w:tcPr>
          <w:p>
            <w:pPr>
              <w:spacing w:after="0"/>
              <w:rPr>
                <w:sz w:val="18"/>
                <w:szCs w:val="18"/>
                <w:color w:val="auto"/>
              </w:rPr>
            </w:pPr>
          </w:p>
        </w:tc>
        <w:tc>
          <w:tcPr>
            <w:tcW w:w="54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Adjusted Net Loss attributable to common shareholders</w:t>
            </w:r>
          </w:p>
        </w:tc>
        <w:tc>
          <w:tcPr>
            <w:tcW w:w="340" w:type="dxa"/>
            <w:vAlign w:val="bottom"/>
          </w:tcPr>
          <w:p>
            <w:pPr>
              <w:jc w:val="right"/>
              <w:ind w:right="122"/>
              <w:spacing w:after="0" w:line="175" w:lineRule="exact"/>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(1,043)</w:t>
            </w:r>
          </w:p>
        </w:tc>
        <w:tc>
          <w:tcPr>
            <w:tcW w:w="40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(1,335)</w:t>
            </w:r>
          </w:p>
        </w:tc>
        <w:tc>
          <w:tcPr>
            <w:tcW w:w="420" w:type="dxa"/>
            <w:vAlign w:val="bottom"/>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(13)</w:t>
            </w:r>
          </w:p>
        </w:tc>
      </w:tr>
      <w:tr>
        <w:trPr>
          <w:trHeight w:val="204"/>
        </w:trPr>
        <w:tc>
          <w:tcPr>
            <w:tcW w:w="60" w:type="dxa"/>
            <w:vAlign w:val="bottom"/>
            <w:tcBorders>
              <w:top w:val="single" w:sz="8" w:color="E5E5E5"/>
            </w:tcBorders>
            <w:shd w:val="clear" w:color="auto" w:fill="E5E5E5"/>
          </w:tcPr>
          <w:p>
            <w:pPr>
              <w:spacing w:after="0"/>
              <w:rPr>
                <w:sz w:val="17"/>
                <w:szCs w:val="17"/>
                <w:color w:val="auto"/>
              </w:rPr>
            </w:pPr>
          </w:p>
        </w:tc>
        <w:tc>
          <w:tcPr>
            <w:tcW w:w="1700" w:type="dxa"/>
            <w:vAlign w:val="bottom"/>
            <w:tcBorders>
              <w:top w:val="single" w:sz="8" w:color="E5E5E5"/>
            </w:tcBorders>
            <w:shd w:val="clear" w:color="auto" w:fill="E5E5E5"/>
          </w:tcPr>
          <w:p>
            <w:pPr>
              <w:spacing w:after="0"/>
              <w:rPr>
                <w:sz w:val="17"/>
                <w:szCs w:val="17"/>
                <w:color w:val="auto"/>
              </w:rPr>
            </w:pPr>
          </w:p>
        </w:tc>
        <w:tc>
          <w:tcPr>
            <w:tcW w:w="120" w:type="dxa"/>
            <w:vAlign w:val="bottom"/>
            <w:tcBorders>
              <w:top w:val="single" w:sz="8" w:color="E5E5E5"/>
            </w:tcBorders>
            <w:shd w:val="clear" w:color="auto" w:fill="E5E5E5"/>
          </w:tcPr>
          <w:p>
            <w:pPr>
              <w:spacing w:after="0"/>
              <w:rPr>
                <w:sz w:val="17"/>
                <w:szCs w:val="17"/>
                <w:color w:val="auto"/>
              </w:rPr>
            </w:pPr>
          </w:p>
        </w:tc>
        <w:tc>
          <w:tcPr>
            <w:tcW w:w="1000" w:type="dxa"/>
            <w:vAlign w:val="bottom"/>
            <w:tcBorders>
              <w:top w:val="single" w:sz="8" w:color="E5E5E5"/>
            </w:tcBorders>
            <w:shd w:val="clear" w:color="auto" w:fill="E5E5E5"/>
          </w:tcPr>
          <w:p>
            <w:pPr>
              <w:spacing w:after="0"/>
              <w:rPr>
                <w:sz w:val="17"/>
                <w:szCs w:val="17"/>
                <w:color w:val="auto"/>
              </w:rPr>
            </w:pPr>
          </w:p>
        </w:tc>
        <w:tc>
          <w:tcPr>
            <w:tcW w:w="2660" w:type="dxa"/>
            <w:vAlign w:val="bottom"/>
            <w:tcBorders>
              <w:top w:val="single" w:sz="8" w:color="E5E5E5"/>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108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1080" w:type="dxa"/>
            <w:vAlign w:val="bottom"/>
            <w:tcBorders>
              <w:top w:val="single" w:sz="8" w:color="auto"/>
            </w:tcBorders>
            <w:shd w:val="clear" w:color="auto" w:fill="E5E5E5"/>
          </w:tcPr>
          <w:p>
            <w:pPr>
              <w:spacing w:after="0"/>
              <w:rPr>
                <w:sz w:val="17"/>
                <w:szCs w:val="17"/>
                <w:color w:val="auto"/>
              </w:rPr>
            </w:pPr>
          </w:p>
        </w:tc>
        <w:tc>
          <w:tcPr>
            <w:tcW w:w="80" w:type="dxa"/>
            <w:vAlign w:val="bottom"/>
            <w:tcBorders>
              <w:top w:val="single" w:sz="8" w:color="E5E5E5"/>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1060" w:type="dxa"/>
            <w:vAlign w:val="bottom"/>
            <w:tcBorders>
              <w:top w:val="single" w:sz="8" w:color="auto"/>
            </w:tcBorders>
            <w:shd w:val="clear" w:color="auto" w:fill="E5E5E5"/>
          </w:tcPr>
          <w:p>
            <w:pPr>
              <w:spacing w:after="0"/>
              <w:rPr>
                <w:sz w:val="17"/>
                <w:szCs w:val="17"/>
                <w:color w:val="auto"/>
              </w:rPr>
            </w:pPr>
          </w:p>
        </w:tc>
      </w:tr>
      <w:tr>
        <w:trPr>
          <w:trHeight w:val="227"/>
        </w:trPr>
        <w:tc>
          <w:tcPr>
            <w:tcW w:w="60" w:type="dxa"/>
            <w:vAlign w:val="bottom"/>
          </w:tcPr>
          <w:p>
            <w:pPr>
              <w:spacing w:after="0"/>
              <w:rPr>
                <w:sz w:val="19"/>
                <w:szCs w:val="19"/>
                <w:color w:val="auto"/>
              </w:rPr>
            </w:pPr>
          </w:p>
        </w:tc>
        <w:tc>
          <w:tcPr>
            <w:tcW w:w="5480" w:type="dxa"/>
            <w:vAlign w:val="bottom"/>
            <w:gridSpan w:val="4"/>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126,473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124,210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149,116</w:t>
            </w:r>
          </w:p>
        </w:tc>
      </w:tr>
      <w:tr>
        <w:trPr>
          <w:trHeight w:val="239"/>
        </w:trPr>
        <w:tc>
          <w:tcPr>
            <w:tcW w:w="60" w:type="dxa"/>
            <w:vAlign w:val="bottom"/>
            <w:shd w:val="clear" w:color="auto" w:fill="E5E5E5"/>
          </w:tcPr>
          <w:p>
            <w:pPr>
              <w:spacing w:after="0"/>
              <w:rPr>
                <w:sz w:val="20"/>
                <w:szCs w:val="20"/>
                <w:color w:val="auto"/>
              </w:rPr>
            </w:pPr>
          </w:p>
        </w:tc>
        <w:tc>
          <w:tcPr>
            <w:tcW w:w="170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26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r>
      <w:tr>
        <w:trPr>
          <w:trHeight w:val="231"/>
        </w:trPr>
        <w:tc>
          <w:tcPr>
            <w:tcW w:w="60" w:type="dxa"/>
            <w:vAlign w:val="bottom"/>
          </w:tcPr>
          <w:p>
            <w:pPr>
              <w:spacing w:after="0"/>
              <w:rPr>
                <w:sz w:val="20"/>
                <w:szCs w:val="20"/>
                <w:color w:val="auto"/>
              </w:rPr>
            </w:pPr>
          </w:p>
        </w:tc>
        <w:tc>
          <w:tcPr>
            <w:tcW w:w="5480" w:type="dxa"/>
            <w:vAlign w:val="bottom"/>
            <w:gridSpan w:val="4"/>
          </w:tcPr>
          <w:p>
            <w:pPr>
              <w:spacing w:after="0"/>
              <w:rPr>
                <w:sz w:val="20"/>
                <w:szCs w:val="20"/>
                <w:color w:val="auto"/>
              </w:rPr>
            </w:pPr>
            <w:r>
              <w:rPr>
                <w:rFonts w:ascii="Arial" w:cs="Arial" w:eastAsia="Arial" w:hAnsi="Arial"/>
                <w:sz w:val="16"/>
                <w:szCs w:val="16"/>
                <w:b w:val="1"/>
                <w:bCs w:val="1"/>
                <w:color w:val="auto"/>
              </w:rPr>
              <w:t>Basic Loss per Share:</w:t>
            </w:r>
          </w:p>
        </w:tc>
        <w:tc>
          <w:tcPr>
            <w:tcW w:w="34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(8.25)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(10.75)</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(0.09)</w:t>
            </w:r>
          </w:p>
        </w:tc>
      </w:tr>
      <w:tr>
        <w:trPr>
          <w:trHeight w:val="235"/>
        </w:trPr>
        <w:tc>
          <w:tcPr>
            <w:tcW w:w="60" w:type="dxa"/>
            <w:vAlign w:val="bottom"/>
            <w:shd w:val="clear" w:color="auto" w:fill="E5E5E5"/>
          </w:tcPr>
          <w:p>
            <w:pPr>
              <w:spacing w:after="0"/>
              <w:rPr>
                <w:sz w:val="20"/>
                <w:szCs w:val="20"/>
                <w:color w:val="auto"/>
              </w:rPr>
            </w:pPr>
          </w:p>
        </w:tc>
        <w:tc>
          <w:tcPr>
            <w:tcW w:w="170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26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r>
      <w:tr>
        <w:trPr>
          <w:trHeight w:val="184"/>
        </w:trPr>
        <w:tc>
          <w:tcPr>
            <w:tcW w:w="60" w:type="dxa"/>
            <w:vAlign w:val="bottom"/>
          </w:tcPr>
          <w:p>
            <w:pPr>
              <w:spacing w:after="0"/>
              <w:rPr>
                <w:sz w:val="15"/>
                <w:szCs w:val="15"/>
                <w:color w:val="auto"/>
              </w:rPr>
            </w:pPr>
          </w:p>
        </w:tc>
        <w:tc>
          <w:tcPr>
            <w:tcW w:w="5480" w:type="dxa"/>
            <w:vAlign w:val="bottom"/>
            <w:gridSpan w:val="4"/>
          </w:tcPr>
          <w:p>
            <w:pPr>
              <w:ind w:left="40"/>
              <w:spacing w:after="0"/>
              <w:rPr>
                <w:sz w:val="20"/>
                <w:szCs w:val="20"/>
                <w:color w:val="auto"/>
              </w:rPr>
            </w:pPr>
            <w:r>
              <w:rPr>
                <w:rFonts w:ascii="Arial" w:cs="Arial" w:eastAsia="Arial" w:hAnsi="Arial"/>
                <w:sz w:val="16"/>
                <w:szCs w:val="16"/>
                <w:b w:val="1"/>
                <w:bCs w:val="1"/>
                <w:color w:val="auto"/>
              </w:rPr>
              <w:t>Diluted Loss per Share: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9"/>
        </w:trPr>
        <w:tc>
          <w:tcPr>
            <w:tcW w:w="6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60" w:type="dxa"/>
            <w:vAlign w:val="bottom"/>
            <w:shd w:val="clear" w:color="auto" w:fill="E5E5E5"/>
          </w:tcPr>
          <w:p>
            <w:pPr>
              <w:spacing w:after="0"/>
              <w:rPr>
                <w:sz w:val="20"/>
                <w:szCs w:val="20"/>
                <w:color w:val="auto"/>
              </w:rPr>
            </w:pPr>
          </w:p>
        </w:tc>
        <w:tc>
          <w:tcPr>
            <w:tcW w:w="54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Net (Loss) Income</w:t>
            </w:r>
          </w:p>
        </w:tc>
        <w:tc>
          <w:tcPr>
            <w:tcW w:w="34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(1,029)</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(1,321)</w:t>
            </w:r>
          </w:p>
        </w:tc>
        <w:tc>
          <w:tcPr>
            <w:tcW w:w="42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w:t>
            </w:r>
          </w:p>
        </w:tc>
      </w:tr>
      <w:tr>
        <w:trPr>
          <w:trHeight w:val="223"/>
        </w:trPr>
        <w:tc>
          <w:tcPr>
            <w:tcW w:w="60" w:type="dxa"/>
            <w:vAlign w:val="bottom"/>
            <w:tcBorders>
              <w:bottom w:val="single" w:sz="8" w:color="E5E5E5"/>
            </w:tcBorders>
          </w:tcPr>
          <w:p>
            <w:pPr>
              <w:spacing w:after="0"/>
              <w:rPr>
                <w:sz w:val="19"/>
                <w:szCs w:val="19"/>
                <w:color w:val="auto"/>
              </w:rPr>
            </w:pPr>
          </w:p>
        </w:tc>
        <w:tc>
          <w:tcPr>
            <w:tcW w:w="5480" w:type="dxa"/>
            <w:vAlign w:val="bottom"/>
            <w:tcBorders>
              <w:bottom w:val="single" w:sz="8" w:color="E5E5E5"/>
            </w:tcBorders>
            <w:gridSpan w:val="4"/>
          </w:tcPr>
          <w:p>
            <w:pPr>
              <w:spacing w:after="0"/>
              <w:rPr>
                <w:sz w:val="20"/>
                <w:szCs w:val="20"/>
                <w:color w:val="auto"/>
              </w:rPr>
            </w:pPr>
            <w:r>
              <w:rPr>
                <w:rFonts w:ascii="Arial" w:cs="Arial" w:eastAsia="Arial" w:hAnsi="Arial"/>
                <w:sz w:val="16"/>
                <w:szCs w:val="16"/>
                <w:b w:val="1"/>
                <w:bCs w:val="1"/>
                <w:color w:val="auto"/>
              </w:rPr>
              <w:t>Accrued dividends on preferred stock</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r>
      <w:tr>
        <w:trPr>
          <w:trHeight w:val="232"/>
        </w:trPr>
        <w:tc>
          <w:tcPr>
            <w:tcW w:w="60" w:type="dxa"/>
            <w:vAlign w:val="bottom"/>
            <w:shd w:val="clear" w:color="auto" w:fill="E5E5E5"/>
          </w:tcPr>
          <w:p>
            <w:pPr>
              <w:spacing w:after="0"/>
              <w:rPr>
                <w:sz w:val="20"/>
                <w:szCs w:val="20"/>
                <w:color w:val="auto"/>
              </w:rPr>
            </w:pPr>
          </w:p>
        </w:tc>
        <w:tc>
          <w:tcPr>
            <w:tcW w:w="54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Adjusted Net Loss attributable to common shareholders</w:t>
            </w:r>
          </w:p>
        </w:tc>
        <w:tc>
          <w:tcPr>
            <w:tcW w:w="34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(1,043)</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(1,335)</w:t>
            </w:r>
          </w:p>
        </w:tc>
        <w:tc>
          <w:tcPr>
            <w:tcW w:w="42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r>
      <w:tr>
        <w:trPr>
          <w:trHeight w:val="204"/>
        </w:trPr>
        <w:tc>
          <w:tcPr>
            <w:tcW w:w="60" w:type="dxa"/>
            <w:vAlign w:val="bottom"/>
            <w:tcBorders>
              <w:top w:val="single" w:sz="8" w:color="E5E5E5"/>
            </w:tcBorders>
          </w:tcPr>
          <w:p>
            <w:pPr>
              <w:spacing w:after="0"/>
              <w:rPr>
                <w:sz w:val="17"/>
                <w:szCs w:val="17"/>
                <w:color w:val="auto"/>
              </w:rPr>
            </w:pPr>
          </w:p>
        </w:tc>
        <w:tc>
          <w:tcPr>
            <w:tcW w:w="1700" w:type="dxa"/>
            <w:vAlign w:val="bottom"/>
            <w:tcBorders>
              <w:top w:val="single" w:sz="8" w:color="E5E5E5"/>
            </w:tcBorders>
          </w:tcPr>
          <w:p>
            <w:pPr>
              <w:spacing w:after="0"/>
              <w:rPr>
                <w:sz w:val="17"/>
                <w:szCs w:val="17"/>
                <w:color w:val="auto"/>
              </w:rPr>
            </w:pPr>
          </w:p>
        </w:tc>
        <w:tc>
          <w:tcPr>
            <w:tcW w:w="120" w:type="dxa"/>
            <w:vAlign w:val="bottom"/>
            <w:tcBorders>
              <w:top w:val="single" w:sz="8" w:color="E5E5E5"/>
            </w:tcBorders>
          </w:tcPr>
          <w:p>
            <w:pPr>
              <w:spacing w:after="0"/>
              <w:rPr>
                <w:sz w:val="17"/>
                <w:szCs w:val="17"/>
                <w:color w:val="auto"/>
              </w:rPr>
            </w:pPr>
          </w:p>
        </w:tc>
        <w:tc>
          <w:tcPr>
            <w:tcW w:w="1000" w:type="dxa"/>
            <w:vAlign w:val="bottom"/>
            <w:tcBorders>
              <w:top w:val="single" w:sz="8" w:color="E5E5E5"/>
            </w:tcBorders>
          </w:tcPr>
          <w:p>
            <w:pPr>
              <w:spacing w:after="0"/>
              <w:rPr>
                <w:sz w:val="17"/>
                <w:szCs w:val="17"/>
                <w:color w:val="auto"/>
              </w:rPr>
            </w:pPr>
          </w:p>
        </w:tc>
        <w:tc>
          <w:tcPr>
            <w:tcW w:w="2660" w:type="dxa"/>
            <w:vAlign w:val="bottom"/>
            <w:tcBorders>
              <w:top w:val="single" w:sz="8" w:color="E5E5E5"/>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E5E5E5"/>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33"/>
        </w:trPr>
        <w:tc>
          <w:tcPr>
            <w:tcW w:w="60" w:type="dxa"/>
            <w:vAlign w:val="bottom"/>
            <w:shd w:val="clear" w:color="auto" w:fill="E5E5E5"/>
          </w:tcPr>
          <w:p>
            <w:pPr>
              <w:spacing w:after="0"/>
              <w:rPr>
                <w:sz w:val="20"/>
                <w:szCs w:val="20"/>
                <w:color w:val="auto"/>
              </w:rPr>
            </w:pPr>
          </w:p>
        </w:tc>
        <w:tc>
          <w:tcPr>
            <w:tcW w:w="54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126,473</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124,210</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149,116</w:t>
            </w:r>
          </w:p>
        </w:tc>
      </w:tr>
      <w:tr>
        <w:trPr>
          <w:trHeight w:val="184"/>
        </w:trPr>
        <w:tc>
          <w:tcPr>
            <w:tcW w:w="60" w:type="dxa"/>
            <w:vAlign w:val="bottom"/>
          </w:tcPr>
          <w:p>
            <w:pPr>
              <w:spacing w:after="0"/>
              <w:rPr>
                <w:sz w:val="15"/>
                <w:szCs w:val="15"/>
                <w:color w:val="auto"/>
              </w:rPr>
            </w:pPr>
          </w:p>
        </w:tc>
        <w:tc>
          <w:tcPr>
            <w:tcW w:w="5480" w:type="dxa"/>
            <w:vAlign w:val="bottom"/>
            <w:gridSpan w:val="4"/>
          </w:tcPr>
          <w:p>
            <w:pPr>
              <w:spacing w:after="0"/>
              <w:rPr>
                <w:sz w:val="20"/>
                <w:szCs w:val="20"/>
                <w:color w:val="auto"/>
              </w:rPr>
            </w:pPr>
            <w:r>
              <w:rPr>
                <w:rFonts w:ascii="Arial" w:cs="Arial" w:eastAsia="Arial" w:hAnsi="Arial"/>
                <w:sz w:val="16"/>
                <w:szCs w:val="16"/>
                <w:b w:val="1"/>
                <w:bCs w:val="1"/>
                <w:color w:val="auto"/>
              </w:rPr>
              <w:t>Common shares issuable with respect to:</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9"/>
        </w:trPr>
        <w:tc>
          <w:tcPr>
            <w:tcW w:w="6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60" w:type="dxa"/>
            <w:vAlign w:val="bottom"/>
            <w:shd w:val="clear" w:color="auto" w:fill="E5E5E5"/>
          </w:tcPr>
          <w:p>
            <w:pPr>
              <w:spacing w:after="0"/>
              <w:rPr>
                <w:sz w:val="20"/>
                <w:szCs w:val="20"/>
                <w:color w:val="auto"/>
              </w:rPr>
            </w:pPr>
          </w:p>
        </w:tc>
        <w:tc>
          <w:tcPr>
            <w:tcW w:w="5480" w:type="dxa"/>
            <w:vAlign w:val="bottom"/>
            <w:gridSpan w:val="4"/>
            <w:shd w:val="clear" w:color="auto" w:fill="E5E5E5"/>
          </w:tcPr>
          <w:p>
            <w:pPr>
              <w:ind w:left="340"/>
              <w:spacing w:after="0"/>
              <w:rPr>
                <w:sz w:val="20"/>
                <w:szCs w:val="20"/>
                <w:color w:val="auto"/>
              </w:rPr>
            </w:pPr>
            <w:r>
              <w:rPr>
                <w:rFonts w:ascii="Arial" w:cs="Arial" w:eastAsia="Arial" w:hAnsi="Arial"/>
                <w:sz w:val="16"/>
                <w:szCs w:val="16"/>
                <w:b w:val="1"/>
                <w:bCs w:val="1"/>
                <w:color w:val="auto"/>
              </w:rPr>
              <w:t>Stock options</w:t>
            </w:r>
          </w:p>
        </w:tc>
        <w:tc>
          <w:tcPr>
            <w:tcW w:w="34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60" w:type="dxa"/>
            <w:vAlign w:val="bottom"/>
          </w:tcPr>
          <w:p>
            <w:pPr>
              <w:spacing w:after="0"/>
              <w:rPr>
                <w:sz w:val="19"/>
                <w:szCs w:val="19"/>
                <w:color w:val="auto"/>
              </w:rPr>
            </w:pPr>
          </w:p>
        </w:tc>
        <w:tc>
          <w:tcPr>
            <w:tcW w:w="5480" w:type="dxa"/>
            <w:vAlign w:val="bottom"/>
            <w:gridSpan w:val="4"/>
          </w:tcPr>
          <w:p>
            <w:pPr>
              <w:ind w:left="340"/>
              <w:spacing w:after="0"/>
              <w:rPr>
                <w:sz w:val="20"/>
                <w:szCs w:val="20"/>
                <w:color w:val="auto"/>
              </w:rPr>
            </w:pPr>
            <w:r>
              <w:rPr>
                <w:rFonts w:ascii="Arial" w:cs="Arial" w:eastAsia="Arial" w:hAnsi="Arial"/>
                <w:sz w:val="16"/>
                <w:szCs w:val="16"/>
                <w:b w:val="1"/>
                <w:bCs w:val="1"/>
                <w:color w:val="auto"/>
              </w:rPr>
              <w:t>Restricted stock and performance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48"/>
        </w:trPr>
        <w:tc>
          <w:tcPr>
            <w:tcW w:w="60" w:type="dxa"/>
            <w:vAlign w:val="bottom"/>
            <w:tcBorders>
              <w:bottom w:val="single" w:sz="8" w:color="E5E5E5"/>
            </w:tcBorders>
            <w:shd w:val="clear" w:color="auto" w:fill="E5E5E5"/>
          </w:tcPr>
          <w:p>
            <w:pPr>
              <w:spacing w:after="0"/>
              <w:rPr>
                <w:sz w:val="21"/>
                <w:szCs w:val="21"/>
                <w:color w:val="auto"/>
              </w:rPr>
            </w:pPr>
          </w:p>
        </w:tc>
        <w:tc>
          <w:tcPr>
            <w:tcW w:w="5480" w:type="dxa"/>
            <w:vAlign w:val="bottom"/>
            <w:tcBorders>
              <w:bottom w:val="single" w:sz="8" w:color="E5E5E5"/>
            </w:tcBorders>
            <w:gridSpan w:val="4"/>
            <w:shd w:val="clear" w:color="auto" w:fill="E5E5E5"/>
          </w:tcPr>
          <w:p>
            <w:pPr>
              <w:ind w:left="340"/>
              <w:spacing w:after="0"/>
              <w:rPr>
                <w:sz w:val="20"/>
                <w:szCs w:val="20"/>
                <w:color w:val="auto"/>
              </w:rPr>
            </w:pPr>
            <w:r>
              <w:rPr>
                <w:rFonts w:ascii="Arial" w:cs="Arial" w:eastAsia="Arial" w:hAnsi="Arial"/>
                <w:sz w:val="16"/>
                <w:szCs w:val="16"/>
                <w:b w:val="1"/>
                <w:bCs w:val="1"/>
                <w:color w:val="auto"/>
              </w:rPr>
              <w:t>Convertible preferred stock</w:t>
            </w:r>
          </w:p>
        </w:tc>
        <w:tc>
          <w:tcPr>
            <w:tcW w:w="34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r>
      <w:tr>
        <w:trPr>
          <w:trHeight w:val="213"/>
        </w:trPr>
        <w:tc>
          <w:tcPr>
            <w:tcW w:w="60" w:type="dxa"/>
            <w:vAlign w:val="bottom"/>
            <w:tcBorders>
              <w:bottom w:val="single" w:sz="8" w:color="E5E5E5"/>
            </w:tcBorders>
          </w:tcPr>
          <w:p>
            <w:pPr>
              <w:spacing w:after="0"/>
              <w:rPr>
                <w:sz w:val="18"/>
                <w:szCs w:val="18"/>
                <w:color w:val="auto"/>
              </w:rPr>
            </w:pPr>
          </w:p>
        </w:tc>
        <w:tc>
          <w:tcPr>
            <w:tcW w:w="5480" w:type="dxa"/>
            <w:vAlign w:val="bottom"/>
            <w:tcBorders>
              <w:bottom w:val="single" w:sz="8" w:color="E5E5E5"/>
            </w:tcBorders>
            <w:gridSpan w:val="4"/>
          </w:tcPr>
          <w:p>
            <w:pPr>
              <w:spacing w:after="0" w:line="175" w:lineRule="exact"/>
              <w:rPr>
                <w:sz w:val="20"/>
                <w:szCs w:val="20"/>
                <w:color w:val="auto"/>
              </w:rPr>
            </w:pPr>
            <w:r>
              <w:rPr>
                <w:rFonts w:ascii="Arial" w:cs="Arial" w:eastAsia="Arial" w:hAnsi="Arial"/>
                <w:sz w:val="16"/>
                <w:szCs w:val="16"/>
                <w:b w:val="1"/>
                <w:bCs w:val="1"/>
                <w:color w:val="auto"/>
              </w:rPr>
              <w:t>Adjusted Weighted average common shares outstanding</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126,473</w:t>
            </w:r>
          </w:p>
        </w:tc>
        <w:tc>
          <w:tcPr>
            <w:tcW w:w="8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124,210</w:t>
            </w:r>
          </w:p>
        </w:tc>
        <w:tc>
          <w:tcPr>
            <w:tcW w:w="8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149,116</w:t>
            </w:r>
          </w:p>
        </w:tc>
      </w:tr>
      <w:tr>
        <w:trPr>
          <w:trHeight w:val="102"/>
        </w:trPr>
        <w:tc>
          <w:tcPr>
            <w:tcW w:w="60" w:type="dxa"/>
            <w:vAlign w:val="bottom"/>
            <w:shd w:val="clear" w:color="auto" w:fill="E5E5E5"/>
          </w:tcPr>
          <w:p>
            <w:pPr>
              <w:spacing w:after="0"/>
              <w:rPr>
                <w:sz w:val="8"/>
                <w:szCs w:val="8"/>
                <w:color w:val="auto"/>
              </w:rPr>
            </w:pPr>
          </w:p>
        </w:tc>
        <w:tc>
          <w:tcPr>
            <w:tcW w:w="170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000" w:type="dxa"/>
            <w:vAlign w:val="bottom"/>
            <w:shd w:val="clear" w:color="auto" w:fill="E5E5E5"/>
          </w:tcPr>
          <w:p>
            <w:pPr>
              <w:spacing w:after="0"/>
              <w:rPr>
                <w:sz w:val="8"/>
                <w:szCs w:val="8"/>
                <w:color w:val="auto"/>
              </w:rPr>
            </w:pPr>
          </w:p>
        </w:tc>
        <w:tc>
          <w:tcPr>
            <w:tcW w:w="2660" w:type="dxa"/>
            <w:vAlign w:val="bottom"/>
            <w:shd w:val="clear" w:color="auto" w:fill="E5E5E5"/>
          </w:tcPr>
          <w:p>
            <w:pPr>
              <w:spacing w:after="0"/>
              <w:rPr>
                <w:sz w:val="8"/>
                <w:szCs w:val="8"/>
                <w:color w:val="auto"/>
              </w:rPr>
            </w:pPr>
          </w:p>
        </w:tc>
        <w:tc>
          <w:tcPr>
            <w:tcW w:w="340" w:type="dxa"/>
            <w:vAlign w:val="bottom"/>
            <w:shd w:val="clear" w:color="auto" w:fill="E5E5E5"/>
          </w:tcPr>
          <w:p>
            <w:pPr>
              <w:spacing w:after="0"/>
              <w:rPr>
                <w:sz w:val="8"/>
                <w:szCs w:val="8"/>
                <w:color w:val="auto"/>
              </w:rPr>
            </w:pPr>
          </w:p>
        </w:tc>
        <w:tc>
          <w:tcPr>
            <w:tcW w:w="10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108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3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r>
      <w:tr>
        <w:trPr>
          <w:trHeight w:val="233"/>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3"/>
        </w:trPr>
        <w:tc>
          <w:tcPr>
            <w:tcW w:w="60" w:type="dxa"/>
            <w:vAlign w:val="bottom"/>
            <w:shd w:val="clear" w:color="auto" w:fill="E5E5E5"/>
          </w:tcPr>
          <w:p>
            <w:pPr>
              <w:spacing w:after="0"/>
              <w:rPr>
                <w:sz w:val="20"/>
                <w:szCs w:val="20"/>
                <w:color w:val="auto"/>
              </w:rPr>
            </w:pPr>
          </w:p>
        </w:tc>
        <w:tc>
          <w:tcPr>
            <w:tcW w:w="5480" w:type="dxa"/>
            <w:vAlign w:val="bottom"/>
            <w:gridSpan w:val="4"/>
            <w:shd w:val="clear" w:color="auto" w:fill="E5E5E5"/>
          </w:tcPr>
          <w:p>
            <w:pPr>
              <w:spacing w:after="0"/>
              <w:rPr>
                <w:sz w:val="20"/>
                <w:szCs w:val="20"/>
                <w:color w:val="auto"/>
              </w:rPr>
            </w:pPr>
            <w:r>
              <w:rPr>
                <w:rFonts w:ascii="Arial" w:cs="Arial" w:eastAsia="Arial" w:hAnsi="Arial"/>
                <w:sz w:val="16"/>
                <w:szCs w:val="16"/>
                <w:b w:val="1"/>
                <w:bCs w:val="1"/>
                <w:color w:val="auto"/>
              </w:rPr>
              <w:t>Diluted Loss per Share:</w:t>
            </w:r>
          </w:p>
        </w:tc>
        <w:tc>
          <w:tcPr>
            <w:tcW w:w="34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(8.25)</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(10.75)</w:t>
            </w:r>
          </w:p>
        </w:tc>
        <w:tc>
          <w:tcPr>
            <w:tcW w:w="42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101600</wp:posOffset>
                </wp:positionV>
                <wp:extent cx="6301105" cy="249555"/>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1105" cy="249555"/>
                        </a:xfrm>
                        <a:prstGeom prst="rect">
                          <a:avLst/>
                        </a:prstGeom>
                        <a:solidFill>
                          <a:srgbClr val="E5E5E5"/>
                        </a:solidFill>
                      </wps:spPr>
                      <wps:bodyPr/>
                    </wps:wsp>
                  </a:graphicData>
                </a:graphic>
              </wp:anchor>
            </w:drawing>
          </mc:Choice>
          <mc:Fallback>
            <w:pict>
              <v:rect id="Shape 161" o:spid="_x0000_s1186" style="position:absolute;margin-left:0.2pt;margin-top:8pt;width:496.15pt;height:1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5E5" stroked="f"/>
            </w:pict>
          </mc:Fallback>
        </mc:AlternateContent>
        <w:drawing>
          <wp:anchor simplePos="0" relativeHeight="251657728" behindDoc="1" locked="0" layoutInCell="0" allowOverlap="1">
            <wp:simplePos x="0" y="0"/>
            <wp:positionH relativeFrom="column">
              <wp:posOffset>3496945</wp:posOffset>
            </wp:positionH>
            <wp:positionV relativeFrom="paragraph">
              <wp:posOffset>-2781300</wp:posOffset>
            </wp:positionV>
            <wp:extent cx="2832100" cy="755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2832100" cy="7556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-1450975</wp:posOffset>
            </wp:positionV>
            <wp:extent cx="2832100" cy="75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2832100" cy="7556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-415925</wp:posOffset>
            </wp:positionV>
            <wp:extent cx="2832100" cy="755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2832100" cy="75565"/>
                    </a:xfrm>
                    <a:prstGeom prst="rect">
                      <a:avLst/>
                    </a:prstGeom>
                    <a:noFill/>
                  </pic:spPr>
                </pic:pic>
              </a:graphicData>
            </a:graphic>
          </wp:anchor>
        </w:drawing>
      </w:r>
    </w:p>
    <w:p>
      <w:pPr>
        <w:spacing w:after="0" w:line="160" w:lineRule="exact"/>
        <w:rPr>
          <w:sz w:val="20"/>
          <w:szCs w:val="20"/>
          <w:color w:val="auto"/>
        </w:rPr>
      </w:pPr>
    </w:p>
    <w:p>
      <w:pPr>
        <w:ind w:left="60" w:right="80"/>
        <w:spacing w:after="0" w:line="235" w:lineRule="auto"/>
        <w:rPr>
          <w:sz w:val="20"/>
          <w:szCs w:val="20"/>
          <w:color w:val="auto"/>
        </w:rPr>
      </w:pPr>
      <w:r>
        <w:rPr>
          <w:rFonts w:ascii="Arial" w:cs="Arial" w:eastAsia="Arial" w:hAnsi="Arial"/>
          <w:sz w:val="16"/>
          <w:szCs w:val="16"/>
          <w:b w:val="1"/>
          <w:bCs w:val="1"/>
          <w:color w:val="auto"/>
        </w:rPr>
        <w:t>The following securities were not included in the computation of diluted earnings per share as they were either contingently issuable shares or shares that if included would have been anti-dilutive (shares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Stock options</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0" w:type="dxa"/>
            <w:vAlign w:val="bottom"/>
          </w:tcPr>
          <w:p>
            <w:pPr>
              <w:spacing w:after="0"/>
              <w:rPr>
                <w:sz w:val="1"/>
                <w:szCs w:val="1"/>
                <w:color w:val="auto"/>
              </w:rPr>
            </w:pPr>
          </w:p>
        </w:tc>
      </w:tr>
      <w:tr>
        <w:trPr>
          <w:trHeight w:val="239"/>
        </w:trPr>
        <w:tc>
          <w:tcPr>
            <w:tcW w:w="55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Restricted stock and performance shares</w:t>
            </w:r>
          </w:p>
        </w:tc>
        <w:tc>
          <w:tcPr>
            <w:tcW w:w="52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14,340</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8,623</w:t>
            </w:r>
          </w:p>
        </w:tc>
        <w:tc>
          <w:tcPr>
            <w:tcW w:w="80" w:type="dxa"/>
            <w:vAlign w:val="bottom"/>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6,711</w:t>
            </w:r>
          </w:p>
        </w:tc>
        <w:tc>
          <w:tcPr>
            <w:tcW w:w="0" w:type="dxa"/>
            <w:vAlign w:val="bottom"/>
          </w:tcPr>
          <w:p>
            <w:pPr>
              <w:spacing w:after="0"/>
              <w:rPr>
                <w:sz w:val="1"/>
                <w:szCs w:val="1"/>
                <w:color w:val="auto"/>
              </w:rPr>
            </w:pPr>
          </w:p>
        </w:tc>
      </w:tr>
      <w:tr>
        <w:trPr>
          <w:trHeight w:val="227"/>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Convertible preferred stock</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6,742</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Convertible notes</w:t>
            </w:r>
            <w:r>
              <w:rPr>
                <w:rFonts w:ascii="Arial" w:cs="Arial" w:eastAsia="Arial" w:hAnsi="Arial"/>
                <w:sz w:val="10"/>
                <w:szCs w:val="10"/>
                <w:b w:val="1"/>
                <w:bCs w:val="1"/>
                <w:color w:val="auto"/>
              </w:rPr>
              <w:t>(1)</w:t>
            </w:r>
          </w:p>
        </w:tc>
        <w:tc>
          <w:tcPr>
            <w:tcW w:w="520" w:type="dxa"/>
            <w:vAlign w:val="bottom"/>
            <w:tcBorders>
              <w:bottom w:val="single" w:sz="8" w:color="auto"/>
            </w:tcBorders>
            <w:shd w:val="clear" w:color="auto" w:fill="E5E5E5"/>
          </w:tcPr>
          <w:p>
            <w:pPr>
              <w:spacing w:after="0"/>
              <w:rPr>
                <w:sz w:val="21"/>
                <w:szCs w:val="21"/>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19,196</w:t>
            </w:r>
          </w:p>
        </w:tc>
        <w:tc>
          <w:tcPr>
            <w:tcW w:w="8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auto"/>
            </w:tcBorders>
            <w:shd w:val="clear" w:color="auto" w:fill="E5E5E5"/>
          </w:tcPr>
          <w:p>
            <w:pPr>
              <w:spacing w:after="0"/>
              <w:rPr>
                <w:sz w:val="21"/>
                <w:szCs w:val="21"/>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19,196</w:t>
            </w:r>
          </w:p>
        </w:tc>
        <w:tc>
          <w:tcPr>
            <w:tcW w:w="80" w:type="dxa"/>
            <w:vAlign w:val="bottom"/>
            <w:tcBorders>
              <w:bottom w:val="single" w:sz="8" w:color="E5E5E5"/>
            </w:tcBorders>
            <w:shd w:val="clear" w:color="auto" w:fill="E5E5E5"/>
          </w:tcPr>
          <w:p>
            <w:pPr>
              <w:spacing w:after="0"/>
              <w:rPr>
                <w:sz w:val="21"/>
                <w:szCs w:val="21"/>
                <w:color w:val="auto"/>
              </w:rPr>
            </w:pPr>
          </w:p>
        </w:tc>
        <w:tc>
          <w:tcPr>
            <w:tcW w:w="500" w:type="dxa"/>
            <w:vAlign w:val="bottom"/>
            <w:tcBorders>
              <w:bottom w:val="single" w:sz="8" w:color="auto"/>
            </w:tcBorders>
            <w:shd w:val="clear" w:color="auto" w:fill="E5E5E5"/>
          </w:tcPr>
          <w:p>
            <w:pPr>
              <w:spacing w:after="0"/>
              <w:rPr>
                <w:sz w:val="21"/>
                <w:szCs w:val="21"/>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E5E5E5"/>
            </w:tcBorders>
          </w:tcPr>
          <w:p>
            <w:pPr>
              <w:ind w:left="60"/>
              <w:spacing w:after="0" w:line="175" w:lineRule="exact"/>
              <w:rPr>
                <w:sz w:val="20"/>
                <w:szCs w:val="20"/>
                <w:color w:val="auto"/>
              </w:rPr>
            </w:pPr>
            <w:r>
              <w:rPr>
                <w:rFonts w:ascii="Arial" w:cs="Arial" w:eastAsia="Arial" w:hAnsi="Arial"/>
                <w:sz w:val="16"/>
                <w:szCs w:val="16"/>
                <w:b w:val="1"/>
                <w:bCs w:val="1"/>
                <w:color w:val="auto"/>
              </w:rPr>
              <w:t>Total Anti-Dilutive Securities</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40,405</w:t>
            </w:r>
          </w:p>
        </w:tc>
        <w:tc>
          <w:tcPr>
            <w:tcW w:w="80" w:type="dxa"/>
            <w:vAlign w:val="bottom"/>
            <w:tcBorders>
              <w:bottom w:val="single" w:sz="8" w:color="E5E5E5"/>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34,708</w:t>
            </w:r>
          </w:p>
        </w:tc>
        <w:tc>
          <w:tcPr>
            <w:tcW w:w="80" w:type="dxa"/>
            <w:vAlign w:val="bottom"/>
            <w:tcBorders>
              <w:bottom w:val="single" w:sz="8" w:color="E5E5E5"/>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13,684</w:t>
            </w:r>
          </w:p>
        </w:tc>
        <w:tc>
          <w:tcPr>
            <w:tcW w:w="0" w:type="dxa"/>
            <w:vAlign w:val="bottom"/>
          </w:tcPr>
          <w:p>
            <w:pPr>
              <w:spacing w:after="0"/>
              <w:rPr>
                <w:sz w:val="1"/>
                <w:szCs w:val="1"/>
                <w:color w:val="auto"/>
              </w:rPr>
            </w:pPr>
          </w:p>
        </w:tc>
      </w:tr>
      <w:tr>
        <w:trPr>
          <w:trHeight w:val="204"/>
        </w:trPr>
        <w:tc>
          <w:tcPr>
            <w:tcW w:w="55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Dividends per Common Share</w:t>
            </w:r>
          </w:p>
        </w:tc>
        <w:tc>
          <w:tcPr>
            <w:tcW w:w="520" w:type="dxa"/>
            <w:vAlign w:val="bottom"/>
          </w:tcPr>
          <w:p>
            <w:pPr>
              <w:jc w:val="right"/>
              <w:ind w:right="30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0.20</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_____________</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-497840</wp:posOffset>
            </wp:positionV>
            <wp:extent cx="2832100" cy="755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2832100" cy="7556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-201930</wp:posOffset>
            </wp:positionV>
            <wp:extent cx="2832100" cy="755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2832100" cy="75565"/>
                    </a:xfrm>
                    <a:prstGeom prst="rect">
                      <a:avLst/>
                    </a:prstGeom>
                    <a:noFill/>
                  </pic:spPr>
                </pic:pic>
              </a:graphicData>
            </a:graphic>
          </wp:anchor>
        </w:drawing>
      </w:r>
    </w:p>
    <w:p>
      <w:pPr>
        <w:spacing w:after="0" w:line="20" w:lineRule="exact"/>
        <w:rPr>
          <w:sz w:val="20"/>
          <w:szCs w:val="20"/>
          <w:color w:val="auto"/>
        </w:rPr>
      </w:pPr>
    </w:p>
    <w:p>
      <w:pPr>
        <w:ind w:left="360" w:hanging="356"/>
        <w:spacing w:after="0" w:line="269" w:lineRule="auto"/>
        <w:tabs>
          <w:tab w:leader="none" w:pos="360" w:val="left"/>
        </w:tabs>
        <w:numPr>
          <w:ilvl w:val="0"/>
          <w:numId w:val="1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Note 15 - Debt for additional information related to the issuance of Xerox Holdings Corporation's $400 of 3.75% Convertible Senior Notes due 2030</w:t>
      </w:r>
      <w:r>
        <w:rPr>
          <w:rFonts w:ascii="Times New Roman" w:cs="Times New Roman" w:eastAsia="Times New Roman" w:hAnsi="Times New Roman"/>
          <w:sz w:val="16"/>
          <w:szCs w:val="16"/>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161</w:t>
      </w:r>
    </w:p>
    <w:p>
      <w:pPr>
        <w:sectPr>
          <w:pgSz w:w="11880" w:h="15480" w:orient="portrait"/>
          <w:cols w:equalWidth="0" w:num="1">
            <w:col w:w="9960"/>
          </w:cols>
          <w:pgMar w:left="960" w:top="724" w:right="960" w:bottom="0" w:gutter="0" w:footer="0" w:header="0"/>
        </w:sectPr>
      </w:pPr>
    </w:p>
    <w:bookmarkStart w:id="171" w:name="page172"/>
    <w:bookmarkEnd w:id="171"/>
    <w:p>
      <w:pPr>
        <w:spacing w:after="0"/>
        <w:rPr>
          <w:sz w:val="20"/>
          <w:szCs w:val="20"/>
          <w:color w:val="auto"/>
        </w:rPr>
      </w:pPr>
      <w:r>
        <w:rPr>
          <w:rFonts w:ascii="Arial" w:cs="Arial" w:eastAsia="Arial" w:hAnsi="Arial"/>
          <w:sz w:val="23"/>
          <w:szCs w:val="23"/>
          <w:b w:val="1"/>
          <w:bCs w:val="1"/>
          <w:color w:val="DA2031"/>
        </w:rPr>
        <w:t>Note 26 – Subsequent Events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evaluated subsequent events through the date the financial statements were issued.</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Warrant Dividend</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In January 2026 the Board of Directors of Xerox Holdings Corporation approved a pro-rata distribution of warrants to holders (collectively, the Eligible Holders) of Xerox’s common stock, par value $1.00 per share (the Common Stock), Series A Convertible Perpetual Voting Preferred Stock (the Series A Preferred Stock) and 3.75% Convertible Senior Notes due 2030 (the Convertible Notes).</w:t>
      </w:r>
    </w:p>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On February 12, 2026, 77,271,234 warrants were issued and distributed, at no cost, to the Eligible Holders of record as of the close of business on February 9, 2026. Each holder of record of the Common Stock as of the Record Date received one warrant for every two shares of Xerox common stock held, rounded down to the nearest whole warrant. Holders of record of the Series A Preferred Stock and the Convertible Notes received warrants based on the same ratio in the manner determined by the charter governing the Series A Preferred Stock and the indenture governing the Convertible Notes, respectively.</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Each warrant entitles the holder to purchase one share of Common Stock (the Warrant Exercise Rate) at an exercise price of $8.00 per share (the Warrant Exercise Price), subject to the terms and conditions of the warrant agreement, and may be exercised (a) for cash, at any time prior to expiration of the warrants, and (b) using designated outstanding Xerox debt securities (the Designated Notes) at any time prior to the earlier of the expiration of the warrants and the termination of the right to use Designated Notes to exercise warrants. Xerox Holdings Corporation may also elect, in its sole and absolute discretion, to remove one or more or all series of its or Xerox Corporation’s notes from being “Designated Notes,” by giving notice to holders of warrants by way of press release. Such redesignation shall only be effective 20 consecutive Business Days from (and including) the date of publication of notice.</w:t>
      </w:r>
    </w:p>
    <w:p>
      <w:pPr>
        <w:spacing w:after="0" w:line="5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The Warrant Exercise Rate is subject to certain customary anti-dilution adjustments as set forth in the warrant agreement and Xerox Holdings Corporation’s right to voluntarily increase the Warrant Exercise Rate in its sole and absolute discretion from time to time. The Warrant Exercise Price is subject to Xerox Holdings Corporation’s right to voluntarily decrease the Warrant Exercise Price in its sole and absolute discretion from time to time.</w:t>
      </w:r>
    </w:p>
    <w:p>
      <w:pPr>
        <w:spacing w:after="0" w:line="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warrants have an expiration date of two years from the distribution date, unless an Early Expiration Price Condition Date (as defined below) is met, in which case the expiration will be accelerated. The warrants will be subject to early expiration if the volume-weighted average price of Xerox common stock equals or exceeds 100% of the then-applicable warrant exercise price for 20 trading days within any 30 consecutive trading day period (such final day, the Early Expiration Price Condition Date). If this condition is met, the warrants will expire at 5:00 p.m. New York City time on the business day immediately following the Early Expiration Price Condition Date or such other date as Xerox Holdings Corporation may elect in accordance with the warrant agreement.</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Joint Venture Arrangement</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On February 17, 2026 (the Closing Date), Xerox Corporation and certain investors including certain funds and accounts managed by Angelo, Gordon &amp; Co., L.P. (collectively, TPG) entered into a joint venture arrangement (the Joint Venture) pursuant to which TPG funded $405 aggregate principal amount of senior secured term loans (the Term Loans) to, and purchased $45 of Class A Units from, XRX Brandco Holdings LLC (IPCo Holdings) (the Joint Venture Financing). The proceeds of the Joint Venture Financing were distributed by dividend from IPCo Holdings to Xerox Corporation (the Distribution) and are expected to be used for general corporate purposes and opportunistically addressing Xerox Holdings’ capital structure over time (which may include the redemption or repayment of debt). Total transaction fees and expenses of $42, including legal expenses and arranger fees, were paid by Xerox Corporation associated with the formation of the Joint Venture.</w:t>
      </w:r>
    </w:p>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In connection with the formation of the Joint Venture, Xerox Corporation contributed (the Contribution) certain intellectual property and related assets, including the trademarks in respect of the Xerox brand (collectively, the Contributed IP), to IPCo Holdings and received Class B Units of IPCo Holdings. Subsequent to the Joint Venture Financing, the Distribution and the Contribution, Xerox Corporation contributed approximately $5 in cash to the common equity capital of IPCo Holdings.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Credit Agreement</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On the Closing Date, IPCo Holdings, as borrower, entered into a credit agreement (the Credit Agreement) with Alter Domus (US) LLC, as the administrative agent and the collateral agent, and the lending institutions from time to time party thereto, as lenders.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162</w:t>
      </w:r>
    </w:p>
    <w:p>
      <w:pPr>
        <w:sectPr>
          <w:pgSz w:w="11880" w:h="15480" w:orient="portrait"/>
          <w:cols w:equalWidth="0" w:num="1">
            <w:col w:w="9960"/>
          </w:cols>
          <w:pgMar w:left="960" w:top="724" w:right="960" w:bottom="0" w:gutter="0" w:footer="0" w:header="0"/>
        </w:sectPr>
      </w:pPr>
    </w:p>
    <w:bookmarkStart w:id="172" w:name="page173"/>
    <w:bookmarkEnd w:id="172"/>
    <w:p>
      <w:pPr>
        <w:spacing w:after="0"/>
        <w:rPr>
          <w:sz w:val="20"/>
          <w:szCs w:val="20"/>
          <w:color w:val="auto"/>
        </w:rPr>
      </w:pPr>
      <w:r>
        <w:rPr>
          <w:rFonts w:ascii="Arial" w:cs="Arial" w:eastAsia="Arial" w:hAnsi="Arial"/>
          <w:sz w:val="19"/>
          <w:szCs w:val="19"/>
          <w:b w:val="1"/>
          <w:bCs w:val="1"/>
          <w:color w:val="auto"/>
        </w:rPr>
        <w:t>The Term Loans are guaranteed by XRX Brandco LLC (IPCo), a wholly owned subsidiary of IPCo Holdings.</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Borrowings under the Term Loans will bear interest at a per annum rate equal to either (a) a base rate plus a margin of 7.125% for ABR Loans (as defined in the Credit Agreement), or (b) the applicable term SOFR rate plus a margin of 8.125% for SOFR Loans (as defined in the Credit Agreement).</w:t>
      </w:r>
    </w:p>
    <w:p>
      <w:pPr>
        <w:spacing w:after="0" w:line="4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Term Loans mature on the date that is the fifth anniversary of the Closing Date. The Term Loans amortize at a quarterly rate of 4.50% of the aggregate principal amount of Term Loans outstanding as of the Closing Date, with such amounts payable in equal installments, commencing following the fiscal quarter ending September 30, 2026. The remaining outstanding principal balance is due in full at maturity.</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Term Loans are subject to customary voluntary and mandatory prepayment provisions, including requirements to prepay the Term Loans with the proceeds of certain indebtedness and excess cash flow.</w:t>
      </w:r>
    </w:p>
    <w:p>
      <w:pPr>
        <w:spacing w:after="0" w:line="2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Credit Agreement also contains customary affirmative covenants, representations and warranties and events of default for borrowers and facilities of this type, including, among others, payment defaults, breaches of representations and warranties, covenant defaults, cross-defaults to other indebtedness and insolvency events. In addition, the Credit Agreement includes customary negative covenants for borrowers and facilities of this type that, among other things, restrict the ability of IPCo Holdings and its subsidiaries to pay dividends or make other distributions, make investments, incur additional debt and engage in certain other activities.</w:t>
      </w:r>
    </w:p>
    <w:p>
      <w:pPr>
        <w:spacing w:after="0" w:line="4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The obligations of IPCo Holdings and IPCo under the Credit Agreement are secured by a pledge of substantially all of their respective assets.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DA2031"/>
        </w:rPr>
        <w:t>Shared Services and License Agreement</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On the Closing Date, in connection with the formation of the Joint Venture, Xerox Holdings, Xerox Corporation, IPCo Holdings and IPCo entered into a Shared Services and License Agreement (the SSLA), pursuant to which (i) Xerox Holdings agreed to provide certain services to IPCo Holdings and IPCo and (ii) IPCo granted a worldwide royalty-free, non-exclusive, non-assignable, and sublicensable license in the Contributed IP to Xerox Corporation and, at the election of Xerox Holdings, certain of its subsidiaries (collectively, the Licensees).</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The Licensees are required to pay IPCo a royalty fee equal to 2.0% of specified consolidated revenue generated by Holdings and its subsidiaries from the Contributed IP. The royalty is payable in arrears on a quarterly basis. The obligations of the Licensees in respect of the SSLA are guaranteed by and secured by the assets of certain subsidiaries of Xerox Holdings (the SSLA Guarantee). The SSLA Guarantee contains representations and warranties and covenants limiting certain such guarantors and certain other subsidiaries of Xerox Holdings from incurring debt and liens, selling assets, making investments and limiting certain other transactions and requiring certain such guarantors and other subsidiaries to maintain at the end of each quarter a specified asset coverage ratio, generally defined as the ratio of certain assets held by such guarantors and subsidiaries to the outstanding amount of the Term Loans and Class A Units (net of cash held by IPCo Holdings). The SSLA Guarantee also contains certain events of default relating to, among others, the breach of such representations, warranties and covenants and defaults under the SSLA or SSLA Guarantee.</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The initial term of the SSLA is 10 years from the effective date, with automatic five-year renewal periods, provided either Xerox Holdings or IPCo may terminate the SSLA effective as of the end of the then-applicable term on 18 months’ advance notice to the other parties. In addition, the SSLA may be terminated by IPCo upon certain events of default by Xerox Holdings, including non-payment, material breach, insolvency or change of control, subject to applicable cure periods. Xerox Holdings may terminate the SSLA with IPCo’s consent or upon certain breaches by IPCo. Upon termination, the Licensees’, and their sublicensees’, rights to use the Contributed IP also cease, subject to a 90-day sell-off period for existing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163</w:t>
      </w:r>
    </w:p>
    <w:p>
      <w:pPr>
        <w:sectPr>
          <w:pgSz w:w="11880" w:h="15480" w:orient="portrait"/>
          <w:cols w:equalWidth="0" w:num="1">
            <w:col w:w="9960"/>
          </w:cols>
          <w:pgMar w:left="960" w:top="736" w:right="960" w:bottom="0" w:gutter="0" w:footer="0" w:header="0"/>
        </w:sectPr>
      </w:pPr>
    </w:p>
    <w:bookmarkStart w:id="173" w:name="page174"/>
    <w:bookmarkEnd w:id="173"/>
    <w:p>
      <w:pPr>
        <w:ind w:left="780" w:right="380" w:hanging="785"/>
        <w:spacing w:after="0" w:line="304" w:lineRule="auto"/>
        <w:rPr>
          <w:sz w:val="20"/>
          <w:szCs w:val="20"/>
          <w:color w:val="auto"/>
        </w:rPr>
      </w:pPr>
      <w:r>
        <w:rPr>
          <w:rFonts w:ascii="Arial" w:cs="Arial" w:eastAsia="Arial" w:hAnsi="Arial"/>
          <w:sz w:val="23"/>
          <w:szCs w:val="23"/>
          <w:b w:val="1"/>
          <w:bCs w:val="1"/>
          <w:color w:val="DA2031"/>
        </w:rPr>
        <w:t>Item 9. Changes In and Disagreements with Accountants on Accounting and Financial Disclosure</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9A. Controls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Xerox Holdings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Management's Responsibility for Financial Statements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management of Xerox Holdings Corporation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financial position and results of operations of Xerox Holdings Corporation.</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The Audit Committee of the Board of Directors, which is composed solely of independent directors, meets regularly with the independent auditors,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auditors. The independent auditors and internal auditors have access to the Audit Committee.</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Evaluation of Disclosure Controls and Procedures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management of Xerox Holdings Corporation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of the end of the period covered by this report. Based on this evaluation, our principal executive officer and principal financial officer have concluded that, as of the end of the period covered by this report,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Xerox Holdings Corporation, including our consolidated subsidiaries, and was accumulated and communicated to Xerox Holdings Corporation’s management, including the principal executive officer and principal financial officer, or persons performing similar functions,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Management's Report on Internal Control over Financial Reporting</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management of Xerox Holdings Corporation is responsible for establishing and maintaining adequate internal control over financial reporting, as such term is defined in the rules promulgated under the Securities Exchange Act of 1934. Under the supervision and with the participation of our management, including our principal executive, financial and accounting officers, we have conducted an evaluation of the effectiveness of our internal control over financial reporting based on the framework in “Internal Control - Integrated Framework (2013)” issued by the Committee of Sponsoring Organizations of the Treadway Commission. Based on the above evaluation, management concluded that our internal control over financial reporting was effective as of December 31, 2025.</w:t>
      </w:r>
    </w:p>
    <w:p>
      <w:pPr>
        <w:spacing w:after="0" w:line="6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An assessment of internal controls over financial reporting of a recently acquired business may be excluded from management's evaluation of disclosure controls and procedures for up to a year from the date of acquisition. Lexmark International II, LLC was excluded from management’s assessment of internal control over financial reporting as of December 31, 2025, as it was acquired by the Company during the third quarter of 2025. Lexmark is a wholly-owned subsidiary whose total assets and total revenues excluded from management’s assessment of internal controls represented approximately 13% and 14%, respectively, of the related consolidated financial statement amounts as of and for the year ended December 31, 2025.</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effectiveness of our internal control over financial reporting as of December 31, 2025 has been audited by PricewaterhouseCoopers LLP, an independent registered public accounting firm, as stated in their report which appears in Part II, Item 8 of this combined Form 10-K.</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Changes in Internal Control over Financial Reporting</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In connection with the evaluation required by paragraph (d) of Rule 13a-15 under the Exchange Act, there was no change identified in our internal control over financial reporting that occurred during the last fiscal quarter that has materially affected, or is reasonably likely to materially affect, our internal control over financial reporting.</w:t>
      </w:r>
    </w:p>
    <w:p>
      <w:pPr>
        <w:sectPr>
          <w:pgSz w:w="11880" w:h="15480" w:orient="portrait"/>
          <w:cols w:equalWidth="0" w:num="1">
            <w:col w:w="9960"/>
          </w:cols>
          <w:pgMar w:left="960" w:top="550" w:right="96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164</w:t>
      </w:r>
    </w:p>
    <w:p>
      <w:pPr>
        <w:sectPr>
          <w:pgSz w:w="11880" w:h="15480" w:orient="portrait"/>
          <w:cols w:equalWidth="0" w:num="1">
            <w:col w:w="9960"/>
          </w:cols>
          <w:pgMar w:left="960" w:top="550" w:right="960" w:bottom="0" w:gutter="0" w:footer="0" w:header="0"/>
          <w:type w:val="continuous"/>
        </w:sectPr>
      </w:pPr>
    </w:p>
    <w:bookmarkStart w:id="174" w:name="page175"/>
    <w:bookmarkEnd w:id="174"/>
    <w:p>
      <w:pPr>
        <w:spacing w:after="0"/>
        <w:rPr>
          <w:sz w:val="20"/>
          <w:szCs w:val="20"/>
          <w:color w:val="auto"/>
        </w:rPr>
      </w:pPr>
      <w:r>
        <w:rPr>
          <w:rFonts w:ascii="Arial" w:cs="Arial" w:eastAsia="Arial" w:hAnsi="Arial"/>
          <w:sz w:val="21"/>
          <w:szCs w:val="21"/>
          <w:b w:val="1"/>
          <w:bCs w:val="1"/>
          <w:color w:val="DA2031"/>
        </w:rPr>
        <w:t>Xerox Corporation</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Management's Responsibility for Financial Statements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The management of Xerox Corporation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financial position and results of operations of Xerox Corporation.</w:t>
      </w:r>
    </w:p>
    <w:p>
      <w:pPr>
        <w:spacing w:after="0" w:line="3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The Audit Committee of the Xerox Holdings Corporation Board of Directors, which is composed solely of independent directors, meets regularly with the independent auditors,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auditors. The independent auditors and internal auditors have access to the Audit Committee.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Evaluation of Disclosure Controls and Procedures</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management of Xerox Corporation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of the end of the period covered by this report. Based on this evaluation, our principal executive officer and principal financial officer have concluded that, as of the end of the period covered by this report,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Xerox Corporation, including our consolidated subsidiaries, and was accumulated and communicated to Xerox Corporation’s management, including the principal executive officer and principal financial officer, or persons performing similar functions, as appropriate to allow timely decisions regarding required disclosure.</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Management's Report on Internal Control over Financial Reporting</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The management of Xerox Corporation is responsible for establishing and maintaining adequate internal control over financial reporting, as such term is defined in the rules promulgated under the Securities Exchange Act of 1934. Under the supervision and with the participation of our management, including our principal executive, financial and accounting officers, we have conducted an evaluation of the effectiveness of our internal control over financial reporting based on the framework in “Internal Control - Integrated Framework (2013)” issued by the Committee of Sponsoring Organizations of the Treadway Commission. Based on the above evaluation, management concluded that our internal control over financial reporting was effective as of December 31, 2025.</w:t>
      </w:r>
    </w:p>
    <w:p>
      <w:pPr>
        <w:spacing w:after="0" w:line="2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An assessment of internal controls over financial reporting of a recently acquired business may be excluded from management's evaluation of disclosure controls and procedures for up to a year from the date of acquisition. Lexmark International II, LLC was excluded from management’s assessment of internal control over financial reporting as of December 31, 2025, as it was acquired by the Company during the third quarter of 2025. Lexmark is a wholly-owned subsidiary whose total assets and total revenues excluded from management’s assessment of internal controls represented approximately 13% and 14%, respectively, of the related consolidated financial statement amounts as of and for the year ended December 31, 2025.</w:t>
      </w:r>
    </w:p>
    <w:p>
      <w:pPr>
        <w:spacing w:after="0" w:line="38" w:lineRule="exact"/>
        <w:rPr>
          <w:sz w:val="20"/>
          <w:szCs w:val="20"/>
          <w:color w:val="auto"/>
        </w:rPr>
      </w:pPr>
    </w:p>
    <w:p>
      <w:pPr>
        <w:jc w:val="both"/>
        <w:ind w:right="480"/>
        <w:spacing w:after="0" w:line="276" w:lineRule="auto"/>
        <w:rPr>
          <w:sz w:val="20"/>
          <w:szCs w:val="20"/>
          <w:color w:val="auto"/>
        </w:rPr>
      </w:pPr>
      <w:r>
        <w:rPr>
          <w:rFonts w:ascii="Arial" w:cs="Arial" w:eastAsia="Arial" w:hAnsi="Arial"/>
          <w:sz w:val="19"/>
          <w:szCs w:val="19"/>
          <w:b w:val="1"/>
          <w:bCs w:val="1"/>
          <w:color w:val="auto"/>
        </w:rPr>
        <w:t>The effectiveness of our internal control over financial reporting as of December 31, 2025 has been audited by PricewaterhouseCoopers LLP, an independent registered public accounting firm, as stated in their report which appears in Part II, Item 8 of this combined Form 10-K.</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Changes in Internal Control over Financial Reporting</w:t>
      </w:r>
    </w:p>
    <w:p>
      <w:pPr>
        <w:spacing w:after="0" w:line="11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b w:val="1"/>
          <w:bCs w:val="1"/>
          <w:color w:val="auto"/>
        </w:rPr>
        <w:t>In connection with the evaluation required by paragraph (d) of Rule 13a-15 under the Exchange Act, there was no change identified in our internal control over financial reporting that occurred during the last fiscal quarter that has materially affected, or is reasonably likely to materially affect, our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9B.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Trading Plans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spacing w:after="0" w:line="10"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9C. Disclosure Regarding Foreign Jurisdictions that Prevent Inspections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 applicable.</w:t>
      </w:r>
    </w:p>
    <w:p>
      <w:pPr>
        <w:sectPr>
          <w:pgSz w:w="11880" w:h="15480" w:orient="portrait"/>
          <w:cols w:equalWidth="0" w:num="1">
            <w:col w:w="9960"/>
          </w:cols>
          <w:pgMar w:left="960" w:top="555" w:right="960" w:bottom="0" w:gutter="0" w:footer="0" w:header="0"/>
        </w:sectPr>
      </w:pPr>
    </w:p>
    <w:p>
      <w:pPr>
        <w:spacing w:after="0" w:line="25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165</w:t>
      </w:r>
    </w:p>
    <w:p>
      <w:pPr>
        <w:sectPr>
          <w:pgSz w:w="11880" w:h="15480" w:orient="portrait"/>
          <w:cols w:equalWidth="0" w:num="1">
            <w:col w:w="9960"/>
          </w:cols>
          <w:pgMar w:left="960" w:top="555" w:right="960" w:bottom="0" w:gutter="0" w:footer="0" w:header="0"/>
          <w:type w:val="continuous"/>
        </w:sectPr>
      </w:pPr>
    </w:p>
    <w:bookmarkStart w:id="175" w:name="page176"/>
    <w:bookmarkEnd w:id="175"/>
    <w:p>
      <w:pPr>
        <w:spacing w:after="0"/>
        <w:rPr>
          <w:sz w:val="20"/>
          <w:szCs w:val="20"/>
          <w:color w:val="auto"/>
        </w:rPr>
      </w:pPr>
      <w:r>
        <w:rPr>
          <w:rFonts w:ascii="Arial" w:cs="Arial" w:eastAsia="Arial" w:hAnsi="Arial"/>
          <w:sz w:val="23"/>
          <w:szCs w:val="23"/>
          <w:b w:val="1"/>
          <w:bCs w:val="1"/>
          <w:color w:val="DA2031"/>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10. Directors, Executive Officers and Corporate Governance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information required by this Item, with the exception of the information concerning our executive officers, will be included in the Company's definitive proxy statement to be filed with the SEC within 120 days after December 31, 2025, in connection with the solicitation of proxies for the Company's 2026 annual meeting of shareholders (the 2026 Proxy Statement), and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Executive Officers of Xerox</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The following is a list of the executive officers of Xerox, their current ages, their present positions and the year appointed to their present positions. Each officer is elected to hold office until the meeting of the Board of Directors held on the day of the next annual meeting of shareholders, subject to the provisions of the By-Laws.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3"/>
              </w:rPr>
              <w:t>Year Appointed</w:t>
            </w:r>
          </w:p>
        </w:tc>
        <w:tc>
          <w:tcPr>
            <w:tcW w:w="80" w:type="dxa"/>
            <w:vAlign w:val="bottom"/>
          </w:tcPr>
          <w:p>
            <w:pPr>
              <w:spacing w:after="0"/>
              <w:rPr>
                <w:sz w:val="16"/>
                <w:szCs w:val="16"/>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7"/>
                <w:szCs w:val="17"/>
                <w:b w:val="1"/>
                <w:bCs w:val="1"/>
                <w:color w:val="auto"/>
                <w:w w:val="95"/>
              </w:rPr>
              <w:t>Xerox Officer</w:t>
            </w:r>
          </w:p>
        </w:tc>
        <w:tc>
          <w:tcPr>
            <w:tcW w:w="0" w:type="dxa"/>
            <w:vAlign w:val="bottom"/>
          </w:tcPr>
          <w:p>
            <w:pPr>
              <w:spacing w:after="0"/>
              <w:rPr>
                <w:sz w:val="1"/>
                <w:szCs w:val="1"/>
                <w:color w:val="auto"/>
              </w:rPr>
            </w:pPr>
          </w:p>
        </w:tc>
      </w:tr>
      <w:tr>
        <w:trPr>
          <w:trHeight w:val="175"/>
        </w:trPr>
        <w:tc>
          <w:tcPr>
            <w:tcW w:w="2160" w:type="dxa"/>
            <w:vAlign w:val="bottom"/>
            <w:vMerge w:val="restart"/>
          </w:tcPr>
          <w:p>
            <w:pPr>
              <w:ind w:left="820"/>
              <w:spacing w:after="0"/>
              <w:rPr>
                <w:sz w:val="20"/>
                <w:szCs w:val="20"/>
                <w:color w:val="auto"/>
              </w:rPr>
            </w:pPr>
            <w:r>
              <w:rPr>
                <w:rFonts w:ascii="Arial" w:cs="Arial" w:eastAsia="Arial" w:hAnsi="Arial"/>
                <w:sz w:val="17"/>
                <w:szCs w:val="17"/>
                <w:b w:val="1"/>
                <w:bCs w:val="1"/>
                <w:color w:val="auto"/>
              </w:rPr>
              <w:t>Name</w:t>
            </w:r>
          </w:p>
        </w:tc>
        <w:tc>
          <w:tcPr>
            <w:tcW w:w="80" w:type="dxa"/>
            <w:vAlign w:val="bottom"/>
          </w:tcPr>
          <w:p>
            <w:pPr>
              <w:spacing w:after="0"/>
              <w:rPr>
                <w:sz w:val="15"/>
                <w:szCs w:val="15"/>
                <w:color w:val="auto"/>
              </w:rPr>
            </w:pPr>
          </w:p>
        </w:tc>
        <w:tc>
          <w:tcPr>
            <w:tcW w:w="4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Age</w:t>
            </w:r>
          </w:p>
        </w:tc>
        <w:tc>
          <w:tcPr>
            <w:tcW w:w="60" w:type="dxa"/>
            <w:vAlign w:val="bottom"/>
          </w:tcPr>
          <w:p>
            <w:pPr>
              <w:spacing w:after="0"/>
              <w:rPr>
                <w:sz w:val="15"/>
                <w:szCs w:val="15"/>
                <w:color w:val="auto"/>
              </w:rPr>
            </w:pPr>
          </w:p>
        </w:tc>
        <w:tc>
          <w:tcPr>
            <w:tcW w:w="4680" w:type="dxa"/>
            <w:vAlign w:val="bottom"/>
            <w:vMerge w:val="restart"/>
          </w:tcPr>
          <w:p>
            <w:pPr>
              <w:ind w:left="1700"/>
              <w:spacing w:after="0"/>
              <w:rPr>
                <w:sz w:val="20"/>
                <w:szCs w:val="20"/>
                <w:color w:val="auto"/>
              </w:rPr>
            </w:pPr>
            <w:r>
              <w:rPr>
                <w:rFonts w:ascii="Arial" w:cs="Arial" w:eastAsia="Arial" w:hAnsi="Arial"/>
                <w:sz w:val="17"/>
                <w:szCs w:val="17"/>
                <w:b w:val="1"/>
                <w:bCs w:val="1"/>
                <w:color w:val="auto"/>
              </w:rPr>
              <w:t>Present Position</w:t>
            </w:r>
          </w:p>
        </w:tc>
        <w:tc>
          <w:tcPr>
            <w:tcW w:w="60" w:type="dxa"/>
            <w:vAlign w:val="bottom"/>
          </w:tcPr>
          <w:p>
            <w:pPr>
              <w:spacing w:after="0"/>
              <w:rPr>
                <w:sz w:val="15"/>
                <w:szCs w:val="15"/>
                <w:color w:val="auto"/>
              </w:rPr>
            </w:pPr>
          </w:p>
        </w:tc>
        <w:tc>
          <w:tcPr>
            <w:tcW w:w="130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6"/>
              </w:rPr>
              <w:t>to Present</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2"/>
              </w:rPr>
              <w:t>Position</w:t>
            </w:r>
          </w:p>
        </w:tc>
        <w:tc>
          <w:tcPr>
            <w:tcW w:w="8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6"/>
              </w:rPr>
              <w:t>Since</w:t>
            </w:r>
          </w:p>
        </w:tc>
        <w:tc>
          <w:tcPr>
            <w:tcW w:w="0" w:type="dxa"/>
            <w:vAlign w:val="bottom"/>
          </w:tcPr>
          <w:p>
            <w:pPr>
              <w:spacing w:after="0"/>
              <w:rPr>
                <w:sz w:val="1"/>
                <w:szCs w:val="1"/>
                <w:color w:val="auto"/>
              </w:rPr>
            </w:pPr>
          </w:p>
        </w:tc>
      </w:tr>
      <w:tr>
        <w:trPr>
          <w:trHeight w:val="237"/>
        </w:trPr>
        <w:tc>
          <w:tcPr>
            <w:tcW w:w="216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7"/>
                <w:szCs w:val="17"/>
                <w:b w:val="1"/>
                <w:bCs w:val="1"/>
                <w:color w:val="auto"/>
              </w:rPr>
              <w:t>Steven J. Bandrowczak</w:t>
            </w:r>
          </w:p>
        </w:tc>
        <w:tc>
          <w:tcPr>
            <w:tcW w:w="80" w:type="dxa"/>
            <w:vAlign w:val="bottom"/>
            <w:tcBorders>
              <w:top w:val="single" w:sz="8" w:color="DDDDDD"/>
            </w:tcBorders>
            <w:shd w:val="clear" w:color="auto" w:fill="DDDDDD"/>
          </w:tcPr>
          <w:p>
            <w:pPr>
              <w:spacing w:after="0"/>
              <w:rPr>
                <w:sz w:val="20"/>
                <w:szCs w:val="20"/>
                <w:color w:val="auto"/>
              </w:rPr>
            </w:pPr>
          </w:p>
        </w:tc>
        <w:tc>
          <w:tcPr>
            <w:tcW w:w="42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7"/>
                <w:szCs w:val="17"/>
                <w:b w:val="1"/>
                <w:bCs w:val="1"/>
                <w:color w:val="auto"/>
              </w:rPr>
              <w:t>65</w:t>
            </w:r>
          </w:p>
        </w:tc>
        <w:tc>
          <w:tcPr>
            <w:tcW w:w="60" w:type="dxa"/>
            <w:vAlign w:val="bottom"/>
            <w:tcBorders>
              <w:top w:val="single" w:sz="8" w:color="DDDDDD"/>
            </w:tcBorders>
            <w:shd w:val="clear" w:color="auto" w:fill="DDDDDD"/>
          </w:tcPr>
          <w:p>
            <w:pPr>
              <w:spacing w:after="0"/>
              <w:rPr>
                <w:sz w:val="20"/>
                <w:szCs w:val="20"/>
                <w:color w:val="auto"/>
              </w:rPr>
            </w:pPr>
          </w:p>
        </w:tc>
        <w:tc>
          <w:tcPr>
            <w:tcW w:w="468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7"/>
                <w:szCs w:val="17"/>
                <w:b w:val="1"/>
                <w:bCs w:val="1"/>
                <w:color w:val="auto"/>
              </w:rPr>
              <w:t>Chief Executive Officer</w:t>
            </w:r>
          </w:p>
        </w:tc>
        <w:tc>
          <w:tcPr>
            <w:tcW w:w="60" w:type="dxa"/>
            <w:vAlign w:val="bottom"/>
            <w:tcBorders>
              <w:top w:val="single" w:sz="8" w:color="DDDDDD"/>
            </w:tcBorders>
            <w:shd w:val="clear" w:color="auto" w:fill="DDDDDD"/>
          </w:tcPr>
          <w:p>
            <w:pPr>
              <w:spacing w:after="0"/>
              <w:rPr>
                <w:sz w:val="20"/>
                <w:szCs w:val="20"/>
                <w:color w:val="auto"/>
              </w:rPr>
            </w:pPr>
          </w:p>
        </w:tc>
        <w:tc>
          <w:tcPr>
            <w:tcW w:w="130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DDDDDD"/>
            </w:tcBorders>
            <w:shd w:val="clear" w:color="auto" w:fill="DDDDDD"/>
          </w:tcPr>
          <w:p>
            <w:pPr>
              <w:spacing w:after="0"/>
              <w:rPr>
                <w:sz w:val="20"/>
                <w:szCs w:val="20"/>
                <w:color w:val="auto"/>
              </w:rPr>
            </w:pPr>
          </w:p>
        </w:tc>
        <w:tc>
          <w:tcPr>
            <w:tcW w:w="112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60"/>
              <w:spacing w:after="0"/>
              <w:rPr>
                <w:sz w:val="20"/>
                <w:szCs w:val="20"/>
                <w:color w:val="auto"/>
              </w:rPr>
            </w:pPr>
            <w:r>
              <w:rPr>
                <w:rFonts w:ascii="Arial" w:cs="Arial" w:eastAsia="Arial" w:hAnsi="Arial"/>
                <w:sz w:val="17"/>
                <w:szCs w:val="17"/>
                <w:b w:val="1"/>
                <w:bCs w:val="1"/>
                <w:color w:val="auto"/>
              </w:rPr>
              <w:t>Louis J. Pastor</w:t>
            </w:r>
          </w:p>
        </w:tc>
        <w:tc>
          <w:tcPr>
            <w:tcW w:w="500" w:type="dxa"/>
            <w:vAlign w:val="bottom"/>
            <w:gridSpan w:val="2"/>
          </w:tcPr>
          <w:p>
            <w:pPr>
              <w:jc w:val="center"/>
              <w:ind w:left="13"/>
              <w:spacing w:after="0"/>
              <w:rPr>
                <w:sz w:val="20"/>
                <w:szCs w:val="20"/>
                <w:color w:val="auto"/>
              </w:rPr>
            </w:pPr>
            <w:r>
              <w:rPr>
                <w:rFonts w:ascii="Arial" w:cs="Arial" w:eastAsia="Arial" w:hAnsi="Arial"/>
                <w:sz w:val="17"/>
                <w:szCs w:val="17"/>
                <w:b w:val="1"/>
                <w:bCs w:val="1"/>
                <w:color w:val="auto"/>
              </w:rPr>
              <w:t>41</w:t>
            </w:r>
          </w:p>
        </w:tc>
        <w:tc>
          <w:tcPr>
            <w:tcW w:w="60" w:type="dxa"/>
            <w:vAlign w:val="bottom"/>
          </w:tcPr>
          <w:p>
            <w:pPr>
              <w:spacing w:after="0"/>
              <w:rPr>
                <w:sz w:val="21"/>
                <w:szCs w:val="21"/>
                <w:color w:val="auto"/>
              </w:rPr>
            </w:pPr>
          </w:p>
        </w:tc>
        <w:tc>
          <w:tcPr>
            <w:tcW w:w="4680" w:type="dxa"/>
            <w:vAlign w:val="bottom"/>
          </w:tcPr>
          <w:p>
            <w:pPr>
              <w:ind w:left="60"/>
              <w:spacing w:after="0"/>
              <w:rPr>
                <w:sz w:val="20"/>
                <w:szCs w:val="20"/>
                <w:color w:val="auto"/>
              </w:rPr>
            </w:pPr>
            <w:r>
              <w:rPr>
                <w:rFonts w:ascii="Arial" w:cs="Arial" w:eastAsia="Arial" w:hAnsi="Arial"/>
                <w:sz w:val="17"/>
                <w:szCs w:val="17"/>
                <w:b w:val="1"/>
                <w:bCs w:val="1"/>
                <w:color w:val="auto"/>
              </w:rPr>
              <w:t>President and Chief Operating Officer</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rPr>
              <w:t>2025</w:t>
            </w: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60" w:type="dxa"/>
            <w:vAlign w:val="bottom"/>
            <w:shd w:val="clear" w:color="auto" w:fill="DDDDDD"/>
          </w:tcPr>
          <w:p>
            <w:pPr>
              <w:ind w:left="60"/>
              <w:spacing w:after="0"/>
              <w:rPr>
                <w:sz w:val="20"/>
                <w:szCs w:val="20"/>
                <w:color w:val="auto"/>
              </w:rPr>
            </w:pPr>
            <w:r>
              <w:rPr>
                <w:rFonts w:ascii="Arial" w:cs="Arial" w:eastAsia="Arial" w:hAnsi="Arial"/>
                <w:sz w:val="17"/>
                <w:szCs w:val="17"/>
                <w:b w:val="1"/>
                <w:bCs w:val="1"/>
                <w:color w:val="auto"/>
              </w:rPr>
              <w:t>Charles Butler</w:t>
            </w:r>
          </w:p>
        </w:tc>
        <w:tc>
          <w:tcPr>
            <w:tcW w:w="500" w:type="dxa"/>
            <w:vAlign w:val="bottom"/>
            <w:gridSpan w:val="2"/>
            <w:shd w:val="clear" w:color="auto" w:fill="DDDDDD"/>
          </w:tcPr>
          <w:p>
            <w:pPr>
              <w:jc w:val="center"/>
              <w:ind w:left="13"/>
              <w:spacing w:after="0"/>
              <w:rPr>
                <w:sz w:val="20"/>
                <w:szCs w:val="20"/>
                <w:color w:val="auto"/>
              </w:rPr>
            </w:pPr>
            <w:r>
              <w:rPr>
                <w:rFonts w:ascii="Arial" w:cs="Arial" w:eastAsia="Arial" w:hAnsi="Arial"/>
                <w:sz w:val="17"/>
                <w:szCs w:val="17"/>
                <w:b w:val="1"/>
                <w:bCs w:val="1"/>
                <w:color w:val="auto"/>
              </w:rPr>
              <w:t>51</w:t>
            </w:r>
          </w:p>
        </w:tc>
        <w:tc>
          <w:tcPr>
            <w:tcW w:w="60" w:type="dxa"/>
            <w:vAlign w:val="bottom"/>
            <w:shd w:val="clear" w:color="auto" w:fill="DDDDDD"/>
          </w:tcPr>
          <w:p>
            <w:pPr>
              <w:spacing w:after="0"/>
              <w:rPr>
                <w:sz w:val="21"/>
                <w:szCs w:val="21"/>
                <w:color w:val="auto"/>
              </w:rPr>
            </w:pPr>
          </w:p>
        </w:tc>
        <w:tc>
          <w:tcPr>
            <w:tcW w:w="4680" w:type="dxa"/>
            <w:vAlign w:val="bottom"/>
            <w:shd w:val="clear" w:color="auto" w:fill="DDDDDD"/>
          </w:tcPr>
          <w:p>
            <w:pPr>
              <w:ind w:left="60"/>
              <w:spacing w:after="0"/>
              <w:rPr>
                <w:sz w:val="20"/>
                <w:szCs w:val="20"/>
                <w:color w:val="auto"/>
              </w:rPr>
            </w:pPr>
            <w:r>
              <w:rPr>
                <w:rFonts w:ascii="Arial" w:cs="Arial" w:eastAsia="Arial" w:hAnsi="Arial"/>
                <w:sz w:val="17"/>
                <w:szCs w:val="17"/>
                <w:b w:val="1"/>
                <w:bCs w:val="1"/>
                <w:color w:val="auto"/>
              </w:rPr>
              <w:t>Chief Financial Officer</w:t>
            </w:r>
          </w:p>
        </w:tc>
        <w:tc>
          <w:tcPr>
            <w:tcW w:w="1360" w:type="dxa"/>
            <w:vAlign w:val="bottom"/>
            <w:gridSpan w:val="2"/>
            <w:shd w:val="clear" w:color="auto" w:fill="DDDDDD"/>
          </w:tcPr>
          <w:p>
            <w:pPr>
              <w:jc w:val="center"/>
              <w:spacing w:after="0"/>
              <w:rPr>
                <w:sz w:val="20"/>
                <w:szCs w:val="20"/>
                <w:color w:val="auto"/>
              </w:rPr>
            </w:pPr>
            <w:r>
              <w:rPr>
                <w:rFonts w:ascii="Arial" w:cs="Arial" w:eastAsia="Arial" w:hAnsi="Arial"/>
                <w:sz w:val="17"/>
                <w:szCs w:val="17"/>
                <w:b w:val="1"/>
                <w:bCs w:val="1"/>
                <w:color w:val="auto"/>
              </w:rPr>
              <w:t>2025</w:t>
            </w:r>
          </w:p>
        </w:tc>
        <w:tc>
          <w:tcPr>
            <w:tcW w:w="1200" w:type="dxa"/>
            <w:vAlign w:val="bottom"/>
            <w:gridSpan w:val="2"/>
            <w:shd w:val="clear" w:color="auto" w:fill="DDDDDD"/>
          </w:tcPr>
          <w:p>
            <w:pPr>
              <w:jc w:val="center"/>
              <w:spacing w:after="0"/>
              <w:rPr>
                <w:sz w:val="20"/>
                <w:szCs w:val="20"/>
                <w:color w:val="auto"/>
              </w:rPr>
            </w:pPr>
            <w:r>
              <w:rPr>
                <w:rFonts w:ascii="Arial" w:cs="Arial" w:eastAsia="Arial" w:hAnsi="Arial"/>
                <w:sz w:val="17"/>
                <w:szCs w:val="17"/>
                <w:b w:val="1"/>
                <w:bCs w:val="1"/>
                <w:color w:val="auto"/>
              </w:rPr>
              <w:t>2025</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60"/>
              <w:spacing w:after="0"/>
              <w:rPr>
                <w:sz w:val="20"/>
                <w:szCs w:val="20"/>
                <w:color w:val="auto"/>
              </w:rPr>
            </w:pPr>
            <w:r>
              <w:rPr>
                <w:rFonts w:ascii="Arial" w:cs="Arial" w:eastAsia="Arial" w:hAnsi="Arial"/>
                <w:sz w:val="17"/>
                <w:szCs w:val="17"/>
                <w:b w:val="1"/>
                <w:bCs w:val="1"/>
                <w:color w:val="auto"/>
              </w:rPr>
              <w:t>Flor Colón</w:t>
            </w:r>
          </w:p>
        </w:tc>
        <w:tc>
          <w:tcPr>
            <w:tcW w:w="500" w:type="dxa"/>
            <w:vAlign w:val="bottom"/>
            <w:gridSpan w:val="2"/>
          </w:tcPr>
          <w:p>
            <w:pPr>
              <w:jc w:val="center"/>
              <w:ind w:left="13"/>
              <w:spacing w:after="0"/>
              <w:rPr>
                <w:sz w:val="20"/>
                <w:szCs w:val="20"/>
                <w:color w:val="auto"/>
              </w:rPr>
            </w:pPr>
            <w:r>
              <w:rPr>
                <w:rFonts w:ascii="Arial" w:cs="Arial" w:eastAsia="Arial" w:hAnsi="Arial"/>
                <w:sz w:val="17"/>
                <w:szCs w:val="17"/>
                <w:b w:val="1"/>
                <w:bCs w:val="1"/>
                <w:color w:val="auto"/>
              </w:rPr>
              <w:t>62</w:t>
            </w:r>
          </w:p>
        </w:tc>
        <w:tc>
          <w:tcPr>
            <w:tcW w:w="60" w:type="dxa"/>
            <w:vAlign w:val="bottom"/>
          </w:tcPr>
          <w:p>
            <w:pPr>
              <w:spacing w:after="0"/>
              <w:rPr>
                <w:sz w:val="21"/>
                <w:szCs w:val="21"/>
                <w:color w:val="auto"/>
              </w:rPr>
            </w:pPr>
          </w:p>
        </w:tc>
        <w:tc>
          <w:tcPr>
            <w:tcW w:w="4680" w:type="dxa"/>
            <w:vAlign w:val="bottom"/>
          </w:tcPr>
          <w:p>
            <w:pPr>
              <w:ind w:left="60"/>
              <w:spacing w:after="0"/>
              <w:rPr>
                <w:sz w:val="20"/>
                <w:szCs w:val="20"/>
                <w:color w:val="auto"/>
              </w:rPr>
            </w:pPr>
            <w:r>
              <w:rPr>
                <w:rFonts w:ascii="Arial" w:cs="Arial" w:eastAsia="Arial" w:hAnsi="Arial"/>
                <w:sz w:val="17"/>
                <w:szCs w:val="17"/>
                <w:b w:val="1"/>
                <w:bCs w:val="1"/>
                <w:color w:val="auto"/>
              </w:rPr>
              <w:t>Chief Legal Officer and Corporate Secretary</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rPr>
              <w:t>2024</w:t>
            </w: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60" w:type="dxa"/>
            <w:vAlign w:val="bottom"/>
            <w:shd w:val="clear" w:color="auto" w:fill="DDDDDD"/>
          </w:tcPr>
          <w:p>
            <w:pPr>
              <w:ind w:left="60"/>
              <w:spacing w:after="0"/>
              <w:rPr>
                <w:sz w:val="20"/>
                <w:szCs w:val="20"/>
                <w:color w:val="auto"/>
              </w:rPr>
            </w:pPr>
            <w:r>
              <w:rPr>
                <w:rFonts w:ascii="Arial" w:cs="Arial" w:eastAsia="Arial" w:hAnsi="Arial"/>
                <w:sz w:val="17"/>
                <w:szCs w:val="17"/>
                <w:b w:val="1"/>
                <w:bCs w:val="1"/>
                <w:color w:val="auto"/>
                <w:w w:val="98"/>
              </w:rPr>
              <w:t>Jacques-Edouard Gueden</w:t>
            </w:r>
          </w:p>
        </w:tc>
        <w:tc>
          <w:tcPr>
            <w:tcW w:w="500" w:type="dxa"/>
            <w:vAlign w:val="bottom"/>
            <w:gridSpan w:val="2"/>
            <w:shd w:val="clear" w:color="auto" w:fill="DDDDDD"/>
          </w:tcPr>
          <w:p>
            <w:pPr>
              <w:jc w:val="center"/>
              <w:ind w:left="13"/>
              <w:spacing w:after="0"/>
              <w:rPr>
                <w:sz w:val="20"/>
                <w:szCs w:val="20"/>
                <w:color w:val="auto"/>
              </w:rPr>
            </w:pPr>
            <w:r>
              <w:rPr>
                <w:rFonts w:ascii="Arial" w:cs="Arial" w:eastAsia="Arial" w:hAnsi="Arial"/>
                <w:sz w:val="17"/>
                <w:szCs w:val="17"/>
                <w:b w:val="1"/>
                <w:bCs w:val="1"/>
                <w:color w:val="auto"/>
              </w:rPr>
              <w:t>60</w:t>
            </w:r>
          </w:p>
        </w:tc>
        <w:tc>
          <w:tcPr>
            <w:tcW w:w="60" w:type="dxa"/>
            <w:vAlign w:val="bottom"/>
            <w:shd w:val="clear" w:color="auto" w:fill="DDDDDD"/>
          </w:tcPr>
          <w:p>
            <w:pPr>
              <w:spacing w:after="0"/>
              <w:rPr>
                <w:sz w:val="21"/>
                <w:szCs w:val="21"/>
                <w:color w:val="auto"/>
              </w:rPr>
            </w:pPr>
          </w:p>
        </w:tc>
        <w:tc>
          <w:tcPr>
            <w:tcW w:w="4680" w:type="dxa"/>
            <w:vAlign w:val="bottom"/>
            <w:shd w:val="clear" w:color="auto" w:fill="DDDDDD"/>
          </w:tcPr>
          <w:p>
            <w:pPr>
              <w:ind w:left="60"/>
              <w:spacing w:after="0"/>
              <w:rPr>
                <w:sz w:val="20"/>
                <w:szCs w:val="20"/>
                <w:color w:val="auto"/>
              </w:rPr>
            </w:pPr>
            <w:r>
              <w:rPr>
                <w:rFonts w:ascii="Arial" w:cs="Arial" w:eastAsia="Arial" w:hAnsi="Arial"/>
                <w:sz w:val="17"/>
                <w:szCs w:val="17"/>
                <w:b w:val="1"/>
                <w:bCs w:val="1"/>
                <w:color w:val="auto"/>
              </w:rPr>
              <w:t>Chief Revenue Officer</w:t>
            </w:r>
          </w:p>
        </w:tc>
        <w:tc>
          <w:tcPr>
            <w:tcW w:w="1360" w:type="dxa"/>
            <w:vAlign w:val="bottom"/>
            <w:gridSpan w:val="2"/>
            <w:shd w:val="clear" w:color="auto" w:fill="DDDDDD"/>
          </w:tcPr>
          <w:p>
            <w:pPr>
              <w:jc w:val="center"/>
              <w:spacing w:after="0"/>
              <w:rPr>
                <w:sz w:val="20"/>
                <w:szCs w:val="20"/>
                <w:color w:val="auto"/>
              </w:rPr>
            </w:pPr>
            <w:r>
              <w:rPr>
                <w:rFonts w:ascii="Arial" w:cs="Arial" w:eastAsia="Arial" w:hAnsi="Arial"/>
                <w:sz w:val="17"/>
                <w:szCs w:val="17"/>
                <w:b w:val="1"/>
                <w:bCs w:val="1"/>
                <w:color w:val="auto"/>
              </w:rPr>
              <w:t>2025</w:t>
            </w:r>
          </w:p>
        </w:tc>
        <w:tc>
          <w:tcPr>
            <w:tcW w:w="1200" w:type="dxa"/>
            <w:vAlign w:val="bottom"/>
            <w:gridSpan w:val="2"/>
            <w:shd w:val="clear" w:color="auto" w:fill="DDDDDD"/>
          </w:tcPr>
          <w:p>
            <w:pPr>
              <w:jc w:val="center"/>
              <w:spacing w:after="0"/>
              <w:rPr>
                <w:sz w:val="20"/>
                <w:szCs w:val="20"/>
                <w:color w:val="auto"/>
              </w:rPr>
            </w:pPr>
            <w:r>
              <w:rPr>
                <w:rFonts w:ascii="Arial" w:cs="Arial" w:eastAsia="Arial" w:hAnsi="Arial"/>
                <w:sz w:val="17"/>
                <w:szCs w:val="17"/>
                <w:b w:val="1"/>
                <w:bCs w:val="1"/>
                <w:color w:val="auto"/>
              </w:rPr>
              <w:t>2021</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160" w:type="dxa"/>
            <w:vAlign w:val="bottom"/>
          </w:tcPr>
          <w:p>
            <w:pPr>
              <w:ind w:left="60"/>
              <w:spacing w:after="0"/>
              <w:rPr>
                <w:sz w:val="20"/>
                <w:szCs w:val="20"/>
                <w:color w:val="auto"/>
              </w:rPr>
            </w:pPr>
            <w:r>
              <w:rPr>
                <w:rFonts w:ascii="Arial" w:cs="Arial" w:eastAsia="Arial" w:hAnsi="Arial"/>
                <w:sz w:val="17"/>
                <w:szCs w:val="17"/>
                <w:b w:val="1"/>
                <w:bCs w:val="1"/>
                <w:color w:val="auto"/>
              </w:rPr>
              <w:t>William Twomey</w:t>
            </w:r>
          </w:p>
        </w:tc>
        <w:tc>
          <w:tcPr>
            <w:tcW w:w="500" w:type="dxa"/>
            <w:vAlign w:val="bottom"/>
            <w:gridSpan w:val="2"/>
          </w:tcPr>
          <w:p>
            <w:pPr>
              <w:jc w:val="center"/>
              <w:ind w:left="13"/>
              <w:spacing w:after="0"/>
              <w:rPr>
                <w:sz w:val="20"/>
                <w:szCs w:val="20"/>
                <w:color w:val="auto"/>
              </w:rPr>
            </w:pPr>
            <w:r>
              <w:rPr>
                <w:rFonts w:ascii="Arial" w:cs="Arial" w:eastAsia="Arial" w:hAnsi="Arial"/>
                <w:sz w:val="17"/>
                <w:szCs w:val="17"/>
                <w:b w:val="1"/>
                <w:bCs w:val="1"/>
                <w:color w:val="auto"/>
              </w:rPr>
              <w:t>50</w:t>
            </w:r>
          </w:p>
        </w:tc>
        <w:tc>
          <w:tcPr>
            <w:tcW w:w="6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7"/>
                <w:szCs w:val="17"/>
                <w:b w:val="1"/>
                <w:bCs w:val="1"/>
                <w:color w:val="auto"/>
              </w:rPr>
              <w:t>Chief Accounting Officer</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rPr>
              <w:t>2025</w:t>
            </w: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Mr. Bandrowczak was appointed Chief Executive Officer of Xerox in 2022 and previously served as President and Chief Operations Officer of Xerox since 2018. Prior to joining Xerox, Mr. Bandrowczak held leadership positions at Alight Solutions, Sutherland Global Services and Hewlett-Packard Enterprises.</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Mr. Pastor was appointed President and Chief Operating Officer of Xerox in September 2025. Mr. Pastor is responsible for the Company’s people, talent, and culture organization, as well as information technology, cybersecurity, global business services, global service delivery, marketing and communications. Mr. Pastor previously served as Executive Vice President and Chief Administrative Officer and Global Head of Operations, until August 2025, after first joining the Company in October 2018 as Executive Vice President and General Counsel.</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b w:val="1"/>
          <w:bCs w:val="1"/>
          <w:color w:val="auto"/>
        </w:rPr>
        <w:t>Mr. Butler was named Chief Financial Officer of Xerox in November 2025. Mr. Butler is responsible for the Company’s global finance organization, including financial strategy, planning and analysis, accounting, treasury, enterprise risk management, as well as the Company’s global business services organization. Mr. Butler joined the Company on July 1, 2025, following the acquisition of Lexmark International II, LLC (Lexmark), where he served as Senior Vice President and Chief Financial Officer and Head of Global Business Services from 2020 until the acquisition date.</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Ms. Colón joined Xerox in 1999 and was named Executive Vice President, Chief Legal Officer and Corporate Secretary in 2024, where she is responsible for Legal, Ethics and Compliance, and Environmental, Health, Safety and Sustainability (EHS&amp;S). Prior to that, Ms. Colón held various leadership positions within Xerox, most recently serving as Deputy General Counsel, Corporate Secretary and Chief Ethics Officer.</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Mr. Gueden was named Chief Revenue Officer of Xerox in September 2025. In this role, he leads the Company’s direct and indirect print go-to-market units. Mr. Gueden has held various senior management roles during his more than 30-year career with Xerox, most recently as Executive Vice President and Chief Channel and Partner Officer beginning in 2024, where he led the Company’s indirect business.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Mr. Twomey joined Xerox in 2025 as Vice President and Chief Accounting officer. Prior to this appointment, Mr. Twomey spent 10 years at Paramount Global where he most recently served as Senior Vice President, Global Accounting Operations. Prior to his role at Paramount Global Mr. Twomey held various accounting roles at Trusted Media Brands and Focus Financial Partners. Mr. Twomey began his career with PricewaterhouseCoopers where he was an audit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166</w:t>
      </w:r>
    </w:p>
    <w:p>
      <w:pPr>
        <w:sectPr>
          <w:pgSz w:w="11880" w:h="15480" w:orient="portrait"/>
          <w:cols w:equalWidth="0" w:num="1">
            <w:col w:w="9960"/>
          </w:cols>
          <w:pgMar w:left="960" w:top="724" w:right="960" w:bottom="0" w:gutter="0" w:footer="0" w:header="0"/>
        </w:sectPr>
      </w:pPr>
    </w:p>
    <w:bookmarkStart w:id="176" w:name="page177"/>
    <w:bookmarkEnd w:id="176"/>
    <w:p>
      <w:pPr>
        <w:spacing w:after="0"/>
        <w:rPr>
          <w:sz w:val="20"/>
          <w:szCs w:val="20"/>
          <w:color w:val="auto"/>
        </w:rPr>
      </w:pPr>
      <w:r>
        <w:rPr>
          <w:rFonts w:ascii="Arial" w:cs="Arial" w:eastAsia="Arial" w:hAnsi="Arial"/>
          <w:sz w:val="19"/>
          <w:szCs w:val="19"/>
          <w:b w:val="1"/>
          <w:bCs w:val="1"/>
          <w:color w:val="DA2031"/>
        </w:rPr>
        <w:t>Code of Business Conduct</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We have adopted a code of ethics that applies to all employees, including executive officers and directors. The Code of Business Conduct is available on the Corporate Social Responsibility page of our website at www.xerox.com. A copy of the Code of Business Conduct is available, free of charge, by submitting a written request to: Xerox Corporation, Business Ethics and Compliance Office, 401 Merritt 7 Norwalk, CT 06851–1056 U.S.A.</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If we ever were to amend or waive any provision of our Code of Business Conduct that applies to our principal executive officer, principal financial officer, principal accounting officer or any person performing similar functions, we intend to satisfy our disclosure obligations with respect to any such waiver or amendment by posting such information on our internet website set forth above rather than filing a Form 8-K.</w:t>
      </w:r>
    </w:p>
    <w:p>
      <w:pPr>
        <w:spacing w:after="0" w:line="114"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11. Executive Compensation</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The information required by this Item will be included in the 2026 Proxy Statement, and is incorporated herein by reference, provided, however, that the information included under the heading “Pay Versus Performance” in our definitive 2026 Proxy Statement is not incorporated herein by reference or subject to the liabilities of Section 18 of the Securities Exchange Act of 1934, as amended.</w:t>
      </w:r>
    </w:p>
    <w:p>
      <w:pPr>
        <w:spacing w:after="0" w:line="114" w:lineRule="exact"/>
        <w:rPr>
          <w:sz w:val="20"/>
          <w:szCs w:val="20"/>
          <w:color w:val="auto"/>
        </w:rPr>
      </w:pPr>
    </w:p>
    <w:p>
      <w:pPr>
        <w:ind w:left="880" w:right="260" w:hanging="872"/>
        <w:spacing w:after="0" w:line="304" w:lineRule="auto"/>
        <w:rPr>
          <w:sz w:val="20"/>
          <w:szCs w:val="20"/>
          <w:color w:val="auto"/>
        </w:rPr>
      </w:pPr>
      <w:r>
        <w:rPr>
          <w:rFonts w:ascii="Arial" w:cs="Arial" w:eastAsia="Arial" w:hAnsi="Arial"/>
          <w:sz w:val="23"/>
          <w:szCs w:val="23"/>
          <w:b w:val="1"/>
          <w:bCs w:val="1"/>
          <w:color w:val="DA2031"/>
        </w:rPr>
        <w:t>Item 12. Security Ownership of Certain Beneficial Owners and Management and Related Stockholder Matters</w:t>
      </w:r>
    </w:p>
    <w:p>
      <w:pPr>
        <w:spacing w:after="0" w:line="17"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information required by this Item will be included in the 2026 Proxy Statement, and is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13. Certain Relationships, Related Transactions and Director Independence</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information required by this Item will be included in the 2026 Proxy Statement, and is incorporated herein by reference.</w:t>
      </w:r>
    </w:p>
    <w:p>
      <w:pPr>
        <w:spacing w:after="0" w:line="86"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14. Principal Accounting Fees and Services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167</w:t>
      </w:r>
    </w:p>
    <w:p>
      <w:pPr>
        <w:sectPr>
          <w:pgSz w:w="11880" w:h="15480" w:orient="portrait"/>
          <w:cols w:equalWidth="0" w:num="1">
            <w:col w:w="9960"/>
          </w:cols>
          <w:pgMar w:left="960" w:top="735" w:right="960" w:bottom="0" w:gutter="0" w:footer="0" w:header="0"/>
        </w:sectPr>
      </w:pPr>
    </w:p>
    <w:bookmarkStart w:id="177" w:name="page178"/>
    <w:bookmarkEnd w:id="177"/>
    <w:p>
      <w:pPr>
        <w:spacing w:after="0"/>
        <w:rPr>
          <w:sz w:val="20"/>
          <w:szCs w:val="20"/>
          <w:color w:val="auto"/>
        </w:rPr>
      </w:pPr>
      <w:r>
        <w:rPr>
          <w:rFonts w:ascii="Arial" w:cs="Arial" w:eastAsia="Arial" w:hAnsi="Arial"/>
          <w:sz w:val="23"/>
          <w:szCs w:val="23"/>
          <w:b w:val="1"/>
          <w:bCs w:val="1"/>
          <w:color w:val="DA2031"/>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15. Exhibit and Financial Statement Schedules</w:t>
      </w:r>
    </w:p>
    <w:p>
      <w:pPr>
        <w:spacing w:after="0" w:line="143" w:lineRule="exact"/>
        <w:rPr>
          <w:sz w:val="20"/>
          <w:szCs w:val="20"/>
          <w:color w:val="auto"/>
        </w:rPr>
      </w:pPr>
    </w:p>
    <w:p>
      <w:pPr>
        <w:ind w:left="440" w:hanging="436"/>
        <w:spacing w:after="0"/>
        <w:tabs>
          <w:tab w:leader="none" w:pos="440" w:val="left"/>
        </w:tabs>
        <w:numPr>
          <w:ilvl w:val="0"/>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(1) Index to Financial Statements filed as part of this report:</w:t>
      </w:r>
    </w:p>
    <w:p>
      <w:pPr>
        <w:spacing w:after="0" w:line="130" w:lineRule="exact"/>
        <w:rPr>
          <w:rFonts w:ascii="Arial" w:cs="Arial" w:eastAsia="Arial" w:hAnsi="Arial"/>
          <w:sz w:val="19"/>
          <w:szCs w:val="19"/>
          <w:b w:val="1"/>
          <w:bCs w:val="1"/>
          <w:color w:val="auto"/>
        </w:rPr>
      </w:pPr>
    </w:p>
    <w:p>
      <w:pPr>
        <w:ind w:left="1060" w:right="40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 xml:space="preserve">Xerox Holdings Corporation Report of Independent Registered Public Accounting Firm (PCAOB ID </w:t>
      </w:r>
      <w:r>
        <w:rPr>
          <w:rFonts w:ascii="Arial" w:cs="Arial" w:eastAsia="Arial" w:hAnsi="Arial"/>
          <w:sz w:val="19"/>
          <w:szCs w:val="19"/>
          <w:b w:val="1"/>
          <w:bCs w:val="1"/>
          <w:color w:val="000000"/>
        </w:rPr>
        <w:t>238</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hanging="270"/>
        <w:spacing w:after="0"/>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Report of Independent Registered Public Accounting Firm (PCAOB ID</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000000"/>
        </w:rPr>
        <w:t>238</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000000"/>
        </w:rPr>
        <w:t>;</w:t>
      </w:r>
    </w:p>
    <w:p>
      <w:pPr>
        <w:spacing w:after="0" w:line="130" w:lineRule="exact"/>
        <w:rPr>
          <w:rFonts w:ascii="Arial" w:cs="Arial" w:eastAsia="Arial" w:hAnsi="Arial"/>
          <w:sz w:val="19"/>
          <w:szCs w:val="19"/>
          <w:b w:val="1"/>
          <w:bCs w:val="1"/>
          <w:color w:val="auto"/>
        </w:rPr>
      </w:pPr>
    </w:p>
    <w:p>
      <w:pPr>
        <w:ind w:left="1060" w:right="38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Holdings Corporation Consolidated Statements of (Loss) Income for each of the years in the three-year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26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Consolidated Statements of (Loss) Income for each of the years in the three-year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34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Holdings Corporation Consolidated Statements of Comprehensive Loss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10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Consolidated Statements of Comprehensive Loss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hanging="270"/>
        <w:spacing w:after="0"/>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Holdings Corporation Consolidated Balance Sheets as of December 31, 2025 and 2024</w:t>
      </w:r>
      <w:r>
        <w:rPr>
          <w:rFonts w:ascii="Arial" w:cs="Arial" w:eastAsia="Arial" w:hAnsi="Arial"/>
          <w:sz w:val="19"/>
          <w:szCs w:val="19"/>
          <w:b w:val="1"/>
          <w:bCs w:val="1"/>
          <w:color w:val="000000"/>
        </w:rPr>
        <w:t>;</w:t>
      </w:r>
    </w:p>
    <w:p>
      <w:pPr>
        <w:spacing w:after="0" w:line="130" w:lineRule="exact"/>
        <w:rPr>
          <w:rFonts w:ascii="Arial" w:cs="Arial" w:eastAsia="Arial" w:hAnsi="Arial"/>
          <w:sz w:val="19"/>
          <w:szCs w:val="19"/>
          <w:b w:val="1"/>
          <w:bCs w:val="1"/>
          <w:color w:val="auto"/>
        </w:rPr>
      </w:pPr>
    </w:p>
    <w:p>
      <w:pPr>
        <w:ind w:left="1060" w:hanging="270"/>
        <w:spacing w:after="0"/>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Consolidated Balance Sheets as of December 31, 2025 and 2024</w:t>
      </w:r>
      <w:r>
        <w:rPr>
          <w:rFonts w:ascii="Arial" w:cs="Arial" w:eastAsia="Arial" w:hAnsi="Arial"/>
          <w:sz w:val="19"/>
          <w:szCs w:val="19"/>
          <w:b w:val="1"/>
          <w:bCs w:val="1"/>
          <w:color w:val="000000"/>
        </w:rPr>
        <w:t>;</w:t>
      </w:r>
    </w:p>
    <w:p>
      <w:pPr>
        <w:spacing w:after="0" w:line="130" w:lineRule="exact"/>
        <w:rPr>
          <w:rFonts w:ascii="Arial" w:cs="Arial" w:eastAsia="Arial" w:hAnsi="Arial"/>
          <w:sz w:val="19"/>
          <w:szCs w:val="19"/>
          <w:b w:val="1"/>
          <w:bCs w:val="1"/>
          <w:color w:val="auto"/>
        </w:rPr>
      </w:pPr>
    </w:p>
    <w:p>
      <w:pPr>
        <w:ind w:left="1060" w:right="10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Holdings Corporation Consolidated Statements of Cash Flows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32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Consolidated Statements of Cash Flows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38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Holdings Corporation Consolidated Statements of Shareholders' Equity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14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Consolidated Statements of Shareholder's Equity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hanging="270"/>
        <w:spacing w:after="0"/>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Notes to the Consolidated Financial Statements</w:t>
      </w:r>
      <w:r>
        <w:rPr>
          <w:rFonts w:ascii="Arial" w:cs="Arial" w:eastAsia="Arial" w:hAnsi="Arial"/>
          <w:sz w:val="19"/>
          <w:szCs w:val="19"/>
          <w:b w:val="1"/>
          <w:bCs w:val="1"/>
          <w:color w:val="000000"/>
        </w:rPr>
        <w:t>; and</w:t>
      </w:r>
    </w:p>
    <w:p>
      <w:pPr>
        <w:spacing w:after="0" w:line="130" w:lineRule="exact"/>
        <w:rPr>
          <w:rFonts w:ascii="Arial" w:cs="Arial" w:eastAsia="Arial" w:hAnsi="Arial"/>
          <w:sz w:val="19"/>
          <w:szCs w:val="19"/>
          <w:b w:val="1"/>
          <w:bCs w:val="1"/>
          <w:color w:val="auto"/>
        </w:rPr>
      </w:pPr>
    </w:p>
    <w:p>
      <w:pPr>
        <w:ind w:left="1060" w:right="2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All other schedules are omitted as they are not applicable, or the information required is included in the financial statements or notes thereto.</w:t>
      </w:r>
    </w:p>
    <w:p>
      <w:pPr>
        <w:spacing w:after="0" w:line="39" w:lineRule="exact"/>
        <w:rPr>
          <w:rFonts w:ascii="Arial" w:cs="Arial" w:eastAsia="Arial" w:hAnsi="Arial"/>
          <w:sz w:val="19"/>
          <w:szCs w:val="19"/>
          <w:b w:val="1"/>
          <w:bCs w:val="1"/>
          <w:color w:val="auto"/>
        </w:rPr>
      </w:pPr>
    </w:p>
    <w:p>
      <w:pPr>
        <w:ind w:left="780" w:hanging="340"/>
        <w:spacing w:after="0"/>
        <w:tabs>
          <w:tab w:leader="none" w:pos="780" w:val="left"/>
        </w:tabs>
        <w:numPr>
          <w:ilvl w:val="1"/>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Statement Schedules:</w:t>
      </w:r>
    </w:p>
    <w:p>
      <w:pPr>
        <w:spacing w:after="0" w:line="130" w:lineRule="exact"/>
        <w:rPr>
          <w:rFonts w:ascii="Arial" w:cs="Arial" w:eastAsia="Arial" w:hAnsi="Arial"/>
          <w:sz w:val="19"/>
          <w:szCs w:val="19"/>
          <w:b w:val="1"/>
          <w:bCs w:val="1"/>
          <w:color w:val="auto"/>
        </w:rPr>
      </w:pPr>
    </w:p>
    <w:p>
      <w:pPr>
        <w:ind w:left="106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Holdings Corporation Schedule II - Valuation and Qualifying Accounts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1060" w:right="280" w:hanging="270"/>
        <w:spacing w:after="0" w:line="298" w:lineRule="auto"/>
        <w:tabs>
          <w:tab w:leader="none" w:pos="1060"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0000FF"/>
        </w:rPr>
        <w:t>Xerox Corporation Schedule II - Valuation and Qualifying Accounts for each of the three years in the period ended December 31, 2025</w:t>
      </w:r>
      <w:r>
        <w:rPr>
          <w:rFonts w:ascii="Arial" w:cs="Arial" w:eastAsia="Arial" w:hAnsi="Arial"/>
          <w:sz w:val="19"/>
          <w:szCs w:val="19"/>
          <w:b w:val="1"/>
          <w:bCs w:val="1"/>
          <w:color w:val="000000"/>
        </w:rPr>
        <w:t>.</w:t>
      </w:r>
    </w:p>
    <w:p>
      <w:pPr>
        <w:spacing w:after="0" w:line="39" w:lineRule="exact"/>
        <w:rPr>
          <w:rFonts w:ascii="Arial" w:cs="Arial" w:eastAsia="Arial" w:hAnsi="Arial"/>
          <w:sz w:val="19"/>
          <w:szCs w:val="19"/>
          <w:b w:val="1"/>
          <w:bCs w:val="1"/>
          <w:color w:val="auto"/>
        </w:rPr>
      </w:pPr>
    </w:p>
    <w:p>
      <w:pPr>
        <w:ind w:left="780" w:right="200" w:hanging="340"/>
        <w:spacing w:after="0" w:line="361" w:lineRule="auto"/>
        <w:tabs>
          <w:tab w:leader="none" w:pos="780" w:val="left"/>
        </w:tabs>
        <w:numPr>
          <w:ilvl w:val="1"/>
          <w:numId w:val="1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0000FF"/>
        </w:rPr>
        <w:t>Exhibits required to be filed by Item 601 of Regulation S-K: See the Index of Exhibits at pages 171 through 179 inclusive, which is attached to and incorporated into and made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168</w:t>
      </w:r>
    </w:p>
    <w:p>
      <w:pPr>
        <w:sectPr>
          <w:pgSz w:w="11880" w:h="15480" w:orient="portrait"/>
          <w:cols w:equalWidth="0" w:num="1">
            <w:col w:w="9880"/>
          </w:cols>
          <w:pgMar w:left="960" w:top="724" w:right="1040" w:bottom="0" w:gutter="0" w:footer="0" w:header="0"/>
        </w:sectPr>
      </w:pPr>
    </w:p>
    <w:bookmarkStart w:id="178" w:name="page179"/>
    <w:bookmarkEnd w:id="178"/>
    <w:p>
      <w:pPr>
        <w:spacing w:after="0"/>
        <w:rPr>
          <w:sz w:val="20"/>
          <w:szCs w:val="20"/>
          <w:color w:val="auto"/>
        </w:rPr>
      </w:pPr>
      <w:r>
        <w:rPr>
          <w:rFonts w:ascii="Arial" w:cs="Arial" w:eastAsia="Arial" w:hAnsi="Arial"/>
          <w:sz w:val="23"/>
          <w:szCs w:val="23"/>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Schedule II Valuation and Qualifying Accounts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Receivables - Allowance for Doubtful Accounts: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86"/>
              </w:rPr>
              <w:t>Additions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Arial" w:cs="Arial" w:eastAsia="Arial" w:hAnsi="Arial"/>
                <w:sz w:val="16"/>
                <w:szCs w:val="16"/>
                <w:b w:val="1"/>
                <w:bCs w:val="1"/>
                <w:color w:val="auto"/>
                <w:w w:val="86"/>
              </w:rPr>
              <w:t>Amounts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91"/>
              </w:rPr>
              <w:t>Balance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42"/>
              <w:spacing w:after="0" w:line="155" w:lineRule="exact"/>
              <w:rPr>
                <w:sz w:val="20"/>
                <w:szCs w:val="20"/>
                <w:color w:val="auto"/>
              </w:rPr>
            </w:pPr>
            <w:r>
              <w:rPr>
                <w:rFonts w:ascii="Arial" w:cs="Arial" w:eastAsia="Arial" w:hAnsi="Arial"/>
                <w:sz w:val="16"/>
                <w:szCs w:val="16"/>
                <w:b w:val="1"/>
                <w:bCs w:val="1"/>
                <w:color w:val="auto"/>
                <w:w w:val="87"/>
              </w:rPr>
              <w:t>charged to</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w w:val="91"/>
              </w:rPr>
              <w:t>Deductions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w w:val="94"/>
              </w:rPr>
              <w:t>charged to bad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42"/>
              <w:spacing w:after="0" w:line="155" w:lineRule="exact"/>
              <w:rPr>
                <w:sz w:val="20"/>
                <w:szCs w:val="20"/>
                <w:color w:val="auto"/>
              </w:rPr>
            </w:pPr>
            <w:r>
              <w:rPr>
                <w:rFonts w:ascii="Arial" w:cs="Arial" w:eastAsia="Arial" w:hAnsi="Arial"/>
                <w:sz w:val="16"/>
                <w:szCs w:val="16"/>
                <w:b w:val="1"/>
                <w:bCs w:val="1"/>
                <w:color w:val="auto"/>
                <w:w w:val="87"/>
              </w:rPr>
              <w:t>other income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88"/>
              </w:rPr>
              <w:t>at beginning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88"/>
              </w:rPr>
              <w:t>debt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42"/>
              <w:spacing w:after="0" w:line="155" w:lineRule="exact"/>
              <w:rPr>
                <w:sz w:val="20"/>
                <w:szCs w:val="20"/>
                <w:color w:val="auto"/>
              </w:rPr>
            </w:pPr>
            <w:r>
              <w:rPr>
                <w:rFonts w:ascii="Arial" w:cs="Arial" w:eastAsia="Arial" w:hAnsi="Arial"/>
                <w:sz w:val="16"/>
                <w:szCs w:val="16"/>
                <w:b w:val="1"/>
                <w:bCs w:val="1"/>
                <w:color w:val="auto"/>
                <w:w w:val="89"/>
              </w:rPr>
              <w:t>statement</w:t>
            </w:r>
          </w:p>
        </w:tc>
        <w:tc>
          <w:tcPr>
            <w:tcW w:w="80" w:type="dxa"/>
            <w:vAlign w:val="bottom"/>
          </w:tcPr>
          <w:p>
            <w:pPr>
              <w:spacing w:after="0"/>
              <w:rPr>
                <w:sz w:val="13"/>
                <w:szCs w:val="13"/>
                <w:color w:val="auto"/>
              </w:rPr>
            </w:pPr>
          </w:p>
        </w:tc>
        <w:tc>
          <w:tcPr>
            <w:tcW w:w="1180" w:type="dxa"/>
            <w:vAlign w:val="bottom"/>
            <w:gridSpan w:val="2"/>
            <w:vMerge w:val="restart"/>
          </w:tcPr>
          <w:p>
            <w:pPr>
              <w:jc w:val="right"/>
              <w:ind w:right="42"/>
              <w:spacing w:after="0"/>
              <w:rPr>
                <w:sz w:val="20"/>
                <w:szCs w:val="20"/>
                <w:color w:val="auto"/>
              </w:rPr>
            </w:pPr>
            <w:r>
              <w:rPr>
                <w:rFonts w:ascii="Arial" w:cs="Arial" w:eastAsia="Arial" w:hAnsi="Arial"/>
                <w:sz w:val="16"/>
                <w:szCs w:val="16"/>
                <w:b w:val="1"/>
                <w:bCs w:val="1"/>
                <w:color w:val="auto"/>
                <w:w w:val="96"/>
              </w:rPr>
              <w:t>Acquisitions</w:t>
            </w:r>
            <w:r>
              <w:rPr>
                <w:rFonts w:ascii="Arial" w:cs="Arial" w:eastAsia="Arial" w:hAnsi="Arial"/>
                <w:sz w:val="10"/>
                <w:szCs w:val="10"/>
                <w:b w:val="1"/>
                <w:bCs w:val="1"/>
                <w:color w:val="auto"/>
                <w:w w:val="96"/>
              </w:rPr>
              <w:t>(2)</w:t>
            </w:r>
          </w:p>
        </w:tc>
        <w:tc>
          <w:tcPr>
            <w:tcW w:w="60" w:type="dxa"/>
            <w:vAlign w:val="bottom"/>
          </w:tcPr>
          <w:p>
            <w:pPr>
              <w:spacing w:after="0"/>
              <w:rPr>
                <w:sz w:val="13"/>
                <w:szCs w:val="13"/>
                <w:color w:val="auto"/>
              </w:rPr>
            </w:pPr>
          </w:p>
        </w:tc>
        <w:tc>
          <w:tcPr>
            <w:tcW w:w="1180" w:type="dxa"/>
            <w:vAlign w:val="bottom"/>
            <w:gridSpan w:val="2"/>
          </w:tcPr>
          <w:p>
            <w:pPr>
              <w:jc w:val="right"/>
              <w:ind w:right="42"/>
              <w:spacing w:after="0" w:line="155" w:lineRule="exact"/>
              <w:rPr>
                <w:sz w:val="20"/>
                <w:szCs w:val="20"/>
                <w:color w:val="auto"/>
              </w:rPr>
            </w:pPr>
            <w:r>
              <w:rPr>
                <w:rFonts w:ascii="Arial" w:cs="Arial" w:eastAsia="Arial" w:hAnsi="Arial"/>
                <w:sz w:val="16"/>
                <w:szCs w:val="16"/>
                <w:b w:val="1"/>
                <w:bCs w:val="1"/>
                <w:color w:val="auto"/>
                <w:w w:val="98"/>
              </w:rPr>
              <w:t>and other, net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22"/>
              <w:spacing w:after="0" w:line="155" w:lineRule="exact"/>
              <w:rPr>
                <w:sz w:val="20"/>
                <w:szCs w:val="20"/>
                <w:color w:val="auto"/>
              </w:rPr>
            </w:pPr>
            <w:r>
              <w:rPr>
                <w:rFonts w:ascii="Arial" w:cs="Arial" w:eastAsia="Arial" w:hAnsi="Arial"/>
                <w:sz w:val="16"/>
                <w:szCs w:val="16"/>
                <w:b w:val="1"/>
                <w:bCs w:val="1"/>
                <w:color w:val="auto"/>
                <w:w w:val="93"/>
              </w:rPr>
              <w:t>at end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440" w:type="dxa"/>
            <w:vAlign w:val="bottom"/>
            <w:gridSpan w:val="3"/>
          </w:tcPr>
          <w:p>
            <w:pPr>
              <w:spacing w:after="0"/>
              <w:rPr>
                <w:sz w:val="20"/>
                <w:szCs w:val="20"/>
                <w:color w:val="auto"/>
              </w:rPr>
            </w:pPr>
            <w:r>
              <w:rPr>
                <w:rFonts w:ascii="Arial" w:cs="Arial" w:eastAsia="Arial" w:hAnsi="Arial"/>
                <w:sz w:val="12"/>
                <w:szCs w:val="12"/>
                <w:b w:val="1"/>
                <w:bCs w:val="1"/>
                <w:color w:val="auto"/>
              </w:rPr>
              <w:t>(in millions)</w:t>
            </w:r>
          </w:p>
        </w:tc>
        <w:tc>
          <w:tcPr>
            <w:tcW w:w="160" w:type="dxa"/>
            <w:vAlign w:val="bottom"/>
          </w:tcPr>
          <w:p>
            <w:pPr>
              <w:spacing w:after="0"/>
              <w:rPr>
                <w:sz w:val="15"/>
                <w:szCs w:val="15"/>
                <w:color w:val="auto"/>
              </w:rPr>
            </w:pPr>
          </w:p>
        </w:tc>
        <w:tc>
          <w:tcPr>
            <w:tcW w:w="1020" w:type="dxa"/>
            <w:vAlign w:val="bottom"/>
          </w:tcPr>
          <w:p>
            <w:pPr>
              <w:jc w:val="center"/>
              <w:ind w:right="102"/>
              <w:spacing w:after="0" w:line="173" w:lineRule="exact"/>
              <w:rPr>
                <w:sz w:val="20"/>
                <w:szCs w:val="20"/>
                <w:color w:val="auto"/>
              </w:rPr>
            </w:pPr>
            <w:r>
              <w:rPr>
                <w:rFonts w:ascii="Arial" w:cs="Arial" w:eastAsia="Arial" w:hAnsi="Arial"/>
                <w:sz w:val="16"/>
                <w:szCs w:val="16"/>
                <w:b w:val="1"/>
                <w:bCs w:val="1"/>
                <w:color w:val="auto"/>
                <w:w w:val="87"/>
              </w:rPr>
              <w:t>of period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82"/>
              <w:spacing w:after="0" w:line="173" w:lineRule="exact"/>
              <w:rPr>
                <w:sz w:val="20"/>
                <w:szCs w:val="20"/>
                <w:color w:val="auto"/>
              </w:rPr>
            </w:pPr>
            <w:r>
              <w:rPr>
                <w:rFonts w:ascii="Arial" w:cs="Arial" w:eastAsia="Arial" w:hAnsi="Arial"/>
                <w:sz w:val="16"/>
                <w:szCs w:val="16"/>
                <w:b w:val="1"/>
                <w:bCs w:val="1"/>
                <w:color w:val="auto"/>
                <w:w w:val="87"/>
              </w:rPr>
              <w:t xml:space="preserve">provision </w:t>
            </w:r>
            <w:r>
              <w:rPr>
                <w:rFonts w:ascii="Arial" w:cs="Arial" w:eastAsia="Arial" w:hAnsi="Arial"/>
                <w:sz w:val="10"/>
                <w:szCs w:val="10"/>
                <w:b w:val="1"/>
                <w:bCs w:val="1"/>
                <w:color w:val="auto"/>
                <w:w w:val="87"/>
              </w:rPr>
              <w: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42"/>
              <w:spacing w:after="0" w:line="173" w:lineRule="exact"/>
              <w:rPr>
                <w:sz w:val="20"/>
                <w:szCs w:val="20"/>
                <w:color w:val="auto"/>
              </w:rPr>
            </w:pPr>
            <w:r>
              <w:rPr>
                <w:rFonts w:ascii="Arial" w:cs="Arial" w:eastAsia="Arial" w:hAnsi="Arial"/>
                <w:sz w:val="16"/>
                <w:szCs w:val="16"/>
                <w:b w:val="1"/>
                <w:bCs w:val="1"/>
                <w:color w:val="auto"/>
                <w:w w:val="91"/>
              </w:rPr>
              <w:t xml:space="preserve">accounts </w:t>
            </w:r>
            <w:r>
              <w:rPr>
                <w:rFonts w:ascii="Arial" w:cs="Arial" w:eastAsia="Arial" w:hAnsi="Arial"/>
                <w:sz w:val="10"/>
                <w:szCs w:val="10"/>
                <w:b w:val="1"/>
                <w:bCs w:val="1"/>
                <w:color w:val="auto"/>
                <w:w w:val="91"/>
              </w:rPr>
              <w:t>(1)</w:t>
            </w: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w w:val="94"/>
              </w:rPr>
              <w:t xml:space="preserve">of recoveries </w:t>
            </w:r>
            <w:r>
              <w:rPr>
                <w:rFonts w:ascii="Arial" w:cs="Arial" w:eastAsia="Arial" w:hAnsi="Arial"/>
                <w:sz w:val="10"/>
                <w:szCs w:val="10"/>
                <w:b w:val="1"/>
                <w:bCs w:val="1"/>
                <w:color w:val="auto"/>
                <w:w w:val="94"/>
              </w:rPr>
              <w:t>(3)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62"/>
              <w:spacing w:after="0" w:line="173" w:lineRule="exact"/>
              <w:rPr>
                <w:sz w:val="20"/>
                <w:szCs w:val="20"/>
                <w:color w:val="auto"/>
              </w:rPr>
            </w:pPr>
            <w:r>
              <w:rPr>
                <w:rFonts w:ascii="Arial" w:cs="Arial" w:eastAsia="Arial" w:hAnsi="Arial"/>
                <w:sz w:val="16"/>
                <w:szCs w:val="16"/>
                <w:b w:val="1"/>
                <w:bCs w:val="1"/>
                <w:color w:val="auto"/>
                <w:w w:val="87"/>
              </w:rPr>
              <w:t>of period</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17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 w:type="dxa"/>
            <w:vAlign w:val="bottom"/>
            <w:shd w:val="clear" w:color="auto" w:fill="E5E5E5"/>
          </w:tcPr>
          <w:p>
            <w:pPr>
              <w:spacing w:after="0"/>
              <w:rPr>
                <w:sz w:val="18"/>
                <w:szCs w:val="18"/>
                <w:color w:val="auto"/>
              </w:rPr>
            </w:pPr>
          </w:p>
        </w:tc>
        <w:tc>
          <w:tcPr>
            <w:tcW w:w="2440" w:type="dxa"/>
            <w:vAlign w:val="bottom"/>
            <w:gridSpan w:val="3"/>
            <w:shd w:val="clear" w:color="auto" w:fill="E5E5E5"/>
          </w:tcPr>
          <w:p>
            <w:pPr>
              <w:spacing w:after="0" w:line="182" w:lineRule="exact"/>
              <w:rPr>
                <w:sz w:val="20"/>
                <w:szCs w:val="20"/>
                <w:color w:val="auto"/>
              </w:rPr>
            </w:pPr>
            <w:r>
              <w:rPr>
                <w:rFonts w:ascii="Arial" w:cs="Arial" w:eastAsia="Arial" w:hAnsi="Arial"/>
                <w:sz w:val="16"/>
                <w:szCs w:val="16"/>
                <w:b w:val="1"/>
                <w:bCs w:val="1"/>
                <w:color w:val="auto"/>
              </w:rPr>
              <w:t>Year Ended December 31, 2025</w:t>
            </w: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 w:type="dxa"/>
            <w:vAlign w:val="bottom"/>
            <w:tcBorders>
              <w:top w:val="single" w:sz="8" w:color="E5E5E5"/>
            </w:tcBorders>
          </w:tcPr>
          <w:p>
            <w:pPr>
              <w:spacing w:after="0"/>
              <w:rPr>
                <w:sz w:val="21"/>
                <w:szCs w:val="21"/>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Accounts Receivable</w:t>
            </w:r>
          </w:p>
        </w:tc>
        <w:tc>
          <w:tcPr>
            <w:tcW w:w="160" w:type="dxa"/>
            <w:vAlign w:val="bottom"/>
            <w:tcBorders>
              <w:top w:val="single" w:sz="8" w:color="E5E5E5"/>
            </w:tcBorders>
          </w:tcPr>
          <w:p>
            <w:pPr>
              <w:spacing w:after="0"/>
              <w:rPr>
                <w:sz w:val="21"/>
                <w:szCs w:val="21"/>
                <w:color w:val="auto"/>
              </w:rPr>
            </w:pPr>
          </w:p>
        </w:tc>
        <w:tc>
          <w:tcPr>
            <w:tcW w:w="1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69</w:t>
            </w:r>
          </w:p>
        </w:tc>
        <w:tc>
          <w:tcPr>
            <w:tcW w:w="240" w:type="dxa"/>
            <w:vAlign w:val="bottom"/>
            <w:tcBorders>
              <w:top w:val="single" w:sz="8" w:color="E5E5E5"/>
            </w:tcBorders>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Borders>
              <w:top w:val="single" w:sz="8" w:color="E5E5E5"/>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1</w:t>
            </w:r>
          </w:p>
        </w:tc>
        <w:tc>
          <w:tcPr>
            <w:tcW w:w="620" w:type="dxa"/>
            <w:vAlign w:val="bottom"/>
            <w:tcBorders>
              <w:top w:val="single" w:sz="8" w:color="E5E5E5"/>
            </w:tcBorders>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top w:val="single" w:sz="8" w:color="E5E5E5"/>
            </w:tcBorders>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43"/>
        </w:trPr>
        <w:tc>
          <w:tcPr>
            <w:tcW w:w="60" w:type="dxa"/>
            <w:vAlign w:val="bottom"/>
            <w:tcBorders>
              <w:bottom w:val="single" w:sz="8" w:color="E5E5E5"/>
            </w:tcBorders>
            <w:shd w:val="clear" w:color="auto" w:fill="E5E5E5"/>
          </w:tcPr>
          <w:p>
            <w:pPr>
              <w:spacing w:after="0"/>
              <w:rPr>
                <w:sz w:val="21"/>
                <w:szCs w:val="21"/>
                <w:color w:val="auto"/>
              </w:rPr>
            </w:pPr>
          </w:p>
        </w:tc>
        <w:tc>
          <w:tcPr>
            <w:tcW w:w="24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b w:val="1"/>
                <w:bCs w:val="1"/>
                <w:color w:val="auto"/>
              </w:rPr>
              <w:t>Finance Receivables</w:t>
            </w:r>
          </w:p>
        </w:tc>
        <w:tc>
          <w:tcPr>
            <w:tcW w:w="16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16</w:t>
            </w:r>
          </w:p>
        </w:tc>
        <w:tc>
          <w:tcPr>
            <w:tcW w:w="6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spacing w:after="0"/>
              <w:rPr>
                <w:sz w:val="21"/>
                <w:szCs w:val="21"/>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6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2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shd w:val="clear" w:color="auto" w:fill="E5E5E5"/>
          </w:tcPr>
          <w:p>
            <w:pPr>
              <w:spacing w:after="0"/>
              <w:rPr>
                <w:sz w:val="18"/>
                <w:szCs w:val="18"/>
                <w:color w:val="auto"/>
              </w:rPr>
            </w:pPr>
          </w:p>
        </w:tc>
        <w:tc>
          <w:tcPr>
            <w:tcW w:w="58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6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6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60" w:type="dxa"/>
            <w:vAlign w:val="bottom"/>
            <w:tcBorders>
              <w:top w:val="single" w:sz="8" w:color="E5E5E5"/>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4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 2024</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0" w:type="dxa"/>
            <w:vAlign w:val="bottom"/>
            <w:shd w:val="clear" w:color="auto" w:fill="E5E5E5"/>
          </w:tcPr>
          <w:p>
            <w:pPr>
              <w:spacing w:after="0"/>
              <w:rPr>
                <w:sz w:val="21"/>
                <w:szCs w:val="21"/>
                <w:color w:val="auto"/>
              </w:rPr>
            </w:pPr>
          </w:p>
        </w:tc>
        <w:tc>
          <w:tcPr>
            <w:tcW w:w="2440" w:type="dxa"/>
            <w:vAlign w:val="bottom"/>
            <w:gridSpan w:val="3"/>
            <w:shd w:val="clear" w:color="auto" w:fill="E5E5E5"/>
          </w:tcPr>
          <w:p>
            <w:pPr>
              <w:spacing w:after="0"/>
              <w:rPr>
                <w:sz w:val="20"/>
                <w:szCs w:val="20"/>
                <w:color w:val="auto"/>
              </w:rPr>
            </w:pPr>
            <w:r>
              <w:rPr>
                <w:rFonts w:ascii="Arial" w:cs="Arial" w:eastAsia="Arial" w:hAnsi="Arial"/>
                <w:sz w:val="16"/>
                <w:szCs w:val="16"/>
                <w:b w:val="1"/>
                <w:bCs w:val="1"/>
                <w:color w:val="auto"/>
              </w:rPr>
              <w:t>Accounts Receivable</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37"/>
        </w:trPr>
        <w:tc>
          <w:tcPr>
            <w:tcW w:w="60" w:type="dxa"/>
            <w:vAlign w:val="bottom"/>
            <w:tcBorders>
              <w:bottom w:val="single" w:sz="8" w:color="E5E5E5"/>
            </w:tcBorders>
          </w:tcPr>
          <w:p>
            <w:pPr>
              <w:spacing w:after="0"/>
              <w:rPr>
                <w:sz w:val="20"/>
                <w:szCs w:val="20"/>
                <w:color w:val="auto"/>
              </w:rPr>
            </w:pPr>
          </w:p>
        </w:tc>
        <w:tc>
          <w:tcPr>
            <w:tcW w:w="2440" w:type="dxa"/>
            <w:vAlign w:val="bottom"/>
            <w:tcBorders>
              <w:bottom w:val="single" w:sz="8" w:color="E5E5E5"/>
            </w:tcBorders>
            <w:gridSpan w:val="3"/>
          </w:tcPr>
          <w:p>
            <w:pPr>
              <w:spacing w:after="0"/>
              <w:rPr>
                <w:sz w:val="20"/>
                <w:szCs w:val="20"/>
                <w:color w:val="auto"/>
              </w:rPr>
            </w:pPr>
            <w:r>
              <w:rPr>
                <w:rFonts w:ascii="Arial" w:cs="Arial" w:eastAsia="Arial" w:hAnsi="Arial"/>
                <w:sz w:val="16"/>
                <w:szCs w:val="16"/>
                <w:b w:val="1"/>
                <w:bCs w:val="1"/>
                <w:color w:val="auto"/>
              </w:rPr>
              <w:t>Finance Receivables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tcBorders>
              <w:bottom w:val="single" w:sz="8" w:color="E5E5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60" w:type="dxa"/>
            <w:vAlign w:val="bottom"/>
            <w:tcBorders>
              <w:bottom w:val="single" w:sz="8" w:color="E5E5E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60" w:type="dxa"/>
            <w:vAlign w:val="bottom"/>
            <w:tcBorders>
              <w:bottom w:val="single" w:sz="8" w:color="E5E5E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47"/>
        </w:trPr>
        <w:tc>
          <w:tcPr>
            <w:tcW w:w="60" w:type="dxa"/>
            <w:vAlign w:val="bottom"/>
            <w:shd w:val="clear" w:color="auto" w:fill="E5E5E5"/>
          </w:tcPr>
          <w:p>
            <w:pPr>
              <w:spacing w:after="0"/>
              <w:rPr>
                <w:sz w:val="21"/>
                <w:szCs w:val="21"/>
                <w:color w:val="auto"/>
              </w:rPr>
            </w:pPr>
          </w:p>
        </w:tc>
        <w:tc>
          <w:tcPr>
            <w:tcW w:w="580" w:type="dxa"/>
            <w:vAlign w:val="bottom"/>
            <w:shd w:val="clear" w:color="auto" w:fill="E5E5E5"/>
          </w:tcPr>
          <w:p>
            <w:pPr>
              <w:spacing w:after="0"/>
              <w:rPr>
                <w:sz w:val="21"/>
                <w:szCs w:val="21"/>
                <w:color w:val="auto"/>
              </w:rPr>
            </w:pPr>
          </w:p>
        </w:tc>
        <w:tc>
          <w:tcPr>
            <w:tcW w:w="17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156</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62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E5E5E5"/>
          </w:tcPr>
          <w:p>
            <w:pPr>
              <w:ind w:left="10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tcPr>
          <w:p>
            <w:pPr>
              <w:spacing w:after="0"/>
              <w:rPr>
                <w:sz w:val="18"/>
                <w:szCs w:val="18"/>
                <w:color w:val="auto"/>
              </w:rPr>
            </w:pPr>
          </w:p>
        </w:tc>
        <w:tc>
          <w:tcPr>
            <w:tcW w:w="580" w:type="dxa"/>
            <w:vAlign w:val="bottom"/>
            <w:tcBorders>
              <w:top w:val="single" w:sz="8" w:color="E5E5E5"/>
            </w:tcBorders>
          </w:tcPr>
          <w:p>
            <w:pPr>
              <w:spacing w:after="0"/>
              <w:rPr>
                <w:sz w:val="18"/>
                <w:szCs w:val="18"/>
                <w:color w:val="auto"/>
              </w:rPr>
            </w:pPr>
          </w:p>
        </w:tc>
        <w:tc>
          <w:tcPr>
            <w:tcW w:w="1700" w:type="dxa"/>
            <w:vAlign w:val="bottom"/>
            <w:tcBorders>
              <w:top w:val="single" w:sz="8" w:color="E5E5E5"/>
            </w:tcBorders>
          </w:tcPr>
          <w:p>
            <w:pPr>
              <w:spacing w:after="0"/>
              <w:rPr>
                <w:sz w:val="18"/>
                <w:szCs w:val="18"/>
                <w:color w:val="auto"/>
              </w:rPr>
            </w:pPr>
          </w:p>
        </w:tc>
        <w:tc>
          <w:tcPr>
            <w:tcW w:w="160" w:type="dxa"/>
            <w:vAlign w:val="bottom"/>
            <w:tcBorders>
              <w:top w:val="single" w:sz="8" w:color="E5E5E5"/>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 w:type="dxa"/>
            <w:vAlign w:val="bottom"/>
            <w:shd w:val="clear" w:color="auto" w:fill="E5E5E5"/>
          </w:tcPr>
          <w:p>
            <w:pPr>
              <w:spacing w:after="0"/>
              <w:rPr>
                <w:sz w:val="19"/>
                <w:szCs w:val="19"/>
                <w:color w:val="auto"/>
              </w:rPr>
            </w:pPr>
          </w:p>
        </w:tc>
        <w:tc>
          <w:tcPr>
            <w:tcW w:w="2440" w:type="dxa"/>
            <w:vAlign w:val="bottom"/>
            <w:gridSpan w:val="3"/>
            <w:shd w:val="clear" w:color="auto" w:fill="E5E5E5"/>
          </w:tcPr>
          <w:p>
            <w:pPr>
              <w:spacing w:after="0"/>
              <w:rPr>
                <w:sz w:val="20"/>
                <w:szCs w:val="20"/>
                <w:color w:val="auto"/>
              </w:rPr>
            </w:pPr>
            <w:r>
              <w:rPr>
                <w:rFonts w:ascii="Arial" w:cs="Arial" w:eastAsia="Arial" w:hAnsi="Arial"/>
                <w:sz w:val="16"/>
                <w:szCs w:val="16"/>
                <w:b w:val="1"/>
                <w:bCs w:val="1"/>
                <w:color w:val="auto"/>
              </w:rPr>
              <w:t>Year Ended December 31, 2023</w:t>
            </w:r>
          </w:p>
        </w:tc>
        <w:tc>
          <w:tcPr>
            <w:tcW w:w="16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 w:type="dxa"/>
            <w:vAlign w:val="bottom"/>
            <w:tcBorders>
              <w:top w:val="single" w:sz="8" w:color="E5E5E5"/>
            </w:tcBorders>
          </w:tcPr>
          <w:p>
            <w:pPr>
              <w:spacing w:after="0"/>
              <w:rPr>
                <w:sz w:val="21"/>
                <w:szCs w:val="21"/>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Accounts Receivable</w:t>
            </w:r>
          </w:p>
        </w:tc>
        <w:tc>
          <w:tcPr>
            <w:tcW w:w="160" w:type="dxa"/>
            <w:vAlign w:val="bottom"/>
            <w:tcBorders>
              <w:top w:val="single" w:sz="8" w:color="E5E5E5"/>
            </w:tcBorders>
          </w:tcPr>
          <w:p>
            <w:pPr>
              <w:spacing w:after="0"/>
              <w:rPr>
                <w:sz w:val="21"/>
                <w:szCs w:val="21"/>
                <w:color w:val="auto"/>
              </w:rPr>
            </w:pPr>
          </w:p>
        </w:tc>
        <w:tc>
          <w:tcPr>
            <w:tcW w:w="1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52</w:t>
            </w:r>
          </w:p>
        </w:tc>
        <w:tc>
          <w:tcPr>
            <w:tcW w:w="240" w:type="dxa"/>
            <w:vAlign w:val="bottom"/>
            <w:tcBorders>
              <w:top w:val="single" w:sz="8" w:color="E5E5E5"/>
            </w:tcBorders>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22</w:t>
            </w:r>
          </w:p>
        </w:tc>
        <w:tc>
          <w:tcPr>
            <w:tcW w:w="200" w:type="dxa"/>
            <w:vAlign w:val="bottom"/>
            <w:tcBorders>
              <w:top w:val="single" w:sz="8" w:color="E5E5E5"/>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6</w:t>
            </w:r>
          </w:p>
        </w:tc>
        <w:tc>
          <w:tcPr>
            <w:tcW w:w="620" w:type="dxa"/>
            <w:vAlign w:val="bottom"/>
            <w:tcBorders>
              <w:top w:val="single" w:sz="8" w:color="E5E5E5"/>
            </w:tcBorders>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E5E5E5"/>
            </w:tcBorders>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tcBorders>
              <w:top w:val="single" w:sz="8" w:color="E5E5E5"/>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E5E5E5"/>
            </w:tcBorders>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43"/>
        </w:trPr>
        <w:tc>
          <w:tcPr>
            <w:tcW w:w="60" w:type="dxa"/>
            <w:vAlign w:val="bottom"/>
            <w:tcBorders>
              <w:bottom w:val="single" w:sz="8" w:color="E5E5E5"/>
            </w:tcBorders>
            <w:shd w:val="clear" w:color="auto" w:fill="E5E5E5"/>
          </w:tcPr>
          <w:p>
            <w:pPr>
              <w:spacing w:after="0"/>
              <w:rPr>
                <w:sz w:val="21"/>
                <w:szCs w:val="21"/>
                <w:color w:val="auto"/>
              </w:rPr>
            </w:pPr>
          </w:p>
        </w:tc>
        <w:tc>
          <w:tcPr>
            <w:tcW w:w="244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6"/>
                <w:szCs w:val="16"/>
                <w:b w:val="1"/>
                <w:bCs w:val="1"/>
                <w:color w:val="auto"/>
              </w:rPr>
              <w:t>Finance Receivables</w:t>
            </w:r>
          </w:p>
        </w:tc>
        <w:tc>
          <w:tcPr>
            <w:tcW w:w="16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21"/>
                <w:szCs w:val="21"/>
                <w:color w:val="auto"/>
              </w:rPr>
            </w:pPr>
          </w:p>
        </w:tc>
        <w:tc>
          <w:tcPr>
            <w:tcW w:w="540" w:type="dxa"/>
            <w:vAlign w:val="bottom"/>
            <w:tcBorders>
              <w:bottom w:val="single" w:sz="8" w:color="auto"/>
            </w:tcBorders>
            <w:shd w:val="clear" w:color="auto" w:fill="E5E5E5"/>
          </w:tcPr>
          <w:p>
            <w:pPr>
              <w:spacing w:after="0"/>
              <w:rPr>
                <w:sz w:val="21"/>
                <w:szCs w:val="21"/>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c>
          <w:tcPr>
            <w:tcW w:w="6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62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-1626235</wp:posOffset>
            </wp:positionV>
            <wp:extent cx="4763135" cy="755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4763135" cy="7556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-840740</wp:posOffset>
            </wp:positionV>
            <wp:extent cx="4763135" cy="755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4763135" cy="7556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-55245</wp:posOffset>
            </wp:positionV>
            <wp:extent cx="4763135" cy="755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4763135"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77" w:lineRule="auto"/>
        <w:tabs>
          <w:tab w:leader="none" w:pos="360" w:val="left"/>
        </w:tabs>
        <w:numPr>
          <w:ilvl w:val="0"/>
          <w:numId w:val="14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Bad debt provisions relate to estimated losses due to credit and similar collectibility issues. Other charges (credits) relate to adjustments to reserves necessary to reflect events of non-payment such as customer accommodations and contract terminations.</w:t>
      </w:r>
    </w:p>
    <w:p>
      <w:pPr>
        <w:ind w:left="360" w:hanging="356"/>
        <w:spacing w:after="0" w:line="242" w:lineRule="auto"/>
        <w:tabs>
          <w:tab w:leader="none" w:pos="360" w:val="left"/>
        </w:tabs>
        <w:numPr>
          <w:ilvl w:val="0"/>
          <w:numId w:val="1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1"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Deductions and other, net of recoveries primarily relates to receivable write-offs, but also includes the impact of foreign currency translation adjustments and recoveries of previously written off receivables.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Deferred Tax Asset Valuation Allowances: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91"/>
              </w:rPr>
              <w:t>Balance</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Additions</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Amounts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charged to</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22"/>
              <w:spacing w:after="0" w:line="155" w:lineRule="exact"/>
              <w:rPr>
                <w:sz w:val="20"/>
                <w:szCs w:val="20"/>
                <w:color w:val="auto"/>
              </w:rPr>
            </w:pPr>
            <w:r>
              <w:rPr>
                <w:rFonts w:ascii="Arial" w:cs="Arial" w:eastAsia="Arial" w:hAnsi="Arial"/>
                <w:sz w:val="16"/>
                <w:szCs w:val="16"/>
                <w:b w:val="1"/>
                <w:bCs w:val="1"/>
                <w:color w:val="auto"/>
                <w:w w:val="88"/>
              </w:rPr>
              <w:t>at beginning</w:t>
            </w:r>
          </w:p>
        </w:tc>
        <w:tc>
          <w:tcPr>
            <w:tcW w:w="8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income tax</w:t>
            </w:r>
          </w:p>
        </w:tc>
        <w:tc>
          <w:tcPr>
            <w:tcW w:w="80" w:type="dxa"/>
            <w:vAlign w:val="bottom"/>
          </w:tcPr>
          <w:p>
            <w:pPr>
              <w:spacing w:after="0"/>
              <w:rPr>
                <w:sz w:val="13"/>
                <w:szCs w:val="13"/>
                <w:color w:val="auto"/>
              </w:rPr>
            </w:pPr>
          </w:p>
        </w:tc>
        <w:tc>
          <w:tcPr>
            <w:tcW w:w="13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Acquisitions</w:t>
            </w:r>
            <w:r>
              <w:rPr>
                <w:rFonts w:ascii="Arial" w:cs="Arial" w:eastAsia="Arial" w:hAnsi="Arial"/>
                <w:sz w:val="10"/>
                <w:szCs w:val="10"/>
                <w:b w:val="1"/>
                <w:bCs w:val="1"/>
                <w:color w:val="auto"/>
              </w:rPr>
              <w:t>(1)</w:t>
            </w:r>
          </w:p>
        </w:tc>
        <w:tc>
          <w:tcPr>
            <w:tcW w:w="8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credited to</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82"/>
              <w:spacing w:after="0" w:line="155" w:lineRule="exact"/>
              <w:rPr>
                <w:sz w:val="20"/>
                <w:szCs w:val="20"/>
                <w:color w:val="auto"/>
              </w:rPr>
            </w:pPr>
            <w:r>
              <w:rPr>
                <w:rFonts w:ascii="Arial" w:cs="Arial" w:eastAsia="Arial" w:hAnsi="Arial"/>
                <w:sz w:val="16"/>
                <w:szCs w:val="16"/>
                <w:b w:val="1"/>
                <w:bCs w:val="1"/>
                <w:color w:val="auto"/>
                <w:w w:val="93"/>
              </w:rPr>
              <w:t>at end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5"/>
                <w:szCs w:val="15"/>
                <w:color w:val="auto"/>
              </w:rPr>
            </w:pPr>
          </w:p>
        </w:tc>
        <w:tc>
          <w:tcPr>
            <w:tcW w:w="1160" w:type="dxa"/>
            <w:vAlign w:val="bottom"/>
          </w:tcPr>
          <w:p>
            <w:pPr>
              <w:jc w:val="center"/>
              <w:ind w:right="162"/>
              <w:spacing w:after="0" w:line="173" w:lineRule="exact"/>
              <w:rPr>
                <w:sz w:val="20"/>
                <w:szCs w:val="20"/>
                <w:color w:val="auto"/>
              </w:rPr>
            </w:pPr>
            <w:r>
              <w:rPr>
                <w:rFonts w:ascii="Arial" w:cs="Arial" w:eastAsia="Arial" w:hAnsi="Arial"/>
                <w:sz w:val="16"/>
                <w:szCs w:val="16"/>
                <w:b w:val="1"/>
                <w:bCs w:val="1"/>
                <w:color w:val="auto"/>
                <w:w w:val="87"/>
              </w:rPr>
              <w:t>of period</w:t>
            </w:r>
          </w:p>
        </w:tc>
        <w:tc>
          <w:tcPr>
            <w:tcW w:w="80" w:type="dxa"/>
            <w:vAlign w:val="bottom"/>
          </w:tcPr>
          <w:p>
            <w:pPr>
              <w:spacing w:after="0"/>
              <w:rPr>
                <w:sz w:val="15"/>
                <w:szCs w:val="15"/>
                <w:color w:val="auto"/>
              </w:rPr>
            </w:pPr>
          </w:p>
        </w:tc>
        <w:tc>
          <w:tcPr>
            <w:tcW w:w="134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1"/>
              </w:rPr>
              <w:t>expense (benefit)</w:t>
            </w: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1"/>
              </w:rPr>
              <w:t xml:space="preserve">other accounts </w:t>
            </w:r>
            <w:r>
              <w:rPr>
                <w:rFonts w:ascii="Arial" w:cs="Arial" w:eastAsia="Arial" w:hAnsi="Arial"/>
                <w:sz w:val="10"/>
                <w:szCs w:val="10"/>
                <w:b w:val="1"/>
                <w:bCs w:val="1"/>
                <w:color w:val="auto"/>
                <w:w w:val="91"/>
              </w:rPr>
              <w:t>(2)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222"/>
              <w:spacing w:after="0" w:line="173" w:lineRule="exact"/>
              <w:rPr>
                <w:sz w:val="20"/>
                <w:szCs w:val="20"/>
                <w:color w:val="auto"/>
              </w:rPr>
            </w:pPr>
            <w:r>
              <w:rPr>
                <w:rFonts w:ascii="Arial" w:cs="Arial" w:eastAsia="Arial" w:hAnsi="Arial"/>
                <w:sz w:val="16"/>
                <w:szCs w:val="16"/>
                <w:b w:val="1"/>
                <w:bCs w:val="1"/>
                <w:color w:val="auto"/>
                <w:w w:val="87"/>
              </w:rPr>
              <w:t>of period</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224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Year Ended December 31, 2025</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618</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822</w:t>
            </w:r>
          </w:p>
        </w:tc>
        <w:tc>
          <w:tcPr>
            <w:tcW w:w="14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1,933</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tcPr>
          <w:p>
            <w:pPr>
              <w:spacing w:after="0"/>
              <w:rPr>
                <w:sz w:val="18"/>
                <w:szCs w:val="18"/>
                <w:color w:val="auto"/>
              </w:rPr>
            </w:pPr>
          </w:p>
        </w:tc>
        <w:tc>
          <w:tcPr>
            <w:tcW w:w="580" w:type="dxa"/>
            <w:vAlign w:val="bottom"/>
            <w:tcBorders>
              <w:top w:val="single" w:sz="8" w:color="E5E5E5"/>
            </w:tcBorders>
          </w:tcPr>
          <w:p>
            <w:pPr>
              <w:spacing w:after="0"/>
              <w:rPr>
                <w:sz w:val="18"/>
                <w:szCs w:val="18"/>
                <w:color w:val="auto"/>
              </w:rPr>
            </w:pPr>
          </w:p>
        </w:tc>
        <w:tc>
          <w:tcPr>
            <w:tcW w:w="2240" w:type="dxa"/>
            <w:vAlign w:val="bottom"/>
            <w:tcBorders>
              <w:top w:val="single" w:sz="8" w:color="E5E5E5"/>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E5E5E5"/>
          </w:tcPr>
          <w:p>
            <w:pPr>
              <w:spacing w:after="0"/>
              <w:rPr>
                <w:sz w:val="22"/>
                <w:szCs w:val="22"/>
                <w:color w:val="auto"/>
              </w:rPr>
            </w:pPr>
          </w:p>
        </w:tc>
        <w:tc>
          <w:tcPr>
            <w:tcW w:w="28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Year Ended December 31, 2024</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375</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(59)</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tcPr>
          <w:p>
            <w:pPr>
              <w:spacing w:after="0"/>
              <w:rPr>
                <w:sz w:val="18"/>
                <w:szCs w:val="18"/>
                <w:color w:val="auto"/>
              </w:rPr>
            </w:pPr>
          </w:p>
        </w:tc>
        <w:tc>
          <w:tcPr>
            <w:tcW w:w="580" w:type="dxa"/>
            <w:vAlign w:val="bottom"/>
            <w:tcBorders>
              <w:top w:val="single" w:sz="8" w:color="E5E5E5"/>
            </w:tcBorders>
          </w:tcPr>
          <w:p>
            <w:pPr>
              <w:spacing w:after="0"/>
              <w:rPr>
                <w:sz w:val="18"/>
                <w:szCs w:val="18"/>
                <w:color w:val="auto"/>
              </w:rPr>
            </w:pPr>
          </w:p>
        </w:tc>
        <w:tc>
          <w:tcPr>
            <w:tcW w:w="2240" w:type="dxa"/>
            <w:vAlign w:val="bottom"/>
            <w:tcBorders>
              <w:top w:val="single" w:sz="8" w:color="E5E5E5"/>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E5E5E5"/>
          </w:tcPr>
          <w:p>
            <w:pPr>
              <w:spacing w:after="0"/>
              <w:rPr>
                <w:sz w:val="22"/>
                <w:szCs w:val="22"/>
                <w:color w:val="auto"/>
              </w:rPr>
            </w:pPr>
          </w:p>
        </w:tc>
        <w:tc>
          <w:tcPr>
            <w:tcW w:w="282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auto"/>
              </w:rPr>
              <w:t>Year Ended December 31, 2023</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366</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13</w:t>
            </w:r>
          </w:p>
        </w:tc>
        <w:tc>
          <w:tcPr>
            <w:tcW w:w="30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375</w:t>
            </w:r>
          </w:p>
        </w:tc>
        <w:tc>
          <w:tcPr>
            <w:tcW w:w="0" w:type="dxa"/>
            <w:vAlign w:val="bottom"/>
          </w:tcPr>
          <w:p>
            <w:pPr>
              <w:spacing w:after="0"/>
              <w:rPr>
                <w:sz w:val="1"/>
                <w:szCs w:val="1"/>
                <w:color w:val="auto"/>
              </w:rPr>
            </w:pPr>
          </w:p>
        </w:tc>
      </w:tr>
      <w:tr>
        <w:trPr>
          <w:trHeight w:val="212"/>
        </w:trPr>
        <w:tc>
          <w:tcPr>
            <w:tcW w:w="2880" w:type="dxa"/>
            <w:vAlign w:val="bottom"/>
            <w:tcBorders>
              <w:top w:val="single" w:sz="8" w:color="E5E5E5"/>
            </w:tcBorders>
            <w:gridSpan w:val="3"/>
          </w:tcPr>
          <w:p>
            <w:pPr>
              <w:jc w:val="right"/>
              <w:ind w:right="1860"/>
              <w:spacing w:after="0"/>
              <w:rPr>
                <w:sz w:val="20"/>
                <w:szCs w:val="20"/>
                <w:color w:val="auto"/>
              </w:rPr>
            </w:pPr>
            <w:r>
              <w:rPr>
                <w:rFonts w:ascii="Times New Roman" w:cs="Times New Roman" w:eastAsia="Times New Roman" w:hAnsi="Times New Roman"/>
                <w:sz w:val="16"/>
                <w:szCs w:val="16"/>
                <w:b w:val="1"/>
                <w:bCs w:val="1"/>
                <w:i w:val="1"/>
                <w:iCs w:val="1"/>
                <w:color w:val="auto"/>
                <w:w w:val="96"/>
              </w:rPr>
              <w:t>_____________</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-818515</wp:posOffset>
            </wp:positionV>
            <wp:extent cx="4540885" cy="755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4540885" cy="75565"/>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-504190</wp:posOffset>
            </wp:positionV>
            <wp:extent cx="4540885" cy="755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4540885" cy="75565"/>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-190500</wp:posOffset>
            </wp:positionV>
            <wp:extent cx="4540885" cy="755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4540885" cy="75565"/>
                    </a:xfrm>
                    <a:prstGeom prst="rect">
                      <a:avLst/>
                    </a:prstGeom>
                    <a:noFill/>
                  </pic:spPr>
                </pic:pic>
              </a:graphicData>
            </a:graphic>
          </wp:anchor>
        </w:drawing>
      </w:r>
    </w:p>
    <w:p>
      <w:pPr>
        <w:ind w:left="360" w:hanging="356"/>
        <w:spacing w:after="0" w:line="242" w:lineRule="auto"/>
        <w:tabs>
          <w:tab w:leader="none" w:pos="360" w:val="left"/>
        </w:tabs>
        <w:numPr>
          <w:ilvl w:val="0"/>
          <w:numId w:val="1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1"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other increases (decreases) to our valuation allowance, including the effects of currency. These did not affect Income tax benefit in total as there was a corresponding adjustment to Deferred tax assets or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169</w:t>
      </w:r>
    </w:p>
    <w:p>
      <w:pPr>
        <w:sectPr>
          <w:pgSz w:w="11880" w:h="15480" w:orient="portrait"/>
          <w:cols w:equalWidth="0" w:num="1">
            <w:col w:w="9960"/>
          </w:cols>
          <w:pgMar w:left="960" w:top="724" w:right="960" w:bottom="0" w:gutter="0" w:footer="0" w:header="0"/>
        </w:sectPr>
      </w:pPr>
    </w:p>
    <w:bookmarkStart w:id="179" w:name="page180"/>
    <w:bookmarkEnd w:id="179"/>
    <w:p>
      <w:pPr>
        <w:spacing w:after="0"/>
        <w:rPr>
          <w:sz w:val="20"/>
          <w:szCs w:val="20"/>
          <w:color w:val="auto"/>
        </w:rPr>
      </w:pPr>
      <w:r>
        <w:rPr>
          <w:rFonts w:ascii="Arial" w:cs="Arial" w:eastAsia="Arial" w:hAnsi="Arial"/>
          <w:sz w:val="23"/>
          <w:szCs w:val="23"/>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Schedule II Valuation and Qualifying Accounts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Receivables - Allowance for Doubtful Accounts: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6"/>
              </w:rPr>
              <w:t>Additions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Amounts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1"/>
              </w:rPr>
              <w:t>Balance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90"/>
              </w:rPr>
              <w:t>charged to</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w w:val="89"/>
              </w:rPr>
              <w:t>Deductions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center"/>
              <w:ind w:right="142"/>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90"/>
              </w:rPr>
              <w:t>charged to</w:t>
            </w:r>
          </w:p>
        </w:tc>
        <w:tc>
          <w:tcPr>
            <w:tcW w:w="60" w:type="dxa"/>
            <w:vAlign w:val="bottom"/>
          </w:tcPr>
          <w:p>
            <w:pPr>
              <w:spacing w:after="0"/>
              <w:rPr>
                <w:sz w:val="13"/>
                <w:szCs w:val="13"/>
                <w:color w:val="auto"/>
              </w:rPr>
            </w:pPr>
          </w:p>
        </w:tc>
        <w:tc>
          <w:tcPr>
            <w:tcW w:w="11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89"/>
              </w:rPr>
              <w:t>other income</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5" w:lineRule="exact"/>
              <w:rPr>
                <w:sz w:val="20"/>
                <w:szCs w:val="20"/>
                <w:color w:val="auto"/>
              </w:rPr>
            </w:pPr>
            <w:r>
              <w:rPr>
                <w:rFonts w:ascii="Arial" w:cs="Arial" w:eastAsia="Arial" w:hAnsi="Arial"/>
                <w:sz w:val="16"/>
                <w:szCs w:val="16"/>
                <w:b w:val="1"/>
                <w:bCs w:val="1"/>
                <w:color w:val="auto"/>
                <w:w w:val="88"/>
              </w:rPr>
              <w:t>at beginning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2"/>
              <w:spacing w:after="0" w:line="155" w:lineRule="exact"/>
              <w:rPr>
                <w:sz w:val="20"/>
                <w:szCs w:val="20"/>
                <w:color w:val="auto"/>
              </w:rPr>
            </w:pPr>
            <w:r>
              <w:rPr>
                <w:rFonts w:ascii="Arial" w:cs="Arial" w:eastAsia="Arial" w:hAnsi="Arial"/>
                <w:sz w:val="16"/>
                <w:szCs w:val="16"/>
                <w:b w:val="1"/>
                <w:bCs w:val="1"/>
                <w:color w:val="auto"/>
                <w:w w:val="89"/>
              </w:rPr>
              <w:t>bad debt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89"/>
              </w:rPr>
              <w:t>statement</w:t>
            </w:r>
          </w:p>
        </w:tc>
        <w:tc>
          <w:tcPr>
            <w:tcW w:w="80" w:type="dxa"/>
            <w:vAlign w:val="bottom"/>
          </w:tcPr>
          <w:p>
            <w:pPr>
              <w:spacing w:after="0"/>
              <w:rPr>
                <w:sz w:val="13"/>
                <w:szCs w:val="13"/>
                <w:color w:val="auto"/>
              </w:rPr>
            </w:pP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4"/>
              </w:rPr>
              <w:t>Acquisitions</w:t>
            </w:r>
            <w:r>
              <w:rPr>
                <w:rFonts w:ascii="Arial" w:cs="Arial" w:eastAsia="Arial" w:hAnsi="Arial"/>
                <w:sz w:val="10"/>
                <w:szCs w:val="10"/>
                <w:b w:val="1"/>
                <w:bCs w:val="1"/>
                <w:color w:val="auto"/>
                <w:w w:val="94"/>
              </w:rPr>
              <w:t>(2)</w:t>
            </w:r>
          </w:p>
        </w:tc>
        <w:tc>
          <w:tcPr>
            <w:tcW w:w="60" w:type="dxa"/>
            <w:vAlign w:val="bottom"/>
          </w:tcPr>
          <w:p>
            <w:pPr>
              <w:spacing w:after="0"/>
              <w:rPr>
                <w:sz w:val="13"/>
                <w:szCs w:val="13"/>
                <w:color w:val="auto"/>
              </w:rPr>
            </w:pPr>
          </w:p>
        </w:tc>
        <w:tc>
          <w:tcPr>
            <w:tcW w:w="1160" w:type="dxa"/>
            <w:vAlign w:val="bottom"/>
            <w:gridSpan w:val="2"/>
          </w:tcPr>
          <w:p>
            <w:pPr>
              <w:jc w:val="right"/>
              <w:ind w:right="22"/>
              <w:spacing w:after="0" w:line="155" w:lineRule="exact"/>
              <w:rPr>
                <w:sz w:val="20"/>
                <w:szCs w:val="20"/>
                <w:color w:val="auto"/>
              </w:rPr>
            </w:pPr>
            <w:r>
              <w:rPr>
                <w:rFonts w:ascii="Arial" w:cs="Arial" w:eastAsia="Arial" w:hAnsi="Arial"/>
                <w:sz w:val="16"/>
                <w:szCs w:val="16"/>
                <w:b w:val="1"/>
                <w:bCs w:val="1"/>
                <w:color w:val="auto"/>
                <w:w w:val="98"/>
              </w:rPr>
              <w:t>and other, net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2"/>
              <w:spacing w:after="0" w:line="155" w:lineRule="exact"/>
              <w:rPr>
                <w:sz w:val="20"/>
                <w:szCs w:val="20"/>
                <w:color w:val="auto"/>
              </w:rPr>
            </w:pPr>
            <w:r>
              <w:rPr>
                <w:rFonts w:ascii="Arial" w:cs="Arial" w:eastAsia="Arial" w:hAnsi="Arial"/>
                <w:sz w:val="16"/>
                <w:szCs w:val="16"/>
                <w:b w:val="1"/>
                <w:bCs w:val="1"/>
                <w:color w:val="auto"/>
                <w:w w:val="89"/>
              </w:rPr>
              <w:t>at end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700" w:type="dxa"/>
            <w:vAlign w:val="bottom"/>
            <w:gridSpan w:val="3"/>
          </w:tcPr>
          <w:p>
            <w:pPr>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5"/>
                <w:szCs w:val="15"/>
                <w:color w:val="auto"/>
              </w:rPr>
            </w:pPr>
          </w:p>
        </w:tc>
        <w:tc>
          <w:tcPr>
            <w:tcW w:w="1000" w:type="dxa"/>
            <w:vAlign w:val="bottom"/>
          </w:tcPr>
          <w:p>
            <w:pPr>
              <w:jc w:val="center"/>
              <w:ind w:right="82"/>
              <w:spacing w:after="0" w:line="173" w:lineRule="exact"/>
              <w:rPr>
                <w:sz w:val="20"/>
                <w:szCs w:val="20"/>
                <w:color w:val="auto"/>
              </w:rPr>
            </w:pPr>
            <w:r>
              <w:rPr>
                <w:rFonts w:ascii="Arial" w:cs="Arial" w:eastAsia="Arial" w:hAnsi="Arial"/>
                <w:sz w:val="16"/>
                <w:szCs w:val="16"/>
                <w:b w:val="1"/>
                <w:bCs w:val="1"/>
                <w:color w:val="auto"/>
                <w:w w:val="87"/>
              </w:rPr>
              <w:t>of period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22"/>
              <w:spacing w:after="0" w:line="173" w:lineRule="exact"/>
              <w:rPr>
                <w:sz w:val="20"/>
                <w:szCs w:val="20"/>
                <w:color w:val="auto"/>
              </w:rPr>
            </w:pPr>
            <w:r>
              <w:rPr>
                <w:rFonts w:ascii="Arial" w:cs="Arial" w:eastAsia="Arial" w:hAnsi="Arial"/>
                <w:sz w:val="16"/>
                <w:szCs w:val="16"/>
                <w:b w:val="1"/>
                <w:bCs w:val="1"/>
                <w:color w:val="auto"/>
                <w:w w:val="90"/>
              </w:rPr>
              <w:t xml:space="preserve">provision </w:t>
            </w:r>
            <w:r>
              <w:rPr>
                <w:rFonts w:ascii="Arial" w:cs="Arial" w:eastAsia="Arial" w:hAnsi="Arial"/>
                <w:sz w:val="10"/>
                <w:szCs w:val="10"/>
                <w:b w:val="1"/>
                <w:bCs w:val="1"/>
                <w:color w:val="auto"/>
                <w:w w:val="90"/>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2"/>
              <w:spacing w:after="0" w:line="173" w:lineRule="exact"/>
              <w:rPr>
                <w:sz w:val="20"/>
                <w:szCs w:val="20"/>
                <w:color w:val="auto"/>
              </w:rPr>
            </w:pPr>
            <w:r>
              <w:rPr>
                <w:rFonts w:ascii="Arial" w:cs="Arial" w:eastAsia="Arial" w:hAnsi="Arial"/>
                <w:sz w:val="16"/>
                <w:szCs w:val="16"/>
                <w:b w:val="1"/>
                <w:bCs w:val="1"/>
                <w:color w:val="auto"/>
                <w:w w:val="89"/>
              </w:rPr>
              <w:t xml:space="preserve">accounts </w:t>
            </w:r>
            <w:r>
              <w:rPr>
                <w:rFonts w:ascii="Arial" w:cs="Arial" w:eastAsia="Arial" w:hAnsi="Arial"/>
                <w:sz w:val="10"/>
                <w:szCs w:val="10"/>
                <w:b w:val="1"/>
                <w:bCs w:val="1"/>
                <w:color w:val="auto"/>
                <w:w w:val="89"/>
              </w:rPr>
              <w:t>(1)</w:t>
            </w: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w w:val="92"/>
              </w:rPr>
              <w:t xml:space="preserve">of recoveries </w:t>
            </w:r>
            <w:r>
              <w:rPr>
                <w:rFonts w:ascii="Arial" w:cs="Arial" w:eastAsia="Arial" w:hAnsi="Arial"/>
                <w:sz w:val="10"/>
                <w:szCs w:val="10"/>
                <w:b w:val="1"/>
                <w:bCs w:val="1"/>
                <w:color w:val="auto"/>
                <w:w w:val="92"/>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82"/>
              <w:spacing w:after="0" w:line="173" w:lineRule="exact"/>
              <w:rPr>
                <w:sz w:val="20"/>
                <w:szCs w:val="20"/>
                <w:color w:val="auto"/>
              </w:rPr>
            </w:pPr>
            <w:r>
              <w:rPr>
                <w:rFonts w:ascii="Arial" w:cs="Arial" w:eastAsia="Arial" w:hAnsi="Arial"/>
                <w:sz w:val="16"/>
                <w:szCs w:val="16"/>
                <w:b w:val="1"/>
                <w:bCs w:val="1"/>
                <w:color w:val="auto"/>
                <w:w w:val="87"/>
              </w:rPr>
              <w:t>of period</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170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60" w:type="dxa"/>
            <w:vAlign w:val="bottom"/>
            <w:gridSpan w:val="4"/>
            <w:shd w:val="clear" w:color="auto" w:fill="E5E5E5"/>
          </w:tcPr>
          <w:p>
            <w:pPr>
              <w:ind w:left="60"/>
              <w:spacing w:after="0" w:line="182" w:lineRule="exact"/>
              <w:rPr>
                <w:sz w:val="20"/>
                <w:szCs w:val="20"/>
                <w:color w:val="auto"/>
              </w:rPr>
            </w:pPr>
            <w:r>
              <w:rPr>
                <w:rFonts w:ascii="Arial" w:cs="Arial" w:eastAsia="Arial" w:hAnsi="Arial"/>
                <w:sz w:val="16"/>
                <w:szCs w:val="16"/>
                <w:b w:val="1"/>
                <w:bCs w:val="1"/>
                <w:color w:val="auto"/>
              </w:rPr>
              <w:t>Year Ended December 31, 2025</w:t>
            </w:r>
          </w:p>
        </w:tc>
        <w:tc>
          <w:tcPr>
            <w:tcW w:w="14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E5E5E5"/>
            </w:tcBorders>
            <w:shd w:val="clear" w:color="auto" w:fill="E5E5E5"/>
          </w:tcPr>
          <w:p>
            <w:pPr>
              <w:spacing w:after="0"/>
              <w:rPr>
                <w:sz w:val="2"/>
                <w:szCs w:val="2"/>
                <w:color w:val="auto"/>
              </w:rPr>
            </w:pPr>
          </w:p>
        </w:tc>
        <w:tc>
          <w:tcPr>
            <w:tcW w:w="580" w:type="dxa"/>
            <w:vAlign w:val="bottom"/>
            <w:tcBorders>
              <w:top w:val="single" w:sz="8" w:color="auto"/>
            </w:tcBorders>
            <w:shd w:val="clear" w:color="auto" w:fill="E5E5E5"/>
          </w:tcPr>
          <w:p>
            <w:pPr>
              <w:spacing w:after="0"/>
              <w:rPr>
                <w:sz w:val="2"/>
                <w:szCs w:val="2"/>
                <w:color w:val="auto"/>
              </w:rPr>
            </w:pPr>
          </w:p>
        </w:tc>
        <w:tc>
          <w:tcPr>
            <w:tcW w:w="1700" w:type="dxa"/>
            <w:vAlign w:val="bottom"/>
            <w:tcBorders>
              <w:top w:val="single" w:sz="8" w:color="auto"/>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100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100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9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52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9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940" w:type="dxa"/>
            <w:vAlign w:val="bottom"/>
            <w:tcBorders>
              <w:top w:val="single" w:sz="8" w:color="E5E5E5"/>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760" w:type="dxa"/>
            <w:vAlign w:val="bottom"/>
            <w:gridSpan w:val="4"/>
          </w:tcPr>
          <w:p>
            <w:pPr>
              <w:ind w:left="60"/>
              <w:spacing w:after="0"/>
              <w:rPr>
                <w:sz w:val="20"/>
                <w:szCs w:val="20"/>
                <w:color w:val="auto"/>
              </w:rPr>
            </w:pPr>
            <w:r>
              <w:rPr>
                <w:rFonts w:ascii="Arial" w:cs="Arial" w:eastAsia="Arial" w:hAnsi="Arial"/>
                <w:sz w:val="16"/>
                <w:szCs w:val="16"/>
                <w:b w:val="1"/>
                <w:bCs w:val="1"/>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23</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43"/>
        </w:trPr>
        <w:tc>
          <w:tcPr>
            <w:tcW w:w="2760" w:type="dxa"/>
            <w:vAlign w:val="bottom"/>
            <w:tcBorders>
              <w:bottom w:val="single" w:sz="8" w:color="E5E5E5"/>
            </w:tcBorders>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w:t>
            </w:r>
          </w:p>
        </w:tc>
        <w:tc>
          <w:tcPr>
            <w:tcW w:w="14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57</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16</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39</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118</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shd w:val="clear" w:color="auto" w:fill="E5E5E5"/>
          </w:tcPr>
          <w:p>
            <w:pPr>
              <w:spacing w:after="0"/>
              <w:rPr>
                <w:sz w:val="18"/>
                <w:szCs w:val="18"/>
                <w:color w:val="auto"/>
              </w:rPr>
            </w:pPr>
          </w:p>
        </w:tc>
        <w:tc>
          <w:tcPr>
            <w:tcW w:w="580" w:type="dxa"/>
            <w:vAlign w:val="bottom"/>
            <w:tcBorders>
              <w:top w:val="single" w:sz="8" w:color="E5E5E5"/>
            </w:tcBorders>
            <w:shd w:val="clear" w:color="auto" w:fill="E5E5E5"/>
          </w:tcPr>
          <w:p>
            <w:pPr>
              <w:spacing w:after="0"/>
              <w:rPr>
                <w:sz w:val="18"/>
                <w:szCs w:val="18"/>
                <w:color w:val="auto"/>
              </w:rPr>
            </w:pPr>
          </w:p>
        </w:tc>
        <w:tc>
          <w:tcPr>
            <w:tcW w:w="1700" w:type="dxa"/>
            <w:vAlign w:val="bottom"/>
            <w:tcBorders>
              <w:top w:val="single" w:sz="8" w:color="E5E5E5"/>
            </w:tcBorders>
            <w:shd w:val="clear" w:color="auto" w:fill="E5E5E5"/>
          </w:tcPr>
          <w:p>
            <w:pPr>
              <w:spacing w:after="0"/>
              <w:rPr>
                <w:sz w:val="18"/>
                <w:szCs w:val="18"/>
                <w:color w:val="auto"/>
              </w:rPr>
            </w:pPr>
          </w:p>
        </w:tc>
        <w:tc>
          <w:tcPr>
            <w:tcW w:w="42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6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0" w:type="dxa"/>
            <w:vAlign w:val="bottom"/>
            <w:tcBorders>
              <w:top w:val="single" w:sz="8" w:color="E5E5E5"/>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gridSpan w:val="4"/>
          </w:tcPr>
          <w:p>
            <w:pPr>
              <w:ind w:left="60"/>
              <w:spacing w:after="0"/>
              <w:rPr>
                <w:sz w:val="20"/>
                <w:szCs w:val="20"/>
                <w:color w:val="auto"/>
              </w:rPr>
            </w:pPr>
            <w:r>
              <w:rPr>
                <w:rFonts w:ascii="Arial" w:cs="Arial" w:eastAsia="Arial" w:hAnsi="Arial"/>
                <w:sz w:val="16"/>
                <w:szCs w:val="16"/>
                <w:b w:val="1"/>
                <w:bCs w:val="1"/>
                <w:color w:val="auto"/>
              </w:rPr>
              <w:t>Year Ended December 31, 2024</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760" w:type="dxa"/>
            <w:vAlign w:val="bottom"/>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Accounts Receivable</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25</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37"/>
        </w:trPr>
        <w:tc>
          <w:tcPr>
            <w:tcW w:w="2760" w:type="dxa"/>
            <w:vAlign w:val="bottom"/>
            <w:tcBorders>
              <w:bottom w:val="single" w:sz="8" w:color="E5E5E5"/>
            </w:tcBorders>
            <w:gridSpan w:val="4"/>
          </w:tcPr>
          <w:p>
            <w:pPr>
              <w:ind w:left="60"/>
              <w:spacing w:after="0"/>
              <w:rPr>
                <w:sz w:val="20"/>
                <w:szCs w:val="20"/>
                <w:color w:val="auto"/>
              </w:rPr>
            </w:pPr>
            <w:r>
              <w:rPr>
                <w:rFonts w:ascii="Arial" w:cs="Arial" w:eastAsia="Arial" w:hAnsi="Arial"/>
                <w:sz w:val="16"/>
                <w:szCs w:val="16"/>
                <w:b w:val="1"/>
                <w:bCs w:val="1"/>
                <w:color w:val="auto"/>
              </w:rPr>
              <w:t>Finance Receivables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80" w:type="dxa"/>
            <w:vAlign w:val="bottom"/>
            <w:tcBorders>
              <w:bottom w:val="single" w:sz="8" w:color="E5E5E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w:t>
            </w:r>
          </w:p>
        </w:tc>
        <w:tc>
          <w:tcPr>
            <w:tcW w:w="60" w:type="dxa"/>
            <w:vAlign w:val="bottom"/>
            <w:tcBorders>
              <w:bottom w:val="single" w:sz="8" w:color="E5E5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Borders>
              <w:bottom w:val="single" w:sz="8" w:color="E5E5E5"/>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47"/>
        </w:trPr>
        <w:tc>
          <w:tcPr>
            <w:tcW w:w="60" w:type="dxa"/>
            <w:vAlign w:val="bottom"/>
            <w:shd w:val="clear" w:color="auto" w:fill="E5E5E5"/>
          </w:tcPr>
          <w:p>
            <w:pPr>
              <w:spacing w:after="0"/>
              <w:rPr>
                <w:sz w:val="21"/>
                <w:szCs w:val="21"/>
                <w:color w:val="auto"/>
              </w:rPr>
            </w:pPr>
          </w:p>
        </w:tc>
        <w:tc>
          <w:tcPr>
            <w:tcW w:w="580" w:type="dxa"/>
            <w:vAlign w:val="bottom"/>
            <w:shd w:val="clear" w:color="auto" w:fill="E5E5E5"/>
          </w:tcPr>
          <w:p>
            <w:pPr>
              <w:spacing w:after="0"/>
              <w:rPr>
                <w:sz w:val="21"/>
                <w:szCs w:val="21"/>
                <w:color w:val="auto"/>
              </w:rPr>
            </w:pPr>
          </w:p>
        </w:tc>
        <w:tc>
          <w:tcPr>
            <w:tcW w:w="170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156</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42</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600" w:type="dxa"/>
            <w:vAlign w:val="bottom"/>
            <w:gridSpan w:val="2"/>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E5E5E5"/>
          </w:tcPr>
          <w:p>
            <w:pPr>
              <w:ind w:left="1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tcPr>
          <w:p>
            <w:pPr>
              <w:spacing w:after="0"/>
              <w:rPr>
                <w:sz w:val="18"/>
                <w:szCs w:val="18"/>
                <w:color w:val="auto"/>
              </w:rPr>
            </w:pPr>
          </w:p>
        </w:tc>
        <w:tc>
          <w:tcPr>
            <w:tcW w:w="580" w:type="dxa"/>
            <w:vAlign w:val="bottom"/>
            <w:tcBorders>
              <w:top w:val="single" w:sz="8" w:color="E5E5E5"/>
            </w:tcBorders>
          </w:tcPr>
          <w:p>
            <w:pPr>
              <w:spacing w:after="0"/>
              <w:rPr>
                <w:sz w:val="18"/>
                <w:szCs w:val="18"/>
                <w:color w:val="auto"/>
              </w:rPr>
            </w:pPr>
          </w:p>
        </w:tc>
        <w:tc>
          <w:tcPr>
            <w:tcW w:w="1700" w:type="dxa"/>
            <w:vAlign w:val="bottom"/>
            <w:tcBorders>
              <w:top w:val="single" w:sz="8" w:color="E5E5E5"/>
            </w:tcBorders>
          </w:tcPr>
          <w:p>
            <w:pPr>
              <w:spacing w:after="0"/>
              <w:rPr>
                <w:sz w:val="18"/>
                <w:szCs w:val="18"/>
                <w:color w:val="auto"/>
              </w:rPr>
            </w:pPr>
          </w:p>
        </w:tc>
        <w:tc>
          <w:tcPr>
            <w:tcW w:w="420" w:type="dxa"/>
            <w:vAlign w:val="bottom"/>
            <w:tcBorders>
              <w:top w:val="single" w:sz="8" w:color="E5E5E5"/>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Year Ended December 31, 2023</w:t>
            </w:r>
          </w:p>
        </w:tc>
        <w:tc>
          <w:tcPr>
            <w:tcW w:w="1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 w:type="dxa"/>
            <w:vAlign w:val="bottom"/>
            <w:tcBorders>
              <w:top w:val="single" w:sz="8" w:color="E5E5E5"/>
            </w:tcBorders>
            <w:shd w:val="clear" w:color="auto" w:fill="E5E5E5"/>
          </w:tcPr>
          <w:p>
            <w:pPr>
              <w:spacing w:after="0"/>
              <w:rPr>
                <w:sz w:val="2"/>
                <w:szCs w:val="2"/>
                <w:color w:val="auto"/>
              </w:rPr>
            </w:pPr>
          </w:p>
        </w:tc>
        <w:tc>
          <w:tcPr>
            <w:tcW w:w="580" w:type="dxa"/>
            <w:vAlign w:val="bottom"/>
            <w:tcBorders>
              <w:top w:val="single" w:sz="8" w:color="auto"/>
            </w:tcBorders>
            <w:shd w:val="clear" w:color="auto" w:fill="E5E5E5"/>
          </w:tcPr>
          <w:p>
            <w:pPr>
              <w:spacing w:after="0"/>
              <w:rPr>
                <w:sz w:val="2"/>
                <w:szCs w:val="2"/>
                <w:color w:val="auto"/>
              </w:rPr>
            </w:pPr>
          </w:p>
        </w:tc>
        <w:tc>
          <w:tcPr>
            <w:tcW w:w="1700" w:type="dxa"/>
            <w:vAlign w:val="bottom"/>
            <w:tcBorders>
              <w:top w:val="single" w:sz="8" w:color="auto"/>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100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140" w:type="dxa"/>
            <w:vAlign w:val="bottom"/>
            <w:tcBorders>
              <w:top w:val="single" w:sz="8" w:color="E5E5E5"/>
            </w:tcBorders>
            <w:shd w:val="clear" w:color="auto" w:fill="E5E5E5"/>
          </w:tcPr>
          <w:p>
            <w:pPr>
              <w:spacing w:after="0"/>
              <w:rPr>
                <w:sz w:val="2"/>
                <w:szCs w:val="2"/>
                <w:color w:val="auto"/>
              </w:rPr>
            </w:pPr>
          </w:p>
        </w:tc>
        <w:tc>
          <w:tcPr>
            <w:tcW w:w="100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9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52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60" w:type="dxa"/>
            <w:vAlign w:val="bottom"/>
            <w:tcBorders>
              <w:top w:val="single" w:sz="8" w:color="E5E5E5"/>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980" w:type="dxa"/>
            <w:vAlign w:val="bottom"/>
            <w:tcBorders>
              <w:top w:val="single" w:sz="8" w:color="E5E5E5"/>
            </w:tcBorders>
            <w:shd w:val="clear" w:color="auto" w:fill="E5E5E5"/>
          </w:tcPr>
          <w:p>
            <w:pPr>
              <w:spacing w:after="0"/>
              <w:rPr>
                <w:sz w:val="2"/>
                <w:szCs w:val="2"/>
                <w:color w:val="auto"/>
              </w:rPr>
            </w:pPr>
          </w:p>
        </w:tc>
        <w:tc>
          <w:tcPr>
            <w:tcW w:w="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940" w:type="dxa"/>
            <w:vAlign w:val="bottom"/>
            <w:tcBorders>
              <w:top w:val="single" w:sz="8" w:color="E5E5E5"/>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760" w:type="dxa"/>
            <w:vAlign w:val="bottom"/>
            <w:gridSpan w:val="4"/>
          </w:tcPr>
          <w:p>
            <w:pPr>
              <w:ind w:left="60"/>
              <w:spacing w:after="0"/>
              <w:rPr>
                <w:sz w:val="20"/>
                <w:szCs w:val="20"/>
                <w:color w:val="auto"/>
              </w:rPr>
            </w:pPr>
            <w:r>
              <w:rPr>
                <w:rFonts w:ascii="Arial" w:cs="Arial" w:eastAsia="Arial" w:hAnsi="Arial"/>
                <w:sz w:val="16"/>
                <w:szCs w:val="16"/>
                <w:b w:val="1"/>
                <w:bCs w:val="1"/>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22</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60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43"/>
        </w:trPr>
        <w:tc>
          <w:tcPr>
            <w:tcW w:w="2760" w:type="dxa"/>
            <w:vAlign w:val="bottom"/>
            <w:tcBorders>
              <w:bottom w:val="single" w:sz="8" w:color="E5E5E5"/>
            </w:tcBorders>
            <w:gridSpan w:val="4"/>
            <w:shd w:val="clear" w:color="auto" w:fill="E5E5E5"/>
          </w:tcPr>
          <w:p>
            <w:pPr>
              <w:ind w:left="60"/>
              <w:spacing w:after="0"/>
              <w:rPr>
                <w:sz w:val="20"/>
                <w:szCs w:val="20"/>
                <w:color w:val="auto"/>
              </w:rPr>
            </w:pPr>
            <w:r>
              <w:rPr>
                <w:rFonts w:ascii="Arial" w:cs="Arial" w:eastAsia="Arial" w:hAnsi="Arial"/>
                <w:sz w:val="16"/>
                <w:szCs w:val="16"/>
                <w:b w:val="1"/>
                <w:bCs w:val="1"/>
                <w:color w:val="auto"/>
              </w:rPr>
              <w:t>Finance Receivables</w:t>
            </w:r>
          </w:p>
        </w:tc>
        <w:tc>
          <w:tcPr>
            <w:tcW w:w="14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5E5E5"/>
            </w:tcBorders>
            <w:shd w:val="clear" w:color="auto" w:fill="E5E5E5"/>
          </w:tcPr>
          <w:p>
            <w:pPr>
              <w:spacing w:after="0"/>
              <w:rPr>
                <w:sz w:val="21"/>
                <w:szCs w:val="21"/>
                <w:color w:val="auto"/>
              </w:rPr>
            </w:pPr>
          </w:p>
        </w:tc>
        <w:tc>
          <w:tcPr>
            <w:tcW w:w="520" w:type="dxa"/>
            <w:vAlign w:val="bottom"/>
            <w:tcBorders>
              <w:bottom w:val="single" w:sz="8" w:color="auto"/>
            </w:tcBorders>
            <w:shd w:val="clear" w:color="auto" w:fill="E5E5E5"/>
          </w:tcPr>
          <w:p>
            <w:pPr>
              <w:spacing w:after="0"/>
              <w:rPr>
                <w:sz w:val="21"/>
                <w:szCs w:val="21"/>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tcBorders>
              <w:bottom w:val="single" w:sz="8" w:color="E5E5E5"/>
            </w:tcBorders>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-1626235</wp:posOffset>
            </wp:positionV>
            <wp:extent cx="4615180" cy="755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4615180" cy="75565"/>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-840740</wp:posOffset>
            </wp:positionV>
            <wp:extent cx="4615180" cy="755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4615180" cy="75565"/>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-55245</wp:posOffset>
            </wp:positionV>
            <wp:extent cx="4615180" cy="755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4615180" cy="755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_____________</w:t>
      </w:r>
    </w:p>
    <w:p>
      <w:pPr>
        <w:spacing w:after="0" w:line="11" w:lineRule="exact"/>
        <w:rPr>
          <w:sz w:val="20"/>
          <w:szCs w:val="20"/>
          <w:color w:val="auto"/>
        </w:rPr>
      </w:pPr>
    </w:p>
    <w:p>
      <w:pPr>
        <w:ind w:left="360" w:hanging="356"/>
        <w:spacing w:after="0" w:line="277" w:lineRule="auto"/>
        <w:tabs>
          <w:tab w:leader="none" w:pos="360" w:val="left"/>
        </w:tabs>
        <w:numPr>
          <w:ilvl w:val="0"/>
          <w:numId w:val="15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Bad debt provisions relate to estimated losses due to credit and similar collectibility issues. Other charges (credits) relate to adjustments to reserves necessary to reflect events of non-payment such as customer accommodations and contract terminations.</w:t>
      </w:r>
    </w:p>
    <w:p>
      <w:pPr>
        <w:ind w:left="360" w:hanging="356"/>
        <w:spacing w:after="0" w:line="242" w:lineRule="auto"/>
        <w:tabs>
          <w:tab w:leader="none" w:pos="3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1"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Deductions and other, net of recoveries primarily relates to receivable write-offs, but also includes the impact of foreign currency translation adjustments and recoveries of previously written off receivables.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DA2031"/>
        </w:rPr>
        <w:t>Deferred Tax Asset Valuation Allowances: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91"/>
              </w:rPr>
              <w:t>Balance</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Additions</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Amounts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charged to</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22"/>
              <w:spacing w:after="0" w:line="155" w:lineRule="exact"/>
              <w:rPr>
                <w:sz w:val="20"/>
                <w:szCs w:val="20"/>
                <w:color w:val="auto"/>
              </w:rPr>
            </w:pPr>
            <w:r>
              <w:rPr>
                <w:rFonts w:ascii="Arial" w:cs="Arial" w:eastAsia="Arial" w:hAnsi="Arial"/>
                <w:sz w:val="16"/>
                <w:szCs w:val="16"/>
                <w:b w:val="1"/>
                <w:bCs w:val="1"/>
                <w:color w:val="auto"/>
                <w:w w:val="88"/>
              </w:rPr>
              <w:t>at beginning</w:t>
            </w:r>
          </w:p>
        </w:tc>
        <w:tc>
          <w:tcPr>
            <w:tcW w:w="8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income tax</w:t>
            </w:r>
          </w:p>
        </w:tc>
        <w:tc>
          <w:tcPr>
            <w:tcW w:w="80" w:type="dxa"/>
            <w:vAlign w:val="bottom"/>
          </w:tcPr>
          <w:p>
            <w:pPr>
              <w:spacing w:after="0"/>
              <w:rPr>
                <w:sz w:val="13"/>
                <w:szCs w:val="13"/>
                <w:color w:val="auto"/>
              </w:rPr>
            </w:pPr>
          </w:p>
        </w:tc>
        <w:tc>
          <w:tcPr>
            <w:tcW w:w="13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Acquisitions</w:t>
            </w:r>
            <w:r>
              <w:rPr>
                <w:rFonts w:ascii="Arial" w:cs="Arial" w:eastAsia="Arial" w:hAnsi="Arial"/>
                <w:sz w:val="10"/>
                <w:szCs w:val="10"/>
                <w:b w:val="1"/>
                <w:bCs w:val="1"/>
                <w:color w:val="auto"/>
              </w:rPr>
              <w:t>(1)</w:t>
            </w:r>
          </w:p>
        </w:tc>
        <w:tc>
          <w:tcPr>
            <w:tcW w:w="6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7"/>
              </w:rPr>
              <w:t>credited to</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82"/>
              <w:spacing w:after="0" w:line="155" w:lineRule="exact"/>
              <w:rPr>
                <w:sz w:val="20"/>
                <w:szCs w:val="20"/>
                <w:color w:val="auto"/>
              </w:rPr>
            </w:pPr>
            <w:r>
              <w:rPr>
                <w:rFonts w:ascii="Arial" w:cs="Arial" w:eastAsia="Arial" w:hAnsi="Arial"/>
                <w:sz w:val="16"/>
                <w:szCs w:val="16"/>
                <w:b w:val="1"/>
                <w:bCs w:val="1"/>
                <w:color w:val="auto"/>
                <w:w w:val="93"/>
              </w:rPr>
              <w:t>at end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2"/>
                <w:szCs w:val="12"/>
                <w:b w:val="1"/>
                <w:bCs w:val="1"/>
                <w:color w:val="auto"/>
              </w:rPr>
              <w:t>(in millions)</w:t>
            </w:r>
          </w:p>
        </w:tc>
        <w:tc>
          <w:tcPr>
            <w:tcW w:w="200" w:type="dxa"/>
            <w:vAlign w:val="bottom"/>
          </w:tcPr>
          <w:p>
            <w:pPr>
              <w:spacing w:after="0"/>
              <w:rPr>
                <w:sz w:val="15"/>
                <w:szCs w:val="15"/>
                <w:color w:val="auto"/>
              </w:rPr>
            </w:pPr>
          </w:p>
        </w:tc>
        <w:tc>
          <w:tcPr>
            <w:tcW w:w="1160" w:type="dxa"/>
            <w:vAlign w:val="bottom"/>
          </w:tcPr>
          <w:p>
            <w:pPr>
              <w:jc w:val="center"/>
              <w:ind w:right="162"/>
              <w:spacing w:after="0" w:line="173" w:lineRule="exact"/>
              <w:rPr>
                <w:sz w:val="20"/>
                <w:szCs w:val="20"/>
                <w:color w:val="auto"/>
              </w:rPr>
            </w:pPr>
            <w:r>
              <w:rPr>
                <w:rFonts w:ascii="Arial" w:cs="Arial" w:eastAsia="Arial" w:hAnsi="Arial"/>
                <w:sz w:val="16"/>
                <w:szCs w:val="16"/>
                <w:b w:val="1"/>
                <w:bCs w:val="1"/>
                <w:color w:val="auto"/>
                <w:w w:val="87"/>
              </w:rPr>
              <w:t>of period</w:t>
            </w:r>
          </w:p>
        </w:tc>
        <w:tc>
          <w:tcPr>
            <w:tcW w:w="80" w:type="dxa"/>
            <w:vAlign w:val="bottom"/>
          </w:tcPr>
          <w:p>
            <w:pPr>
              <w:spacing w:after="0"/>
              <w:rPr>
                <w:sz w:val="15"/>
                <w:szCs w:val="15"/>
                <w:color w:val="auto"/>
              </w:rPr>
            </w:pPr>
          </w:p>
        </w:tc>
        <w:tc>
          <w:tcPr>
            <w:tcW w:w="134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1"/>
              </w:rPr>
              <w:t>expense (benefit)</w:t>
            </w: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 xml:space="preserve">other accounts </w:t>
            </w:r>
            <w:r>
              <w:rPr>
                <w:rFonts w:ascii="Arial" w:cs="Arial" w:eastAsia="Arial" w:hAnsi="Arial"/>
                <w:sz w:val="10"/>
                <w:szCs w:val="10"/>
                <w:b w:val="1"/>
                <w:bCs w:val="1"/>
                <w:color w:val="auto"/>
                <w:w w:val="89"/>
              </w:rPr>
              <w:t>(2)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222"/>
              <w:spacing w:after="0" w:line="173" w:lineRule="exact"/>
              <w:rPr>
                <w:sz w:val="20"/>
                <w:szCs w:val="20"/>
                <w:color w:val="auto"/>
              </w:rPr>
            </w:pPr>
            <w:r>
              <w:rPr>
                <w:rFonts w:ascii="Arial" w:cs="Arial" w:eastAsia="Arial" w:hAnsi="Arial"/>
                <w:sz w:val="16"/>
                <w:szCs w:val="16"/>
                <w:b w:val="1"/>
                <w:bCs w:val="1"/>
                <w:color w:val="auto"/>
                <w:w w:val="87"/>
              </w:rPr>
              <w:t>of period</w:t>
            </w:r>
          </w:p>
        </w:tc>
        <w:tc>
          <w:tcPr>
            <w:tcW w:w="0" w:type="dxa"/>
            <w:vAlign w:val="bottom"/>
          </w:tcPr>
          <w:p>
            <w:pPr>
              <w:spacing w:after="0"/>
              <w:rPr>
                <w:sz w:val="1"/>
                <w:szCs w:val="1"/>
                <w:color w:val="auto"/>
              </w:rPr>
            </w:pPr>
          </w:p>
        </w:tc>
      </w:tr>
      <w:tr>
        <w:trPr>
          <w:trHeight w:val="20"/>
        </w:trPr>
        <w:tc>
          <w:tcPr>
            <w:tcW w:w="60" w:type="dxa"/>
            <w:vAlign w:val="bottom"/>
            <w:tcBorders>
              <w:bottom w:val="single" w:sz="8" w:color="E5E5E5"/>
            </w:tcBorders>
          </w:tcPr>
          <w:p>
            <w:pPr>
              <w:spacing w:after="0" w:line="20" w:lineRule="exact"/>
              <w:rPr>
                <w:sz w:val="1"/>
                <w:szCs w:val="1"/>
                <w:color w:val="auto"/>
              </w:rPr>
            </w:pPr>
          </w:p>
        </w:tc>
        <w:tc>
          <w:tcPr>
            <w:tcW w:w="580" w:type="dxa"/>
            <w:vAlign w:val="bottom"/>
            <w:tcBorders>
              <w:top w:val="single" w:sz="8" w:color="auto"/>
              <w:bottom w:val="single" w:sz="8" w:color="E5E5E5"/>
            </w:tcBorders>
          </w:tcPr>
          <w:p>
            <w:pPr>
              <w:spacing w:after="0" w:line="20" w:lineRule="exact"/>
              <w:rPr>
                <w:sz w:val="1"/>
                <w:szCs w:val="1"/>
                <w:color w:val="auto"/>
              </w:rPr>
            </w:pPr>
          </w:p>
        </w:tc>
        <w:tc>
          <w:tcPr>
            <w:tcW w:w="2240" w:type="dxa"/>
            <w:vAlign w:val="bottom"/>
            <w:tcBorders>
              <w:bottom w:val="single" w:sz="8" w:color="E5E5E5"/>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E5E5"/>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Year Ended December 31, 2025</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618</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822</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1,933</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tcPr>
          <w:p>
            <w:pPr>
              <w:spacing w:after="0"/>
              <w:rPr>
                <w:sz w:val="18"/>
                <w:szCs w:val="18"/>
                <w:color w:val="auto"/>
              </w:rPr>
            </w:pPr>
          </w:p>
        </w:tc>
        <w:tc>
          <w:tcPr>
            <w:tcW w:w="580" w:type="dxa"/>
            <w:vAlign w:val="bottom"/>
            <w:tcBorders>
              <w:top w:val="single" w:sz="8" w:color="E5E5E5"/>
            </w:tcBorders>
          </w:tcPr>
          <w:p>
            <w:pPr>
              <w:spacing w:after="0"/>
              <w:rPr>
                <w:sz w:val="18"/>
                <w:szCs w:val="18"/>
                <w:color w:val="auto"/>
              </w:rPr>
            </w:pPr>
          </w:p>
        </w:tc>
        <w:tc>
          <w:tcPr>
            <w:tcW w:w="2240" w:type="dxa"/>
            <w:vAlign w:val="bottom"/>
            <w:tcBorders>
              <w:top w:val="single" w:sz="8" w:color="E5E5E5"/>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Year Ended December 31, 2024</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375</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(59)</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511</w:t>
            </w:r>
          </w:p>
        </w:tc>
        <w:tc>
          <w:tcPr>
            <w:tcW w:w="0" w:type="dxa"/>
            <w:vAlign w:val="bottom"/>
          </w:tcPr>
          <w:p>
            <w:pPr>
              <w:spacing w:after="0"/>
              <w:rPr>
                <w:sz w:val="1"/>
                <w:szCs w:val="1"/>
                <w:color w:val="auto"/>
              </w:rPr>
            </w:pPr>
          </w:p>
        </w:tc>
      </w:tr>
      <w:tr>
        <w:trPr>
          <w:trHeight w:val="218"/>
        </w:trPr>
        <w:tc>
          <w:tcPr>
            <w:tcW w:w="60" w:type="dxa"/>
            <w:vAlign w:val="bottom"/>
            <w:tcBorders>
              <w:top w:val="single" w:sz="8" w:color="E5E5E5"/>
            </w:tcBorders>
          </w:tcPr>
          <w:p>
            <w:pPr>
              <w:spacing w:after="0"/>
              <w:rPr>
                <w:sz w:val="18"/>
                <w:szCs w:val="18"/>
                <w:color w:val="auto"/>
              </w:rPr>
            </w:pPr>
          </w:p>
        </w:tc>
        <w:tc>
          <w:tcPr>
            <w:tcW w:w="580" w:type="dxa"/>
            <w:vAlign w:val="bottom"/>
            <w:tcBorders>
              <w:top w:val="single" w:sz="8" w:color="E5E5E5"/>
            </w:tcBorders>
          </w:tcPr>
          <w:p>
            <w:pPr>
              <w:spacing w:after="0"/>
              <w:rPr>
                <w:sz w:val="18"/>
                <w:szCs w:val="18"/>
                <w:color w:val="auto"/>
              </w:rPr>
            </w:pPr>
          </w:p>
        </w:tc>
        <w:tc>
          <w:tcPr>
            <w:tcW w:w="2240" w:type="dxa"/>
            <w:vAlign w:val="bottom"/>
            <w:tcBorders>
              <w:top w:val="single" w:sz="8" w:color="E5E5E5"/>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80" w:type="dxa"/>
            <w:vAlign w:val="bottom"/>
            <w:gridSpan w:val="3"/>
            <w:shd w:val="clear" w:color="auto" w:fill="E5E5E5"/>
          </w:tcPr>
          <w:p>
            <w:pPr>
              <w:ind w:left="60"/>
              <w:spacing w:after="0"/>
              <w:rPr>
                <w:sz w:val="20"/>
                <w:szCs w:val="20"/>
                <w:color w:val="auto"/>
              </w:rPr>
            </w:pPr>
            <w:r>
              <w:rPr>
                <w:rFonts w:ascii="Arial" w:cs="Arial" w:eastAsia="Arial" w:hAnsi="Arial"/>
                <w:sz w:val="16"/>
                <w:szCs w:val="16"/>
                <w:b w:val="1"/>
                <w:bCs w:val="1"/>
                <w:color w:val="auto"/>
              </w:rPr>
              <w:t>Year Ended December 31, 2023</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366</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shd w:val="clear" w:color="auto" w:fill="E5E5E5"/>
          </w:tcPr>
          <w:p>
            <w:pPr>
              <w:spacing w:after="0"/>
              <w:rPr>
                <w:sz w:val="22"/>
                <w:szCs w:val="22"/>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375</w:t>
            </w:r>
          </w:p>
        </w:tc>
        <w:tc>
          <w:tcPr>
            <w:tcW w:w="0" w:type="dxa"/>
            <w:vAlign w:val="bottom"/>
          </w:tcPr>
          <w:p>
            <w:pPr>
              <w:spacing w:after="0"/>
              <w:rPr>
                <w:sz w:val="1"/>
                <w:szCs w:val="1"/>
                <w:color w:val="auto"/>
              </w:rPr>
            </w:pPr>
          </w:p>
        </w:tc>
      </w:tr>
      <w:tr>
        <w:trPr>
          <w:trHeight w:val="212"/>
        </w:trPr>
        <w:tc>
          <w:tcPr>
            <w:tcW w:w="2880" w:type="dxa"/>
            <w:vAlign w:val="bottom"/>
            <w:tcBorders>
              <w:top w:val="single" w:sz="8" w:color="E5E5E5"/>
            </w:tcBorders>
            <w:gridSpan w:val="3"/>
          </w:tcPr>
          <w:p>
            <w:pPr>
              <w:jc w:val="right"/>
              <w:ind w:right="1860"/>
              <w:spacing w:after="0"/>
              <w:rPr>
                <w:sz w:val="20"/>
                <w:szCs w:val="20"/>
                <w:color w:val="auto"/>
              </w:rPr>
            </w:pPr>
            <w:r>
              <w:rPr>
                <w:rFonts w:ascii="Times New Roman" w:cs="Times New Roman" w:eastAsia="Times New Roman" w:hAnsi="Times New Roman"/>
                <w:sz w:val="16"/>
                <w:szCs w:val="16"/>
                <w:b w:val="1"/>
                <w:bCs w:val="1"/>
                <w:i w:val="1"/>
                <w:iCs w:val="1"/>
                <w:color w:val="auto"/>
                <w:w w:val="96"/>
              </w:rPr>
              <w:t>_____________</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Borders>
              <w:top w:val="single" w:sz="8" w:color="E5E5E5"/>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E5E5E5"/>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-818515</wp:posOffset>
            </wp:positionV>
            <wp:extent cx="4540885" cy="755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4540885" cy="75565"/>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-504190</wp:posOffset>
            </wp:positionV>
            <wp:extent cx="4540885" cy="755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4540885" cy="75565"/>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-190500</wp:posOffset>
            </wp:positionV>
            <wp:extent cx="4540885" cy="755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4540885" cy="75565"/>
                    </a:xfrm>
                    <a:prstGeom prst="rect">
                      <a:avLst/>
                    </a:prstGeom>
                    <a:noFill/>
                  </pic:spPr>
                </pic:pic>
              </a:graphicData>
            </a:graphic>
          </wp:anchor>
        </w:drawing>
      </w:r>
    </w:p>
    <w:p>
      <w:pPr>
        <w:ind w:left="360" w:right="300" w:hanging="356"/>
        <w:spacing w:after="0" w:line="242" w:lineRule="auto"/>
        <w:tabs>
          <w:tab w:leader="none" w:pos="360" w:val="left"/>
        </w:tabs>
        <w:numPr>
          <w:ilvl w:val="0"/>
          <w:numId w:val="1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the Lexmark Acquisition on July 1, 2025. Refer to Note 6 - Acquisitions and Divestitures for additional information regarding the Lexmark acquisition.</w:t>
      </w:r>
    </w:p>
    <w:p>
      <w:pPr>
        <w:spacing w:after="0" w:line="1" w:lineRule="exact"/>
        <w:rPr>
          <w:rFonts w:ascii="Arial" w:cs="Arial" w:eastAsia="Arial" w:hAnsi="Arial"/>
          <w:sz w:val="16"/>
          <w:szCs w:val="16"/>
          <w:b w:val="1"/>
          <w:bCs w:val="1"/>
          <w:i w:val="1"/>
          <w:iCs w:val="1"/>
          <w:color w:val="auto"/>
        </w:rPr>
      </w:pPr>
    </w:p>
    <w:p>
      <w:pPr>
        <w:ind w:left="360" w:hanging="356"/>
        <w:spacing w:after="0" w:line="270" w:lineRule="auto"/>
        <w:tabs>
          <w:tab w:leader="none" w:pos="360" w:val="left"/>
        </w:tabs>
        <w:numPr>
          <w:ilvl w:val="0"/>
          <w:numId w:val="1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Reflects other increases (decreases) to our valuation allowance, including the effects of currency. These did not affect Income tax benefit in total as there was a corresponding adjustment to Deferred tax assets or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170</w:t>
      </w:r>
    </w:p>
    <w:p>
      <w:pPr>
        <w:sectPr>
          <w:pgSz w:w="11880" w:h="15480" w:orient="portrait"/>
          <w:cols w:equalWidth="0" w:num="1">
            <w:col w:w="9960"/>
          </w:cols>
          <w:pgMar w:left="960" w:top="724" w:right="960" w:bottom="0" w:gutter="0" w:footer="0" w:header="0"/>
        </w:sectPr>
      </w:pPr>
    </w:p>
    <w:bookmarkStart w:id="180" w:name="page181"/>
    <w:bookmarkEnd w:id="180"/>
    <w:p>
      <w:pPr>
        <w:spacing w:after="0"/>
        <w:rPr>
          <w:sz w:val="20"/>
          <w:szCs w:val="20"/>
          <w:color w:val="auto"/>
        </w:rPr>
      </w:pPr>
      <w:r>
        <w:rPr>
          <w:rFonts w:ascii="Arial" w:cs="Arial" w:eastAsia="Arial" w:hAnsi="Arial"/>
          <w:sz w:val="23"/>
          <w:szCs w:val="23"/>
          <w:b w:val="1"/>
          <w:bCs w:val="1"/>
          <w:color w:val="DA2031"/>
        </w:rPr>
        <w:t>Index of Exhibits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Xerox Holdings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Xerox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Document and Location</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3(a)</w:t>
            </w:r>
            <w:r>
              <w:rPr>
                <w:rFonts w:ascii="Arial" w:cs="Arial" w:eastAsia="Arial" w:hAnsi="Arial"/>
                <w:sz w:val="19"/>
                <w:szCs w:val="19"/>
                <w:b w:val="1"/>
                <w:bCs w:val="1"/>
                <w:u w:val="single" w:color="auto"/>
                <w:color w:val="0000FF"/>
              </w:rPr>
              <w:t>(1)</w:t>
            </w: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7"/>
              </w:rPr>
              <w:t>Restated Certificate of Incorporation of Xerox Corporation's filed with the Department of State of</w:t>
            </w:r>
          </w:p>
        </w:tc>
        <w:tc>
          <w:tcPr>
            <w:tcW w:w="0" w:type="dxa"/>
            <w:vAlign w:val="bottom"/>
          </w:tcPr>
          <w:p>
            <w:pPr>
              <w:spacing w:after="0"/>
              <w:rPr>
                <w:sz w:val="1"/>
                <w:szCs w:val="1"/>
                <w:color w:val="auto"/>
              </w:rPr>
            </w:pPr>
          </w:p>
        </w:tc>
      </w:tr>
      <w:tr>
        <w:trPr>
          <w:trHeight w:val="176"/>
        </w:trPr>
        <w:tc>
          <w:tcPr>
            <w:tcW w:w="3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340" w:type="dxa"/>
            <w:vAlign w:val="bottom"/>
            <w:tcBorders>
              <w:top w:val="single" w:sz="8" w:color="0000FF"/>
              <w:bottom w:val="single" w:sz="8" w:color="0000FF"/>
            </w:tcBorders>
            <w:gridSpan w:val="5"/>
          </w:tcPr>
          <w:p>
            <w:pPr>
              <w:spacing w:after="0" w:line="176" w:lineRule="exact"/>
              <w:rPr>
                <w:sz w:val="20"/>
                <w:szCs w:val="20"/>
                <w:color w:val="auto"/>
              </w:rPr>
            </w:pPr>
            <w:r>
              <w:rPr>
                <w:rFonts w:ascii="Arial" w:cs="Arial" w:eastAsia="Arial" w:hAnsi="Arial"/>
                <w:sz w:val="19"/>
                <w:szCs w:val="19"/>
                <w:b w:val="1"/>
                <w:bCs w:val="1"/>
                <w:color w:val="0000FF"/>
                <w:w w:val="95"/>
              </w:rPr>
              <w:t>New York on July 31, 2019.</w:t>
            </w:r>
          </w:p>
        </w:tc>
        <w:tc>
          <w:tcPr>
            <w:tcW w:w="1920" w:type="dxa"/>
            <w:vAlign w:val="bottom"/>
            <w:tcBorders>
              <w:top w:val="single" w:sz="8" w:color="0000FF"/>
            </w:tcBorders>
            <w:gridSpan w:val="6"/>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500" w:type="dxa"/>
            <w:vAlign w:val="bottom"/>
            <w:tcBorders>
              <w:bottom w:val="single" w:sz="8" w:color="0000FF"/>
            </w:tcBorders>
            <w:gridSpan w:val="41"/>
          </w:tcPr>
          <w:p>
            <w:pPr>
              <w:spacing w:after="0"/>
              <w:rPr>
                <w:sz w:val="20"/>
                <w:szCs w:val="20"/>
                <w:color w:val="auto"/>
              </w:rPr>
            </w:pPr>
            <w:r>
              <w:rPr>
                <w:rFonts w:ascii="Arial" w:cs="Arial" w:eastAsia="Arial" w:hAnsi="Arial"/>
                <w:sz w:val="19"/>
                <w:szCs w:val="19"/>
                <w:b w:val="1"/>
                <w:bCs w:val="1"/>
                <w:color w:val="0000FF"/>
                <w:w w:val="96"/>
              </w:rPr>
              <w:t>Incorporated by reference to Exhibit 3.2 to Xerox Corporation's Current Report on Form 8-K dated</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80" w:type="dxa"/>
            <w:vAlign w:val="bottom"/>
            <w:gridSpan w:val="12"/>
          </w:tcPr>
          <w:p>
            <w:pPr>
              <w:spacing w:after="0" w:line="174" w:lineRule="exact"/>
              <w:rPr>
                <w:sz w:val="20"/>
                <w:szCs w:val="20"/>
                <w:color w:val="auto"/>
              </w:rPr>
            </w:pPr>
            <w:r>
              <w:rPr>
                <w:rFonts w:ascii="Arial" w:cs="Arial" w:eastAsia="Arial" w:hAnsi="Arial"/>
                <w:sz w:val="19"/>
                <w:szCs w:val="19"/>
                <w:b w:val="1"/>
                <w:bCs w:val="1"/>
                <w:color w:val="0000FF"/>
              </w:rPr>
              <w:t>July 31, 2019. See SEC File Number 001-04471.</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80" w:type="dxa"/>
            <w:vAlign w:val="bottom"/>
            <w:gridSpan w:val="2"/>
            <w:vMerge w:val="restart"/>
          </w:tcPr>
          <w:p>
            <w:pPr>
              <w:spacing w:after="0"/>
              <w:rPr>
                <w:sz w:val="20"/>
                <w:szCs w:val="20"/>
                <w:color w:val="auto"/>
              </w:rPr>
            </w:pPr>
            <w:r>
              <w:rPr>
                <w:rFonts w:ascii="Arial" w:cs="Arial" w:eastAsia="Arial" w:hAnsi="Arial"/>
                <w:sz w:val="19"/>
                <w:szCs w:val="19"/>
                <w:b w:val="1"/>
                <w:bCs w:val="1"/>
                <w:color w:val="0000FF"/>
                <w:w w:val="98"/>
              </w:rPr>
              <w:t>3(a)</w:t>
            </w:r>
            <w:r>
              <w:rPr>
                <w:rFonts w:ascii="Arial" w:cs="Arial" w:eastAsia="Arial" w:hAnsi="Arial"/>
                <w:sz w:val="19"/>
                <w:szCs w:val="19"/>
                <w:b w:val="1"/>
                <w:bCs w:val="1"/>
                <w:u w:val="single" w:color="auto"/>
                <w:color w:val="0000FF"/>
                <w:w w:val="98"/>
              </w:rPr>
              <w:t>(2)</w:t>
            </w:r>
          </w:p>
        </w:tc>
        <w:tc>
          <w:tcPr>
            <w:tcW w:w="820" w:type="dxa"/>
            <w:vAlign w:val="bottom"/>
            <w:vMerge w:val="restart"/>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7"/>
              </w:rPr>
              <w:t>Restated Certificate of Incorporation of Xerox Holdings Corporation filed with the Department of</w:t>
            </w:r>
          </w:p>
        </w:tc>
        <w:tc>
          <w:tcPr>
            <w:tcW w:w="0" w:type="dxa"/>
            <w:vAlign w:val="bottom"/>
          </w:tcPr>
          <w:p>
            <w:pPr>
              <w:spacing w:after="0"/>
              <w:rPr>
                <w:sz w:val="1"/>
                <w:szCs w:val="1"/>
                <w:color w:val="auto"/>
              </w:rPr>
            </w:pPr>
          </w:p>
        </w:tc>
      </w:tr>
      <w:tr>
        <w:trPr>
          <w:trHeight w:val="174"/>
        </w:trPr>
        <w:tc>
          <w:tcPr>
            <w:tcW w:w="5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280" w:type="dxa"/>
            <w:vAlign w:val="bottom"/>
            <w:tcBorders>
              <w:top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rPr>
              <w:t>State of New York on May 19, 2022.</w:t>
            </w: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Incorporated by reference to Exhibit 3.1 to Xerox Holdings Corporation's Quarterly Report on</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20" w:type="dxa"/>
            <w:vAlign w:val="bottom"/>
            <w:tcBorders>
              <w:top w:val="single" w:sz="8" w:color="0000FF"/>
            </w:tcBorders>
            <w:gridSpan w:val="26"/>
          </w:tcPr>
          <w:p>
            <w:pPr>
              <w:spacing w:after="0" w:line="174" w:lineRule="exact"/>
              <w:rPr>
                <w:sz w:val="20"/>
                <w:szCs w:val="20"/>
                <w:color w:val="auto"/>
              </w:rPr>
            </w:pPr>
            <w:r>
              <w:rPr>
                <w:rFonts w:ascii="Arial" w:cs="Arial" w:eastAsia="Arial" w:hAnsi="Arial"/>
                <w:sz w:val="19"/>
                <w:szCs w:val="19"/>
                <w:b w:val="1"/>
                <w:bCs w:val="1"/>
                <w:color w:val="0000FF"/>
              </w:rPr>
              <w:t>Form 10-Q dated May 19, 2022. See SEC File Number 001-39013.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0" w:type="dxa"/>
            <w:vAlign w:val="bottom"/>
            <w:gridSpan w:val="2"/>
          </w:tcPr>
          <w:p>
            <w:pPr>
              <w:spacing w:after="0"/>
              <w:rPr>
                <w:sz w:val="20"/>
                <w:szCs w:val="20"/>
                <w:color w:val="auto"/>
              </w:rPr>
            </w:pPr>
            <w:r>
              <w:rPr>
                <w:rFonts w:ascii="Arial" w:cs="Arial" w:eastAsia="Arial" w:hAnsi="Arial"/>
                <w:sz w:val="19"/>
                <w:szCs w:val="19"/>
                <w:b w:val="1"/>
                <w:bCs w:val="1"/>
                <w:color w:val="0000FF"/>
                <w:w w:val="96"/>
              </w:rPr>
              <w:t>3(b)</w:t>
            </w:r>
            <w:r>
              <w:rPr>
                <w:rFonts w:ascii="Arial" w:cs="Arial" w:eastAsia="Arial" w:hAnsi="Arial"/>
                <w:sz w:val="19"/>
                <w:szCs w:val="19"/>
                <w:b w:val="1"/>
                <w:bCs w:val="1"/>
                <w:u w:val="single" w:color="auto"/>
                <w:color w:val="0000FF"/>
                <w:w w:val="96"/>
              </w:rPr>
              <w:t>(1)</w:t>
            </w:r>
          </w:p>
        </w:tc>
        <w:tc>
          <w:tcPr>
            <w:tcW w:w="820" w:type="dxa"/>
            <w:vAlign w:val="bottom"/>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Second Amended and Restated By-Laws of Xerox Corporation dated February 14, 2024.</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80" w:type="dxa"/>
            <w:vAlign w:val="bottom"/>
            <w:tcBorders>
              <w:bottom w:val="single" w:sz="8" w:color="0000FF"/>
            </w:tcBorders>
            <w:gridSpan w:val="19"/>
          </w:tcPr>
          <w:p>
            <w:pPr>
              <w:spacing w:after="0"/>
              <w:rPr>
                <w:sz w:val="20"/>
                <w:szCs w:val="20"/>
                <w:color w:val="auto"/>
              </w:rPr>
            </w:pPr>
            <w:r>
              <w:rPr>
                <w:rFonts w:ascii="Arial" w:cs="Arial" w:eastAsia="Arial" w:hAnsi="Arial"/>
                <w:sz w:val="19"/>
                <w:szCs w:val="19"/>
                <w:b w:val="1"/>
                <w:bCs w:val="1"/>
                <w:color w:val="0000FF"/>
                <w:w w:val="95"/>
              </w:rPr>
              <w:t>Incorporated by reference to Exhibit 3(b)(1) to Xerox Holdings Corporation's and Xerox</w:t>
            </w:r>
          </w:p>
        </w:tc>
        <w:tc>
          <w:tcPr>
            <w:tcW w:w="1020" w:type="dxa"/>
            <w:vAlign w:val="bottom"/>
            <w:gridSpan w:val="22"/>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00" w:type="dxa"/>
            <w:vAlign w:val="bottom"/>
            <w:gridSpan w:val="41"/>
          </w:tcPr>
          <w:p>
            <w:pPr>
              <w:spacing w:after="0" w:line="174" w:lineRule="exact"/>
              <w:rPr>
                <w:sz w:val="20"/>
                <w:szCs w:val="20"/>
                <w:color w:val="auto"/>
              </w:rPr>
            </w:pPr>
            <w:r>
              <w:rPr>
                <w:rFonts w:ascii="Arial" w:cs="Arial" w:eastAsia="Arial" w:hAnsi="Arial"/>
                <w:sz w:val="19"/>
                <w:szCs w:val="19"/>
                <w:b w:val="1"/>
                <w:bCs w:val="1"/>
                <w:color w:val="0000FF"/>
              </w:rPr>
              <w:t>Corporation's Combined Annual Report on Form 10-K dated February 23, 2024. See SEC File</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10"/>
          </w:tcPr>
          <w:p>
            <w:pPr>
              <w:spacing w:after="0" w:line="174" w:lineRule="exact"/>
              <w:rPr>
                <w:sz w:val="20"/>
                <w:szCs w:val="20"/>
                <w:color w:val="auto"/>
              </w:rPr>
            </w:pPr>
            <w:r>
              <w:rPr>
                <w:rFonts w:ascii="Arial" w:cs="Arial" w:eastAsia="Arial" w:hAnsi="Arial"/>
                <w:sz w:val="19"/>
                <w:szCs w:val="19"/>
                <w:b w:val="1"/>
                <w:bCs w:val="1"/>
                <w:color w:val="0000FF"/>
                <w:w w:val="99"/>
              </w:rPr>
              <w:t>Numbers 001-39013 and 001-04471.</w:t>
            </w:r>
          </w:p>
        </w:tc>
        <w:tc>
          <w:tcPr>
            <w:tcW w:w="1080" w:type="dxa"/>
            <w:vAlign w:val="bottom"/>
            <w:tcBorders>
              <w:top w:val="single" w:sz="8" w:color="0000FF"/>
            </w:tcBorders>
            <w:gridSpan w:val="2"/>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sz w:val="20"/>
                <w:szCs w:val="20"/>
                <w:color w:val="auto"/>
              </w:rPr>
            </w:pPr>
            <w:r>
              <w:rPr>
                <w:rFonts w:ascii="Arial" w:cs="Arial" w:eastAsia="Arial" w:hAnsi="Arial"/>
                <w:sz w:val="19"/>
                <w:szCs w:val="19"/>
                <w:b w:val="1"/>
                <w:bCs w:val="1"/>
                <w:color w:val="0000FF"/>
                <w:w w:val="96"/>
              </w:rPr>
              <w:t>3(b)</w:t>
            </w:r>
            <w:r>
              <w:rPr>
                <w:rFonts w:ascii="Arial" w:cs="Arial" w:eastAsia="Arial" w:hAnsi="Arial"/>
                <w:sz w:val="19"/>
                <w:szCs w:val="19"/>
                <w:b w:val="1"/>
                <w:bCs w:val="1"/>
                <w:u w:val="single" w:color="auto"/>
                <w:color w:val="0000FF"/>
                <w:w w:val="96"/>
              </w:rPr>
              <w:t>(2)</w:t>
            </w:r>
          </w:p>
        </w:tc>
        <w:tc>
          <w:tcPr>
            <w:tcW w:w="820" w:type="dxa"/>
            <w:vAlign w:val="bottom"/>
          </w:tcPr>
          <w:p>
            <w:pPr>
              <w:spacing w:after="0"/>
              <w:rPr>
                <w:sz w:val="22"/>
                <w:szCs w:val="22"/>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Amended and Restated By-Laws of Xerox Holdings Corporation dated February 17, 2022.</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80" w:type="dxa"/>
            <w:vAlign w:val="bottom"/>
            <w:tcBorders>
              <w:bottom w:val="single" w:sz="8" w:color="0000FF"/>
            </w:tcBorders>
            <w:gridSpan w:val="19"/>
          </w:tcPr>
          <w:p>
            <w:pPr>
              <w:spacing w:after="0"/>
              <w:rPr>
                <w:sz w:val="20"/>
                <w:szCs w:val="20"/>
                <w:color w:val="auto"/>
              </w:rPr>
            </w:pPr>
            <w:r>
              <w:rPr>
                <w:rFonts w:ascii="Arial" w:cs="Arial" w:eastAsia="Arial" w:hAnsi="Arial"/>
                <w:sz w:val="19"/>
                <w:szCs w:val="19"/>
                <w:b w:val="1"/>
                <w:bCs w:val="1"/>
                <w:color w:val="0000FF"/>
                <w:w w:val="95"/>
              </w:rPr>
              <w:t>Incorporated by reference to Exhibit 3(b)(2) to Xerox Holdings Corporation's and Xerox</w:t>
            </w:r>
          </w:p>
        </w:tc>
        <w:tc>
          <w:tcPr>
            <w:tcW w:w="10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00" w:type="dxa"/>
            <w:vAlign w:val="bottom"/>
            <w:gridSpan w:val="41"/>
          </w:tcPr>
          <w:p>
            <w:pPr>
              <w:spacing w:after="0" w:line="174" w:lineRule="exact"/>
              <w:rPr>
                <w:sz w:val="20"/>
                <w:szCs w:val="20"/>
                <w:color w:val="auto"/>
              </w:rPr>
            </w:pPr>
            <w:r>
              <w:rPr>
                <w:rFonts w:ascii="Arial" w:cs="Arial" w:eastAsia="Arial" w:hAnsi="Arial"/>
                <w:sz w:val="19"/>
                <w:szCs w:val="19"/>
                <w:b w:val="1"/>
                <w:bCs w:val="1"/>
                <w:color w:val="0000FF"/>
              </w:rPr>
              <w:t>Corporation's Combined Annual Report on Form 10-K dated February 23, 2022. See SEC File</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80" w:type="dxa"/>
            <w:vAlign w:val="bottom"/>
            <w:tcBorders>
              <w:top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rPr>
              <w:t>Number 001-39013.</w:t>
            </w: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4(a)</w:t>
            </w:r>
          </w:p>
        </w:tc>
        <w:tc>
          <w:tcPr>
            <w:tcW w:w="1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Form of Indenture dated as of December 4, 2009 between Xerox Corporation and the Bank of</w:t>
            </w:r>
          </w:p>
        </w:tc>
        <w:tc>
          <w:tcPr>
            <w:tcW w:w="0" w:type="dxa"/>
            <w:vAlign w:val="bottom"/>
          </w:tcPr>
          <w:p>
            <w:pPr>
              <w:spacing w:after="0"/>
              <w:rPr>
                <w:sz w:val="1"/>
                <w:szCs w:val="1"/>
                <w:color w:val="auto"/>
              </w:rPr>
            </w:pPr>
          </w:p>
        </w:tc>
      </w:tr>
      <w:tr>
        <w:trPr>
          <w:trHeight w:val="176"/>
        </w:trPr>
        <w:tc>
          <w:tcPr>
            <w:tcW w:w="3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60" w:type="dxa"/>
            <w:vAlign w:val="bottom"/>
            <w:tcBorders>
              <w:top w:val="single" w:sz="8" w:color="0000FF"/>
            </w:tcBorders>
            <w:gridSpan w:val="27"/>
          </w:tcPr>
          <w:p>
            <w:pPr>
              <w:spacing w:after="0" w:line="176" w:lineRule="exact"/>
              <w:rPr>
                <w:sz w:val="20"/>
                <w:szCs w:val="20"/>
                <w:color w:val="auto"/>
              </w:rPr>
            </w:pPr>
            <w:r>
              <w:rPr>
                <w:rFonts w:ascii="Arial" w:cs="Arial" w:eastAsia="Arial" w:hAnsi="Arial"/>
                <w:sz w:val="19"/>
                <w:szCs w:val="19"/>
                <w:b w:val="1"/>
                <w:bCs w:val="1"/>
                <w:color w:val="0000FF"/>
              </w:rPr>
              <w:t>New York Mellon, as trustee, relating to an unlimited amount of senior debt securities.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Incorporated by reference to Exhibit 4(b)(5) to Post-Effective Amendment No. 1 to Xerox</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21"/>
          </w:tcPr>
          <w:p>
            <w:pPr>
              <w:spacing w:after="0" w:line="174" w:lineRule="exact"/>
              <w:rPr>
                <w:sz w:val="20"/>
                <w:szCs w:val="20"/>
                <w:color w:val="auto"/>
              </w:rPr>
            </w:pPr>
            <w:r>
              <w:rPr>
                <w:rFonts w:ascii="Arial" w:cs="Arial" w:eastAsia="Arial" w:hAnsi="Arial"/>
                <w:sz w:val="19"/>
                <w:szCs w:val="19"/>
                <w:b w:val="1"/>
                <w:bCs w:val="1"/>
                <w:color w:val="0000FF"/>
                <w:w w:val="96"/>
              </w:rPr>
              <w:t>Corporation's Registration Statement No. 333-142900. See SEC File Number 001-04471.</w:t>
            </w:r>
          </w:p>
        </w:tc>
        <w:tc>
          <w:tcPr>
            <w:tcW w:w="10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0"/>
                <w:szCs w:val="20"/>
                <w:color w:val="auto"/>
              </w:rPr>
            </w:pPr>
            <w:r>
              <w:rPr>
                <w:rFonts w:ascii="Arial" w:cs="Arial" w:eastAsia="Arial" w:hAnsi="Arial"/>
                <w:sz w:val="19"/>
                <w:szCs w:val="19"/>
                <w:b w:val="1"/>
                <w:bCs w:val="1"/>
                <w:color w:val="0000FF"/>
                <w:w w:val="80"/>
              </w:rPr>
              <w:t>4(b)</w:t>
            </w:r>
          </w:p>
        </w:tc>
        <w:tc>
          <w:tcPr>
            <w:tcW w:w="1080" w:type="dxa"/>
            <w:vAlign w:val="bottom"/>
            <w:gridSpan w:val="2"/>
          </w:tcPr>
          <w:p>
            <w:pPr>
              <w:spacing w:after="0"/>
              <w:rPr>
                <w:sz w:val="22"/>
                <w:szCs w:val="22"/>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8"/>
              </w:rPr>
              <w:t>Form of Indenture dated August 6, 2020 among Xerox Holdings Corporation, Xerox Corporation</w:t>
            </w:r>
          </w:p>
        </w:tc>
        <w:tc>
          <w:tcPr>
            <w:tcW w:w="0" w:type="dxa"/>
            <w:vAlign w:val="bottom"/>
          </w:tcPr>
          <w:p>
            <w:pPr>
              <w:spacing w:after="0"/>
              <w:rPr>
                <w:sz w:val="1"/>
                <w:szCs w:val="1"/>
                <w:color w:val="auto"/>
              </w:rPr>
            </w:pPr>
          </w:p>
        </w:tc>
      </w:tr>
      <w:tr>
        <w:trPr>
          <w:trHeight w:val="22"/>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00" w:type="dxa"/>
            <w:vAlign w:val="bottom"/>
            <w:gridSpan w:val="41"/>
          </w:tcPr>
          <w:p>
            <w:pPr>
              <w:spacing w:after="0" w:line="214" w:lineRule="exact"/>
              <w:rPr>
                <w:sz w:val="20"/>
                <w:szCs w:val="20"/>
                <w:color w:val="auto"/>
              </w:rPr>
            </w:pPr>
            <w:r>
              <w:rPr>
                <w:rFonts w:ascii="Arial" w:cs="Arial" w:eastAsia="Arial" w:hAnsi="Arial"/>
                <w:sz w:val="19"/>
                <w:szCs w:val="19"/>
                <w:b w:val="1"/>
                <w:bCs w:val="1"/>
                <w:color w:val="0000FF"/>
              </w:rPr>
              <w:t>and U.S. Bank National Association, as Trustee, with respect to Xerox Holdings Corporation’s</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7"/>
          </w:tcPr>
          <w:p>
            <w:pPr>
              <w:spacing w:after="0" w:line="204" w:lineRule="exact"/>
              <w:rPr>
                <w:sz w:val="20"/>
                <w:szCs w:val="20"/>
                <w:color w:val="auto"/>
              </w:rPr>
            </w:pPr>
            <w:r>
              <w:rPr>
                <w:rFonts w:ascii="Arial" w:cs="Arial" w:eastAsia="Arial" w:hAnsi="Arial"/>
                <w:sz w:val="19"/>
                <w:szCs w:val="19"/>
                <w:b w:val="1"/>
                <w:bCs w:val="1"/>
                <w:color w:val="0000FF"/>
                <w:w w:val="98"/>
              </w:rPr>
              <w:t>5.</w:t>
            </w:r>
            <w:r>
              <w:rPr>
                <w:rFonts w:ascii="Arial" w:cs="Arial" w:eastAsia="Arial" w:hAnsi="Arial"/>
                <w:sz w:val="19"/>
                <w:szCs w:val="19"/>
                <w:b w:val="1"/>
                <w:bCs w:val="1"/>
                <w:u w:val="single" w:color="auto"/>
                <w:color w:val="0000FF"/>
                <w:w w:val="98"/>
              </w:rPr>
              <w:t>500%</w:t>
            </w:r>
            <w:r>
              <w:rPr>
                <w:rFonts w:ascii="Arial" w:cs="Arial" w:eastAsia="Arial" w:hAnsi="Arial"/>
                <w:sz w:val="19"/>
                <w:szCs w:val="19"/>
                <w:b w:val="1"/>
                <w:bCs w:val="1"/>
                <w:color w:val="0000FF"/>
                <w:w w:val="98"/>
              </w:rPr>
              <w:t xml:space="preserve"> Senior Notes due 2028.</w:t>
            </w:r>
          </w:p>
        </w:tc>
        <w:tc>
          <w:tcPr>
            <w:tcW w:w="1520" w:type="dxa"/>
            <w:vAlign w:val="bottom"/>
            <w:tcBorders>
              <w:top w:val="single" w:sz="8" w:color="0000FF"/>
            </w:tcBorders>
            <w:gridSpan w:val="5"/>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20" w:type="dxa"/>
            <w:vAlign w:val="bottom"/>
            <w:tcBorders>
              <w:bottom w:val="single" w:sz="8" w:color="0000FF"/>
            </w:tcBorders>
            <w:gridSpan w:val="38"/>
          </w:tcPr>
          <w:p>
            <w:pPr>
              <w:spacing w:after="0"/>
              <w:rPr>
                <w:sz w:val="20"/>
                <w:szCs w:val="20"/>
                <w:color w:val="auto"/>
              </w:rPr>
            </w:pPr>
            <w:r>
              <w:rPr>
                <w:rFonts w:ascii="Arial" w:cs="Arial" w:eastAsia="Arial" w:hAnsi="Arial"/>
                <w:sz w:val="19"/>
                <w:szCs w:val="19"/>
                <w:b w:val="1"/>
                <w:bCs w:val="1"/>
                <w:color w:val="0000FF"/>
                <w:w w:val="95"/>
              </w:rPr>
              <w:t>Incorporated by reference to Exhibit 4.2 to Xerox Holdings Corporation’s and Xerox Corporation’s</w:t>
            </w:r>
          </w:p>
        </w:tc>
        <w:tc>
          <w:tcPr>
            <w:tcW w:w="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00" w:type="dxa"/>
            <w:vAlign w:val="bottom"/>
            <w:gridSpan w:val="41"/>
          </w:tcPr>
          <w:p>
            <w:pPr>
              <w:spacing w:after="0" w:line="204" w:lineRule="exact"/>
              <w:rPr>
                <w:sz w:val="20"/>
                <w:szCs w:val="20"/>
                <w:color w:val="auto"/>
              </w:rPr>
            </w:pPr>
            <w:r>
              <w:rPr>
                <w:rFonts w:ascii="Arial" w:cs="Arial" w:eastAsia="Arial" w:hAnsi="Arial"/>
                <w:sz w:val="19"/>
                <w:szCs w:val="19"/>
                <w:b w:val="1"/>
                <w:bCs w:val="1"/>
                <w:color w:val="0000FF"/>
                <w:w w:val="99"/>
              </w:rPr>
              <w:t>combined Current Report on Form 8-K dated August 6, 2020. See SEC File Numbers 001-39013</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80" w:type="dxa"/>
            <w:vAlign w:val="bottom"/>
            <w:tcBorders>
              <w:top w:val="single" w:sz="8" w:color="0000FF"/>
            </w:tcBorders>
            <w:gridSpan w:val="12"/>
          </w:tcPr>
          <w:p>
            <w:pPr>
              <w:spacing w:after="0" w:line="204" w:lineRule="exact"/>
              <w:rPr>
                <w:sz w:val="20"/>
                <w:szCs w:val="20"/>
                <w:color w:val="auto"/>
              </w:rPr>
            </w:pPr>
            <w:r>
              <w:rPr>
                <w:rFonts w:ascii="Arial" w:cs="Arial" w:eastAsia="Arial" w:hAnsi="Arial"/>
                <w:sz w:val="19"/>
                <w:szCs w:val="19"/>
                <w:b w:val="1"/>
                <w:bCs w:val="1"/>
                <w:color w:val="0000FF"/>
              </w:rPr>
              <w:t>and 001-04471.</w:t>
            </w: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4(c)</w:t>
            </w:r>
          </w:p>
        </w:tc>
        <w:tc>
          <w:tcPr>
            <w:tcW w:w="13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Description of Xerox Holdings Corporation Capital Stock.</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4(d)</w:t>
            </w: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Form of Registration Rights Agreement dated as of April 2021 by and among Xerox Holdings</w:t>
            </w:r>
          </w:p>
        </w:tc>
        <w:tc>
          <w:tcPr>
            <w:tcW w:w="0" w:type="dxa"/>
            <w:vAlign w:val="bottom"/>
          </w:tcPr>
          <w:p>
            <w:pPr>
              <w:spacing w:after="0"/>
              <w:rPr>
                <w:sz w:val="1"/>
                <w:szCs w:val="1"/>
                <w:color w:val="auto"/>
              </w:rPr>
            </w:pPr>
          </w:p>
        </w:tc>
      </w:tr>
      <w:tr>
        <w:trPr>
          <w:trHeight w:val="176"/>
        </w:trPr>
        <w:tc>
          <w:tcPr>
            <w:tcW w:w="3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5160" w:type="dxa"/>
            <w:vAlign w:val="bottom"/>
            <w:tcBorders>
              <w:top w:val="single" w:sz="8" w:color="0000FF"/>
              <w:bottom w:val="single" w:sz="8" w:color="0000FF"/>
            </w:tcBorders>
            <w:gridSpan w:val="13"/>
          </w:tcPr>
          <w:p>
            <w:pPr>
              <w:spacing w:after="0" w:line="176" w:lineRule="exact"/>
              <w:rPr>
                <w:sz w:val="20"/>
                <w:szCs w:val="20"/>
                <w:color w:val="auto"/>
              </w:rPr>
            </w:pPr>
            <w:r>
              <w:rPr>
                <w:rFonts w:ascii="Arial" w:cs="Arial" w:eastAsia="Arial" w:hAnsi="Arial"/>
                <w:sz w:val="19"/>
                <w:szCs w:val="19"/>
                <w:b w:val="1"/>
                <w:bCs w:val="1"/>
                <w:color w:val="0000FF"/>
                <w:w w:val="95"/>
              </w:rPr>
              <w:t>Corporation, Carl C. Icahn and the named Icahn companies.</w:t>
            </w:r>
          </w:p>
        </w:tc>
        <w:tc>
          <w:tcPr>
            <w:tcW w:w="2820" w:type="dxa"/>
            <w:vAlign w:val="bottom"/>
            <w:tcBorders>
              <w:top w:val="single" w:sz="8" w:color="0000FF"/>
            </w:tcBorders>
            <w:gridSpan w:val="11"/>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20" w:type="dxa"/>
            <w:vAlign w:val="bottom"/>
            <w:tcBorders>
              <w:bottom w:val="single" w:sz="8" w:color="0000FF"/>
            </w:tcBorders>
            <w:gridSpan w:val="38"/>
          </w:tcPr>
          <w:p>
            <w:pPr>
              <w:spacing w:after="0"/>
              <w:rPr>
                <w:sz w:val="20"/>
                <w:szCs w:val="20"/>
                <w:color w:val="auto"/>
              </w:rPr>
            </w:pPr>
            <w:r>
              <w:rPr>
                <w:rFonts w:ascii="Arial" w:cs="Arial" w:eastAsia="Arial" w:hAnsi="Arial"/>
                <w:sz w:val="19"/>
                <w:szCs w:val="19"/>
                <w:b w:val="1"/>
                <w:bCs w:val="1"/>
                <w:color w:val="0000FF"/>
                <w:w w:val="95"/>
              </w:rPr>
              <w:t>Incorporated by reference to Exhibit 4.1 to Xerox Holdings Corporation’s and Xerox Corporation’s</w:t>
            </w:r>
          </w:p>
        </w:tc>
        <w:tc>
          <w:tcPr>
            <w:tcW w:w="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500" w:type="dxa"/>
            <w:vAlign w:val="bottom"/>
            <w:gridSpan w:val="41"/>
          </w:tcPr>
          <w:p>
            <w:pPr>
              <w:spacing w:after="0" w:line="203" w:lineRule="exact"/>
              <w:rPr>
                <w:sz w:val="20"/>
                <w:szCs w:val="20"/>
                <w:color w:val="auto"/>
              </w:rPr>
            </w:pPr>
            <w:r>
              <w:rPr>
                <w:rFonts w:ascii="Arial" w:cs="Arial" w:eastAsia="Arial" w:hAnsi="Arial"/>
                <w:sz w:val="19"/>
                <w:szCs w:val="19"/>
                <w:b w:val="1"/>
                <w:bCs w:val="1"/>
                <w:color w:val="0000FF"/>
              </w:rPr>
              <w:t>combined Quarterly Report on Form 10-Q for the quarter ended March 31, 2021.  See SEC File</w:t>
            </w:r>
          </w:p>
        </w:tc>
        <w:tc>
          <w:tcPr>
            <w:tcW w:w="0" w:type="dxa"/>
            <w:vAlign w:val="bottom"/>
          </w:tcPr>
          <w:p>
            <w:pPr>
              <w:spacing w:after="0"/>
              <w:rPr>
                <w:sz w:val="1"/>
                <w:szCs w:val="1"/>
                <w:color w:val="auto"/>
              </w:rPr>
            </w:pPr>
          </w:p>
        </w:tc>
      </w:tr>
      <w:tr>
        <w:trPr>
          <w:trHeight w:val="165"/>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4(e)</w:t>
            </w:r>
          </w:p>
        </w:tc>
        <w:tc>
          <w:tcPr>
            <w:tcW w:w="4280" w:type="dxa"/>
            <w:vAlign w:val="bottom"/>
            <w:tcBorders>
              <w:top w:val="single" w:sz="8" w:color="0000FF"/>
            </w:tcBorders>
            <w:gridSpan w:val="12"/>
          </w:tcPr>
          <w:p>
            <w:pPr>
              <w:spacing w:after="0" w:line="164" w:lineRule="exact"/>
              <w:rPr>
                <w:sz w:val="20"/>
                <w:szCs w:val="20"/>
                <w:color w:val="auto"/>
              </w:rPr>
            </w:pPr>
            <w:r>
              <w:rPr>
                <w:rFonts w:ascii="Arial" w:cs="Arial" w:eastAsia="Arial" w:hAnsi="Arial"/>
                <w:sz w:val="19"/>
                <w:szCs w:val="19"/>
                <w:b w:val="1"/>
                <w:bCs w:val="1"/>
                <w:color w:val="0000FF"/>
              </w:rPr>
              <w:t>Numbers 001-39013 and 001-04471.</w:t>
            </w:r>
          </w:p>
        </w:tc>
        <w:tc>
          <w:tcPr>
            <w:tcW w:w="6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9"/>
              </w:rPr>
              <w:t>Indenture, dated March 20, 2024 (the “Indenture”), by and among Xerox Holdings Corporation,</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840" w:type="dxa"/>
            <w:vAlign w:val="bottom"/>
            <w:tcBorders>
              <w:top w:val="single" w:sz="8" w:color="0000FF"/>
              <w:bottom w:val="single" w:sz="8" w:color="0000FF"/>
            </w:tcBorders>
            <w:gridSpan w:val="23"/>
          </w:tcPr>
          <w:p>
            <w:pPr>
              <w:spacing w:after="0" w:line="182" w:lineRule="exact"/>
              <w:rPr>
                <w:sz w:val="20"/>
                <w:szCs w:val="20"/>
                <w:color w:val="auto"/>
              </w:rPr>
            </w:pPr>
            <w:r>
              <w:rPr>
                <w:rFonts w:ascii="Arial" w:cs="Arial" w:eastAsia="Arial" w:hAnsi="Arial"/>
                <w:sz w:val="19"/>
                <w:szCs w:val="19"/>
                <w:b w:val="1"/>
                <w:bCs w:val="1"/>
                <w:color w:val="0000FF"/>
                <w:w w:val="95"/>
              </w:rPr>
              <w:t>Xerox Corporation and Xerox Business Solutions, LLC, as guarantors, and U.S. Bank Trust</w:t>
            </w:r>
          </w:p>
        </w:tc>
        <w:tc>
          <w:tcPr>
            <w:tcW w:w="3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00" w:type="dxa"/>
            <w:vAlign w:val="bottom"/>
            <w:gridSpan w:val="41"/>
          </w:tcPr>
          <w:p>
            <w:pPr>
              <w:spacing w:after="0" w:line="174" w:lineRule="exact"/>
              <w:rPr>
                <w:sz w:val="20"/>
                <w:szCs w:val="20"/>
                <w:color w:val="auto"/>
              </w:rPr>
            </w:pPr>
            <w:r>
              <w:rPr>
                <w:rFonts w:ascii="Arial" w:cs="Arial" w:eastAsia="Arial" w:hAnsi="Arial"/>
                <w:sz w:val="19"/>
                <w:szCs w:val="19"/>
                <w:b w:val="1"/>
                <w:bCs w:val="1"/>
                <w:color w:val="0000FF"/>
                <w:w w:val="96"/>
              </w:rPr>
              <w:t>Company, National Association, as trustee, with respect to Xerox Holdings Corporation’s 8.875%</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80" w:type="dxa"/>
            <w:vAlign w:val="bottom"/>
            <w:tcBorders>
              <w:top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rPr>
              <w:t>Senior Notes due 2029.</w:t>
            </w: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80" w:type="dxa"/>
            <w:vAlign w:val="bottom"/>
            <w:gridSpan w:val="12"/>
          </w:tcPr>
          <w:p>
            <w:pPr>
              <w:spacing w:after="0"/>
              <w:rPr>
                <w:sz w:val="20"/>
                <w:szCs w:val="20"/>
                <w:color w:val="auto"/>
              </w:rPr>
            </w:pPr>
            <w:r>
              <w:rPr>
                <w:rFonts w:ascii="Arial" w:cs="Arial" w:eastAsia="Arial" w:hAnsi="Arial"/>
                <w:sz w:val="19"/>
                <w:szCs w:val="19"/>
                <w:b w:val="1"/>
                <w:bCs w:val="1"/>
                <w:color w:val="0000FF"/>
                <w:w w:val="96"/>
              </w:rPr>
              <w:t>Incorporated by reference to Exhibit 4.1 to Xerox</w:t>
            </w:r>
          </w:p>
        </w:tc>
        <w:tc>
          <w:tcPr>
            <w:tcW w:w="4220" w:type="dxa"/>
            <w:vAlign w:val="bottom"/>
            <w:gridSpan w:val="29"/>
          </w:tcPr>
          <w:p>
            <w:pPr>
              <w:spacing w:after="0"/>
              <w:rPr>
                <w:sz w:val="20"/>
                <w:szCs w:val="20"/>
                <w:color w:val="auto"/>
              </w:rPr>
            </w:pPr>
            <w:r>
              <w:rPr>
                <w:rFonts w:ascii="Arial" w:cs="Arial" w:eastAsia="Arial" w:hAnsi="Arial"/>
                <w:sz w:val="19"/>
                <w:szCs w:val="19"/>
                <w:b w:val="1"/>
                <w:bCs w:val="1"/>
                <w:color w:val="0000FF"/>
                <w:w w:val="95"/>
              </w:rPr>
              <w:t>Holdings Corporation’s and Xerox Corporation’s</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40" w:type="dxa"/>
            <w:vAlign w:val="bottom"/>
            <w:tcBorders>
              <w:top w:val="single" w:sz="8" w:color="0000FF"/>
              <w:bottom w:val="single" w:sz="8" w:color="0000FF"/>
            </w:tcBorders>
            <w:gridSpan w:val="39"/>
          </w:tcPr>
          <w:p>
            <w:pPr>
              <w:spacing w:after="0" w:line="174" w:lineRule="exact"/>
              <w:rPr>
                <w:sz w:val="20"/>
                <w:szCs w:val="20"/>
                <w:color w:val="auto"/>
              </w:rPr>
            </w:pPr>
            <w:r>
              <w:rPr>
                <w:rFonts w:ascii="Arial" w:cs="Arial" w:eastAsia="Arial" w:hAnsi="Arial"/>
                <w:sz w:val="19"/>
                <w:szCs w:val="19"/>
                <w:b w:val="1"/>
                <w:bCs w:val="1"/>
                <w:color w:val="0000FF"/>
                <w:w w:val="98"/>
              </w:rPr>
              <w:t>combined Current Report on Form 8-K dated March 25, 2024. See SEC File Numbers 001-39013</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80" w:type="dxa"/>
            <w:vAlign w:val="bottom"/>
            <w:gridSpan w:val="12"/>
          </w:tcPr>
          <w:p>
            <w:pPr>
              <w:spacing w:after="0" w:line="174" w:lineRule="exact"/>
              <w:rPr>
                <w:sz w:val="20"/>
                <w:szCs w:val="20"/>
                <w:color w:val="auto"/>
              </w:rPr>
            </w:pPr>
            <w:r>
              <w:rPr>
                <w:rFonts w:ascii="Arial" w:cs="Arial" w:eastAsia="Arial" w:hAnsi="Arial"/>
                <w:sz w:val="19"/>
                <w:szCs w:val="19"/>
                <w:b w:val="1"/>
                <w:bCs w:val="1"/>
                <w:color w:val="0000FF"/>
              </w:rPr>
              <w:t>and 001-04471.</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4(f)</w:t>
            </w:r>
          </w:p>
        </w:tc>
        <w:tc>
          <w:tcPr>
            <w:tcW w:w="136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6"/>
              </w:rPr>
              <w:t>Indenture, dated March 11, 2024 (the “Indenture”), among Xerox Holdings Corporation, as issuer,</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840" w:type="dxa"/>
            <w:vAlign w:val="bottom"/>
            <w:tcBorders>
              <w:top w:val="single" w:sz="8" w:color="0000FF"/>
              <w:bottom w:val="single" w:sz="8" w:color="0000FF"/>
            </w:tcBorders>
            <w:gridSpan w:val="23"/>
          </w:tcPr>
          <w:p>
            <w:pPr>
              <w:spacing w:after="0" w:line="182" w:lineRule="exact"/>
              <w:rPr>
                <w:sz w:val="20"/>
                <w:szCs w:val="20"/>
                <w:color w:val="auto"/>
              </w:rPr>
            </w:pPr>
            <w:r>
              <w:rPr>
                <w:rFonts w:ascii="Arial" w:cs="Arial" w:eastAsia="Arial" w:hAnsi="Arial"/>
                <w:sz w:val="19"/>
                <w:szCs w:val="19"/>
                <w:b w:val="1"/>
                <w:bCs w:val="1"/>
                <w:color w:val="0000FF"/>
                <w:w w:val="95"/>
              </w:rPr>
              <w:t>Xerox Corporation and Xerox Business Solutions, LLC, as guarantors, and U.S. Bank Trust</w:t>
            </w:r>
          </w:p>
        </w:tc>
        <w:tc>
          <w:tcPr>
            <w:tcW w:w="52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00" w:type="dxa"/>
            <w:vAlign w:val="bottom"/>
            <w:gridSpan w:val="41"/>
          </w:tcPr>
          <w:p>
            <w:pPr>
              <w:spacing w:after="0" w:line="174" w:lineRule="exact"/>
              <w:rPr>
                <w:sz w:val="20"/>
                <w:szCs w:val="20"/>
                <w:color w:val="auto"/>
              </w:rPr>
            </w:pPr>
            <w:r>
              <w:rPr>
                <w:rFonts w:ascii="Arial" w:cs="Arial" w:eastAsia="Arial" w:hAnsi="Arial"/>
                <w:sz w:val="19"/>
                <w:szCs w:val="19"/>
                <w:b w:val="1"/>
                <w:bCs w:val="1"/>
                <w:color w:val="0000FF"/>
                <w:w w:val="98"/>
              </w:rPr>
              <w:t>Company, National Association, as trustee., with respect to Xerox Holding Corporation’s 3.75%</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80" w:type="dxa"/>
            <w:vAlign w:val="bottom"/>
            <w:tcBorders>
              <w:top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rPr>
              <w:t>Senior Notes due 2030.</w:t>
            </w: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6"/>
              </w:rPr>
              <w:t>Incorporated by reference to Exhibit 4.1 to Xerox Holdings Corporation’s and Xerox Corporation’s</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20" w:type="dxa"/>
            <w:vAlign w:val="bottom"/>
            <w:tcBorders>
              <w:top w:val="single" w:sz="8" w:color="0000FF"/>
            </w:tcBorders>
            <w:gridSpan w:val="38"/>
          </w:tcPr>
          <w:p>
            <w:pPr>
              <w:spacing w:after="0" w:line="174" w:lineRule="exact"/>
              <w:rPr>
                <w:sz w:val="20"/>
                <w:szCs w:val="20"/>
                <w:color w:val="auto"/>
              </w:rPr>
            </w:pPr>
            <w:r>
              <w:rPr>
                <w:rFonts w:ascii="Arial" w:cs="Arial" w:eastAsia="Arial" w:hAnsi="Arial"/>
                <w:sz w:val="19"/>
                <w:szCs w:val="19"/>
                <w:b w:val="1"/>
                <w:bCs w:val="1"/>
                <w:color w:val="0000FF"/>
              </w:rPr>
              <w:t>combined Quarterly Report on Form 8-K dated March 12, 2024. See SEC File Numbers</w:t>
            </w:r>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80" w:type="dxa"/>
            <w:vAlign w:val="bottom"/>
            <w:tcBorders>
              <w:top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rPr>
              <w:t>001-39013 and 001-04471.</w:t>
            </w: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4(g)</w:t>
            </w:r>
          </w:p>
        </w:tc>
        <w:tc>
          <w:tcPr>
            <w:tcW w:w="2340" w:type="dxa"/>
            <w:vAlign w:val="bottom"/>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640" w:type="dxa"/>
            <w:vAlign w:val="bottom"/>
            <w:gridSpan w:val="1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400" w:type="dxa"/>
            <w:vAlign w:val="bottom"/>
            <w:gridSpan w:val="3"/>
            <w:vMerge w:val="continue"/>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rPr>
              <w:t>Indenture, dated April 11, 2025, among Xerox Corporation, as issuer, and U.S. Bank Trust</w:t>
            </w:r>
          </w:p>
        </w:tc>
        <w:tc>
          <w:tcPr>
            <w:tcW w:w="0" w:type="dxa"/>
            <w:vAlign w:val="bottom"/>
          </w:tcPr>
          <w:p>
            <w:pPr>
              <w:spacing w:after="0"/>
              <w:rPr>
                <w:sz w:val="1"/>
                <w:szCs w:val="1"/>
                <w:color w:val="auto"/>
              </w:rPr>
            </w:pPr>
          </w:p>
        </w:tc>
      </w:tr>
      <w:tr>
        <w:trPr>
          <w:trHeight w:val="184"/>
        </w:trPr>
        <w:tc>
          <w:tcPr>
            <w:tcW w:w="320" w:type="dxa"/>
            <w:vAlign w:val="bottom"/>
            <w:tcBorders>
              <w:top w:val="single" w:sz="8" w:color="0000FF"/>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20" w:type="dxa"/>
            <w:vAlign w:val="bottom"/>
            <w:tcBorders>
              <w:top w:val="single" w:sz="8" w:color="0000FF"/>
            </w:tcBorders>
            <w:gridSpan w:val="22"/>
          </w:tcPr>
          <w:p>
            <w:pPr>
              <w:spacing w:after="0" w:line="184" w:lineRule="exact"/>
              <w:rPr>
                <w:sz w:val="20"/>
                <w:szCs w:val="20"/>
                <w:color w:val="auto"/>
              </w:rPr>
            </w:pPr>
            <w:r>
              <w:rPr>
                <w:rFonts w:ascii="Arial" w:cs="Arial" w:eastAsia="Arial" w:hAnsi="Arial"/>
                <w:sz w:val="19"/>
                <w:szCs w:val="19"/>
                <w:b w:val="1"/>
                <w:bCs w:val="1"/>
                <w:color w:val="0000FF"/>
                <w:w w:val="96"/>
              </w:rPr>
              <w:t>Company, National Association, as trustee, with respect to Xerox Corporation's 10.250%</w:t>
            </w:r>
          </w:p>
        </w:tc>
        <w:tc>
          <w:tcPr>
            <w:tcW w:w="760" w:type="dxa"/>
            <w:vAlign w:val="bottom"/>
            <w:gridSpan w:val="18"/>
          </w:tcPr>
          <w:p>
            <w:pPr>
              <w:spacing w:after="0" w:line="184" w:lineRule="exact"/>
              <w:rPr>
                <w:sz w:val="20"/>
                <w:szCs w:val="20"/>
                <w:color w:val="auto"/>
              </w:rPr>
            </w:pPr>
            <w:r>
              <w:rPr>
                <w:rFonts w:ascii="Arial" w:cs="Arial" w:eastAsia="Arial" w:hAnsi="Arial"/>
                <w:sz w:val="19"/>
                <w:szCs w:val="19"/>
                <w:b w:val="1"/>
                <w:bCs w:val="1"/>
                <w:color w:val="0000FF"/>
              </w:rPr>
              <w:t>Senior</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8"/>
          </w:tcPr>
          <w:p>
            <w:pPr>
              <w:spacing w:after="0" w:line="174" w:lineRule="exact"/>
              <w:rPr>
                <w:sz w:val="20"/>
                <w:szCs w:val="20"/>
                <w:color w:val="auto"/>
              </w:rPr>
            </w:pPr>
            <w:r>
              <w:rPr>
                <w:rFonts w:ascii="Arial" w:cs="Arial" w:eastAsia="Arial" w:hAnsi="Arial"/>
                <w:sz w:val="19"/>
                <w:szCs w:val="19"/>
                <w:b w:val="1"/>
                <w:bCs w:val="1"/>
                <w:color w:val="0000FF"/>
                <w:w w:val="96"/>
              </w:rPr>
              <w:t>Secured First Lien Notes due 2030.</w:t>
            </w:r>
          </w:p>
        </w:tc>
        <w:tc>
          <w:tcPr>
            <w:tcW w:w="1180" w:type="dxa"/>
            <w:vAlign w:val="bottom"/>
            <w:tcBorders>
              <w:top w:val="single" w:sz="8" w:color="0000FF"/>
            </w:tcBorders>
            <w:gridSpan w:val="4"/>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500" w:type="dxa"/>
            <w:vAlign w:val="bottom"/>
            <w:gridSpan w:val="41"/>
          </w:tcPr>
          <w:p>
            <w:pPr>
              <w:spacing w:after="0"/>
              <w:rPr>
                <w:sz w:val="20"/>
                <w:szCs w:val="20"/>
                <w:color w:val="auto"/>
              </w:rPr>
            </w:pPr>
            <w:r>
              <w:rPr>
                <w:rFonts w:ascii="Arial" w:cs="Arial" w:eastAsia="Arial" w:hAnsi="Arial"/>
                <w:sz w:val="19"/>
                <w:szCs w:val="19"/>
                <w:b w:val="1"/>
                <w:bCs w:val="1"/>
                <w:color w:val="0000FF"/>
                <w:w w:val="96"/>
              </w:rPr>
              <w:t>Incorporated by reference to Exhibit 4.1 to Xerox Holdings Corporation's and Xerox Corporation's</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0" w:type="dxa"/>
            <w:vAlign w:val="bottom"/>
            <w:tcBorders>
              <w:top w:val="single" w:sz="8" w:color="0000FF"/>
            </w:tcBorders>
            <w:gridSpan w:val="37"/>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April 11, 2025. See SEC File Number 001-39013.</w:t>
            </w: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905"/>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gridSpan w:val="8"/>
          </w:tcPr>
          <w:p>
            <w:pPr>
              <w:ind w:left="180"/>
              <w:spacing w:after="0"/>
              <w:rPr>
                <w:sz w:val="20"/>
                <w:szCs w:val="20"/>
                <w:color w:val="auto"/>
              </w:rPr>
            </w:pPr>
            <w:r>
              <w:rPr>
                <w:rFonts w:ascii="Arial" w:cs="Arial" w:eastAsia="Arial" w:hAnsi="Arial"/>
                <w:sz w:val="18"/>
                <w:szCs w:val="18"/>
                <w:color w:val="E3001D"/>
                <w:w w:val="96"/>
              </w:rPr>
              <w:t>Xerox 2025 Annual Report</w:t>
            </w:r>
          </w:p>
        </w:tc>
        <w:tc>
          <w:tcPr>
            <w:tcW w:w="6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E3001D"/>
              </w:rPr>
              <w:t>171</w:t>
            </w:r>
          </w:p>
        </w:tc>
        <w:tc>
          <w:tcPr>
            <w:tcW w:w="3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960"/>
          </w:cols>
          <w:pgMar w:left="960" w:top="724" w:right="960" w:bottom="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4(h)</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8"/>
              </w:rPr>
              <w:t>Indenture, dated April 11, 2025, among Xerox Issuer Corporation, as issuer, and U.S. Bank Trust</w:t>
            </w:r>
          </w:p>
        </w:tc>
      </w:tr>
      <w:tr>
        <w:trPr>
          <w:trHeight w:val="184"/>
        </w:trPr>
        <w:tc>
          <w:tcPr>
            <w:tcW w:w="2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Borders>
              <w:top w:val="single" w:sz="8" w:color="0000FF"/>
            </w:tcBorders>
            <w:gridSpan w:val="29"/>
          </w:tcPr>
          <w:p>
            <w:pPr>
              <w:spacing w:after="0" w:line="184" w:lineRule="exact"/>
              <w:rPr>
                <w:sz w:val="20"/>
                <w:szCs w:val="20"/>
                <w:color w:val="auto"/>
              </w:rPr>
            </w:pPr>
            <w:r>
              <w:rPr>
                <w:rFonts w:ascii="Arial" w:cs="Arial" w:eastAsia="Arial" w:hAnsi="Arial"/>
                <w:sz w:val="19"/>
                <w:szCs w:val="19"/>
                <w:b w:val="1"/>
                <w:bCs w:val="1"/>
                <w:color w:val="0000FF"/>
                <w:w w:val="96"/>
              </w:rPr>
              <w:t>Company, National Association, as trustee, with respect to Xerox Issuer Corporation's 13.500%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7"/>
          </w:tcPr>
          <w:p>
            <w:pPr>
              <w:spacing w:after="0" w:line="174" w:lineRule="exact"/>
              <w:rPr>
                <w:sz w:val="20"/>
                <w:szCs w:val="20"/>
                <w:color w:val="auto"/>
              </w:rPr>
            </w:pPr>
            <w:r>
              <w:rPr>
                <w:rFonts w:ascii="Arial" w:cs="Arial" w:eastAsia="Arial" w:hAnsi="Arial"/>
                <w:sz w:val="19"/>
                <w:szCs w:val="19"/>
                <w:b w:val="1"/>
                <w:bCs w:val="1"/>
                <w:color w:val="0000FF"/>
                <w:w w:val="96"/>
              </w:rPr>
              <w:t>Senior Secured Second Lien Notes due 2031.</w:t>
            </w:r>
          </w:p>
        </w:tc>
        <w:tc>
          <w:tcPr>
            <w:tcW w:w="42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4.2 to Xerox Holdings Corporation's and Xerox Corporation's</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24"/>
          </w:tcPr>
          <w:p>
            <w:pPr>
              <w:spacing w:after="0" w:line="174" w:lineRule="exact"/>
              <w:rPr>
                <w:sz w:val="20"/>
                <w:szCs w:val="20"/>
                <w:color w:val="auto"/>
              </w:rPr>
            </w:pPr>
            <w:r>
              <w:rPr>
                <w:rFonts w:ascii="Arial" w:cs="Arial" w:eastAsia="Arial" w:hAnsi="Arial"/>
                <w:sz w:val="19"/>
                <w:szCs w:val="19"/>
                <w:b w:val="1"/>
                <w:bCs w:val="1"/>
                <w:color w:val="0000FF"/>
                <w:w w:val="96"/>
              </w:rPr>
              <w:t>combined Current Report on Form 8-K dated April 11, 2025. See SEC File Number 001-39013</w:t>
            </w:r>
          </w:p>
        </w:tc>
        <w:tc>
          <w:tcPr>
            <w:tcW w:w="3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4(i)</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7"/>
              </w:rPr>
              <w:t>Indenture, dated July 1, 2025, among Xerox Holdings Corporation, as issuer, and U.S. Bank Trust</w:t>
            </w:r>
          </w:p>
        </w:tc>
      </w:tr>
      <w:tr>
        <w:trPr>
          <w:trHeight w:val="184"/>
        </w:trPr>
        <w:tc>
          <w:tcPr>
            <w:tcW w:w="28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8420" w:type="dxa"/>
            <w:vAlign w:val="bottom"/>
            <w:tcBorders>
              <w:top w:val="single" w:sz="8" w:color="0000FF"/>
              <w:bottom w:val="single" w:sz="8" w:color="0000FF"/>
            </w:tcBorders>
            <w:gridSpan w:val="34"/>
          </w:tcPr>
          <w:p>
            <w:pPr>
              <w:spacing w:after="0" w:line="184" w:lineRule="exact"/>
              <w:rPr>
                <w:sz w:val="20"/>
                <w:szCs w:val="20"/>
                <w:color w:val="auto"/>
              </w:rPr>
            </w:pPr>
            <w:r>
              <w:rPr>
                <w:rFonts w:ascii="Arial" w:cs="Arial" w:eastAsia="Arial" w:hAnsi="Arial"/>
                <w:sz w:val="19"/>
                <w:szCs w:val="19"/>
                <w:b w:val="1"/>
                <w:bCs w:val="1"/>
                <w:color w:val="0000FF"/>
                <w:w w:val="95"/>
              </w:rPr>
              <w:t>Company, National Association, as trustee, with respect to Xerox Holdings Corporation's 13.000%</w:t>
            </w:r>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20" w:type="dxa"/>
            <w:vAlign w:val="bottom"/>
            <w:tcBorders>
              <w:bottom w:val="single" w:sz="8" w:color="0000FF"/>
            </w:tcBorders>
            <w:gridSpan w:val="5"/>
          </w:tcPr>
          <w:p>
            <w:pPr>
              <w:spacing w:after="0" w:line="174" w:lineRule="exact"/>
              <w:rPr>
                <w:sz w:val="20"/>
                <w:szCs w:val="20"/>
                <w:color w:val="auto"/>
              </w:rPr>
            </w:pPr>
            <w:r>
              <w:rPr>
                <w:rFonts w:ascii="Arial" w:cs="Arial" w:eastAsia="Arial" w:hAnsi="Arial"/>
                <w:sz w:val="19"/>
                <w:szCs w:val="19"/>
                <w:b w:val="1"/>
                <w:bCs w:val="1"/>
                <w:color w:val="0000FF"/>
                <w:w w:val="96"/>
              </w:rPr>
              <w:t>Step Up Senior Lien Notes due 2030.</w:t>
            </w:r>
          </w:p>
        </w:tc>
        <w:tc>
          <w:tcPr>
            <w:tcW w:w="5240" w:type="dxa"/>
            <w:vAlign w:val="bottom"/>
            <w:gridSpan w:val="3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4.1 to Xerox Holdings Corporation's and Xerox Corporation's</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0" w:type="dxa"/>
            <w:vAlign w:val="bottom"/>
            <w:tcBorders>
              <w:top w:val="single" w:sz="8" w:color="0000FF"/>
            </w:tcBorders>
            <w:gridSpan w:val="33"/>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July 1, 2025. See SEC File Number 001-39013.</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00" w:type="dxa"/>
            <w:vAlign w:val="bottom"/>
            <w:gridSpan w:val="5"/>
          </w:tcPr>
          <w:p>
            <w:pPr>
              <w:spacing w:after="0"/>
              <w:rPr>
                <w:sz w:val="20"/>
                <w:szCs w:val="20"/>
                <w:color w:val="auto"/>
              </w:rPr>
            </w:pPr>
            <w:r>
              <w:rPr>
                <w:rFonts w:ascii="Arial" w:cs="Arial" w:eastAsia="Arial" w:hAnsi="Arial"/>
                <w:sz w:val="19"/>
                <w:szCs w:val="19"/>
                <w:b w:val="1"/>
                <w:bCs w:val="1"/>
                <w:color w:val="auto"/>
              </w:rPr>
              <w:t>4(j)</w:t>
            </w:r>
          </w:p>
        </w:tc>
        <w:tc>
          <w:tcPr>
            <w:tcW w:w="8000" w:type="dxa"/>
            <w:vAlign w:val="bottom"/>
            <w:tcBorders>
              <w:top w:val="single" w:sz="8" w:color="0000FF"/>
            </w:tcBorders>
            <w:gridSpan w:val="23"/>
          </w:tcPr>
          <w:p>
            <w:pPr>
              <w:spacing w:after="0"/>
              <w:rPr>
                <w:sz w:val="20"/>
                <w:szCs w:val="20"/>
                <w:color w:val="auto"/>
              </w:rPr>
            </w:pPr>
            <w:r>
              <w:rPr>
                <w:rFonts w:ascii="Arial" w:cs="Arial" w:eastAsia="Arial" w:hAnsi="Arial"/>
                <w:sz w:val="19"/>
                <w:szCs w:val="19"/>
                <w:b w:val="1"/>
                <w:bCs w:val="1"/>
                <w:color w:val="auto"/>
                <w:w w:val="97"/>
              </w:rPr>
              <w:t>Instruments with respect to long-term debt where the total amount of securities authorized</w:t>
            </w:r>
          </w:p>
        </w:tc>
        <w:tc>
          <w:tcPr>
            <w:tcW w:w="540" w:type="dxa"/>
            <w:vAlign w:val="bottom"/>
            <w:gridSpan w:val="17"/>
          </w:tcPr>
          <w:p>
            <w:pPr>
              <w:spacing w:after="0"/>
              <w:rPr>
                <w:sz w:val="21"/>
                <w:szCs w:val="21"/>
                <w:color w:val="auto"/>
              </w:rPr>
            </w:pPr>
          </w:p>
        </w:tc>
      </w:tr>
      <w:tr>
        <w:trPr>
          <w:trHeight w:val="19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540" w:type="dxa"/>
            <w:vAlign w:val="bottom"/>
            <w:gridSpan w:val="40"/>
          </w:tcPr>
          <w:p>
            <w:pPr>
              <w:spacing w:after="0" w:line="194" w:lineRule="exact"/>
              <w:rPr>
                <w:sz w:val="20"/>
                <w:szCs w:val="20"/>
                <w:color w:val="auto"/>
              </w:rPr>
            </w:pPr>
            <w:r>
              <w:rPr>
                <w:rFonts w:ascii="Arial" w:cs="Arial" w:eastAsia="Arial" w:hAnsi="Arial"/>
                <w:sz w:val="19"/>
                <w:szCs w:val="19"/>
                <w:b w:val="1"/>
                <w:bCs w:val="1"/>
                <w:color w:val="auto"/>
                <w:w w:val="98"/>
              </w:rPr>
              <w:t>thereunder does not exceed 10 percent of the total assets of Xerox Holdings Corporation and/or</w:t>
            </w:r>
          </w:p>
        </w:tc>
      </w:tr>
      <w:tr>
        <w:trPr>
          <w:trHeight w:val="19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540" w:type="dxa"/>
            <w:vAlign w:val="bottom"/>
            <w:gridSpan w:val="40"/>
          </w:tcPr>
          <w:p>
            <w:pPr>
              <w:spacing w:after="0" w:line="194" w:lineRule="exact"/>
              <w:rPr>
                <w:sz w:val="20"/>
                <w:szCs w:val="20"/>
                <w:color w:val="auto"/>
              </w:rPr>
            </w:pPr>
            <w:r>
              <w:rPr>
                <w:rFonts w:ascii="Arial" w:cs="Arial" w:eastAsia="Arial" w:hAnsi="Arial"/>
                <w:sz w:val="19"/>
                <w:szCs w:val="19"/>
                <w:b w:val="1"/>
                <w:bCs w:val="1"/>
                <w:color w:val="auto"/>
                <w:w w:val="95"/>
              </w:rPr>
              <w:t>Xerox Corporation, as applicable, and its subsidiaries on a consolidated basis have not been filed.</w:t>
            </w:r>
          </w:p>
        </w:tc>
      </w:tr>
      <w:tr>
        <w:trPr>
          <w:trHeight w:val="19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540" w:type="dxa"/>
            <w:vAlign w:val="bottom"/>
            <w:gridSpan w:val="40"/>
          </w:tcPr>
          <w:p>
            <w:pPr>
              <w:spacing w:after="0" w:line="194" w:lineRule="exact"/>
              <w:rPr>
                <w:sz w:val="20"/>
                <w:szCs w:val="20"/>
                <w:color w:val="auto"/>
              </w:rPr>
            </w:pPr>
            <w:r>
              <w:rPr>
                <w:rFonts w:ascii="Arial" w:cs="Arial" w:eastAsia="Arial" w:hAnsi="Arial"/>
                <w:sz w:val="19"/>
                <w:szCs w:val="19"/>
                <w:b w:val="1"/>
                <w:bCs w:val="1"/>
                <w:color w:val="auto"/>
              </w:rPr>
              <w:t>Xerox Holdings Corporation and/or Xerox Corporation, as applicable, agrees to furnish to the</w:t>
            </w:r>
          </w:p>
        </w:tc>
      </w:tr>
      <w:tr>
        <w:trPr>
          <w:trHeight w:val="257"/>
        </w:trPr>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auto"/>
              </w:rPr>
              <w:t>Commission a copy of each such instrument upon request.</w:t>
            </w:r>
          </w:p>
        </w:tc>
      </w:tr>
      <w:tr>
        <w:trPr>
          <w:trHeight w:val="236"/>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*10(a)</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Officer Severance Program, as amended and restated effective March 11, 2024.</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40" w:type="dxa"/>
            <w:vAlign w:val="bottom"/>
            <w:tcBorders>
              <w:bottom w:val="single" w:sz="8" w:color="0000FF"/>
            </w:tcBorders>
            <w:gridSpan w:val="40"/>
          </w:tcPr>
          <w:p>
            <w:pPr>
              <w:spacing w:after="0"/>
              <w:rPr>
                <w:sz w:val="20"/>
                <w:szCs w:val="20"/>
                <w:color w:val="auto"/>
              </w:rPr>
            </w:pPr>
            <w:r>
              <w:rPr>
                <w:rFonts w:ascii="Arial" w:cs="Arial" w:eastAsia="Arial" w:hAnsi="Arial"/>
                <w:sz w:val="19"/>
                <w:szCs w:val="19"/>
                <w:b w:val="1"/>
                <w:bCs w:val="1"/>
                <w:color w:val="0000FF"/>
                <w:w w:val="95"/>
              </w:rPr>
              <w:t>Incorporated by reference to Exhibit 10.1 to Xerox Holdings Corporation’s and Xerox Corporation’s</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540" w:type="dxa"/>
            <w:vAlign w:val="bottom"/>
            <w:gridSpan w:val="40"/>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March 15, 2024 See SEC File Nos. 001-39013 and</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Borders>
              <w:top w:val="single" w:sz="8" w:color="0000FF"/>
              <w:bottom w:val="single" w:sz="8" w:color="0000FF"/>
            </w:tcBorders>
            <w:gridSpan w:val="2"/>
          </w:tcPr>
          <w:p>
            <w:pPr>
              <w:spacing w:after="0" w:line="174" w:lineRule="exact"/>
              <w:rPr>
                <w:sz w:val="20"/>
                <w:szCs w:val="20"/>
                <w:color w:val="auto"/>
              </w:rPr>
            </w:pPr>
            <w:r>
              <w:rPr>
                <w:rFonts w:ascii="Arial" w:cs="Arial" w:eastAsia="Arial" w:hAnsi="Arial"/>
                <w:sz w:val="19"/>
                <w:szCs w:val="19"/>
                <w:b w:val="1"/>
                <w:bCs w:val="1"/>
                <w:color w:val="0000FF"/>
              </w:rPr>
              <w:t>001-04471.</w:t>
            </w:r>
          </w:p>
        </w:tc>
        <w:tc>
          <w:tcPr>
            <w:tcW w:w="9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*10(b)</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8"/>
              </w:rPr>
              <w:t>Compensation Plan Agreement, dated as of July 31, 2019 between Xerox Corporation and Xerox</w:t>
            </w:r>
          </w:p>
        </w:tc>
      </w:tr>
      <w:tr>
        <w:trPr>
          <w:trHeight w:val="174"/>
        </w:trPr>
        <w:tc>
          <w:tcPr>
            <w:tcW w:w="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920" w:type="dxa"/>
            <w:vAlign w:val="bottom"/>
            <w:tcBorders>
              <w:top w:val="single" w:sz="8" w:color="0000FF"/>
              <w:bottom w:val="single" w:sz="8" w:color="0000FF"/>
            </w:tcBorders>
            <w:gridSpan w:val="2"/>
          </w:tcPr>
          <w:p>
            <w:pPr>
              <w:spacing w:after="0" w:line="174" w:lineRule="exact"/>
              <w:rPr>
                <w:sz w:val="20"/>
                <w:szCs w:val="20"/>
                <w:color w:val="auto"/>
              </w:rPr>
            </w:pPr>
            <w:r>
              <w:rPr>
                <w:rFonts w:ascii="Arial" w:cs="Arial" w:eastAsia="Arial" w:hAnsi="Arial"/>
                <w:sz w:val="19"/>
                <w:szCs w:val="19"/>
                <w:b w:val="1"/>
                <w:bCs w:val="1"/>
                <w:color w:val="0000FF"/>
                <w:w w:val="94"/>
              </w:rPr>
              <w:t>Holdings Corporation.</w:t>
            </w:r>
          </w:p>
        </w:tc>
        <w:tc>
          <w:tcPr>
            <w:tcW w:w="642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8"/>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5"/>
              </w:rPr>
              <w:t>Incorporated by reference to Exhibit 10.1 to Xerox Holdings Corporation’s Current Report on Form</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0" w:type="dxa"/>
            <w:vAlign w:val="bottom"/>
            <w:tcBorders>
              <w:top w:val="single" w:sz="8" w:color="0000FF"/>
              <w:bottom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rPr>
              <w:t>8-K Dated July 31, 2019. See SEC File Number 001-39013.</w:t>
            </w:r>
          </w:p>
        </w:tc>
        <w:tc>
          <w:tcPr>
            <w:tcW w:w="3300" w:type="dxa"/>
            <w:vAlign w:val="bottom"/>
            <w:tcBorders>
              <w:top w:val="single" w:sz="8" w:color="0000FF"/>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*10(c)(1)</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9"/>
              </w:rPr>
              <w:t>Xerox Corporation's 2004 Equity Compensation Plan for Non-Employee Directors, as amended</w:t>
            </w:r>
          </w:p>
        </w:tc>
      </w:tr>
      <w:tr>
        <w:trPr>
          <w:trHeight w:val="176"/>
        </w:trPr>
        <w:tc>
          <w:tcPr>
            <w:tcW w:w="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420" w:type="dxa"/>
            <w:vAlign w:val="bottom"/>
            <w:tcBorders>
              <w:top w:val="single" w:sz="8" w:color="0000FF"/>
              <w:bottom w:val="single" w:sz="8" w:color="0000FF"/>
            </w:tcBorders>
            <w:gridSpan w:val="9"/>
          </w:tcPr>
          <w:p>
            <w:pPr>
              <w:spacing w:after="0" w:line="176" w:lineRule="exact"/>
              <w:rPr>
                <w:sz w:val="20"/>
                <w:szCs w:val="20"/>
                <w:color w:val="auto"/>
              </w:rPr>
            </w:pPr>
            <w:r>
              <w:rPr>
                <w:rFonts w:ascii="Arial" w:cs="Arial" w:eastAsia="Arial" w:hAnsi="Arial"/>
                <w:sz w:val="19"/>
                <w:szCs w:val="19"/>
                <w:b w:val="1"/>
                <w:bCs w:val="1"/>
                <w:color w:val="0000FF"/>
                <w:w w:val="97"/>
              </w:rPr>
              <w:t>and restated as of July 31, 2019 ("2004 ECPNED").</w:t>
            </w:r>
          </w:p>
        </w:tc>
        <w:tc>
          <w:tcPr>
            <w:tcW w:w="378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10.3 to Xerox Holdings Corporation's Current Report on Form</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700" w:type="dxa"/>
            <w:vAlign w:val="bottom"/>
            <w:tcBorders>
              <w:top w:val="single" w:sz="8" w:color="0000FF"/>
              <w:bottom w:val="single" w:sz="8" w:color="0000FF"/>
            </w:tcBorders>
            <w:gridSpan w:val="13"/>
          </w:tcPr>
          <w:p>
            <w:pPr>
              <w:spacing w:after="0" w:line="174" w:lineRule="exact"/>
              <w:rPr>
                <w:sz w:val="20"/>
                <w:szCs w:val="20"/>
                <w:color w:val="auto"/>
              </w:rPr>
            </w:pPr>
            <w:r>
              <w:rPr>
                <w:rFonts w:ascii="Arial" w:cs="Arial" w:eastAsia="Arial" w:hAnsi="Arial"/>
                <w:sz w:val="19"/>
                <w:szCs w:val="19"/>
                <w:b w:val="1"/>
                <w:bCs w:val="1"/>
                <w:color w:val="0000FF"/>
              </w:rPr>
              <w:t>8-K dated July 31, 2019. See SEC File Number 001-0447139013.</w:t>
            </w:r>
          </w:p>
        </w:tc>
        <w:tc>
          <w:tcPr>
            <w:tcW w:w="2780" w:type="dxa"/>
            <w:vAlign w:val="bottom"/>
            <w:tcBorders>
              <w:top w:val="single" w:sz="8" w:color="0000FF"/>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*10(c)(2)</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Form of Agreement under 2004 ECPNED.</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10(d)(2) to Xerox Corporation's Quarterly Report on Form 10-</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20" w:type="dxa"/>
            <w:vAlign w:val="bottom"/>
            <w:tcBorders>
              <w:top w:val="single" w:sz="8" w:color="0000FF"/>
            </w:tcBorders>
            <w:gridSpan w:val="34"/>
          </w:tcPr>
          <w:p>
            <w:pPr>
              <w:spacing w:after="0" w:line="174" w:lineRule="exact"/>
              <w:rPr>
                <w:sz w:val="20"/>
                <w:szCs w:val="20"/>
                <w:color w:val="auto"/>
              </w:rPr>
            </w:pPr>
            <w:r>
              <w:rPr>
                <w:rFonts w:ascii="Arial" w:cs="Arial" w:eastAsia="Arial" w:hAnsi="Arial"/>
                <w:sz w:val="19"/>
                <w:szCs w:val="19"/>
                <w:b w:val="1"/>
                <w:bCs w:val="1"/>
                <w:color w:val="0000FF"/>
              </w:rPr>
              <w:t>Q for the Quarter ended March 31, 2005. See SEC File Number 001-04471.</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*10(c)(3)</w:t>
            </w:r>
          </w:p>
        </w:tc>
        <w:tc>
          <w:tcPr>
            <w:tcW w:w="6560" w:type="dxa"/>
            <w:vAlign w:val="bottom"/>
            <w:tcBorders>
              <w:top w:val="single" w:sz="8" w:color="0000FF"/>
            </w:tcBorders>
            <w:gridSpan w:val="17"/>
          </w:tcPr>
          <w:p>
            <w:pPr>
              <w:spacing w:after="0"/>
              <w:rPr>
                <w:sz w:val="20"/>
                <w:szCs w:val="20"/>
                <w:color w:val="auto"/>
              </w:rPr>
            </w:pPr>
            <w:r>
              <w:rPr>
                <w:rFonts w:ascii="Arial" w:cs="Arial" w:eastAsia="Arial" w:hAnsi="Arial"/>
                <w:sz w:val="19"/>
                <w:szCs w:val="19"/>
                <w:b w:val="1"/>
                <w:bCs w:val="1"/>
                <w:color w:val="0000FF"/>
              </w:rPr>
              <w:t>Form of Deferred Stock Unit (“DSU”) Agreement under 2004 ECPNED.</w:t>
            </w:r>
          </w:p>
        </w:tc>
        <w:tc>
          <w:tcPr>
            <w:tcW w:w="1980" w:type="dxa"/>
            <w:vAlign w:val="bottom"/>
            <w:gridSpan w:val="23"/>
          </w:tcPr>
          <w:p>
            <w:pPr>
              <w:spacing w:after="0"/>
              <w:rPr>
                <w:sz w:val="22"/>
                <w:szCs w:val="22"/>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0" w:type="dxa"/>
            <w:vAlign w:val="bottom"/>
            <w:tcBorders>
              <w:bottom w:val="single" w:sz="8" w:color="0000FF"/>
            </w:tcBorders>
            <w:gridSpan w:val="22"/>
          </w:tcPr>
          <w:p>
            <w:pPr>
              <w:spacing w:after="0"/>
              <w:rPr>
                <w:sz w:val="20"/>
                <w:szCs w:val="20"/>
                <w:color w:val="auto"/>
              </w:rPr>
            </w:pPr>
            <w:r>
              <w:rPr>
                <w:rFonts w:ascii="Arial" w:cs="Arial" w:eastAsia="Arial" w:hAnsi="Arial"/>
                <w:sz w:val="19"/>
                <w:szCs w:val="19"/>
                <w:b w:val="1"/>
                <w:bCs w:val="1"/>
                <w:color w:val="0000FF"/>
                <w:w w:val="95"/>
              </w:rPr>
              <w:t>Incorporated by reference to Exhibit 10.13 to Xerox Holdings Corporation’s and Xerox</w:t>
            </w:r>
          </w:p>
        </w:tc>
        <w:tc>
          <w:tcPr>
            <w:tcW w:w="1140" w:type="dxa"/>
            <w:vAlign w:val="bottom"/>
            <w:gridSpan w:val="18"/>
          </w:tcPr>
          <w:p>
            <w:pPr>
              <w:spacing w:after="0"/>
              <w:rPr>
                <w:sz w:val="24"/>
                <w:szCs w:val="24"/>
                <w:color w:val="auto"/>
              </w:rPr>
            </w:pP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540" w:type="dxa"/>
            <w:vAlign w:val="bottom"/>
            <w:gridSpan w:val="40"/>
          </w:tcPr>
          <w:p>
            <w:pPr>
              <w:spacing w:after="0" w:line="174" w:lineRule="exact"/>
              <w:rPr>
                <w:sz w:val="20"/>
                <w:szCs w:val="20"/>
                <w:color w:val="auto"/>
              </w:rPr>
            </w:pPr>
            <w:r>
              <w:rPr>
                <w:rFonts w:ascii="Arial" w:cs="Arial" w:eastAsia="Arial" w:hAnsi="Arial"/>
                <w:sz w:val="19"/>
                <w:szCs w:val="19"/>
                <w:b w:val="1"/>
                <w:bCs w:val="1"/>
                <w:color w:val="0000FF"/>
              </w:rPr>
              <w:t>Corporation’s combined Quarterly Report on Form 10-Q for the Quarter ended June 30, 2019.</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8"/>
          </w:tcPr>
          <w:p>
            <w:pPr>
              <w:spacing w:after="0" w:line="174" w:lineRule="exact"/>
              <w:rPr>
                <w:sz w:val="20"/>
                <w:szCs w:val="20"/>
                <w:color w:val="auto"/>
              </w:rPr>
            </w:pPr>
            <w:r>
              <w:rPr>
                <w:rFonts w:ascii="Arial" w:cs="Arial" w:eastAsia="Arial" w:hAnsi="Arial"/>
                <w:sz w:val="19"/>
                <w:szCs w:val="19"/>
                <w:b w:val="1"/>
                <w:bCs w:val="1"/>
                <w:color w:val="0000FF"/>
              </w:rPr>
              <w:t>See SEC File Nos. 001-39013 and 001-04471.</w:t>
            </w:r>
          </w:p>
        </w:tc>
        <w:tc>
          <w:tcPr>
            <w:tcW w:w="4120" w:type="dxa"/>
            <w:vAlign w:val="bottom"/>
            <w:tcBorders>
              <w:top w:val="single" w:sz="8" w:color="0000FF"/>
            </w:tcBorders>
            <w:gridSpan w:val="17"/>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*10(c)(4)</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Form of Restricted Stock Unit ("RSU") Agreement under 2004 ECPNED.</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0" w:type="dxa"/>
            <w:vAlign w:val="bottom"/>
            <w:tcBorders>
              <w:bottom w:val="single" w:sz="8" w:color="0000FF"/>
            </w:tcBorders>
            <w:gridSpan w:val="22"/>
          </w:tcPr>
          <w:p>
            <w:pPr>
              <w:spacing w:after="0"/>
              <w:rPr>
                <w:sz w:val="20"/>
                <w:szCs w:val="20"/>
                <w:color w:val="auto"/>
              </w:rPr>
            </w:pPr>
            <w:r>
              <w:rPr>
                <w:rFonts w:ascii="Arial" w:cs="Arial" w:eastAsia="Arial" w:hAnsi="Arial"/>
                <w:sz w:val="19"/>
                <w:szCs w:val="19"/>
                <w:b w:val="1"/>
                <w:bCs w:val="1"/>
                <w:color w:val="0000FF"/>
                <w:w w:val="95"/>
              </w:rPr>
              <w:t>Incorporated by reference to Exhibit 10.15 to Xerox Holdings Corporation’s and Xerox</w:t>
            </w:r>
          </w:p>
        </w:tc>
        <w:tc>
          <w:tcPr>
            <w:tcW w:w="1140" w:type="dxa"/>
            <w:vAlign w:val="bottom"/>
            <w:gridSpan w:val="18"/>
          </w:tcPr>
          <w:p>
            <w:pPr>
              <w:spacing w:after="0"/>
              <w:rPr>
                <w:sz w:val="24"/>
                <w:szCs w:val="24"/>
                <w:color w:val="auto"/>
              </w:rPr>
            </w:pP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540" w:type="dxa"/>
            <w:vAlign w:val="bottom"/>
            <w:gridSpan w:val="40"/>
          </w:tcPr>
          <w:p>
            <w:pPr>
              <w:spacing w:after="0" w:line="174" w:lineRule="exact"/>
              <w:rPr>
                <w:sz w:val="20"/>
                <w:szCs w:val="20"/>
                <w:color w:val="auto"/>
              </w:rPr>
            </w:pPr>
            <w:r>
              <w:rPr>
                <w:rFonts w:ascii="Arial" w:cs="Arial" w:eastAsia="Arial" w:hAnsi="Arial"/>
                <w:sz w:val="19"/>
                <w:szCs w:val="19"/>
                <w:b w:val="1"/>
                <w:bCs w:val="1"/>
                <w:color w:val="0000FF"/>
              </w:rPr>
              <w:t>Corporation’s combined Quarterly Report on Form 10-Q for the Quarter ended June 30, 2019.</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8"/>
          </w:tcPr>
          <w:p>
            <w:pPr>
              <w:spacing w:after="0" w:line="174" w:lineRule="exact"/>
              <w:rPr>
                <w:sz w:val="20"/>
                <w:szCs w:val="20"/>
                <w:color w:val="auto"/>
              </w:rPr>
            </w:pPr>
            <w:r>
              <w:rPr>
                <w:rFonts w:ascii="Arial" w:cs="Arial" w:eastAsia="Arial" w:hAnsi="Arial"/>
                <w:sz w:val="19"/>
                <w:szCs w:val="19"/>
                <w:b w:val="1"/>
                <w:bCs w:val="1"/>
                <w:color w:val="0000FF"/>
              </w:rPr>
              <w:t>See SEC File Nos. 001-39013 and 001-04471.</w:t>
            </w:r>
          </w:p>
        </w:tc>
        <w:tc>
          <w:tcPr>
            <w:tcW w:w="4120" w:type="dxa"/>
            <w:vAlign w:val="bottom"/>
            <w:tcBorders>
              <w:top w:val="single" w:sz="8" w:color="0000FF"/>
            </w:tcBorders>
            <w:gridSpan w:val="17"/>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*10(c)(5)</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7"/>
              </w:rPr>
              <w:t>Xerox Holdings Corporation's 2004 Equity Compensation Plan for Non-Employee Directors, 2021</w:t>
            </w:r>
          </w:p>
        </w:tc>
      </w:tr>
      <w:tr>
        <w:trPr>
          <w:trHeight w:val="176"/>
        </w:trPr>
        <w:tc>
          <w:tcPr>
            <w:tcW w:w="2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180" w:type="dxa"/>
            <w:vAlign w:val="bottom"/>
            <w:tcBorders>
              <w:top w:val="single" w:sz="8" w:color="0000FF"/>
              <w:bottom w:val="single" w:sz="8" w:color="0000FF"/>
            </w:tcBorders>
            <w:gridSpan w:val="8"/>
          </w:tcPr>
          <w:p>
            <w:pPr>
              <w:spacing w:after="0" w:line="176" w:lineRule="exact"/>
              <w:rPr>
                <w:sz w:val="20"/>
                <w:szCs w:val="20"/>
                <w:color w:val="auto"/>
              </w:rPr>
            </w:pPr>
            <w:r>
              <w:rPr>
                <w:rFonts w:ascii="Arial" w:cs="Arial" w:eastAsia="Arial" w:hAnsi="Arial"/>
                <w:sz w:val="19"/>
                <w:szCs w:val="19"/>
                <w:b w:val="1"/>
                <w:bCs w:val="1"/>
                <w:color w:val="0000FF"/>
                <w:w w:val="96"/>
              </w:rPr>
              <w:t>Amendment and Restatement ("2021 ECPNED")</w:t>
            </w:r>
          </w:p>
        </w:tc>
        <w:tc>
          <w:tcPr>
            <w:tcW w:w="4180" w:type="dxa"/>
            <w:vAlign w:val="bottom"/>
            <w:tcBorders>
              <w:top w:val="single" w:sz="8" w:color="0000FF"/>
            </w:tcBorders>
            <w:gridSpan w:val="23"/>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10.1 to Xerox Holdings Corporation's Current Report on Form</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1"/>
          </w:tcPr>
          <w:p>
            <w:pPr>
              <w:spacing w:after="0" w:line="174" w:lineRule="exact"/>
              <w:rPr>
                <w:sz w:val="20"/>
                <w:szCs w:val="20"/>
                <w:color w:val="auto"/>
              </w:rPr>
            </w:pPr>
            <w:r>
              <w:rPr>
                <w:rFonts w:ascii="Arial" w:cs="Arial" w:eastAsia="Arial" w:hAnsi="Arial"/>
                <w:sz w:val="19"/>
                <w:szCs w:val="19"/>
                <w:b w:val="1"/>
                <w:bCs w:val="1"/>
                <w:color w:val="0000FF"/>
              </w:rPr>
              <w:t>8-K dated May 20, 2021. See SEC File Number 001-39013.</w:t>
            </w:r>
          </w:p>
        </w:tc>
        <w:tc>
          <w:tcPr>
            <w:tcW w:w="3300" w:type="dxa"/>
            <w:vAlign w:val="bottom"/>
            <w:tcBorders>
              <w:top w:val="single" w:sz="8" w:color="0000FF"/>
            </w:tcBorders>
            <w:gridSpan w:val="2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*10(c)(6)</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Form of Deferred Stock Unit (“DSU”) Agreement under 2021 ECPNED.</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318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40" w:type="dxa"/>
            <w:vAlign w:val="bottom"/>
            <w:tcBorders>
              <w:bottom w:val="single" w:sz="8" w:color="0000FF"/>
            </w:tcBorders>
            <w:gridSpan w:val="40"/>
          </w:tcPr>
          <w:p>
            <w:pPr>
              <w:spacing w:after="0"/>
              <w:rPr>
                <w:sz w:val="20"/>
                <w:szCs w:val="20"/>
                <w:color w:val="auto"/>
              </w:rPr>
            </w:pPr>
            <w:r>
              <w:rPr>
                <w:rFonts w:ascii="Arial" w:cs="Arial" w:eastAsia="Arial" w:hAnsi="Arial"/>
                <w:sz w:val="19"/>
                <w:szCs w:val="19"/>
                <w:b w:val="1"/>
                <w:bCs w:val="1"/>
                <w:color w:val="0000FF"/>
                <w:w w:val="95"/>
              </w:rPr>
              <w:t>Incorporated by reference to Exhibit 10.9 to Xerox Holdings Corporation’s and Xerox Corporation’s</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540" w:type="dxa"/>
            <w:vAlign w:val="bottom"/>
            <w:gridSpan w:val="40"/>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March 31, 2021. See SEC File</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480" w:type="dxa"/>
            <w:vAlign w:val="bottom"/>
            <w:tcBorders>
              <w:top w:val="single" w:sz="8" w:color="0000FF"/>
            </w:tcBorders>
            <w:gridSpan w:val="25"/>
          </w:tcPr>
          <w:p>
            <w:pPr>
              <w:spacing w:after="0"/>
              <w:rPr>
                <w:sz w:val="15"/>
                <w:szCs w:val="15"/>
                <w:color w:val="auto"/>
              </w:rPr>
            </w:pPr>
          </w:p>
        </w:tc>
        <w:tc>
          <w:tcPr>
            <w:tcW w:w="2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*10(c)(7)</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Form of Restricted Stock Unit (“RSU”) Agreement under 2021 ECPNED.</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1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Incorporated by reference to Exhibit 10.11 to Xerox Holdings Corporation’s and Xerox</w:t>
            </w:r>
          </w:p>
        </w:tc>
      </w:tr>
      <w:tr>
        <w:trPr>
          <w:trHeight w:val="184"/>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380" w:type="dxa"/>
            <w:vAlign w:val="bottom"/>
            <w:tcBorders>
              <w:top w:val="single" w:sz="8" w:color="0000FF"/>
              <w:bottom w:val="single" w:sz="8" w:color="0000FF"/>
            </w:tcBorders>
            <w:gridSpan w:val="21"/>
          </w:tcPr>
          <w:p>
            <w:pPr>
              <w:spacing w:after="0" w:line="184" w:lineRule="exact"/>
              <w:rPr>
                <w:sz w:val="20"/>
                <w:szCs w:val="20"/>
                <w:color w:val="auto"/>
              </w:rPr>
            </w:pPr>
            <w:r>
              <w:rPr>
                <w:rFonts w:ascii="Arial" w:cs="Arial" w:eastAsia="Arial" w:hAnsi="Arial"/>
                <w:sz w:val="19"/>
                <w:szCs w:val="19"/>
                <w:b w:val="1"/>
                <w:bCs w:val="1"/>
                <w:color w:val="0000FF"/>
                <w:w w:val="96"/>
              </w:rPr>
              <w:t>Corporation’s combined Quarterly Report on Form 10-Q for the Quarter ended March</w:t>
            </w:r>
          </w:p>
        </w:tc>
        <w:tc>
          <w:tcPr>
            <w:tcW w:w="880" w:type="dxa"/>
            <w:vAlign w:val="bottom"/>
            <w:tcBorders>
              <w:bottom w:val="single" w:sz="8" w:color="0000FF"/>
            </w:tcBorders>
            <w:gridSpan w:val="7"/>
          </w:tcPr>
          <w:p>
            <w:pPr>
              <w:jc w:val="right"/>
              <w:ind w:right="100"/>
              <w:spacing w:after="0" w:line="184" w:lineRule="exact"/>
              <w:rPr>
                <w:sz w:val="20"/>
                <w:szCs w:val="20"/>
                <w:color w:val="auto"/>
              </w:rPr>
            </w:pPr>
            <w:r>
              <w:rPr>
                <w:rFonts w:ascii="Arial" w:cs="Arial" w:eastAsia="Arial" w:hAnsi="Arial"/>
                <w:sz w:val="19"/>
                <w:szCs w:val="19"/>
                <w:b w:val="1"/>
                <w:bCs w:val="1"/>
                <w:color w:val="0000FF"/>
                <w:w w:val="95"/>
              </w:rPr>
              <w:t>31, 2021.</w:t>
            </w:r>
          </w:p>
        </w:tc>
        <w:tc>
          <w:tcPr>
            <w:tcW w:w="26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Borders>
              <w:bottom w:val="single" w:sz="8" w:color="0000FF"/>
            </w:tcBorders>
            <w:gridSpan w:val="8"/>
          </w:tcPr>
          <w:p>
            <w:pPr>
              <w:spacing w:after="0" w:line="174" w:lineRule="exact"/>
              <w:rPr>
                <w:sz w:val="20"/>
                <w:szCs w:val="20"/>
                <w:color w:val="auto"/>
              </w:rPr>
            </w:pPr>
            <w:r>
              <w:rPr>
                <w:rFonts w:ascii="Arial" w:cs="Arial" w:eastAsia="Arial" w:hAnsi="Arial"/>
                <w:sz w:val="19"/>
                <w:szCs w:val="19"/>
                <w:b w:val="1"/>
                <w:bCs w:val="1"/>
                <w:color w:val="0000FF"/>
              </w:rPr>
              <w:t>See SEC File Nos. 001-39013 and 001-04471.</w:t>
            </w:r>
          </w:p>
        </w:tc>
        <w:tc>
          <w:tcPr>
            <w:tcW w:w="4240" w:type="dxa"/>
            <w:vAlign w:val="bottom"/>
            <w:gridSpan w:val="20"/>
          </w:tcPr>
          <w:p>
            <w:pPr>
              <w:spacing w:after="0"/>
              <w:rPr>
                <w:sz w:val="15"/>
                <w:szCs w:val="15"/>
                <w:color w:val="auto"/>
              </w:rPr>
            </w:pPr>
          </w:p>
        </w:tc>
        <w:tc>
          <w:tcPr>
            <w:tcW w:w="26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*10(d)(1)</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Form of Omnibus Award Agreement under PIP; ELTIP; PSU &amp; RSU (ratable).</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1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10(e)(32) to Xerox Corporation's Annual Report on Form 10-K</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940" w:type="dxa"/>
            <w:vAlign w:val="bottom"/>
            <w:tcBorders>
              <w:top w:val="single" w:sz="8" w:color="0000FF"/>
              <w:bottom w:val="single" w:sz="8" w:color="0000FF"/>
            </w:tcBorders>
            <w:gridSpan w:val="20"/>
          </w:tcPr>
          <w:p>
            <w:pPr>
              <w:spacing w:after="0" w:line="174" w:lineRule="exact"/>
              <w:rPr>
                <w:sz w:val="20"/>
                <w:szCs w:val="20"/>
                <w:color w:val="auto"/>
              </w:rPr>
            </w:pPr>
            <w:r>
              <w:rPr>
                <w:rFonts w:ascii="Arial" w:cs="Arial" w:eastAsia="Arial" w:hAnsi="Arial"/>
                <w:sz w:val="19"/>
                <w:szCs w:val="19"/>
                <w:b w:val="1"/>
                <w:bCs w:val="1"/>
                <w:color w:val="0000FF"/>
                <w:w w:val="98"/>
              </w:rPr>
              <w:t>for the fiscal year ended December 31, 2017. See SEC File Number 001-04471.</w:t>
            </w:r>
          </w:p>
        </w:tc>
        <w:tc>
          <w:tcPr>
            <w:tcW w:w="158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r>
      <w:tr>
        <w:trPr>
          <w:trHeight w:val="266"/>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*10(d)(2)</w:t>
            </w: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rPr>
              <w:t>Form of Omnibus Award Agreement under PIP; ELTIP; RSU (ratable).</w:t>
            </w:r>
          </w:p>
        </w:tc>
      </w:tr>
      <w:tr>
        <w:trPr>
          <w:trHeight w:val="20"/>
        </w:trPr>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13"/>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00" w:type="dxa"/>
            <w:vAlign w:val="bottom"/>
            <w:gridSpan w:val="20"/>
          </w:tcPr>
          <w:p>
            <w:pPr>
              <w:spacing w:after="0" w:line="20" w:lineRule="exact"/>
              <w:rPr>
                <w:sz w:val="1"/>
                <w:szCs w:val="1"/>
                <w:color w:val="auto"/>
              </w:rPr>
            </w:pPr>
          </w:p>
        </w:tc>
      </w:tr>
      <w:tr>
        <w:trPr>
          <w:trHeight w:val="271"/>
        </w:trPr>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540" w:type="dxa"/>
            <w:vAlign w:val="bottom"/>
            <w:gridSpan w:val="40"/>
          </w:tcPr>
          <w:p>
            <w:pPr>
              <w:spacing w:after="0"/>
              <w:rPr>
                <w:sz w:val="20"/>
                <w:szCs w:val="20"/>
                <w:color w:val="auto"/>
              </w:rPr>
            </w:pPr>
            <w:r>
              <w:rPr>
                <w:rFonts w:ascii="Arial" w:cs="Arial" w:eastAsia="Arial" w:hAnsi="Arial"/>
                <w:sz w:val="19"/>
                <w:szCs w:val="19"/>
                <w:b w:val="1"/>
                <w:bCs w:val="1"/>
                <w:color w:val="0000FF"/>
                <w:w w:val="96"/>
              </w:rPr>
              <w:t>Incorporated by reference to Exhibit 10(e)(34) to Xerox Corporation's Annual Report on Form 10-K</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940" w:type="dxa"/>
            <w:vAlign w:val="bottom"/>
            <w:tcBorders>
              <w:top w:val="single" w:sz="8" w:color="0000FF"/>
              <w:bottom w:val="single" w:sz="8" w:color="0000FF"/>
            </w:tcBorders>
            <w:gridSpan w:val="20"/>
          </w:tcPr>
          <w:p>
            <w:pPr>
              <w:spacing w:after="0" w:line="174" w:lineRule="exact"/>
              <w:rPr>
                <w:sz w:val="20"/>
                <w:szCs w:val="20"/>
                <w:color w:val="auto"/>
              </w:rPr>
            </w:pPr>
            <w:r>
              <w:rPr>
                <w:rFonts w:ascii="Arial" w:cs="Arial" w:eastAsia="Arial" w:hAnsi="Arial"/>
                <w:sz w:val="19"/>
                <w:szCs w:val="19"/>
                <w:b w:val="1"/>
                <w:bCs w:val="1"/>
                <w:color w:val="0000FF"/>
                <w:w w:val="98"/>
              </w:rPr>
              <w:t>for the fiscal year ended December 31, 2017. See SEC File Number 001-04471.</w:t>
            </w:r>
          </w:p>
        </w:tc>
        <w:tc>
          <w:tcPr>
            <w:tcW w:w="158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172</w:t>
      </w:r>
    </w:p>
    <w:p>
      <w:pPr>
        <w:sectPr>
          <w:pgSz w:w="11880" w:h="15480" w:orient="portrait"/>
          <w:cols w:equalWidth="0" w:num="1">
            <w:col w:w="9900"/>
          </w:cols>
          <w:pgMar w:left="1020" w:top="801" w:right="960" w:bottom="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8"/>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*10(d)(3)</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PIP; ELTIP: Stock Options.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5"/>
              </w:rPr>
              <w:t>Incorporated by reference to Exhibit 10(e)(36) to Xerox Corporation's Annual Report on Form 10-K</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940" w:type="dxa"/>
            <w:vAlign w:val="bottom"/>
            <w:tcBorders>
              <w:bottom w:val="single" w:sz="8" w:color="0000FF"/>
            </w:tcBorders>
            <w:gridSpan w:val="15"/>
          </w:tcPr>
          <w:p>
            <w:pPr>
              <w:spacing w:after="0" w:line="174" w:lineRule="exact"/>
              <w:rPr>
                <w:sz w:val="20"/>
                <w:szCs w:val="20"/>
                <w:color w:val="auto"/>
              </w:rPr>
            </w:pPr>
            <w:r>
              <w:rPr>
                <w:rFonts w:ascii="Arial" w:cs="Arial" w:eastAsia="Arial" w:hAnsi="Arial"/>
                <w:sz w:val="19"/>
                <w:szCs w:val="19"/>
                <w:b w:val="1"/>
                <w:bCs w:val="1"/>
                <w:color w:val="0000FF"/>
                <w:w w:val="98"/>
              </w:rPr>
              <w:t>for the fiscal year ended December 31, 2017. See SEC File Number 001-04471.</w:t>
            </w: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*10(d)(4)</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PIP; ELTIP; PSU &amp; RSU (ratable).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5"/>
              </w:rPr>
              <w:t>Incorporated by reference to Exhibit 10(e)(45) to Xerox Corporation’s Annual Report on Form 10-K</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940" w:type="dxa"/>
            <w:vAlign w:val="bottom"/>
            <w:tcBorders>
              <w:bottom w:val="single" w:sz="8" w:color="0000FF"/>
            </w:tcBorders>
            <w:gridSpan w:val="15"/>
          </w:tcPr>
          <w:p>
            <w:pPr>
              <w:spacing w:after="0" w:line="174" w:lineRule="exact"/>
              <w:rPr>
                <w:sz w:val="20"/>
                <w:szCs w:val="20"/>
                <w:color w:val="auto"/>
              </w:rPr>
            </w:pPr>
            <w:r>
              <w:rPr>
                <w:rFonts w:ascii="Arial" w:cs="Arial" w:eastAsia="Arial" w:hAnsi="Arial"/>
                <w:sz w:val="19"/>
                <w:szCs w:val="19"/>
                <w:b w:val="1"/>
                <w:bCs w:val="1"/>
                <w:color w:val="0000FF"/>
                <w:w w:val="98"/>
              </w:rPr>
              <w:t>for the fiscal year ended December 31, 2018. See SEC File Number 001-04471.</w:t>
            </w: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*10(d)(5)</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PIP; ELTIP; RSU (ratable).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5"/>
              </w:rPr>
              <w:t>Incorporated by reference to Exhibit 10(e)(46) to Xerox Corporation’s Annual Report on Form 10-K</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940" w:type="dxa"/>
            <w:vAlign w:val="bottom"/>
            <w:tcBorders>
              <w:bottom w:val="single" w:sz="8" w:color="0000FF"/>
            </w:tcBorders>
            <w:gridSpan w:val="15"/>
          </w:tcPr>
          <w:p>
            <w:pPr>
              <w:spacing w:after="0" w:line="174" w:lineRule="exact"/>
              <w:rPr>
                <w:sz w:val="20"/>
                <w:szCs w:val="20"/>
                <w:color w:val="auto"/>
              </w:rPr>
            </w:pPr>
            <w:r>
              <w:rPr>
                <w:rFonts w:ascii="Arial" w:cs="Arial" w:eastAsia="Arial" w:hAnsi="Arial"/>
                <w:sz w:val="19"/>
                <w:szCs w:val="19"/>
                <w:b w:val="1"/>
                <w:bCs w:val="1"/>
                <w:color w:val="0000FF"/>
                <w:w w:val="98"/>
              </w:rPr>
              <w:t>for the fiscal year ended December 31, 2018. See SEC File Number 001-04471.</w:t>
            </w: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*10(d)(6)</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PIP; ELTIP; Stock Options.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w w:val="97"/>
              </w:rPr>
              <w:t>Incorporated by reference to Exhibit 10.3 to Xerox Corporation's Quarterly Report on Form 10-Q</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320" w:type="dxa"/>
            <w:vAlign w:val="bottom"/>
            <w:tcBorders>
              <w:top w:val="single" w:sz="8" w:color="0000FF"/>
            </w:tcBorders>
            <w:gridSpan w:val="22"/>
          </w:tcPr>
          <w:p>
            <w:pPr>
              <w:spacing w:after="0" w:line="174" w:lineRule="exact"/>
              <w:rPr>
                <w:sz w:val="20"/>
                <w:szCs w:val="20"/>
                <w:color w:val="auto"/>
              </w:rPr>
            </w:pPr>
            <w:r>
              <w:rPr>
                <w:rFonts w:ascii="Arial" w:cs="Arial" w:eastAsia="Arial" w:hAnsi="Arial"/>
                <w:sz w:val="19"/>
                <w:szCs w:val="19"/>
                <w:b w:val="1"/>
                <w:bCs w:val="1"/>
                <w:color w:val="0000FF"/>
              </w:rPr>
              <w:t>for the quarter ended March 31, 2019. See SEC File Number 001-04471.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*10(d)(7)</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w w:val="99"/>
              </w:rPr>
              <w:t>Xerox Corporation's 2004 Performance Incentive Plan, as amended and restated as of July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580" w:type="dxa"/>
            <w:vAlign w:val="bottom"/>
            <w:tcBorders>
              <w:top w:val="single" w:sz="8" w:color="0000FF"/>
              <w:bottom w:val="single" w:sz="8" w:color="0000FF"/>
            </w:tcBorders>
          </w:tcPr>
          <w:p>
            <w:pPr>
              <w:spacing w:after="0" w:line="174" w:lineRule="exact"/>
              <w:rPr>
                <w:sz w:val="20"/>
                <w:szCs w:val="20"/>
                <w:color w:val="auto"/>
              </w:rPr>
            </w:pPr>
            <w:r>
              <w:rPr>
                <w:rFonts w:ascii="Arial" w:cs="Arial" w:eastAsia="Arial" w:hAnsi="Arial"/>
                <w:sz w:val="19"/>
                <w:szCs w:val="19"/>
                <w:b w:val="1"/>
                <w:bCs w:val="1"/>
                <w:color w:val="0000FF"/>
              </w:rPr>
              <w:t>2019.</w:t>
            </w:r>
          </w:p>
        </w:tc>
        <w:tc>
          <w:tcPr>
            <w:tcW w:w="76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w w:val="95"/>
              </w:rPr>
              <w:t>Incorporated by reference to Exhibit 10.2 to Xerox Holdings Corporation’s Current Report on Form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60" w:type="dxa"/>
            <w:vAlign w:val="bottom"/>
            <w:tcBorders>
              <w:top w:val="single" w:sz="8" w:color="0000FF"/>
            </w:tcBorders>
            <w:gridSpan w:val="23"/>
          </w:tcPr>
          <w:p>
            <w:pPr>
              <w:spacing w:after="0" w:line="174" w:lineRule="exact"/>
              <w:rPr>
                <w:sz w:val="20"/>
                <w:szCs w:val="20"/>
                <w:color w:val="auto"/>
              </w:rPr>
            </w:pPr>
            <w:r>
              <w:rPr>
                <w:rFonts w:ascii="Arial" w:cs="Arial" w:eastAsia="Arial" w:hAnsi="Arial"/>
                <w:sz w:val="19"/>
                <w:szCs w:val="19"/>
                <w:b w:val="1"/>
                <w:bCs w:val="1"/>
                <w:color w:val="0000FF"/>
              </w:rPr>
              <w:t>8-K dated July 31, 2019. See SEC File No. 001-39013.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*10(e)(1)</w:t>
            </w:r>
          </w:p>
        </w:tc>
        <w:tc>
          <w:tcPr>
            <w:tcW w:w="1360" w:type="dxa"/>
            <w:vAlign w:val="bottom"/>
            <w:gridSpan w:val="3"/>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Xerox Holdings Corporation Performance Incentive Plan (“XHCPIP”).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May 28, 2020. See SEC File Numbers 001-39013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80" w:type="dxa"/>
            <w:vAlign w:val="bottom"/>
            <w:tcBorders>
              <w:top w:val="single" w:sz="8" w:color="0000FF"/>
            </w:tcBorders>
            <w:gridSpan w:val="21"/>
          </w:tcPr>
          <w:p>
            <w:pPr>
              <w:spacing w:after="0" w:line="174" w:lineRule="exact"/>
              <w:rPr>
                <w:sz w:val="20"/>
                <w:szCs w:val="20"/>
                <w:color w:val="auto"/>
              </w:rPr>
            </w:pPr>
            <w:r>
              <w:rPr>
                <w:rFonts w:ascii="Arial" w:cs="Arial" w:eastAsia="Arial" w:hAnsi="Arial"/>
                <w:sz w:val="19"/>
                <w:szCs w:val="19"/>
                <w:b w:val="1"/>
                <w:bCs w:val="1"/>
                <w:color w:val="0000FF"/>
              </w:rPr>
              <w:t>and 001-04471.</w:t>
            </w: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*10(e)(2)</w:t>
            </w:r>
          </w:p>
        </w:tc>
        <w:tc>
          <w:tcPr>
            <w:tcW w:w="136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PSU.</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10.2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June 30, 2020. See SEC File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36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*10(e)(3)</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RSUs (ratable).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10.3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June 30, 2020. See SEC File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36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*10(e)(4)</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1-year RSUs.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10.4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June 30, 2020. See SEC File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36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*10(e)(5)</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2-year RSUs.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10.5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June 30, 2020. See SEC File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36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*10(e)(6)</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3-year RSUs.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10.6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June 30, 2020. See SEC File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36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*10(e)(7)</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Stock Options.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tcBorders>
              <w:bottom w:val="single" w:sz="8" w:color="0000FF"/>
            </w:tcBorders>
            <w:gridSpan w:val="24"/>
          </w:tcPr>
          <w:p>
            <w:pPr>
              <w:spacing w:after="0"/>
              <w:rPr>
                <w:sz w:val="20"/>
                <w:szCs w:val="20"/>
                <w:color w:val="auto"/>
              </w:rPr>
            </w:pPr>
            <w:r>
              <w:rPr>
                <w:rFonts w:ascii="Arial" w:cs="Arial" w:eastAsia="Arial" w:hAnsi="Arial"/>
                <w:sz w:val="19"/>
                <w:szCs w:val="19"/>
                <w:b w:val="1"/>
                <w:bCs w:val="1"/>
                <w:color w:val="0000FF"/>
                <w:w w:val="94"/>
              </w:rPr>
              <w:t>Incorporated by reference to Exhibit 10.7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4"/>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for the Quarter ended June 30, 2020. See SEC File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Nos. 001-39013 and 001-04471.</w:t>
            </w:r>
          </w:p>
        </w:tc>
        <w:tc>
          <w:tcPr>
            <w:tcW w:w="536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3"/>
          </w:tcPr>
          <w:p>
            <w:pPr>
              <w:spacing w:after="0"/>
              <w:rPr>
                <w:sz w:val="20"/>
                <w:szCs w:val="20"/>
                <w:color w:val="auto"/>
              </w:rPr>
            </w:pPr>
            <w:r>
              <w:rPr>
                <w:rFonts w:ascii="Arial" w:cs="Arial" w:eastAsia="Arial" w:hAnsi="Arial"/>
                <w:sz w:val="19"/>
                <w:szCs w:val="19"/>
                <w:b w:val="1"/>
                <w:bCs w:val="1"/>
                <w:color w:val="0000FF"/>
              </w:rPr>
              <w:t>*10(e)(8)</w:t>
            </w: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Form of Omnibus Award Agreement under XHCPIP: PIP; ELTIP; RSUs (2-year ratable 50/50).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270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Incorporated by reference to Exhibit 10(f)(10) to Xerox Holdings Corporation’s and Xerox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17"/>
          </w:tcPr>
          <w:p>
            <w:pPr>
              <w:spacing w:after="0" w:line="197" w:lineRule="exact"/>
              <w:rPr>
                <w:sz w:val="20"/>
                <w:szCs w:val="20"/>
                <w:color w:val="auto"/>
              </w:rPr>
            </w:pPr>
            <w:r>
              <w:rPr>
                <w:rFonts w:ascii="Arial" w:cs="Arial" w:eastAsia="Arial" w:hAnsi="Arial"/>
                <w:sz w:val="19"/>
                <w:szCs w:val="19"/>
                <w:b w:val="1"/>
                <w:bCs w:val="1"/>
                <w:color w:val="0000FF"/>
                <w:w w:val="94"/>
              </w:rPr>
              <w:t>Corporation’s combined Annual Report on Form 10-K for the fiscal year ended December</w:t>
            </w:r>
          </w:p>
        </w:tc>
        <w:tc>
          <w:tcPr>
            <w:tcW w:w="380" w:type="dxa"/>
            <w:vAlign w:val="bottom"/>
            <w:tcBorders>
              <w:bottom w:val="single" w:sz="8" w:color="0000FF"/>
            </w:tcBorders>
          </w:tcPr>
          <w:p>
            <w:pPr>
              <w:jc w:val="right"/>
              <w:spacing w:after="0" w:line="197" w:lineRule="exact"/>
              <w:rPr>
                <w:sz w:val="20"/>
                <w:szCs w:val="20"/>
                <w:color w:val="auto"/>
              </w:rPr>
            </w:pPr>
            <w:r>
              <w:rPr>
                <w:rFonts w:ascii="Arial" w:cs="Arial" w:eastAsia="Arial" w:hAnsi="Arial"/>
                <w:sz w:val="19"/>
                <w:szCs w:val="19"/>
                <w:b w:val="1"/>
                <w:bCs w:val="1"/>
                <w:color w:val="0000FF"/>
              </w:rPr>
              <w:t>31,</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40" w:type="dxa"/>
            <w:vAlign w:val="bottom"/>
            <w:gridSpan w:val="18"/>
          </w:tcPr>
          <w:p>
            <w:pPr>
              <w:spacing w:after="0" w:line="197" w:lineRule="exact"/>
              <w:rPr>
                <w:sz w:val="20"/>
                <w:szCs w:val="20"/>
                <w:color w:val="auto"/>
              </w:rPr>
            </w:pPr>
            <w:r>
              <w:rPr>
                <w:rFonts w:ascii="Arial" w:cs="Arial" w:eastAsia="Arial" w:hAnsi="Arial"/>
                <w:sz w:val="19"/>
                <w:szCs w:val="19"/>
                <w:b w:val="1"/>
                <w:bCs w:val="1"/>
                <w:color w:val="0000FF"/>
              </w:rPr>
              <w:t>2020. See SEC File Numbers 001-39013 and 001-04471.</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*10(e)(9)</w:t>
            </w:r>
          </w:p>
        </w:tc>
        <w:tc>
          <w:tcPr>
            <w:tcW w:w="4940" w:type="dxa"/>
            <w:vAlign w:val="bottom"/>
            <w:gridSpan w:val="6"/>
            <w:shd w:val="clear" w:color="auto" w:fill="0000FF"/>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w w:val="98"/>
              </w:rPr>
              <w:t>Form of Omnibus Award Agreement under XHCPIP: PIP; ELTIP; RSUs (3-year ratable 33/33/34).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20" w:type="dxa"/>
            <w:vAlign w:val="bottom"/>
            <w:gridSpan w:val="15"/>
            <w:shd w:val="clear" w:color="auto" w:fill="0000FF"/>
          </w:tcPr>
          <w:p>
            <w:pPr>
              <w:spacing w:after="0" w:line="20" w:lineRule="exact"/>
              <w:rPr>
                <w:sz w:val="1"/>
                <w:szCs w:val="1"/>
                <w:color w:val="auto"/>
              </w:rPr>
            </w:pPr>
          </w:p>
        </w:tc>
        <w:tc>
          <w:tcPr>
            <w:tcW w:w="68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rPr>
              <w:t>Incorporated by reference to Exhibit 10(f)(11) to Xerox Holdings Corporation’s and Xerox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40" w:type="dxa"/>
            <w:vAlign w:val="bottom"/>
            <w:tcBorders>
              <w:top w:val="single" w:sz="8" w:color="0000FF"/>
            </w:tcBorders>
            <w:gridSpan w:val="16"/>
          </w:tcPr>
          <w:p>
            <w:pPr>
              <w:spacing w:after="0" w:line="197" w:lineRule="exact"/>
              <w:rPr>
                <w:sz w:val="20"/>
                <w:szCs w:val="20"/>
                <w:color w:val="auto"/>
              </w:rPr>
            </w:pPr>
            <w:r>
              <w:rPr>
                <w:rFonts w:ascii="Arial" w:cs="Arial" w:eastAsia="Arial" w:hAnsi="Arial"/>
                <w:sz w:val="19"/>
                <w:szCs w:val="19"/>
                <w:b w:val="1"/>
                <w:bCs w:val="1"/>
                <w:color w:val="0000FF"/>
                <w:w w:val="94"/>
              </w:rPr>
              <w:t>Corporation’s combined Annual Report on Form 10-K for the fiscal year ended December</w:t>
            </w:r>
          </w:p>
        </w:tc>
        <w:tc>
          <w:tcPr>
            <w:tcW w:w="680" w:type="dxa"/>
            <w:vAlign w:val="bottom"/>
            <w:gridSpan w:val="6"/>
          </w:tcPr>
          <w:p>
            <w:pPr>
              <w:jc w:val="right"/>
              <w:ind w:right="360"/>
              <w:spacing w:after="0" w:line="197" w:lineRule="exact"/>
              <w:rPr>
                <w:sz w:val="20"/>
                <w:szCs w:val="20"/>
                <w:color w:val="auto"/>
              </w:rPr>
            </w:pPr>
            <w:r>
              <w:rPr>
                <w:rFonts w:ascii="Arial" w:cs="Arial" w:eastAsia="Arial" w:hAnsi="Arial"/>
                <w:sz w:val="19"/>
                <w:szCs w:val="19"/>
                <w:b w:val="1"/>
                <w:bCs w:val="1"/>
                <w:color w:val="0000FF"/>
              </w:rPr>
              <w:t>31,</w:t>
            </w: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40" w:type="dxa"/>
            <w:vAlign w:val="bottom"/>
            <w:tcBorders>
              <w:top w:val="single" w:sz="8" w:color="0000FF"/>
            </w:tcBorders>
            <w:gridSpan w:val="18"/>
          </w:tcPr>
          <w:p>
            <w:pPr>
              <w:spacing w:after="0" w:line="197" w:lineRule="exact"/>
              <w:rPr>
                <w:sz w:val="20"/>
                <w:szCs w:val="20"/>
                <w:color w:val="auto"/>
              </w:rPr>
            </w:pPr>
            <w:r>
              <w:rPr>
                <w:rFonts w:ascii="Arial" w:cs="Arial" w:eastAsia="Arial" w:hAnsi="Arial"/>
                <w:sz w:val="19"/>
                <w:szCs w:val="19"/>
                <w:b w:val="1"/>
                <w:bCs w:val="1"/>
                <w:color w:val="0000FF"/>
              </w:rPr>
              <w:t>2020. See SEC File Numbers 001-39013 and 001-04471.</w:t>
            </w:r>
          </w:p>
        </w:tc>
        <w:tc>
          <w:tcPr>
            <w:tcW w:w="2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Arial" w:cs="Arial" w:eastAsia="Arial" w:hAnsi="Arial"/>
                <w:sz w:val="19"/>
                <w:szCs w:val="19"/>
                <w:b w:val="1"/>
                <w:bCs w:val="1"/>
                <w:color w:val="0000FF"/>
              </w:rPr>
              <w:t>*10(e)(10)</w:t>
            </w:r>
          </w:p>
        </w:tc>
        <w:tc>
          <w:tcPr>
            <w:tcW w:w="4940" w:type="dxa"/>
            <w:vAlign w:val="bottom"/>
            <w:gridSpan w:val="6"/>
            <w:shd w:val="clear" w:color="auto" w:fill="0000FF"/>
          </w:tcPr>
          <w:p>
            <w:pPr>
              <w:spacing w:after="0" w:line="20" w:lineRule="exact"/>
              <w:rPr>
                <w:sz w:val="1"/>
                <w:szCs w:val="1"/>
                <w:color w:val="auto"/>
              </w:rPr>
            </w:pPr>
          </w:p>
        </w:tc>
        <w:tc>
          <w:tcPr>
            <w:tcW w:w="3380" w:type="dxa"/>
            <w:vAlign w:val="bottom"/>
            <w:gridSpan w:val="1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3"/>
            <w:vMerge w:val="continue"/>
          </w:tcPr>
          <w:p>
            <w:pPr>
              <w:spacing w:after="0"/>
              <w:rPr>
                <w:sz w:val="22"/>
                <w:szCs w:val="22"/>
                <w:color w:val="auto"/>
              </w:rPr>
            </w:pPr>
          </w:p>
        </w:tc>
        <w:tc>
          <w:tcPr>
            <w:tcW w:w="8480" w:type="dxa"/>
            <w:vAlign w:val="bottom"/>
            <w:gridSpan w:val="24"/>
          </w:tcPr>
          <w:p>
            <w:pPr>
              <w:spacing w:after="0"/>
              <w:rPr>
                <w:sz w:val="20"/>
                <w:szCs w:val="20"/>
                <w:color w:val="auto"/>
              </w:rPr>
            </w:pPr>
            <w:r>
              <w:rPr>
                <w:rFonts w:ascii="Arial" w:cs="Arial" w:eastAsia="Arial" w:hAnsi="Arial"/>
                <w:sz w:val="19"/>
                <w:szCs w:val="19"/>
                <w:b w:val="1"/>
                <w:bCs w:val="1"/>
                <w:color w:val="0000FF"/>
                <w:w w:val="97"/>
              </w:rPr>
              <w:t>Xerox Holdings Corporation Performance Incentive Plan, as amended through October 21, 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173</w:t>
      </w:r>
    </w:p>
    <w:p>
      <w:pPr>
        <w:sectPr>
          <w:pgSz w:w="11880" w:h="15480" w:orient="portrait"/>
          <w:cols w:equalWidth="0" w:num="1">
            <w:col w:w="9900"/>
          </w:cols>
          <w:pgMar w:left="1020" w:top="801" w:right="960" w:bottom="0" w:gutter="0" w:footer="0" w:header="0"/>
        </w:sectPr>
      </w:pPr>
    </w:p>
    <w:bookmarkStart w:id="183" w:name="page184"/>
    <w:bookmarkEnd w:id="183"/>
    <w:p>
      <w:pPr>
        <w:ind w:left="140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10.1 to Xerox Holdings Corporation's and Xerox Corporation’s Quarterly Report on Form 10-Q for the Quarter Ended September 30, 2021. See SEC File Numbers 001-39013 and 001-04471.</w:t>
      </w:r>
    </w:p>
    <w:p>
      <w:pPr>
        <w:spacing w:after="0" w:line="27"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u w:val="single" w:color="auto"/>
          <w:color w:val="0000FF"/>
        </w:rPr>
        <w:t>*10(e)(11)</w:t>
      </w:r>
      <w:r>
        <w:rPr>
          <w:sz w:val="20"/>
          <w:szCs w:val="20"/>
          <w:color w:val="auto"/>
        </w:rPr>
        <w:tab/>
      </w:r>
      <w:r>
        <w:rPr>
          <w:rFonts w:ascii="Arial" w:cs="Arial" w:eastAsia="Arial" w:hAnsi="Arial"/>
          <w:sz w:val="19"/>
          <w:szCs w:val="19"/>
          <w:b w:val="1"/>
          <w:bCs w:val="1"/>
          <w:u w:val="single" w:color="auto"/>
          <w:color w:val="0000FF"/>
        </w:rPr>
        <w:t>Form of E-LTIP Performance Share Unit (“PSU”) Award Agreement (2022) under XHCPIP.</w:t>
      </w:r>
    </w:p>
    <w:p>
      <w:pPr>
        <w:spacing w:after="0" w:line="85"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10(f)(17) to Xerox Holdings Corporation's and Xerox Corporation's Combined Annual Report on Form 10-K dated February 23, 2022. See SEC File Number 001-39013.</w:t>
      </w:r>
    </w:p>
    <w:p>
      <w:pPr>
        <w:spacing w:after="0" w:line="1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u w:val="single" w:color="auto"/>
          <w:color w:val="0000FF"/>
        </w:rPr>
        <w:t>*10(e)(12)</w:t>
      </w:r>
      <w:r>
        <w:rPr>
          <w:sz w:val="20"/>
          <w:szCs w:val="20"/>
          <w:color w:val="auto"/>
        </w:rPr>
        <w:tab/>
      </w:r>
      <w:r>
        <w:rPr>
          <w:rFonts w:ascii="Arial" w:cs="Arial" w:eastAsia="Arial" w:hAnsi="Arial"/>
          <w:sz w:val="18"/>
          <w:szCs w:val="18"/>
          <w:b w:val="1"/>
          <w:bCs w:val="1"/>
          <w:u w:val="single" w:color="auto"/>
          <w:color w:val="0000FF"/>
        </w:rPr>
        <w:t>Form of E-LTIP Restricted Stock Unit (“RSU”) Graduated-Vesting Award Agreement (2022) under</w:t>
      </w:r>
    </w:p>
    <w:p>
      <w:pPr>
        <w:spacing w:after="0" w:line="2" w:lineRule="exact"/>
        <w:rPr>
          <w:sz w:val="20"/>
          <w:szCs w:val="20"/>
          <w:color w:val="auto"/>
        </w:rPr>
      </w:pPr>
    </w:p>
    <w:p>
      <w:pPr>
        <w:ind w:left="1400"/>
        <w:spacing w:after="0"/>
        <w:rPr>
          <w:sz w:val="20"/>
          <w:szCs w:val="20"/>
          <w:color w:val="auto"/>
        </w:rPr>
      </w:pPr>
      <w:r>
        <w:rPr>
          <w:rFonts w:ascii="Arial" w:cs="Arial" w:eastAsia="Arial" w:hAnsi="Arial"/>
          <w:sz w:val="19"/>
          <w:szCs w:val="19"/>
          <w:b w:val="1"/>
          <w:bCs w:val="1"/>
          <w:u w:val="single" w:color="auto"/>
          <w:color w:val="0000FF"/>
        </w:rPr>
        <w:t>XHCPIP.</w:t>
      </w:r>
    </w:p>
    <w:p>
      <w:pPr>
        <w:spacing w:after="0" w:line="77"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10(f)(18) to Xerox Holdings Corporation's and Xerox Corporation's Combined Annual Report on Form 10-K dated February 23, 2022. See SEC File Number 001-39013.</w:t>
      </w:r>
    </w:p>
    <w:p>
      <w:pPr>
        <w:spacing w:after="0" w:line="27"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u w:val="single" w:color="auto"/>
          <w:color w:val="0000FF"/>
        </w:rPr>
        <w:t>*10(e)(13)</w:t>
      </w:r>
      <w:r>
        <w:rPr>
          <w:sz w:val="20"/>
          <w:szCs w:val="20"/>
          <w:color w:val="auto"/>
        </w:rPr>
        <w:tab/>
      </w:r>
      <w:r>
        <w:rPr>
          <w:rFonts w:ascii="Arial" w:cs="Arial" w:eastAsia="Arial" w:hAnsi="Arial"/>
          <w:sz w:val="19"/>
          <w:szCs w:val="19"/>
          <w:b w:val="1"/>
          <w:bCs w:val="1"/>
          <w:u w:val="single" w:color="auto"/>
          <w:color w:val="0000FF"/>
        </w:rPr>
        <w:t>Form of E-LTIP RSU Cliff-Vesting Award Agreement (2022) under XHCPIP.</w:t>
      </w:r>
    </w:p>
    <w:p>
      <w:pPr>
        <w:spacing w:after="0" w:line="85" w:lineRule="exact"/>
        <w:rPr>
          <w:sz w:val="20"/>
          <w:szCs w:val="20"/>
          <w:color w:val="auto"/>
        </w:rPr>
      </w:pPr>
    </w:p>
    <w:p>
      <w:pPr>
        <w:ind w:left="1400" w:right="4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10(f)(19) to Xerox Holdings Corporation's and Xerox Corporation's Combined Annual Report on Form on Form 10-K dated February 23, 2022. See SEC File Number 001-39013.</w:t>
      </w:r>
    </w:p>
    <w:p>
      <w:pPr>
        <w:spacing w:after="0" w:line="2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u w:val="single" w:color="auto"/>
          <w:color w:val="0000FF"/>
        </w:rPr>
        <w:t>*10(e)(14)</w:t>
      </w:r>
      <w:r>
        <w:rPr>
          <w:sz w:val="20"/>
          <w:szCs w:val="20"/>
          <w:color w:val="auto"/>
        </w:rPr>
        <w:tab/>
      </w:r>
      <w:r>
        <w:rPr>
          <w:rFonts w:ascii="Arial" w:cs="Arial" w:eastAsia="Arial" w:hAnsi="Arial"/>
          <w:sz w:val="18"/>
          <w:szCs w:val="18"/>
          <w:b w:val="1"/>
          <w:bCs w:val="1"/>
          <w:u w:val="single" w:color="auto"/>
          <w:color w:val="0000FF"/>
        </w:rPr>
        <w:t>Form of International Appendix to E-LTIP PSU and RSU Award Agreements (2022) under XHCPIP.</w:t>
      </w:r>
    </w:p>
    <w:p>
      <w:pPr>
        <w:spacing w:after="0" w:line="96"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10(f)(20) to Xerox Holdings Corporation's and Xerox Corporation's Combined Annual Report on Form 10-K dated February 23, 2022. See SEC File Number 001-39013</w:t>
      </w:r>
    </w:p>
    <w:p>
      <w:pPr>
        <w:spacing w:after="0" w:line="27" w:lineRule="exact"/>
        <w:rPr>
          <w:sz w:val="20"/>
          <w:szCs w:val="20"/>
          <w:color w:val="auto"/>
        </w:rPr>
      </w:pPr>
    </w:p>
    <w:p>
      <w:pPr>
        <w:ind w:left="1400" w:right="68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*10(e)(15)</w:t>
      </w:r>
      <w:r>
        <w:rPr>
          <w:sz w:val="20"/>
          <w:szCs w:val="20"/>
          <w:color w:val="auto"/>
        </w:rPr>
        <w:tab/>
      </w:r>
      <w:r>
        <w:rPr>
          <w:rFonts w:ascii="Arial" w:cs="Arial" w:eastAsia="Arial" w:hAnsi="Arial"/>
          <w:sz w:val="19"/>
          <w:szCs w:val="19"/>
          <w:b w:val="1"/>
          <w:bCs w:val="1"/>
          <w:u w:val="single" w:color="auto"/>
          <w:color w:val="0000FF"/>
        </w:rPr>
        <w:t>Form of 2023 Restricted Stock Unit Award Agreement, 3-year, cash-settled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10(f)(23)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68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*10(e)(16)</w:t>
      </w:r>
      <w:r>
        <w:rPr>
          <w:sz w:val="20"/>
          <w:szCs w:val="20"/>
          <w:color w:val="auto"/>
        </w:rPr>
        <w:tab/>
      </w:r>
      <w:r>
        <w:rPr>
          <w:rFonts w:ascii="Arial" w:cs="Arial" w:eastAsia="Arial" w:hAnsi="Arial"/>
          <w:sz w:val="19"/>
          <w:szCs w:val="19"/>
          <w:b w:val="1"/>
          <w:bCs w:val="1"/>
          <w:u w:val="single" w:color="auto"/>
          <w:color w:val="0000FF"/>
        </w:rPr>
        <w:t>Form of 2023 Restricted Stock Unit Award Agreement, 2-year, cash-settled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10(f)(24)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22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*10(e)(17)</w:t>
      </w:r>
      <w:r>
        <w:rPr>
          <w:sz w:val="20"/>
          <w:szCs w:val="20"/>
          <w:color w:val="auto"/>
        </w:rPr>
        <w:tab/>
      </w:r>
      <w:r>
        <w:rPr>
          <w:rFonts w:ascii="Arial" w:cs="Arial" w:eastAsia="Arial" w:hAnsi="Arial"/>
          <w:sz w:val="19"/>
          <w:szCs w:val="19"/>
          <w:b w:val="1"/>
          <w:bCs w:val="1"/>
          <w:u w:val="single" w:color="auto"/>
          <w:color w:val="0000FF"/>
        </w:rPr>
        <w:t>Form of 2023 Performance Stock Unit Award Agreement, cash-settled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10(f)(25)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30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*10(e)(18)</w:t>
      </w:r>
      <w:r>
        <w:rPr>
          <w:sz w:val="20"/>
          <w:szCs w:val="20"/>
          <w:color w:val="auto"/>
        </w:rPr>
        <w:tab/>
      </w:r>
      <w:r>
        <w:rPr>
          <w:rFonts w:ascii="Arial" w:cs="Arial" w:eastAsia="Arial" w:hAnsi="Arial"/>
          <w:sz w:val="19"/>
          <w:szCs w:val="19"/>
          <w:b w:val="1"/>
          <w:bCs w:val="1"/>
          <w:u w:val="single" w:color="auto"/>
          <w:color w:val="0000FF"/>
        </w:rPr>
        <w:t>Form of 2023 E-LTIP Restricted Stock Unit Award Agreement, 3-Year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10(f)(26)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30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*10(e)(19)</w:t>
      </w:r>
      <w:r>
        <w:rPr>
          <w:sz w:val="20"/>
          <w:szCs w:val="20"/>
          <w:color w:val="auto"/>
        </w:rPr>
        <w:tab/>
      </w:r>
      <w:r>
        <w:rPr>
          <w:rFonts w:ascii="Arial" w:cs="Arial" w:eastAsia="Arial" w:hAnsi="Arial"/>
          <w:sz w:val="19"/>
          <w:szCs w:val="19"/>
          <w:b w:val="1"/>
          <w:bCs w:val="1"/>
          <w:u w:val="single" w:color="auto"/>
          <w:color w:val="0000FF"/>
        </w:rPr>
        <w:t>Form of 2023 E-LTIP Restricted Stock Unit Award Agreement, 2-Year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10(f)(27)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58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*10(e)(20)</w:t>
      </w:r>
      <w:r>
        <w:rPr>
          <w:sz w:val="20"/>
          <w:szCs w:val="20"/>
          <w:color w:val="auto"/>
        </w:rPr>
        <w:tab/>
      </w:r>
      <w:r>
        <w:rPr>
          <w:rFonts w:ascii="Arial" w:cs="Arial" w:eastAsia="Arial" w:hAnsi="Arial"/>
          <w:sz w:val="19"/>
          <w:szCs w:val="19"/>
          <w:b w:val="1"/>
          <w:bCs w:val="1"/>
          <w:u w:val="single" w:color="auto"/>
          <w:color w:val="0000FF"/>
        </w:rPr>
        <w:t>Form of 2023 Restricted Stock Unit Award Agreement, 3-year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10(f)(28)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58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*10(e)(21)</w:t>
      </w:r>
      <w:r>
        <w:rPr>
          <w:sz w:val="20"/>
          <w:szCs w:val="20"/>
          <w:color w:val="auto"/>
        </w:rPr>
        <w:tab/>
      </w:r>
      <w:r>
        <w:rPr>
          <w:rFonts w:ascii="Arial" w:cs="Arial" w:eastAsia="Arial" w:hAnsi="Arial"/>
          <w:sz w:val="19"/>
          <w:szCs w:val="19"/>
          <w:b w:val="1"/>
          <w:bCs w:val="1"/>
          <w:u w:val="single" w:color="auto"/>
          <w:color w:val="0000FF"/>
        </w:rPr>
        <w:t>Form of 2023 Restricted Stock Unit Award Agreement, 2-year under XHCPIP, amended and effective as of October 21, 2021.</w:t>
      </w:r>
    </w:p>
    <w:p>
      <w:pPr>
        <w:spacing w:after="0" w:line="28" w:lineRule="exact"/>
        <w:rPr>
          <w:sz w:val="20"/>
          <w:szCs w:val="20"/>
          <w:color w:val="auto"/>
        </w:rPr>
      </w:pPr>
    </w:p>
    <w:p>
      <w:pPr>
        <w:ind w:left="1400" w:right="3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10(f)(29)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8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*10(e)(22)</w:t>
      </w:r>
      <w:r>
        <w:rPr>
          <w:sz w:val="20"/>
          <w:szCs w:val="20"/>
          <w:color w:val="auto"/>
        </w:rPr>
        <w:tab/>
      </w:r>
      <w:r>
        <w:rPr>
          <w:rFonts w:ascii="Arial" w:cs="Arial" w:eastAsia="Arial" w:hAnsi="Arial"/>
          <w:sz w:val="19"/>
          <w:szCs w:val="19"/>
          <w:b w:val="1"/>
          <w:bCs w:val="1"/>
          <w:u w:val="single" w:color="auto"/>
          <w:color w:val="0000FF"/>
        </w:rPr>
        <w:t>Form of 2023 E-LTIP Performance Stock Unit Award Agreement, 2-year under XHCPIP, amended and effective as of October 21,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174</w:t>
      </w:r>
    </w:p>
    <w:p>
      <w:pPr>
        <w:sectPr>
          <w:pgSz w:w="11880" w:h="15480" w:orient="portrait"/>
          <w:cols w:equalWidth="0" w:num="1">
            <w:col w:w="9840"/>
          </w:cols>
          <w:pgMar w:left="1020" w:top="821" w:right="1020" w:bottom="0" w:gutter="0" w:footer="0" w:header="0"/>
        </w:sectPr>
      </w:pPr>
    </w:p>
    <w:bookmarkStart w:id="184" w:name="page185"/>
    <w:bookmarkEnd w:id="184"/>
    <w:p>
      <w:pPr>
        <w:ind w:left="1400" w:right="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10(f)(30) to Xerox Holdings Corporation's and Xerox Corporation's Combined s Annual Report on Form 10-K dated February 23, 2023. See SEC File Number 001-39013.</w:t>
      </w:r>
    </w:p>
    <w:p>
      <w:pPr>
        <w:spacing w:after="0" w:line="27" w:lineRule="exact"/>
        <w:rPr>
          <w:sz w:val="20"/>
          <w:szCs w:val="20"/>
          <w:color w:val="auto"/>
        </w:rPr>
      </w:pPr>
    </w:p>
    <w:p>
      <w:pPr>
        <w:ind w:left="1400" w:right="8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*10(e)(23)</w:t>
      </w:r>
      <w:r>
        <w:rPr>
          <w:sz w:val="20"/>
          <w:szCs w:val="20"/>
          <w:color w:val="auto"/>
        </w:rPr>
        <w:tab/>
      </w:r>
      <w:r>
        <w:rPr>
          <w:rFonts w:ascii="Arial" w:cs="Arial" w:eastAsia="Arial" w:hAnsi="Arial"/>
          <w:sz w:val="19"/>
          <w:szCs w:val="19"/>
          <w:b w:val="1"/>
          <w:bCs w:val="1"/>
          <w:u w:val="single" w:color="auto"/>
          <w:color w:val="0000FF"/>
        </w:rPr>
        <w:t>Form of 2023 Performance Stock Unit Award Agreement under XHCPIP, amended and effective as of October 21, 2021.</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10(f)(31) to Xerox Holdings Corporation's and Xerox Corporation's Combined Annual Report on Form 10-K dated February 23, 2023. See SEC File Number 001-39013.</w:t>
      </w:r>
    </w:p>
    <w:p>
      <w:pPr>
        <w:spacing w:after="0" w:line="27" w:lineRule="exact"/>
        <w:rPr>
          <w:sz w:val="20"/>
          <w:szCs w:val="20"/>
          <w:color w:val="auto"/>
        </w:rPr>
      </w:pPr>
    </w:p>
    <w:p>
      <w:pPr>
        <w:ind w:left="1400" w:right="44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*10(e)(24)</w:t>
      </w:r>
      <w:r>
        <w:rPr>
          <w:sz w:val="20"/>
          <w:szCs w:val="20"/>
          <w:color w:val="auto"/>
        </w:rPr>
        <w:tab/>
      </w:r>
      <w:r>
        <w:rPr>
          <w:rFonts w:ascii="Arial" w:cs="Arial" w:eastAsia="Arial" w:hAnsi="Arial"/>
          <w:sz w:val="19"/>
          <w:szCs w:val="19"/>
          <w:b w:val="1"/>
          <w:bCs w:val="1"/>
          <w:u w:val="single" w:color="auto"/>
          <w:color w:val="0000FF"/>
        </w:rPr>
        <w:t>Form of 2023 XSIP Performance Stock Unit Award Agreement, cash-settled under XHCPIP, amended and effective on February 21, 2024.</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10(f)(38) to Xerox Holdings Corporation's and Xerox Corporation's Combined Annual Report on Form 10-K dated February 23, 2024. See SEC File Number 001-39013.</w:t>
      </w:r>
    </w:p>
    <w:p>
      <w:pPr>
        <w:spacing w:after="0" w:line="27" w:lineRule="exact"/>
        <w:rPr>
          <w:sz w:val="20"/>
          <w:szCs w:val="20"/>
          <w:color w:val="auto"/>
        </w:rPr>
      </w:pPr>
    </w:p>
    <w:p>
      <w:pPr>
        <w:ind w:left="1400" w:right="40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*10(e)(25)</w:t>
      </w:r>
      <w:r>
        <w:rPr>
          <w:sz w:val="20"/>
          <w:szCs w:val="20"/>
          <w:color w:val="auto"/>
        </w:rPr>
        <w:tab/>
      </w:r>
      <w:r>
        <w:rPr>
          <w:rFonts w:ascii="Arial" w:cs="Arial" w:eastAsia="Arial" w:hAnsi="Arial"/>
          <w:sz w:val="19"/>
          <w:szCs w:val="19"/>
          <w:b w:val="1"/>
          <w:bCs w:val="1"/>
          <w:u w:val="single" w:color="auto"/>
          <w:color w:val="0000FF"/>
        </w:rPr>
        <w:t>Form of 2023 XSIP Performance Stock Unit Award Agreement, stock-settled under XHCPIP, amended and effective on February 21, 2024.</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10(f)(39) to Xerox Holdings Corporation's and Xerox Corporation's Combined Annual Report on Form 10-K dated February 23, 2024. See SEC File Number 001-39013.</w:t>
      </w:r>
    </w:p>
    <w:p>
      <w:pPr>
        <w:spacing w:after="0" w:line="27" w:lineRule="exact"/>
        <w:rPr>
          <w:sz w:val="20"/>
          <w:szCs w:val="20"/>
          <w:color w:val="auto"/>
        </w:rPr>
      </w:pPr>
    </w:p>
    <w:p>
      <w:pPr>
        <w:ind w:left="1400" w:right="16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*10(e)(26)</w:t>
      </w:r>
      <w:r>
        <w:rPr>
          <w:sz w:val="20"/>
          <w:szCs w:val="20"/>
          <w:color w:val="auto"/>
        </w:rPr>
        <w:tab/>
      </w:r>
      <w:r>
        <w:rPr>
          <w:rFonts w:ascii="Arial" w:cs="Arial" w:eastAsia="Arial" w:hAnsi="Arial"/>
          <w:sz w:val="19"/>
          <w:szCs w:val="19"/>
          <w:b w:val="1"/>
          <w:bCs w:val="1"/>
          <w:u w:val="single" w:color="auto"/>
          <w:color w:val="0000FF"/>
        </w:rPr>
        <w:t>Form of 2023 E-LTIP Performance Stock Unit Award Agreement, under XHCPIP, amended and effective on February 21, 2024.</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10(f)(40) to Xerox Holdings Corporation's and Xerox Corporation's Combined Annual Report on Form 10-K dated February 23, 2024. See SEC File Number 001-39013</w:t>
      </w:r>
    </w:p>
    <w:p>
      <w:pPr>
        <w:spacing w:after="0" w:line="27" w:lineRule="exact"/>
        <w:rPr>
          <w:sz w:val="20"/>
          <w:szCs w:val="20"/>
          <w:color w:val="auto"/>
        </w:rPr>
      </w:pPr>
    </w:p>
    <w:p>
      <w:pPr>
        <w:ind w:left="1400" w:right="44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*10(e)(27)</w:t>
      </w:r>
      <w:r>
        <w:rPr>
          <w:sz w:val="20"/>
          <w:szCs w:val="20"/>
          <w:color w:val="auto"/>
        </w:rPr>
        <w:tab/>
      </w:r>
      <w:r>
        <w:rPr>
          <w:rFonts w:ascii="Arial" w:cs="Arial" w:eastAsia="Arial" w:hAnsi="Arial"/>
          <w:sz w:val="19"/>
          <w:szCs w:val="19"/>
          <w:b w:val="1"/>
          <w:bCs w:val="1"/>
          <w:u w:val="single" w:color="auto"/>
          <w:color w:val="0000FF"/>
        </w:rPr>
        <w:t>Form of 2024 XSIP Performance Stock Unit Award Agreement, cash-settled under XHCPIP, amended and effective on February 21, 2024.</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10(f)(41) to Xerox Holdings Corporation's and Xerox Corporation's Combined Annual Report on Form 10-K dated February 23, 2024. See SEC File Number 001-39013.</w:t>
      </w:r>
    </w:p>
    <w:p>
      <w:pPr>
        <w:spacing w:after="0" w:line="27" w:lineRule="exact"/>
        <w:rPr>
          <w:sz w:val="20"/>
          <w:szCs w:val="20"/>
          <w:color w:val="auto"/>
        </w:rPr>
      </w:pPr>
    </w:p>
    <w:p>
      <w:pPr>
        <w:ind w:left="1400" w:right="40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*10(e)(28)</w:t>
      </w:r>
      <w:r>
        <w:rPr>
          <w:sz w:val="20"/>
          <w:szCs w:val="20"/>
          <w:color w:val="auto"/>
        </w:rPr>
        <w:tab/>
      </w:r>
      <w:r>
        <w:rPr>
          <w:rFonts w:ascii="Arial" w:cs="Arial" w:eastAsia="Arial" w:hAnsi="Arial"/>
          <w:sz w:val="19"/>
          <w:szCs w:val="19"/>
          <w:b w:val="1"/>
          <w:bCs w:val="1"/>
          <w:u w:val="single" w:color="auto"/>
          <w:color w:val="0000FF"/>
        </w:rPr>
        <w:t>Form of 2024 XSIP Performance Stock Unit Award Agreement, stock-settled under XHCPIP, amended and effective on February 21, 2024.</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10(f)(42) to Xerox Holdings Corporation's and Xerox Corporation's Combined Annual Report on Form 10-K dated February 23, 2024. See SEC File Number 001-39013.</w:t>
      </w:r>
    </w:p>
    <w:p>
      <w:pPr>
        <w:spacing w:after="0" w:line="27"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b w:val="1"/>
          <w:bCs w:val="1"/>
          <w:u w:val="single" w:color="auto"/>
          <w:color w:val="0000FF"/>
        </w:rPr>
        <w:t>*10(e)(29)</w:t>
      </w:r>
      <w:r>
        <w:rPr>
          <w:sz w:val="20"/>
          <w:szCs w:val="20"/>
          <w:color w:val="auto"/>
        </w:rPr>
        <w:tab/>
      </w:r>
      <w:r>
        <w:rPr>
          <w:rFonts w:ascii="Arial" w:cs="Arial" w:eastAsia="Arial" w:hAnsi="Arial"/>
          <w:sz w:val="19"/>
          <w:szCs w:val="19"/>
          <w:b w:val="1"/>
          <w:bCs w:val="1"/>
          <w:u w:val="single" w:color="auto"/>
          <w:color w:val="0000FF"/>
        </w:rPr>
        <w:t>Form of 2024 E-LTIP Performance Stock Unit Award Agreement.</w:t>
      </w:r>
    </w:p>
    <w:p>
      <w:pPr>
        <w:spacing w:after="0" w:line="85"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10(f)(43) to Xerox Holdings Corporation's and Xerox Corporation's Combined Annual Report on Form 10-K dated February 23, 2024. See SEC File Number 001-39013.</w:t>
      </w:r>
    </w:p>
    <w:p>
      <w:pPr>
        <w:spacing w:after="0" w:line="27" w:lineRule="exact"/>
        <w:rPr>
          <w:sz w:val="20"/>
          <w:szCs w:val="20"/>
          <w:color w:val="auto"/>
        </w:rPr>
      </w:pPr>
    </w:p>
    <w:p>
      <w:pPr>
        <w:ind w:left="1400" w:right="540" w:hanging="1399"/>
        <w:spacing w:after="0" w:line="255" w:lineRule="auto"/>
        <w:tabs>
          <w:tab w:leader="none" w:pos="1380" w:val="left"/>
        </w:tabs>
        <w:rPr>
          <w:sz w:val="20"/>
          <w:szCs w:val="20"/>
          <w:color w:val="auto"/>
        </w:rPr>
      </w:pPr>
      <w:r>
        <w:rPr>
          <w:rFonts w:ascii="Arial" w:cs="Arial" w:eastAsia="Arial" w:hAnsi="Arial"/>
          <w:sz w:val="19"/>
          <w:szCs w:val="19"/>
          <w:b w:val="1"/>
          <w:bCs w:val="1"/>
          <w:u w:val="single" w:color="auto"/>
          <w:color w:val="0000FF"/>
        </w:rPr>
        <w:t>*10(e)(30)</w:t>
      </w:r>
      <w:r>
        <w:rPr>
          <w:sz w:val="20"/>
          <w:szCs w:val="20"/>
          <w:color w:val="auto"/>
        </w:rPr>
        <w:tab/>
      </w:r>
      <w:r>
        <w:rPr>
          <w:rFonts w:ascii="Arial" w:cs="Arial" w:eastAsia="Arial" w:hAnsi="Arial"/>
          <w:sz w:val="19"/>
          <w:szCs w:val="19"/>
          <w:b w:val="1"/>
          <w:bCs w:val="1"/>
          <w:u w:val="single" w:color="auto"/>
          <w:color w:val="0000FF"/>
        </w:rPr>
        <w:t>Form of 2024 XSIP Restricted Stock Unit Award Agreement, under XHCPIP, amended and effective on February 21, 2024.</w:t>
      </w:r>
    </w:p>
    <w:p>
      <w:pPr>
        <w:spacing w:after="0" w:line="28"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10(f)(44) to Xerox Holdings Corporation's and Xerox Corporation's Combined Annual Report on Form 10-K dated February 23, 2024. See SEC File Number 001-39013</w:t>
      </w:r>
    </w:p>
    <w:p>
      <w:pPr>
        <w:spacing w:after="0" w:line="27" w:lineRule="exact"/>
        <w:rPr>
          <w:sz w:val="20"/>
          <w:szCs w:val="20"/>
          <w:color w:val="auto"/>
        </w:rPr>
      </w:pPr>
    </w:p>
    <w:p>
      <w:pPr>
        <w:ind w:left="1400" w:right="100" w:hanging="1399"/>
        <w:spacing w:after="0" w:line="283" w:lineRule="auto"/>
        <w:tabs>
          <w:tab w:leader="none" w:pos="1380" w:val="left"/>
        </w:tabs>
        <w:rPr>
          <w:sz w:val="20"/>
          <w:szCs w:val="20"/>
          <w:color w:val="auto"/>
        </w:rPr>
      </w:pPr>
      <w:r>
        <w:rPr>
          <w:rFonts w:ascii="Arial" w:cs="Arial" w:eastAsia="Arial" w:hAnsi="Arial"/>
          <w:sz w:val="18"/>
          <w:szCs w:val="18"/>
          <w:b w:val="1"/>
          <w:bCs w:val="1"/>
          <w:u w:val="single" w:color="auto"/>
          <w:color w:val="0000FF"/>
        </w:rPr>
        <w:t>*10(e)(31)</w:t>
      </w:r>
      <w:r>
        <w:rPr>
          <w:sz w:val="20"/>
          <w:szCs w:val="20"/>
          <w:color w:val="auto"/>
        </w:rPr>
        <w:tab/>
      </w:r>
      <w:r>
        <w:rPr>
          <w:rFonts w:ascii="Arial" w:cs="Arial" w:eastAsia="Arial" w:hAnsi="Arial"/>
          <w:sz w:val="18"/>
          <w:szCs w:val="18"/>
          <w:b w:val="1"/>
          <w:bCs w:val="1"/>
          <w:u w:val="single" w:color="auto"/>
          <w:color w:val="0000FF"/>
        </w:rPr>
        <w:t>Form of 2025 ELTIP Performance Share Unit Award Agreement Pursuant To Xerox Holdings Corporation 2024 Equity And Performance Incentive Plan - 3 Year, Effective February 19, 2025.</w:t>
      </w:r>
    </w:p>
    <w:p>
      <w:pPr>
        <w:spacing w:after="0" w:line="4" w:lineRule="exact"/>
        <w:rPr>
          <w:sz w:val="20"/>
          <w:szCs w:val="20"/>
          <w:color w:val="auto"/>
        </w:rPr>
      </w:pPr>
    </w:p>
    <w:p>
      <w:pPr>
        <w:ind w:left="1400" w:right="2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10(f)(48) to Xerox Holdings Corporation's and Xerox Corporation's Combined Annual Report on Form 10-K dated February 24, 2025. See SEC File Number 001-39013.</w:t>
      </w:r>
    </w:p>
    <w:p>
      <w:pPr>
        <w:spacing w:after="0" w:line="27" w:lineRule="exact"/>
        <w:rPr>
          <w:sz w:val="20"/>
          <w:szCs w:val="20"/>
          <w:color w:val="auto"/>
        </w:rPr>
      </w:pPr>
    </w:p>
    <w:p>
      <w:pPr>
        <w:ind w:left="1400" w:hanging="1399"/>
        <w:spacing w:after="0" w:line="236" w:lineRule="auto"/>
        <w:tabs>
          <w:tab w:leader="none" w:pos="1380" w:val="left"/>
        </w:tabs>
        <w:rPr>
          <w:sz w:val="20"/>
          <w:szCs w:val="20"/>
          <w:color w:val="auto"/>
        </w:rPr>
      </w:pPr>
      <w:r>
        <w:rPr>
          <w:rFonts w:ascii="Arial" w:cs="Arial" w:eastAsia="Arial" w:hAnsi="Arial"/>
          <w:sz w:val="19"/>
          <w:szCs w:val="19"/>
          <w:b w:val="1"/>
          <w:bCs w:val="1"/>
          <w:u w:val="single" w:color="auto"/>
          <w:color w:val="0000FF"/>
        </w:rPr>
        <w:t>*10(e)(32)</w:t>
      </w:r>
      <w:r>
        <w:rPr>
          <w:sz w:val="20"/>
          <w:szCs w:val="20"/>
          <w:color w:val="auto"/>
        </w:rPr>
        <w:tab/>
      </w:r>
      <w:r>
        <w:rPr>
          <w:rFonts w:ascii="Arial" w:cs="Arial" w:eastAsia="Arial" w:hAnsi="Arial"/>
          <w:sz w:val="19"/>
          <w:szCs w:val="19"/>
          <w:b w:val="1"/>
          <w:bCs w:val="1"/>
          <w:u w:val="single" w:color="auto"/>
          <w:color w:val="0000FF"/>
        </w:rPr>
        <w:t>Form of 2025 ELTIP Restricted Stock Unit Award Agreement Pursuant To Xerox Holdings Corporation 2024 Equity And Performance Incentive Plan - 2 Year CEO/COO, Effective February 19, 2025.</w:t>
      </w:r>
    </w:p>
    <w:p>
      <w:pPr>
        <w:spacing w:after="0" w:line="51" w:lineRule="exact"/>
        <w:rPr>
          <w:sz w:val="20"/>
          <w:szCs w:val="20"/>
          <w:color w:val="auto"/>
        </w:rPr>
      </w:pPr>
    </w:p>
    <w:p>
      <w:pPr>
        <w:ind w:left="1400" w:right="1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10(f)(49) to Xerox Holdings Corporation's and Xerox Corporation's Combined Annual Report on Form 10-K dated February 24, 2025. See SEC File Number 001-39013</w:t>
      </w:r>
    </w:p>
    <w:p>
      <w:pPr>
        <w:spacing w:after="0" w:line="27" w:lineRule="exact"/>
        <w:rPr>
          <w:sz w:val="20"/>
          <w:szCs w:val="20"/>
          <w:color w:val="auto"/>
        </w:rPr>
      </w:pPr>
    </w:p>
    <w:p>
      <w:pPr>
        <w:ind w:left="1400" w:right="100" w:hanging="1399"/>
        <w:spacing w:after="0" w:line="283" w:lineRule="auto"/>
        <w:tabs>
          <w:tab w:leader="none" w:pos="1380" w:val="left"/>
        </w:tabs>
        <w:rPr>
          <w:sz w:val="20"/>
          <w:szCs w:val="20"/>
          <w:color w:val="auto"/>
        </w:rPr>
      </w:pPr>
      <w:r>
        <w:rPr>
          <w:rFonts w:ascii="Arial" w:cs="Arial" w:eastAsia="Arial" w:hAnsi="Arial"/>
          <w:sz w:val="18"/>
          <w:szCs w:val="18"/>
          <w:b w:val="1"/>
          <w:bCs w:val="1"/>
          <w:u w:val="single" w:color="auto"/>
          <w:color w:val="0000FF"/>
        </w:rPr>
        <w:t>*10(e)(33)</w:t>
      </w:r>
      <w:r>
        <w:rPr>
          <w:sz w:val="20"/>
          <w:szCs w:val="20"/>
          <w:color w:val="auto"/>
        </w:rPr>
        <w:tab/>
      </w:r>
      <w:r>
        <w:rPr>
          <w:rFonts w:ascii="Arial" w:cs="Arial" w:eastAsia="Arial" w:hAnsi="Arial"/>
          <w:sz w:val="18"/>
          <w:szCs w:val="18"/>
          <w:b w:val="1"/>
          <w:bCs w:val="1"/>
          <w:u w:val="single" w:color="auto"/>
          <w:color w:val="0000FF"/>
        </w:rPr>
        <w:t>Form of 2025 ELTIP Restricted Stock Unit Award Agreement Pursuant To Xerox Holdings Corporation 2024 Equity And Performance Incentive Plan - 3 Year, Effective February 19, 2025.</w:t>
      </w:r>
    </w:p>
    <w:p>
      <w:pPr>
        <w:spacing w:after="0" w:line="4" w:lineRule="exact"/>
        <w:rPr>
          <w:sz w:val="20"/>
          <w:szCs w:val="20"/>
          <w:color w:val="auto"/>
        </w:rPr>
      </w:pPr>
    </w:p>
    <w:p>
      <w:pPr>
        <w:ind w:left="1400" w:right="22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10(f)(50) to Xerox Corporation and Xerox Holdings Corporation's Combined Annual Report on Form 10-K dated February 24, 2025. See SEC File Number 001-39013.</w:t>
      </w:r>
    </w:p>
    <w:p>
      <w:pPr>
        <w:spacing w:after="0" w:line="200" w:lineRule="exact"/>
        <w:rPr>
          <w:sz w:val="20"/>
          <w:szCs w:val="20"/>
          <w:color w:val="auto"/>
        </w:rPr>
      </w:pPr>
    </w:p>
    <w:p>
      <w:pPr>
        <w:spacing w:after="0" w:line="318" w:lineRule="exact"/>
        <w:rPr>
          <w:sz w:val="20"/>
          <w:szCs w:val="20"/>
          <w:color w:val="auto"/>
        </w:rPr>
      </w:pPr>
    </w:p>
    <w:p>
      <w:pPr>
        <w:jc w:val="center"/>
        <w:ind w:right="-17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175</w:t>
      </w:r>
    </w:p>
    <w:p>
      <w:pPr>
        <w:sectPr>
          <w:pgSz w:w="11880" w:h="15480" w:orient="portrait"/>
          <w:cols w:equalWidth="0" w:num="1">
            <w:col w:w="9680"/>
          </w:cols>
          <w:pgMar w:left="1020" w:top="821" w:right="1180" w:bottom="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2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*10(e)(34)</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Form of 2025 ELTIP Restricted Stock Unit Award Agreement Pursuant To Xerox Holdings</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8"/>
              </w:rPr>
              <w:t>Corporation 2024 Equity And Performance Incentive Plan - 3 Year CEO/COO, Effective</w:t>
            </w:r>
          </w:p>
        </w:tc>
        <w:tc>
          <w:tcPr>
            <w:tcW w:w="800" w:type="dxa"/>
            <w:vAlign w:val="bottom"/>
            <w:gridSpan w:val="14"/>
          </w:tcPr>
          <w:p>
            <w:pPr>
              <w:spacing w:after="0" w:line="184" w:lineRule="exact"/>
              <w:rPr>
                <w:sz w:val="20"/>
                <w:szCs w:val="20"/>
                <w:color w:val="auto"/>
              </w:rPr>
            </w:pPr>
            <w:r>
              <w:rPr>
                <w:rFonts w:ascii="Arial" w:cs="Arial" w:eastAsia="Arial" w:hAnsi="Arial"/>
                <w:sz w:val="19"/>
                <w:szCs w:val="19"/>
                <w:b w:val="1"/>
                <w:bCs w:val="1"/>
                <w:color w:val="0000FF"/>
                <w:w w:val="95"/>
              </w:rPr>
              <w:t>February</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Borders>
              <w:top w:val="single" w:sz="8" w:color="0000FF"/>
              <w:bottom w:val="single" w:sz="8" w:color="0000FF"/>
            </w:tcBorders>
            <w:gridSpan w:val="2"/>
          </w:tcPr>
          <w:p>
            <w:pPr>
              <w:spacing w:after="0" w:line="174" w:lineRule="exact"/>
              <w:rPr>
                <w:sz w:val="20"/>
                <w:szCs w:val="20"/>
                <w:color w:val="auto"/>
              </w:rPr>
            </w:pPr>
            <w:r>
              <w:rPr>
                <w:rFonts w:ascii="Arial" w:cs="Arial" w:eastAsia="Arial" w:hAnsi="Arial"/>
                <w:sz w:val="19"/>
                <w:szCs w:val="19"/>
                <w:b w:val="1"/>
                <w:bCs w:val="1"/>
                <w:color w:val="0000FF"/>
              </w:rPr>
              <w:t>19, 2025.</w:t>
            </w: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520" w:type="dxa"/>
            <w:vAlign w:val="bottom"/>
            <w:tcBorders>
              <w:bottom w:val="single" w:sz="8" w:color="0000FF"/>
            </w:tcBorders>
            <w:gridSpan w:val="12"/>
          </w:tcPr>
          <w:p>
            <w:pPr>
              <w:spacing w:after="0"/>
              <w:rPr>
                <w:sz w:val="20"/>
                <w:szCs w:val="20"/>
                <w:color w:val="auto"/>
              </w:rPr>
            </w:pPr>
            <w:r>
              <w:rPr>
                <w:rFonts w:ascii="Arial" w:cs="Arial" w:eastAsia="Arial" w:hAnsi="Arial"/>
                <w:sz w:val="19"/>
                <w:szCs w:val="19"/>
                <w:b w:val="1"/>
                <w:bCs w:val="1"/>
                <w:color w:val="0000FF"/>
                <w:w w:val="95"/>
              </w:rPr>
              <w:t>Incorporated by reference to Exhibit 10(f)(51) to Xerox Corporation and Xerox Holdings</w:t>
            </w:r>
          </w:p>
        </w:tc>
        <w:tc>
          <w:tcPr>
            <w:tcW w:w="960" w:type="dxa"/>
            <w:vAlign w:val="bottom"/>
            <w:gridSpan w:val="17"/>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9"/>
          </w:tcPr>
          <w:p>
            <w:pPr>
              <w:spacing w:after="0" w:line="174" w:lineRule="exact"/>
              <w:rPr>
                <w:sz w:val="20"/>
                <w:szCs w:val="20"/>
                <w:color w:val="auto"/>
              </w:rPr>
            </w:pPr>
            <w:r>
              <w:rPr>
                <w:rFonts w:ascii="Arial" w:cs="Arial" w:eastAsia="Arial" w:hAnsi="Arial"/>
                <w:sz w:val="19"/>
                <w:szCs w:val="19"/>
                <w:b w:val="1"/>
                <w:bCs w:val="1"/>
                <w:color w:val="0000FF"/>
              </w:rPr>
              <w:t>Corporation's Combined Annual Report on Form 10-K dated February 24, 2025. See SEC 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6"/>
          </w:tcPr>
          <w:p>
            <w:pPr>
              <w:spacing w:after="0" w:line="174" w:lineRule="exact"/>
              <w:rPr>
                <w:sz w:val="20"/>
                <w:szCs w:val="20"/>
                <w:color w:val="auto"/>
              </w:rPr>
            </w:pPr>
            <w:r>
              <w:rPr>
                <w:rFonts w:ascii="Arial" w:cs="Arial" w:eastAsia="Arial" w:hAnsi="Arial"/>
                <w:sz w:val="19"/>
                <w:szCs w:val="19"/>
                <w:b w:val="1"/>
                <w:bCs w:val="1"/>
                <w:color w:val="0000FF"/>
                <w:w w:val="98"/>
              </w:rPr>
              <w:t>Number 001-39013</w:t>
            </w:r>
          </w:p>
        </w:tc>
        <w:tc>
          <w:tcPr>
            <w:tcW w:w="6440" w:type="dxa"/>
            <w:vAlign w:val="bottom"/>
            <w:tcBorders>
              <w:top w:val="single" w:sz="8" w:color="0000FF"/>
            </w:tcBorders>
            <w:gridSpan w:val="17"/>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*10(e)(35)</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Form of 2025 XSIP Restricted Stock Unit Award Agreement Pursuant To Xerox Holdings</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580" w:type="dxa"/>
            <w:vAlign w:val="bottom"/>
            <w:tcBorders>
              <w:top w:val="single" w:sz="8" w:color="0000FF"/>
              <w:bottom w:val="single" w:sz="8" w:color="0000FF"/>
            </w:tcBorders>
            <w:gridSpan w:val="12"/>
          </w:tcPr>
          <w:p>
            <w:pPr>
              <w:spacing w:after="0" w:line="184" w:lineRule="exact"/>
              <w:rPr>
                <w:sz w:val="20"/>
                <w:szCs w:val="20"/>
                <w:color w:val="auto"/>
              </w:rPr>
            </w:pPr>
            <w:r>
              <w:rPr>
                <w:rFonts w:ascii="Arial" w:cs="Arial" w:eastAsia="Arial" w:hAnsi="Arial"/>
                <w:sz w:val="19"/>
                <w:szCs w:val="19"/>
                <w:b w:val="1"/>
                <w:bCs w:val="1"/>
                <w:color w:val="0000FF"/>
                <w:w w:val="94"/>
              </w:rPr>
              <w:t>Corporation 2024 Equity And Performance Incentive Plan - 2 Year, Effective February 19,</w:t>
            </w:r>
          </w:p>
        </w:tc>
        <w:tc>
          <w:tcPr>
            <w:tcW w:w="580" w:type="dxa"/>
            <w:vAlign w:val="bottom"/>
            <w:tcBorders>
              <w:bottom w:val="single" w:sz="8" w:color="0000FF"/>
            </w:tcBorders>
            <w:gridSpan w:val="11"/>
          </w:tcPr>
          <w:p>
            <w:pPr>
              <w:jc w:val="center"/>
              <w:spacing w:after="0" w:line="184" w:lineRule="exact"/>
              <w:rPr>
                <w:sz w:val="20"/>
                <w:szCs w:val="20"/>
                <w:color w:val="auto"/>
              </w:rPr>
            </w:pPr>
            <w:r>
              <w:rPr>
                <w:rFonts w:ascii="Arial" w:cs="Arial" w:eastAsia="Arial" w:hAnsi="Arial"/>
                <w:sz w:val="19"/>
                <w:szCs w:val="19"/>
                <w:b w:val="1"/>
                <w:bCs w:val="1"/>
                <w:color w:val="0000FF"/>
              </w:rPr>
              <w:t>2025.</w:t>
            </w: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10(f)(52)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12"/>
          </w:tcPr>
          <w:p>
            <w:pPr>
              <w:jc w:val="center"/>
              <w:ind w:right="40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7"/>
          </w:tcPr>
          <w:p>
            <w:pPr>
              <w:spacing w:after="0" w:line="174" w:lineRule="exact"/>
              <w:rPr>
                <w:sz w:val="20"/>
                <w:szCs w:val="20"/>
                <w:color w:val="auto"/>
              </w:rPr>
            </w:pPr>
            <w:r>
              <w:rPr>
                <w:rFonts w:ascii="Arial" w:cs="Arial" w:eastAsia="Arial" w:hAnsi="Arial"/>
                <w:sz w:val="19"/>
                <w:szCs w:val="19"/>
                <w:b w:val="1"/>
                <w:bCs w:val="1"/>
                <w:color w:val="0000FF"/>
                <w:w w:val="99"/>
              </w:rPr>
              <w:t>Number 001-39013.</w:t>
            </w:r>
          </w:p>
        </w:tc>
        <w:tc>
          <w:tcPr>
            <w:tcW w:w="6380" w:type="dxa"/>
            <w:vAlign w:val="bottom"/>
            <w:tcBorders>
              <w:top w:val="single" w:sz="8" w:color="0000FF"/>
            </w:tcBorders>
            <w:gridSpan w:val="16"/>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*10(e)(36)</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Form of 2025 XSIP Restricted Stock Unit Award Agreement Pursuant To Xerox Holdings</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580" w:type="dxa"/>
            <w:vAlign w:val="bottom"/>
            <w:tcBorders>
              <w:top w:val="single" w:sz="8" w:color="0000FF"/>
              <w:bottom w:val="single" w:sz="8" w:color="0000FF"/>
            </w:tcBorders>
            <w:gridSpan w:val="12"/>
          </w:tcPr>
          <w:p>
            <w:pPr>
              <w:spacing w:after="0" w:line="184" w:lineRule="exact"/>
              <w:rPr>
                <w:sz w:val="20"/>
                <w:szCs w:val="20"/>
                <w:color w:val="auto"/>
              </w:rPr>
            </w:pPr>
            <w:r>
              <w:rPr>
                <w:rFonts w:ascii="Arial" w:cs="Arial" w:eastAsia="Arial" w:hAnsi="Arial"/>
                <w:sz w:val="19"/>
                <w:szCs w:val="19"/>
                <w:b w:val="1"/>
                <w:bCs w:val="1"/>
                <w:color w:val="0000FF"/>
                <w:w w:val="94"/>
              </w:rPr>
              <w:t>Corporation 2024 Equity And Performance Incentive Plan - 2 Year Cash-Settled, Effective</w:t>
            </w:r>
          </w:p>
        </w:tc>
        <w:tc>
          <w:tcPr>
            <w:tcW w:w="100" w:type="dxa"/>
            <w:vAlign w:val="bottom"/>
            <w:tcBorders>
              <w:bottom w:val="single" w:sz="8" w:color="0000FF"/>
            </w:tcBorders>
            <w:gridSpan w:val="3"/>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20" w:type="dxa"/>
            <w:vAlign w:val="bottom"/>
            <w:gridSpan w:val="17"/>
          </w:tcPr>
          <w:p>
            <w:pPr>
              <w:spacing w:after="0" w:line="174" w:lineRule="exact"/>
              <w:rPr>
                <w:sz w:val="20"/>
                <w:szCs w:val="20"/>
                <w:color w:val="auto"/>
              </w:rPr>
            </w:pPr>
            <w:r>
              <w:rPr>
                <w:rFonts w:ascii="Arial" w:cs="Arial" w:eastAsia="Arial" w:hAnsi="Arial"/>
                <w:sz w:val="19"/>
                <w:szCs w:val="19"/>
                <w:b w:val="1"/>
                <w:bCs w:val="1"/>
                <w:color w:val="0000FF"/>
              </w:rPr>
              <w:t>February 19, 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10(f)(53)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40" w:type="dxa"/>
            <w:vAlign w:val="bottom"/>
            <w:gridSpan w:val="2"/>
          </w:tcPr>
          <w:p>
            <w:pPr>
              <w:spacing w:after="0"/>
              <w:rPr>
                <w:sz w:val="16"/>
                <w:szCs w:val="16"/>
                <w:color w:val="auto"/>
              </w:rPr>
            </w:pPr>
          </w:p>
        </w:tc>
        <w:tc>
          <w:tcPr>
            <w:tcW w:w="780" w:type="dxa"/>
            <w:vAlign w:val="bottom"/>
            <w:gridSpan w:val="13"/>
          </w:tcPr>
          <w:p>
            <w:pPr>
              <w:jc w:val="center"/>
              <w:ind w:right="38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6"/>
          </w:tcPr>
          <w:p>
            <w:pPr>
              <w:spacing w:after="0" w:line="174" w:lineRule="exact"/>
              <w:rPr>
                <w:sz w:val="20"/>
                <w:szCs w:val="20"/>
                <w:color w:val="auto"/>
              </w:rPr>
            </w:pPr>
            <w:r>
              <w:rPr>
                <w:rFonts w:ascii="Arial" w:cs="Arial" w:eastAsia="Arial" w:hAnsi="Arial"/>
                <w:sz w:val="19"/>
                <w:szCs w:val="19"/>
                <w:b w:val="1"/>
                <w:bCs w:val="1"/>
                <w:color w:val="0000FF"/>
                <w:w w:val="98"/>
              </w:rPr>
              <w:t>Number 001-39013</w:t>
            </w:r>
          </w:p>
        </w:tc>
        <w:tc>
          <w:tcPr>
            <w:tcW w:w="6440" w:type="dxa"/>
            <w:vAlign w:val="bottom"/>
            <w:tcBorders>
              <w:top w:val="single" w:sz="8" w:color="0000FF"/>
            </w:tcBorders>
            <w:gridSpan w:val="17"/>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*10(e)(37)</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Form of 2025 XSIP Restricted Stock Unit Award Agreement Pursuant To Xerox Holdings</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580" w:type="dxa"/>
            <w:vAlign w:val="bottom"/>
            <w:tcBorders>
              <w:top w:val="single" w:sz="8" w:color="0000FF"/>
              <w:bottom w:val="single" w:sz="8" w:color="0000FF"/>
            </w:tcBorders>
            <w:gridSpan w:val="12"/>
          </w:tcPr>
          <w:p>
            <w:pPr>
              <w:spacing w:after="0" w:line="184" w:lineRule="exact"/>
              <w:rPr>
                <w:sz w:val="20"/>
                <w:szCs w:val="20"/>
                <w:color w:val="auto"/>
              </w:rPr>
            </w:pPr>
            <w:r>
              <w:rPr>
                <w:rFonts w:ascii="Arial" w:cs="Arial" w:eastAsia="Arial" w:hAnsi="Arial"/>
                <w:sz w:val="19"/>
                <w:szCs w:val="19"/>
                <w:b w:val="1"/>
                <w:bCs w:val="1"/>
                <w:color w:val="0000FF"/>
                <w:w w:val="94"/>
              </w:rPr>
              <w:t>Corporation 2024 Equity And Performance Incentive Plan - 3 Year, Effective February 19,</w:t>
            </w:r>
          </w:p>
        </w:tc>
        <w:tc>
          <w:tcPr>
            <w:tcW w:w="580" w:type="dxa"/>
            <w:vAlign w:val="bottom"/>
            <w:tcBorders>
              <w:bottom w:val="single" w:sz="8" w:color="0000FF"/>
            </w:tcBorders>
            <w:gridSpan w:val="11"/>
          </w:tcPr>
          <w:p>
            <w:pPr>
              <w:jc w:val="center"/>
              <w:spacing w:after="0" w:line="184" w:lineRule="exact"/>
              <w:rPr>
                <w:sz w:val="20"/>
                <w:szCs w:val="20"/>
                <w:color w:val="auto"/>
              </w:rPr>
            </w:pPr>
            <w:r>
              <w:rPr>
                <w:rFonts w:ascii="Arial" w:cs="Arial" w:eastAsia="Arial" w:hAnsi="Arial"/>
                <w:sz w:val="19"/>
                <w:szCs w:val="19"/>
                <w:b w:val="1"/>
                <w:bCs w:val="1"/>
                <w:color w:val="0000FF"/>
              </w:rPr>
              <w:t>2025.</w:t>
            </w: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10(f)(54)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40" w:type="dxa"/>
            <w:vAlign w:val="bottom"/>
            <w:gridSpan w:val="2"/>
          </w:tcPr>
          <w:p>
            <w:pPr>
              <w:spacing w:after="0"/>
              <w:rPr>
                <w:sz w:val="16"/>
                <w:szCs w:val="16"/>
                <w:color w:val="auto"/>
              </w:rPr>
            </w:pPr>
          </w:p>
        </w:tc>
        <w:tc>
          <w:tcPr>
            <w:tcW w:w="780" w:type="dxa"/>
            <w:vAlign w:val="bottom"/>
            <w:gridSpan w:val="13"/>
          </w:tcPr>
          <w:p>
            <w:pPr>
              <w:jc w:val="center"/>
              <w:ind w:right="38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7"/>
          </w:tcPr>
          <w:p>
            <w:pPr>
              <w:spacing w:after="0" w:line="174" w:lineRule="exact"/>
              <w:rPr>
                <w:sz w:val="20"/>
                <w:szCs w:val="20"/>
                <w:color w:val="auto"/>
              </w:rPr>
            </w:pPr>
            <w:r>
              <w:rPr>
                <w:rFonts w:ascii="Arial" w:cs="Arial" w:eastAsia="Arial" w:hAnsi="Arial"/>
                <w:sz w:val="19"/>
                <w:szCs w:val="19"/>
                <w:b w:val="1"/>
                <w:bCs w:val="1"/>
                <w:color w:val="0000FF"/>
                <w:w w:val="99"/>
              </w:rPr>
              <w:t>Number 001-39013.</w:t>
            </w:r>
          </w:p>
        </w:tc>
        <w:tc>
          <w:tcPr>
            <w:tcW w:w="6380" w:type="dxa"/>
            <w:vAlign w:val="bottom"/>
            <w:tcBorders>
              <w:top w:val="single" w:sz="8" w:color="0000FF"/>
            </w:tcBorders>
            <w:gridSpan w:val="16"/>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*10(e)(38)</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Form of 2025 XSIP Restricted Stock Unit Award Agreement Pursuant To Xerox Holdings</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580" w:type="dxa"/>
            <w:vAlign w:val="bottom"/>
            <w:tcBorders>
              <w:top w:val="single" w:sz="8" w:color="0000FF"/>
              <w:bottom w:val="single" w:sz="8" w:color="0000FF"/>
            </w:tcBorders>
            <w:gridSpan w:val="12"/>
          </w:tcPr>
          <w:p>
            <w:pPr>
              <w:spacing w:after="0" w:line="184" w:lineRule="exact"/>
              <w:rPr>
                <w:sz w:val="20"/>
                <w:szCs w:val="20"/>
                <w:color w:val="auto"/>
              </w:rPr>
            </w:pPr>
            <w:r>
              <w:rPr>
                <w:rFonts w:ascii="Arial" w:cs="Arial" w:eastAsia="Arial" w:hAnsi="Arial"/>
                <w:sz w:val="19"/>
                <w:szCs w:val="19"/>
                <w:b w:val="1"/>
                <w:bCs w:val="1"/>
                <w:color w:val="0000FF"/>
                <w:w w:val="94"/>
              </w:rPr>
              <w:t>Corporation 2024 Equity And Performance Incentive Plan - 3 Year Cash Settled, Effective</w:t>
            </w:r>
          </w:p>
        </w:tc>
        <w:tc>
          <w:tcPr>
            <w:tcW w:w="100" w:type="dxa"/>
            <w:vAlign w:val="bottom"/>
            <w:tcBorders>
              <w:bottom w:val="single" w:sz="8" w:color="0000FF"/>
            </w:tcBorders>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00" w:type="dxa"/>
            <w:vAlign w:val="bottom"/>
            <w:gridSpan w:val="16"/>
          </w:tcPr>
          <w:p>
            <w:pPr>
              <w:spacing w:after="0" w:line="174" w:lineRule="exact"/>
              <w:rPr>
                <w:sz w:val="20"/>
                <w:szCs w:val="20"/>
                <w:color w:val="auto"/>
              </w:rPr>
            </w:pPr>
            <w:r>
              <w:rPr>
                <w:rFonts w:ascii="Arial" w:cs="Arial" w:eastAsia="Arial" w:hAnsi="Arial"/>
                <w:sz w:val="19"/>
                <w:szCs w:val="19"/>
                <w:b w:val="1"/>
                <w:bCs w:val="1"/>
                <w:color w:val="0000FF"/>
              </w:rPr>
              <w:t>February 19, 2025.</w:t>
            </w: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10(f)(55)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820" w:type="dxa"/>
            <w:vAlign w:val="bottom"/>
            <w:gridSpan w:val="15"/>
          </w:tcPr>
          <w:p>
            <w:pPr>
              <w:jc w:val="center"/>
              <w:ind w:right="34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7"/>
          </w:tcPr>
          <w:p>
            <w:pPr>
              <w:spacing w:after="0" w:line="174" w:lineRule="exact"/>
              <w:rPr>
                <w:sz w:val="20"/>
                <w:szCs w:val="20"/>
                <w:color w:val="auto"/>
              </w:rPr>
            </w:pPr>
            <w:r>
              <w:rPr>
                <w:rFonts w:ascii="Arial" w:cs="Arial" w:eastAsia="Arial" w:hAnsi="Arial"/>
                <w:sz w:val="19"/>
                <w:szCs w:val="19"/>
                <w:b w:val="1"/>
                <w:bCs w:val="1"/>
                <w:color w:val="0000FF"/>
                <w:w w:val="99"/>
              </w:rPr>
              <w:t>Number 001-39013.</w:t>
            </w:r>
          </w:p>
        </w:tc>
        <w:tc>
          <w:tcPr>
            <w:tcW w:w="6380" w:type="dxa"/>
            <w:vAlign w:val="bottom"/>
            <w:tcBorders>
              <w:top w:val="single" w:sz="8" w:color="0000FF"/>
            </w:tcBorders>
            <w:gridSpan w:val="16"/>
          </w:tcPr>
          <w:p>
            <w:pPr>
              <w:spacing w:after="0"/>
              <w:rPr>
                <w:sz w:val="15"/>
                <w:szCs w:val="15"/>
                <w:color w:val="auto"/>
              </w:rPr>
            </w:pPr>
          </w:p>
        </w:tc>
        <w:tc>
          <w:tcPr>
            <w:tcW w:w="1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*10(e)(39)</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w w:val="98"/>
              </w:rPr>
              <w:t>Form of 2025 ELTIP Performance Share Unit Award Agreement For CEO And COO Pursuant To</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tcBorders>
              <w:top w:val="single" w:sz="8" w:color="0000FF"/>
            </w:tcBorders>
            <w:gridSpan w:val="24"/>
          </w:tcPr>
          <w:p>
            <w:pPr>
              <w:spacing w:after="0" w:line="184" w:lineRule="exact"/>
              <w:rPr>
                <w:sz w:val="20"/>
                <w:szCs w:val="20"/>
                <w:color w:val="auto"/>
              </w:rPr>
            </w:pPr>
            <w:r>
              <w:rPr>
                <w:rFonts w:ascii="Arial" w:cs="Arial" w:eastAsia="Arial" w:hAnsi="Arial"/>
                <w:sz w:val="19"/>
                <w:szCs w:val="19"/>
                <w:b w:val="1"/>
                <w:bCs w:val="1"/>
                <w:color w:val="0000FF"/>
                <w:w w:val="99"/>
              </w:rPr>
              <w:t>Xerox Holdings Corporation 2024 Equity And Performance Incentive Plan - 3 Year, Effective</w:t>
            </w: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00" w:type="dxa"/>
            <w:vAlign w:val="bottom"/>
            <w:tcBorders>
              <w:top w:val="single" w:sz="8" w:color="0000FF"/>
            </w:tcBorders>
            <w:gridSpan w:val="20"/>
          </w:tcPr>
          <w:p>
            <w:pPr>
              <w:spacing w:after="0" w:line="174" w:lineRule="exact"/>
              <w:rPr>
                <w:sz w:val="20"/>
                <w:szCs w:val="20"/>
                <w:color w:val="auto"/>
              </w:rPr>
            </w:pPr>
            <w:r>
              <w:rPr>
                <w:rFonts w:ascii="Arial" w:cs="Arial" w:eastAsia="Arial" w:hAnsi="Arial"/>
                <w:sz w:val="19"/>
                <w:szCs w:val="19"/>
                <w:b w:val="1"/>
                <w:bCs w:val="1"/>
                <w:color w:val="0000FF"/>
              </w:rPr>
              <w:t>February 19, 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10(f)(56)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820" w:type="dxa"/>
            <w:vAlign w:val="bottom"/>
            <w:gridSpan w:val="15"/>
          </w:tcPr>
          <w:p>
            <w:pPr>
              <w:jc w:val="center"/>
              <w:ind w:right="34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6"/>
          </w:tcPr>
          <w:p>
            <w:pPr>
              <w:spacing w:after="0" w:line="174" w:lineRule="exact"/>
              <w:rPr>
                <w:sz w:val="20"/>
                <w:szCs w:val="20"/>
                <w:color w:val="auto"/>
              </w:rPr>
            </w:pPr>
            <w:r>
              <w:rPr>
                <w:rFonts w:ascii="Arial" w:cs="Arial" w:eastAsia="Arial" w:hAnsi="Arial"/>
                <w:sz w:val="19"/>
                <w:szCs w:val="19"/>
                <w:b w:val="1"/>
                <w:bCs w:val="1"/>
                <w:color w:val="0000FF"/>
                <w:w w:val="98"/>
              </w:rPr>
              <w:t>Number 001-39013</w:t>
            </w:r>
          </w:p>
        </w:tc>
        <w:tc>
          <w:tcPr>
            <w:tcW w:w="6440" w:type="dxa"/>
            <w:vAlign w:val="bottom"/>
            <w:tcBorders>
              <w:top w:val="single" w:sz="8" w:color="0000FF"/>
            </w:tcBorders>
            <w:gridSpan w:val="17"/>
          </w:tcPr>
          <w:p>
            <w:pPr>
              <w:spacing w:after="0"/>
              <w:rPr>
                <w:sz w:val="15"/>
                <w:szCs w:val="15"/>
                <w:color w:val="auto"/>
              </w:rPr>
            </w:pPr>
          </w:p>
        </w:tc>
        <w:tc>
          <w:tcPr>
            <w:tcW w:w="2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*10(e)(40)</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Form of 2025 ELTIP Restricted Stock Unit Award Agreement Pursuant To Xerox Holdings</w:t>
            </w: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7660" w:type="dxa"/>
            <w:vAlign w:val="bottom"/>
            <w:tcBorders>
              <w:top w:val="single" w:sz="8" w:color="0000FF"/>
              <w:bottom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 2024 Equity And Performance Incentive Plan - 2 Year, Effective February 19,</w:t>
            </w:r>
          </w:p>
        </w:tc>
        <w:tc>
          <w:tcPr>
            <w:tcW w:w="500" w:type="dxa"/>
            <w:vAlign w:val="bottom"/>
            <w:tcBorders>
              <w:bottom w:val="single" w:sz="8" w:color="0000FF"/>
            </w:tcBorders>
            <w:gridSpan w:val="9"/>
          </w:tcPr>
          <w:p>
            <w:pPr>
              <w:jc w:val="center"/>
              <w:spacing w:after="0" w:line="184" w:lineRule="exact"/>
              <w:rPr>
                <w:sz w:val="20"/>
                <w:szCs w:val="20"/>
                <w:color w:val="auto"/>
              </w:rPr>
            </w:pPr>
            <w:r>
              <w:rPr>
                <w:rFonts w:ascii="Arial" w:cs="Arial" w:eastAsia="Arial" w:hAnsi="Arial"/>
                <w:sz w:val="19"/>
                <w:szCs w:val="19"/>
                <w:b w:val="1"/>
                <w:bCs w:val="1"/>
                <w:color w:val="0000FF"/>
              </w:rPr>
              <w:t>2025.</w:t>
            </w:r>
          </w:p>
        </w:tc>
        <w:tc>
          <w:tcPr>
            <w:tcW w:w="2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10(f)(57)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820" w:type="dxa"/>
            <w:vAlign w:val="bottom"/>
            <w:gridSpan w:val="15"/>
          </w:tcPr>
          <w:p>
            <w:pPr>
              <w:jc w:val="center"/>
              <w:ind w:right="34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7"/>
          </w:tcPr>
          <w:p>
            <w:pPr>
              <w:spacing w:after="0" w:line="174" w:lineRule="exact"/>
              <w:rPr>
                <w:sz w:val="20"/>
                <w:szCs w:val="20"/>
                <w:color w:val="auto"/>
              </w:rPr>
            </w:pPr>
            <w:r>
              <w:rPr>
                <w:rFonts w:ascii="Arial" w:cs="Arial" w:eastAsia="Arial" w:hAnsi="Arial"/>
                <w:sz w:val="19"/>
                <w:szCs w:val="19"/>
                <w:b w:val="1"/>
                <w:bCs w:val="1"/>
                <w:color w:val="0000FF"/>
                <w:w w:val="99"/>
              </w:rPr>
              <w:t>Number 001-39013.</w:t>
            </w:r>
          </w:p>
        </w:tc>
        <w:tc>
          <w:tcPr>
            <w:tcW w:w="6380" w:type="dxa"/>
            <w:vAlign w:val="bottom"/>
            <w:tcBorders>
              <w:top w:val="single" w:sz="8" w:color="0000FF"/>
            </w:tcBorders>
            <w:gridSpan w:val="16"/>
          </w:tcPr>
          <w:p>
            <w:pPr>
              <w:spacing w:after="0"/>
              <w:rPr>
                <w:sz w:val="15"/>
                <w:szCs w:val="15"/>
                <w:color w:val="auto"/>
              </w:rPr>
            </w:pPr>
          </w:p>
        </w:tc>
        <w:tc>
          <w:tcPr>
            <w:tcW w:w="2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*10(e)(41)</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w w:val="95"/>
              </w:rPr>
              <w:t>2025 Appendix To International Award Agreements Pursuant To Xerox Holdings Corporation 2024</w:t>
            </w: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80" w:type="dxa"/>
            <w:vAlign w:val="bottom"/>
            <w:tcBorders>
              <w:top w:val="single" w:sz="8" w:color="0000FF"/>
            </w:tcBorders>
            <w:gridSpan w:val="27"/>
          </w:tcPr>
          <w:p>
            <w:pPr>
              <w:spacing w:after="0" w:line="176" w:lineRule="exact"/>
              <w:rPr>
                <w:sz w:val="20"/>
                <w:szCs w:val="20"/>
                <w:color w:val="auto"/>
              </w:rPr>
            </w:pPr>
            <w:r>
              <w:rPr>
                <w:rFonts w:ascii="Arial" w:cs="Arial" w:eastAsia="Arial" w:hAnsi="Arial"/>
                <w:sz w:val="19"/>
                <w:szCs w:val="19"/>
                <w:b w:val="1"/>
                <w:bCs w:val="1"/>
                <w:color w:val="0000FF"/>
              </w:rPr>
              <w:t>Equity And Performance Incentive Plan.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Incorporated by reference to Exhibit 10(f)(58) to Xerox Holdings Corporation's and Xerox</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tcBorders>
              <w:top w:val="single" w:sz="8" w:color="0000FF"/>
            </w:tcBorders>
            <w:gridSpan w:val="14"/>
          </w:tcPr>
          <w:p>
            <w:pPr>
              <w:spacing w:after="0" w:line="184" w:lineRule="exact"/>
              <w:rPr>
                <w:sz w:val="20"/>
                <w:szCs w:val="20"/>
                <w:color w:val="auto"/>
              </w:rPr>
            </w:pPr>
            <w:r>
              <w:rPr>
                <w:rFonts w:ascii="Arial" w:cs="Arial" w:eastAsia="Arial" w:hAnsi="Arial"/>
                <w:sz w:val="19"/>
                <w:szCs w:val="19"/>
                <w:b w:val="1"/>
                <w:bCs w:val="1"/>
                <w:color w:val="0000FF"/>
                <w:w w:val="95"/>
              </w:rPr>
              <w:t>Corporation's Combined Annual Report on Form 10-K dated February 24, 2025. See SEC</w:t>
            </w:r>
          </w:p>
        </w:tc>
        <w:tc>
          <w:tcPr>
            <w:tcW w:w="820" w:type="dxa"/>
            <w:vAlign w:val="bottom"/>
            <w:gridSpan w:val="15"/>
          </w:tcPr>
          <w:p>
            <w:pPr>
              <w:jc w:val="center"/>
              <w:ind w:right="340"/>
              <w:spacing w:after="0" w:line="184" w:lineRule="exact"/>
              <w:rPr>
                <w:sz w:val="20"/>
                <w:szCs w:val="20"/>
                <w:color w:val="auto"/>
              </w:rPr>
            </w:pPr>
            <w:r>
              <w:rPr>
                <w:rFonts w:ascii="Arial" w:cs="Arial" w:eastAsia="Arial" w:hAnsi="Arial"/>
                <w:sz w:val="19"/>
                <w:szCs w:val="19"/>
                <w:b w:val="1"/>
                <w:bCs w:val="1"/>
                <w:color w:val="0000FF"/>
                <w:w w:val="97"/>
              </w:rPr>
              <w:t>File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7"/>
          </w:tcPr>
          <w:p>
            <w:pPr>
              <w:spacing w:after="0" w:line="174" w:lineRule="exact"/>
              <w:rPr>
                <w:sz w:val="20"/>
                <w:szCs w:val="20"/>
                <w:color w:val="auto"/>
              </w:rPr>
            </w:pPr>
            <w:r>
              <w:rPr>
                <w:rFonts w:ascii="Arial" w:cs="Arial" w:eastAsia="Arial" w:hAnsi="Arial"/>
                <w:sz w:val="19"/>
                <w:szCs w:val="19"/>
                <w:b w:val="1"/>
                <w:bCs w:val="1"/>
                <w:color w:val="0000FF"/>
                <w:w w:val="99"/>
              </w:rPr>
              <w:t>Number 001-39013.</w:t>
            </w:r>
          </w:p>
        </w:tc>
        <w:tc>
          <w:tcPr>
            <w:tcW w:w="6380" w:type="dxa"/>
            <w:vAlign w:val="bottom"/>
            <w:tcBorders>
              <w:top w:val="single" w:sz="8" w:color="0000FF"/>
            </w:tcBorders>
            <w:gridSpan w:val="16"/>
          </w:tcPr>
          <w:p>
            <w:pPr>
              <w:spacing w:after="0"/>
              <w:rPr>
                <w:sz w:val="15"/>
                <w:szCs w:val="15"/>
                <w:color w:val="auto"/>
              </w:rPr>
            </w:pPr>
          </w:p>
        </w:tc>
        <w:tc>
          <w:tcPr>
            <w:tcW w:w="26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*10(f)</w:t>
            </w: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Uniform Rule dated December 17, 2008 for all Deferred Compensation Promised by Xerox</w:t>
            </w: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60" w:type="dxa"/>
            <w:vAlign w:val="bottom"/>
            <w:tcBorders>
              <w:top w:val="single" w:sz="8" w:color="0000FF"/>
              <w:bottom w:val="single" w:sz="8" w:color="0000FF"/>
            </w:tcBorders>
            <w:gridSpan w:val="3"/>
          </w:tcPr>
          <w:p>
            <w:pPr>
              <w:spacing w:after="0" w:line="176" w:lineRule="exact"/>
              <w:rPr>
                <w:sz w:val="20"/>
                <w:szCs w:val="20"/>
                <w:color w:val="auto"/>
              </w:rPr>
            </w:pPr>
            <w:r>
              <w:rPr>
                <w:rFonts w:ascii="Arial" w:cs="Arial" w:eastAsia="Arial" w:hAnsi="Arial"/>
                <w:sz w:val="19"/>
                <w:szCs w:val="19"/>
                <w:b w:val="1"/>
                <w:bCs w:val="1"/>
                <w:color w:val="0000FF"/>
                <w:w w:val="91"/>
              </w:rPr>
              <w:t>Corporation.</w:t>
            </w:r>
          </w:p>
        </w:tc>
        <w:tc>
          <w:tcPr>
            <w:tcW w:w="6740" w:type="dxa"/>
            <w:vAlign w:val="bottom"/>
            <w:tcBorders>
              <w:top w:val="single" w:sz="8" w:color="0000FF"/>
            </w:tcBorders>
            <w:gridSpan w:val="15"/>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w w:val="96"/>
              </w:rPr>
              <w:t>Incorporated by reference to Exhibit 10(r) to Xerox Corporation's Annual Report on Form 10-K for</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380" w:type="dxa"/>
            <w:vAlign w:val="bottom"/>
            <w:tcBorders>
              <w:top w:val="single" w:sz="8" w:color="0000FF"/>
            </w:tcBorders>
            <w:gridSpan w:val="27"/>
          </w:tcPr>
          <w:p>
            <w:pPr>
              <w:spacing w:after="0" w:line="174" w:lineRule="exact"/>
              <w:rPr>
                <w:sz w:val="20"/>
                <w:szCs w:val="20"/>
                <w:color w:val="auto"/>
              </w:rPr>
            </w:pPr>
            <w:r>
              <w:rPr>
                <w:rFonts w:ascii="Arial" w:cs="Arial" w:eastAsia="Arial" w:hAnsi="Arial"/>
                <w:sz w:val="19"/>
                <w:szCs w:val="19"/>
                <w:b w:val="1"/>
                <w:bCs w:val="1"/>
                <w:color w:val="0000FF"/>
              </w:rPr>
              <w:t>the fiscal year ended December 31, 2008. See SEC File Number 001-04471.</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4"/>
            <w:vMerge w:val="restart"/>
          </w:tcPr>
          <w:p>
            <w:pPr>
              <w:spacing w:after="0"/>
              <w:rPr>
                <w:sz w:val="20"/>
                <w:szCs w:val="20"/>
                <w:color w:val="auto"/>
              </w:rPr>
            </w:pPr>
            <w:r>
              <w:rPr>
                <w:rFonts w:ascii="Arial" w:cs="Arial" w:eastAsia="Arial" w:hAnsi="Arial"/>
                <w:sz w:val="19"/>
                <w:szCs w:val="19"/>
                <w:b w:val="1"/>
                <w:bCs w:val="1"/>
                <w:color w:val="0000FF"/>
              </w:rPr>
              <w:t>10(g)</w:t>
            </w:r>
          </w:p>
        </w:tc>
        <w:tc>
          <w:tcPr>
            <w:tcW w:w="980" w:type="dxa"/>
            <w:vAlign w:val="bottom"/>
            <w:gridSpan w:val="3"/>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4"/>
            <w:vMerge w:val="continue"/>
          </w:tcPr>
          <w:p>
            <w:pPr>
              <w:spacing w:after="0"/>
              <w:rPr>
                <w:sz w:val="22"/>
                <w:szCs w:val="22"/>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Nomination and Standstill Agreement, dated as of January 26, 2021, by and among Xerox</w:t>
            </w: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tcBorders>
              <w:top w:val="single" w:sz="8" w:color="0000FF"/>
            </w:tcBorders>
            <w:gridSpan w:val="17"/>
          </w:tcPr>
          <w:p>
            <w:pPr>
              <w:spacing w:after="0" w:line="176" w:lineRule="exact"/>
              <w:rPr>
                <w:sz w:val="20"/>
                <w:szCs w:val="20"/>
                <w:color w:val="auto"/>
              </w:rPr>
            </w:pPr>
            <w:r>
              <w:rPr>
                <w:rFonts w:ascii="Arial" w:cs="Arial" w:eastAsia="Arial" w:hAnsi="Arial"/>
                <w:sz w:val="19"/>
                <w:szCs w:val="19"/>
                <w:b w:val="1"/>
                <w:bCs w:val="1"/>
                <w:color w:val="0000FF"/>
              </w:rPr>
              <w:t>Holdings Corporation, Carl C. Icahn and the other parties named therein.</w:t>
            </w:r>
          </w:p>
        </w:tc>
        <w:tc>
          <w:tcPr>
            <w:tcW w:w="16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60" w:type="dxa"/>
            <w:vAlign w:val="bottom"/>
            <w:gridSpan w:val="6"/>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68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80" w:type="dxa"/>
            <w:vAlign w:val="bottom"/>
            <w:tcBorders>
              <w:bottom w:val="single" w:sz="8" w:color="0000FF"/>
            </w:tcBorders>
            <w:gridSpan w:val="29"/>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80" w:type="dxa"/>
            <w:vAlign w:val="bottom"/>
            <w:gridSpan w:val="29"/>
          </w:tcPr>
          <w:p>
            <w:pPr>
              <w:spacing w:after="0" w:line="174" w:lineRule="exact"/>
              <w:rPr>
                <w:sz w:val="20"/>
                <w:szCs w:val="20"/>
                <w:color w:val="auto"/>
              </w:rPr>
            </w:pPr>
            <w:r>
              <w:rPr>
                <w:rFonts w:ascii="Arial" w:cs="Arial" w:eastAsia="Arial" w:hAnsi="Arial"/>
                <w:sz w:val="19"/>
                <w:szCs w:val="19"/>
                <w:b w:val="1"/>
                <w:bCs w:val="1"/>
                <w:color w:val="0000FF"/>
              </w:rPr>
              <w:t>Current Report on Form 8-K dated January 26, 2021. See SEC File Numbers 001-39013 and</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Borders>
              <w:top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001-04471.</w:t>
            </w:r>
          </w:p>
        </w:tc>
        <w:tc>
          <w:tcPr>
            <w:tcW w:w="5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4"/>
            <w:vMerge w:val="restart"/>
          </w:tcPr>
          <w:p>
            <w:pPr>
              <w:spacing w:after="0"/>
              <w:rPr>
                <w:sz w:val="20"/>
                <w:szCs w:val="20"/>
                <w:color w:val="auto"/>
              </w:rPr>
            </w:pPr>
            <w:r>
              <w:rPr>
                <w:rFonts w:ascii="Arial" w:cs="Arial" w:eastAsia="Arial" w:hAnsi="Arial"/>
                <w:sz w:val="19"/>
                <w:szCs w:val="19"/>
                <w:b w:val="1"/>
                <w:bCs w:val="1"/>
                <w:color w:val="0000FF"/>
              </w:rPr>
              <w:t>10(h)</w:t>
            </w:r>
          </w:p>
        </w:tc>
        <w:tc>
          <w:tcPr>
            <w:tcW w:w="980" w:type="dxa"/>
            <w:vAlign w:val="bottom"/>
            <w:gridSpan w:val="3"/>
            <w:shd w:val="clear" w:color="auto" w:fill="0000FF"/>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4280" w:type="dxa"/>
            <w:vAlign w:val="bottom"/>
            <w:gridSpan w:val="1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4"/>
            <w:vMerge w:val="continue"/>
          </w:tcPr>
          <w:p>
            <w:pPr>
              <w:spacing w:after="0"/>
              <w:rPr>
                <w:sz w:val="22"/>
                <w:szCs w:val="22"/>
                <w:color w:val="auto"/>
              </w:rPr>
            </w:pPr>
          </w:p>
        </w:tc>
        <w:tc>
          <w:tcPr>
            <w:tcW w:w="8480" w:type="dxa"/>
            <w:vAlign w:val="bottom"/>
            <w:gridSpan w:val="29"/>
          </w:tcPr>
          <w:p>
            <w:pPr>
              <w:spacing w:after="0"/>
              <w:rPr>
                <w:sz w:val="20"/>
                <w:szCs w:val="20"/>
                <w:color w:val="auto"/>
              </w:rPr>
            </w:pPr>
            <w:r>
              <w:rPr>
                <w:rFonts w:ascii="Arial" w:cs="Arial" w:eastAsia="Arial" w:hAnsi="Arial"/>
                <w:sz w:val="19"/>
                <w:szCs w:val="19"/>
                <w:b w:val="1"/>
                <w:bCs w:val="1"/>
                <w:color w:val="0000FF"/>
              </w:rPr>
              <w:t>Nomination and Standstill Agreement, dated as of January 26, 2021, by and between Xerox</w:t>
            </w: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620" w:type="dxa"/>
            <w:vAlign w:val="bottom"/>
            <w:tcBorders>
              <w:top w:val="single" w:sz="8" w:color="0000FF"/>
              <w:bottom w:val="single" w:sz="8" w:color="0000FF"/>
            </w:tcBorders>
            <w:gridSpan w:val="8"/>
          </w:tcPr>
          <w:p>
            <w:pPr>
              <w:spacing w:after="0" w:line="176" w:lineRule="exact"/>
              <w:rPr>
                <w:sz w:val="20"/>
                <w:szCs w:val="20"/>
                <w:color w:val="auto"/>
              </w:rPr>
            </w:pPr>
            <w:r>
              <w:rPr>
                <w:rFonts w:ascii="Arial" w:cs="Arial" w:eastAsia="Arial" w:hAnsi="Arial"/>
                <w:sz w:val="19"/>
                <w:szCs w:val="19"/>
                <w:b w:val="1"/>
                <w:bCs w:val="1"/>
                <w:color w:val="0000FF"/>
                <w:w w:val="94"/>
              </w:rPr>
              <w:t>Holdings Corporation and Darwin Deason.</w:t>
            </w:r>
          </w:p>
        </w:tc>
        <w:tc>
          <w:tcPr>
            <w:tcW w:w="4280" w:type="dxa"/>
            <w:vAlign w:val="bottom"/>
            <w:tcBorders>
              <w:top w:val="single" w:sz="8" w:color="0000FF"/>
            </w:tcBorders>
            <w:gridSpan w:val="12"/>
          </w:tcPr>
          <w:p>
            <w:pPr>
              <w:spacing w:after="0"/>
              <w:rPr>
                <w:sz w:val="15"/>
                <w:szCs w:val="15"/>
                <w:color w:val="auto"/>
              </w:rPr>
            </w:pPr>
          </w:p>
        </w:tc>
        <w:tc>
          <w:tcPr>
            <w:tcW w:w="5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400" w:right="4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10.2 to Xerox Holdings Corporation's and Xerox Corporation’s Current Report on Form 8-K dated January 26, 2021. See SEC File Numbers 001-39013 and 001-04471.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176</w:t>
      </w:r>
    </w:p>
    <w:p>
      <w:pPr>
        <w:sectPr>
          <w:pgSz w:w="11880" w:h="15480" w:orient="portrait"/>
          <w:cols w:equalWidth="0" w:num="1">
            <w:col w:w="9880"/>
          </w:cols>
          <w:pgMar w:left="1020" w:top="798" w:right="980" w:bottom="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18"/>
        </w:trPr>
        <w:tc>
          <w:tcPr>
            <w:tcW w:w="620" w:type="dxa"/>
            <w:vAlign w:val="bottom"/>
            <w:gridSpan w:val="4"/>
          </w:tcPr>
          <w:p>
            <w:pPr>
              <w:spacing w:after="0"/>
              <w:rPr>
                <w:sz w:val="20"/>
                <w:szCs w:val="20"/>
                <w:color w:val="auto"/>
              </w:rPr>
            </w:pPr>
            <w:r>
              <w:rPr>
                <w:rFonts w:ascii="Arial" w:cs="Arial" w:eastAsia="Arial" w:hAnsi="Arial"/>
                <w:sz w:val="19"/>
                <w:szCs w:val="19"/>
                <w:b w:val="1"/>
                <w:bCs w:val="1"/>
                <w:color w:val="0000FF"/>
                <w:w w:val="96"/>
              </w:rPr>
              <w:t>10(i)(1)</w:t>
            </w:r>
          </w:p>
        </w:tc>
        <w:tc>
          <w:tcPr>
            <w:tcW w:w="780" w:type="dxa"/>
            <w:vAlign w:val="bottom"/>
            <w:gridSpan w:val="2"/>
          </w:tcPr>
          <w:p>
            <w:pPr>
              <w:spacing w:after="0"/>
              <w:rPr>
                <w:sz w:val="18"/>
                <w:szCs w:val="18"/>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2024 Equity and Performance Incentive Plan ("2024 EPIP")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80" w:type="dxa"/>
            <w:vAlign w:val="bottom"/>
            <w:tcBorders>
              <w:bottom w:val="single" w:sz="8" w:color="0000FF"/>
            </w:tcBorders>
            <w:gridSpan w:val="32"/>
          </w:tcPr>
          <w:p>
            <w:pPr>
              <w:spacing w:after="0"/>
              <w:rPr>
                <w:sz w:val="20"/>
                <w:szCs w:val="20"/>
                <w:color w:val="auto"/>
              </w:rPr>
            </w:pPr>
            <w:r>
              <w:rPr>
                <w:rFonts w:ascii="Arial" w:cs="Arial" w:eastAsia="Arial" w:hAnsi="Arial"/>
                <w:sz w:val="19"/>
                <w:szCs w:val="19"/>
                <w:b w:val="1"/>
                <w:bCs w:val="1"/>
                <w:color w:val="0000FF"/>
                <w:w w:val="94"/>
              </w:rPr>
              <w:t>Incorporated by reference to Exhibit 99.1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80" w:type="dxa"/>
            <w:vAlign w:val="bottom"/>
            <w:gridSpan w:val="32"/>
          </w:tcPr>
          <w:p>
            <w:pPr>
              <w:spacing w:after="0" w:line="174" w:lineRule="exact"/>
              <w:rPr>
                <w:sz w:val="20"/>
                <w:szCs w:val="20"/>
                <w:color w:val="auto"/>
              </w:rPr>
            </w:pPr>
            <w:r>
              <w:rPr>
                <w:rFonts w:ascii="Arial" w:cs="Arial" w:eastAsia="Arial" w:hAnsi="Arial"/>
                <w:sz w:val="19"/>
                <w:szCs w:val="19"/>
                <w:b w:val="1"/>
                <w:bCs w:val="1"/>
                <w:color w:val="0000FF"/>
              </w:rPr>
              <w:t>combined Current Report on Form S-8 dated June 28, 2024. See SEC File Number 001-39013.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4"/>
            <w:vMerge w:val="restart"/>
          </w:tcPr>
          <w:p>
            <w:pPr>
              <w:spacing w:after="0"/>
              <w:rPr>
                <w:sz w:val="20"/>
                <w:szCs w:val="20"/>
                <w:color w:val="auto"/>
              </w:rPr>
            </w:pPr>
            <w:r>
              <w:rPr>
                <w:rFonts w:ascii="Arial" w:cs="Arial" w:eastAsia="Arial" w:hAnsi="Arial"/>
                <w:sz w:val="19"/>
                <w:szCs w:val="19"/>
                <w:b w:val="1"/>
                <w:bCs w:val="1"/>
                <w:color w:val="0000FF"/>
                <w:w w:val="96"/>
              </w:rPr>
              <w:t>10(i)(2)</w:t>
            </w:r>
          </w:p>
        </w:tc>
        <w:tc>
          <w:tcPr>
            <w:tcW w:w="780" w:type="dxa"/>
            <w:vAlign w:val="bottom"/>
            <w:gridSpan w:val="2"/>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4"/>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w w:val="96"/>
              </w:rPr>
              <w:t>First Amendment to the Xerox Holdings Corporation 2024 Equity and Performance Incentive Plan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w w:val="95"/>
              </w:rPr>
              <w:t>Incorporated by reference to Annex A to Xerox Holdings Corporation's Proxy Statement Schedule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380" w:type="dxa"/>
            <w:vAlign w:val="bottom"/>
            <w:tcBorders>
              <w:top w:val="single" w:sz="8" w:color="0000FF"/>
            </w:tcBorders>
            <w:gridSpan w:val="29"/>
          </w:tcPr>
          <w:p>
            <w:pPr>
              <w:spacing w:after="0" w:line="174" w:lineRule="exact"/>
              <w:rPr>
                <w:sz w:val="20"/>
                <w:szCs w:val="20"/>
                <w:color w:val="auto"/>
              </w:rPr>
            </w:pPr>
            <w:r>
              <w:rPr>
                <w:rFonts w:ascii="Arial" w:cs="Arial" w:eastAsia="Arial" w:hAnsi="Arial"/>
                <w:sz w:val="19"/>
                <w:szCs w:val="19"/>
                <w:b w:val="1"/>
                <w:bCs w:val="1"/>
                <w:color w:val="0000FF"/>
              </w:rPr>
              <w:t>14A dated April 9, 2025. See SEC File Number 001-39013.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6"/>
            <w:vMerge w:val="restart"/>
          </w:tcPr>
          <w:p>
            <w:pPr>
              <w:spacing w:after="0"/>
              <w:rPr>
                <w:sz w:val="20"/>
                <w:szCs w:val="20"/>
                <w:color w:val="auto"/>
              </w:rPr>
            </w:pPr>
            <w:r>
              <w:rPr>
                <w:rFonts w:ascii="Arial" w:cs="Arial" w:eastAsia="Arial" w:hAnsi="Arial"/>
                <w:sz w:val="19"/>
                <w:szCs w:val="19"/>
                <w:b w:val="1"/>
                <w:bCs w:val="1"/>
                <w:color w:val="0000FF"/>
              </w:rPr>
              <w:t>10(i)(3)</w:t>
            </w:r>
          </w:p>
        </w:tc>
        <w:tc>
          <w:tcPr>
            <w:tcW w:w="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6"/>
            <w:vMerge w:val="continue"/>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RSU Award Agreement, 2-year, stock-settled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920" w:type="dxa"/>
            <w:vAlign w:val="bottom"/>
            <w:tcBorders>
              <w:top w:val="single" w:sz="8" w:color="0000FF"/>
              <w:bottom w:val="single" w:sz="8" w:color="0000FF"/>
            </w:tcBorders>
            <w:gridSpan w:val="8"/>
          </w:tcPr>
          <w:p>
            <w:pPr>
              <w:spacing w:after="0" w:line="176" w:lineRule="exact"/>
              <w:rPr>
                <w:sz w:val="20"/>
                <w:szCs w:val="20"/>
                <w:color w:val="auto"/>
              </w:rPr>
            </w:pPr>
            <w:r>
              <w:rPr>
                <w:rFonts w:ascii="Arial" w:cs="Arial" w:eastAsia="Arial" w:hAnsi="Arial"/>
                <w:sz w:val="19"/>
                <w:szCs w:val="19"/>
                <w:b w:val="1"/>
                <w:bCs w:val="1"/>
                <w:color w:val="0000FF"/>
                <w:w w:val="97"/>
              </w:rPr>
              <w:t>effective as of February 18, 2026.</w:t>
            </w:r>
          </w:p>
        </w:tc>
        <w:tc>
          <w:tcPr>
            <w:tcW w:w="50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10(i)(4)</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w w:val="97"/>
              </w:rPr>
              <w:t>Form of 2026 Cash Award Agreement, 3-year, under 2024 EPIP, amended and effective February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0" w:type="dxa"/>
            <w:vAlign w:val="bottom"/>
            <w:tcBorders>
              <w:top w:val="single" w:sz="8" w:color="0000FF"/>
              <w:bottom w:val="single" w:sz="8" w:color="0000FF"/>
            </w:tcBorders>
          </w:tcPr>
          <w:p>
            <w:pPr>
              <w:spacing w:after="0" w:line="176" w:lineRule="exact"/>
              <w:rPr>
                <w:sz w:val="20"/>
                <w:szCs w:val="20"/>
                <w:color w:val="auto"/>
              </w:rPr>
            </w:pPr>
            <w:r>
              <w:rPr>
                <w:rFonts w:ascii="Arial" w:cs="Arial" w:eastAsia="Arial" w:hAnsi="Arial"/>
                <w:sz w:val="19"/>
                <w:szCs w:val="19"/>
                <w:b w:val="1"/>
                <w:bCs w:val="1"/>
                <w:color w:val="0000FF"/>
                <w:w w:val="98"/>
              </w:rPr>
              <w:t>18, 2026.</w:t>
            </w:r>
          </w:p>
        </w:tc>
        <w:tc>
          <w:tcPr>
            <w:tcW w:w="1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0" w:type="dxa"/>
            <w:vAlign w:val="bottom"/>
            <w:tcBorders>
              <w:top w:val="single" w:sz="8" w:color="0000FF"/>
            </w:tcBorders>
          </w:tcPr>
          <w:p>
            <w:pPr>
              <w:spacing w:after="0"/>
              <w:rPr>
                <w:sz w:val="15"/>
                <w:szCs w:val="15"/>
                <w:color w:val="auto"/>
              </w:rPr>
            </w:pPr>
          </w:p>
        </w:tc>
        <w:tc>
          <w:tcPr>
            <w:tcW w:w="27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10(i)(5)</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PSU Award Agreement, 3-year, contingent,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80" w:type="dxa"/>
            <w:vAlign w:val="bottom"/>
            <w:tcBorders>
              <w:top w:val="single" w:sz="8" w:color="0000FF"/>
              <w:bottom w:val="single" w:sz="8" w:color="0000FF"/>
            </w:tcBorders>
            <w:gridSpan w:val="7"/>
          </w:tcPr>
          <w:p>
            <w:pPr>
              <w:spacing w:after="0" w:line="176" w:lineRule="exact"/>
              <w:rPr>
                <w:sz w:val="20"/>
                <w:szCs w:val="20"/>
                <w:color w:val="auto"/>
              </w:rPr>
            </w:pPr>
            <w:r>
              <w:rPr>
                <w:rFonts w:ascii="Arial" w:cs="Arial" w:eastAsia="Arial" w:hAnsi="Arial"/>
                <w:sz w:val="19"/>
                <w:szCs w:val="19"/>
                <w:b w:val="1"/>
                <w:bCs w:val="1"/>
                <w:color w:val="0000FF"/>
                <w:w w:val="96"/>
              </w:rPr>
              <w:t>effective as of February 18, 2026.</w:t>
            </w:r>
          </w:p>
        </w:tc>
        <w:tc>
          <w:tcPr>
            <w:tcW w:w="49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10(i)(6)</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w w:val="97"/>
              </w:rPr>
              <w:t>Form of ELTIP PSU Award Agreement, 3-year CEO/COO, contingent, under 2024 EPIP, amended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20" w:type="dxa"/>
            <w:vAlign w:val="bottom"/>
            <w:tcBorders>
              <w:top w:val="single" w:sz="8" w:color="0000FF"/>
            </w:tcBorders>
            <w:gridSpan w:val="30"/>
          </w:tcPr>
          <w:p>
            <w:pPr>
              <w:spacing w:after="0" w:line="176" w:lineRule="exact"/>
              <w:rPr>
                <w:sz w:val="20"/>
                <w:szCs w:val="20"/>
                <w:color w:val="auto"/>
              </w:rPr>
            </w:pPr>
            <w:r>
              <w:rPr>
                <w:rFonts w:ascii="Arial" w:cs="Arial" w:eastAsia="Arial" w:hAnsi="Arial"/>
                <w:sz w:val="19"/>
                <w:szCs w:val="19"/>
                <w:b w:val="1"/>
                <w:bCs w:val="1"/>
                <w:color w:val="0000FF"/>
              </w:rPr>
              <w:t>and effective as of February 18, 2026.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6"/>
            <w:vMerge w:val="restart"/>
          </w:tcPr>
          <w:p>
            <w:pPr>
              <w:spacing w:after="0"/>
              <w:rPr>
                <w:sz w:val="20"/>
                <w:szCs w:val="20"/>
                <w:color w:val="auto"/>
              </w:rPr>
            </w:pPr>
            <w:r>
              <w:rPr>
                <w:rFonts w:ascii="Arial" w:cs="Arial" w:eastAsia="Arial" w:hAnsi="Arial"/>
                <w:sz w:val="19"/>
                <w:szCs w:val="19"/>
                <w:b w:val="1"/>
                <w:bCs w:val="1"/>
                <w:color w:val="0000FF"/>
              </w:rPr>
              <w:t>10(i)(7)</w:t>
            </w:r>
          </w:p>
        </w:tc>
        <w:tc>
          <w:tcPr>
            <w:tcW w:w="9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6"/>
            <w:vMerge w:val="continue"/>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PSU Award Agreement, 3-year, CEO/COO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20" w:type="dxa"/>
            <w:vAlign w:val="bottom"/>
            <w:tcBorders>
              <w:top w:val="single" w:sz="8" w:color="0000FF"/>
              <w:bottom w:val="single" w:sz="8" w:color="0000FF"/>
            </w:tcBorders>
            <w:gridSpan w:val="6"/>
          </w:tcPr>
          <w:p>
            <w:pPr>
              <w:spacing w:after="0" w:line="176" w:lineRule="exact"/>
              <w:rPr>
                <w:sz w:val="20"/>
                <w:szCs w:val="20"/>
                <w:color w:val="auto"/>
              </w:rPr>
            </w:pPr>
            <w:r>
              <w:rPr>
                <w:rFonts w:ascii="Arial" w:cs="Arial" w:eastAsia="Arial" w:hAnsi="Arial"/>
                <w:sz w:val="19"/>
                <w:szCs w:val="19"/>
                <w:b w:val="1"/>
                <w:bCs w:val="1"/>
                <w:color w:val="0000FF"/>
                <w:w w:val="95"/>
              </w:rPr>
              <w:t>effective as of February 18, 2026</w:t>
            </w:r>
          </w:p>
        </w:tc>
        <w:tc>
          <w:tcPr>
            <w:tcW w:w="49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10(i)(8)</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PSU Award Agreement, 3-year, under 2024 EPIP, amended and effective as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40" w:type="dxa"/>
            <w:vAlign w:val="bottom"/>
            <w:tcBorders>
              <w:top w:val="single" w:sz="8" w:color="0000FF"/>
              <w:bottom w:val="single" w:sz="8" w:color="0000FF"/>
            </w:tcBorders>
            <w:gridSpan w:val="4"/>
          </w:tcPr>
          <w:p>
            <w:pPr>
              <w:spacing w:after="0" w:line="176" w:lineRule="exact"/>
              <w:rPr>
                <w:sz w:val="20"/>
                <w:szCs w:val="20"/>
                <w:color w:val="auto"/>
              </w:rPr>
            </w:pPr>
            <w:r>
              <w:rPr>
                <w:rFonts w:ascii="Arial" w:cs="Arial" w:eastAsia="Arial" w:hAnsi="Arial"/>
                <w:sz w:val="19"/>
                <w:szCs w:val="19"/>
                <w:b w:val="1"/>
                <w:bCs w:val="1"/>
                <w:color w:val="0000FF"/>
                <w:w w:val="97"/>
              </w:rPr>
              <w:t>February 18, 2026.</w:t>
            </w:r>
          </w:p>
        </w:tc>
        <w:tc>
          <w:tcPr>
            <w:tcW w:w="642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10(i)(9)</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RSU Award Agreement, 2-year, under 2024 EPIP, amended and effective as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40" w:type="dxa"/>
            <w:vAlign w:val="bottom"/>
            <w:tcBorders>
              <w:top w:val="single" w:sz="8" w:color="0000FF"/>
              <w:bottom w:val="single" w:sz="8" w:color="0000FF"/>
            </w:tcBorders>
            <w:gridSpan w:val="4"/>
          </w:tcPr>
          <w:p>
            <w:pPr>
              <w:spacing w:after="0" w:line="176" w:lineRule="exact"/>
              <w:rPr>
                <w:sz w:val="20"/>
                <w:szCs w:val="20"/>
                <w:color w:val="auto"/>
              </w:rPr>
            </w:pPr>
            <w:r>
              <w:rPr>
                <w:rFonts w:ascii="Arial" w:cs="Arial" w:eastAsia="Arial" w:hAnsi="Arial"/>
                <w:sz w:val="19"/>
                <w:szCs w:val="19"/>
                <w:b w:val="1"/>
                <w:bCs w:val="1"/>
                <w:color w:val="0000FF"/>
                <w:w w:val="97"/>
              </w:rPr>
              <w:t>February 18, 2026.</w:t>
            </w:r>
          </w:p>
        </w:tc>
        <w:tc>
          <w:tcPr>
            <w:tcW w:w="6440" w:type="dxa"/>
            <w:vAlign w:val="bottom"/>
            <w:tcBorders>
              <w:top w:val="single" w:sz="8" w:color="0000FF"/>
            </w:tcBorders>
            <w:gridSpan w:val="19"/>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10(i)(10)</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RSU Award Agreement, 2-year, CEO/COO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80" w:type="dxa"/>
            <w:vAlign w:val="bottom"/>
            <w:tcBorders>
              <w:top w:val="single" w:sz="8" w:color="0000FF"/>
              <w:bottom w:val="single" w:sz="8" w:color="0000FF"/>
            </w:tcBorders>
            <w:gridSpan w:val="7"/>
          </w:tcPr>
          <w:p>
            <w:pPr>
              <w:spacing w:after="0" w:line="176" w:lineRule="exact"/>
              <w:rPr>
                <w:sz w:val="20"/>
                <w:szCs w:val="20"/>
                <w:color w:val="auto"/>
              </w:rPr>
            </w:pPr>
            <w:r>
              <w:rPr>
                <w:rFonts w:ascii="Arial" w:cs="Arial" w:eastAsia="Arial" w:hAnsi="Arial"/>
                <w:sz w:val="19"/>
                <w:szCs w:val="19"/>
                <w:b w:val="1"/>
                <w:bCs w:val="1"/>
                <w:color w:val="0000FF"/>
                <w:w w:val="96"/>
              </w:rPr>
              <w:t>effective as of February 18, 2026.</w:t>
            </w:r>
          </w:p>
        </w:tc>
        <w:tc>
          <w:tcPr>
            <w:tcW w:w="492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10(i)(11)</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RSU Award Agreement, 3-year, contingent,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80" w:type="dxa"/>
            <w:vAlign w:val="bottom"/>
            <w:tcBorders>
              <w:top w:val="single" w:sz="8" w:color="0000FF"/>
              <w:bottom w:val="single" w:sz="8" w:color="0000FF"/>
            </w:tcBorders>
            <w:gridSpan w:val="7"/>
          </w:tcPr>
          <w:p>
            <w:pPr>
              <w:spacing w:after="0" w:line="176" w:lineRule="exact"/>
              <w:rPr>
                <w:sz w:val="20"/>
                <w:szCs w:val="20"/>
                <w:color w:val="auto"/>
              </w:rPr>
            </w:pPr>
            <w:r>
              <w:rPr>
                <w:rFonts w:ascii="Arial" w:cs="Arial" w:eastAsia="Arial" w:hAnsi="Arial"/>
                <w:sz w:val="19"/>
                <w:szCs w:val="19"/>
                <w:b w:val="1"/>
                <w:bCs w:val="1"/>
                <w:color w:val="0000FF"/>
                <w:w w:val="96"/>
              </w:rPr>
              <w:t>effective as of February 18, 2026.</w:t>
            </w:r>
          </w:p>
        </w:tc>
        <w:tc>
          <w:tcPr>
            <w:tcW w:w="49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10(i)(12)</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RSU Award Agreement, 3-year, under 2024 EPIP, amended and effective as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40" w:type="dxa"/>
            <w:vAlign w:val="bottom"/>
            <w:tcBorders>
              <w:top w:val="single" w:sz="8" w:color="0000FF"/>
              <w:bottom w:val="single" w:sz="8" w:color="0000FF"/>
            </w:tcBorders>
            <w:gridSpan w:val="4"/>
          </w:tcPr>
          <w:p>
            <w:pPr>
              <w:spacing w:after="0" w:line="176" w:lineRule="exact"/>
              <w:rPr>
                <w:sz w:val="20"/>
                <w:szCs w:val="20"/>
                <w:color w:val="auto"/>
              </w:rPr>
            </w:pPr>
            <w:r>
              <w:rPr>
                <w:rFonts w:ascii="Arial" w:cs="Arial" w:eastAsia="Arial" w:hAnsi="Arial"/>
                <w:sz w:val="19"/>
                <w:szCs w:val="19"/>
                <w:b w:val="1"/>
                <w:bCs w:val="1"/>
                <w:color w:val="0000FF"/>
                <w:w w:val="97"/>
              </w:rPr>
              <w:t>February 18, 2026.</w:t>
            </w:r>
          </w:p>
        </w:tc>
        <w:tc>
          <w:tcPr>
            <w:tcW w:w="6440" w:type="dxa"/>
            <w:vAlign w:val="bottom"/>
            <w:tcBorders>
              <w:top w:val="single" w:sz="8" w:color="0000FF"/>
            </w:tcBorders>
            <w:gridSpan w:val="19"/>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10(i)(13)</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w w:val="97"/>
              </w:rPr>
              <w:t>Form of ELTIP RSU Award Agreement, 3-year, CEO/COO, contingent, under 2024 EPIP, amended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240" w:type="dxa"/>
            <w:vAlign w:val="bottom"/>
            <w:tcBorders>
              <w:top w:val="single" w:sz="8" w:color="0000FF"/>
              <w:bottom w:val="single" w:sz="8" w:color="0000FF"/>
            </w:tcBorders>
            <w:gridSpan w:val="10"/>
          </w:tcPr>
          <w:p>
            <w:pPr>
              <w:spacing w:after="0" w:line="176" w:lineRule="exact"/>
              <w:rPr>
                <w:sz w:val="20"/>
                <w:szCs w:val="20"/>
                <w:color w:val="auto"/>
              </w:rPr>
            </w:pPr>
            <w:r>
              <w:rPr>
                <w:rFonts w:ascii="Arial" w:cs="Arial" w:eastAsia="Arial" w:hAnsi="Arial"/>
                <w:sz w:val="19"/>
                <w:szCs w:val="19"/>
                <w:b w:val="1"/>
                <w:bCs w:val="1"/>
                <w:color w:val="0000FF"/>
                <w:w w:val="96"/>
              </w:rPr>
              <w:t>and effective as of February 18, 2026</w:t>
            </w:r>
          </w:p>
        </w:tc>
        <w:tc>
          <w:tcPr>
            <w:tcW w:w="5220" w:type="dxa"/>
            <w:vAlign w:val="bottom"/>
            <w:tcBorders>
              <w:top w:val="single" w:sz="8" w:color="0000FF"/>
            </w:tcBorders>
            <w:gridSpan w:val="21"/>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10(i)(14)</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ELTIP RSU Award Agreement, 3-year, CEO/COO,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80" w:type="dxa"/>
            <w:vAlign w:val="bottom"/>
            <w:tcBorders>
              <w:top w:val="single" w:sz="8" w:color="0000FF"/>
              <w:bottom w:val="single" w:sz="8" w:color="0000FF"/>
            </w:tcBorders>
            <w:gridSpan w:val="7"/>
          </w:tcPr>
          <w:p>
            <w:pPr>
              <w:spacing w:after="0" w:line="176" w:lineRule="exact"/>
              <w:rPr>
                <w:sz w:val="20"/>
                <w:szCs w:val="20"/>
                <w:color w:val="auto"/>
              </w:rPr>
            </w:pPr>
            <w:r>
              <w:rPr>
                <w:rFonts w:ascii="Arial" w:cs="Arial" w:eastAsia="Arial" w:hAnsi="Arial"/>
                <w:sz w:val="19"/>
                <w:szCs w:val="19"/>
                <w:b w:val="1"/>
                <w:bCs w:val="1"/>
                <w:color w:val="0000FF"/>
                <w:w w:val="96"/>
              </w:rPr>
              <w:t>effective as of February 18, 2026.</w:t>
            </w:r>
          </w:p>
        </w:tc>
        <w:tc>
          <w:tcPr>
            <w:tcW w:w="5020" w:type="dxa"/>
            <w:vAlign w:val="bottom"/>
            <w:tcBorders>
              <w:top w:val="single" w:sz="8" w:color="0000FF"/>
            </w:tcBorders>
            <w:gridSpan w:val="11"/>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10(i)(15)</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XSIP RSU Award Agreement, 2-year, under 2024 EPIP, amended and effective as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80" w:type="dxa"/>
            <w:vAlign w:val="bottom"/>
            <w:tcBorders>
              <w:top w:val="single" w:sz="8" w:color="0000FF"/>
            </w:tcBorders>
            <w:gridSpan w:val="20"/>
          </w:tcPr>
          <w:p>
            <w:pPr>
              <w:spacing w:after="0" w:line="176" w:lineRule="exact"/>
              <w:rPr>
                <w:sz w:val="20"/>
                <w:szCs w:val="20"/>
                <w:color w:val="auto"/>
              </w:rPr>
            </w:pPr>
            <w:r>
              <w:rPr>
                <w:rFonts w:ascii="Arial" w:cs="Arial" w:eastAsia="Arial" w:hAnsi="Arial"/>
                <w:sz w:val="19"/>
                <w:szCs w:val="19"/>
                <w:b w:val="1"/>
                <w:bCs w:val="1"/>
                <w:color w:val="0000FF"/>
              </w:rPr>
              <w:t>February 18, 2026.</w:t>
            </w: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6"/>
            <w:vMerge w:val="restart"/>
          </w:tcPr>
          <w:p>
            <w:pPr>
              <w:spacing w:after="0"/>
              <w:rPr>
                <w:sz w:val="20"/>
                <w:szCs w:val="20"/>
                <w:color w:val="auto"/>
              </w:rPr>
            </w:pPr>
            <w:r>
              <w:rPr>
                <w:rFonts w:ascii="Arial" w:cs="Arial" w:eastAsia="Arial" w:hAnsi="Arial"/>
                <w:sz w:val="19"/>
                <w:szCs w:val="19"/>
                <w:b w:val="1"/>
                <w:bCs w:val="1"/>
                <w:color w:val="0000FF"/>
              </w:rPr>
              <w:t>10(i)(16)</w:t>
            </w:r>
          </w:p>
        </w:tc>
        <w:tc>
          <w:tcPr>
            <w:tcW w:w="9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6"/>
            <w:vMerge w:val="continue"/>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XSIP RSU Award Agreement, 2-year, cash-settled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80" w:type="dxa"/>
            <w:vAlign w:val="bottom"/>
            <w:tcBorders>
              <w:top w:val="single" w:sz="8" w:color="0000FF"/>
              <w:bottom w:val="single" w:sz="8" w:color="0000FF"/>
            </w:tcBorders>
            <w:gridSpan w:val="7"/>
          </w:tcPr>
          <w:p>
            <w:pPr>
              <w:spacing w:after="0" w:line="176" w:lineRule="exact"/>
              <w:rPr>
                <w:sz w:val="20"/>
                <w:szCs w:val="20"/>
                <w:color w:val="auto"/>
              </w:rPr>
            </w:pPr>
            <w:r>
              <w:rPr>
                <w:rFonts w:ascii="Arial" w:cs="Arial" w:eastAsia="Arial" w:hAnsi="Arial"/>
                <w:sz w:val="19"/>
                <w:szCs w:val="19"/>
                <w:b w:val="1"/>
                <w:bCs w:val="1"/>
                <w:color w:val="0000FF"/>
                <w:w w:val="96"/>
              </w:rPr>
              <w:t>effective as of February 18, 2026.</w:t>
            </w:r>
          </w:p>
        </w:tc>
        <w:tc>
          <w:tcPr>
            <w:tcW w:w="5000" w:type="dxa"/>
            <w:vAlign w:val="bottom"/>
            <w:tcBorders>
              <w:top w:val="single" w:sz="8" w:color="0000FF"/>
            </w:tcBorders>
            <w:gridSpan w:val="10"/>
          </w:tcPr>
          <w:p>
            <w:pPr>
              <w:spacing w:after="0"/>
              <w:rPr>
                <w:sz w:val="15"/>
                <w:szCs w:val="15"/>
                <w:color w:val="auto"/>
              </w:rPr>
            </w:pPr>
          </w:p>
        </w:tc>
        <w:tc>
          <w:tcPr>
            <w:tcW w:w="140" w:type="dxa"/>
            <w:vAlign w:val="bottom"/>
            <w:gridSpan w:val="4"/>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10(i)(17)</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XSIP RSU Award Agreement, 3-year, under 2024 EPIP, amended and effective as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20" w:type="dxa"/>
            <w:vAlign w:val="bottom"/>
            <w:tcBorders>
              <w:top w:val="single" w:sz="8" w:color="0000FF"/>
              <w:bottom w:val="single" w:sz="8" w:color="0000FF"/>
            </w:tcBorders>
            <w:gridSpan w:val="3"/>
          </w:tcPr>
          <w:p>
            <w:pPr>
              <w:spacing w:after="0" w:line="176" w:lineRule="exact"/>
              <w:rPr>
                <w:sz w:val="20"/>
                <w:szCs w:val="20"/>
                <w:color w:val="auto"/>
              </w:rPr>
            </w:pPr>
            <w:r>
              <w:rPr>
                <w:rFonts w:ascii="Arial" w:cs="Arial" w:eastAsia="Arial" w:hAnsi="Arial"/>
                <w:sz w:val="19"/>
                <w:szCs w:val="19"/>
                <w:b w:val="1"/>
                <w:bCs w:val="1"/>
                <w:color w:val="0000FF"/>
                <w:w w:val="98"/>
              </w:rPr>
              <w:t>February 18, 2026</w:t>
            </w:r>
          </w:p>
        </w:tc>
        <w:tc>
          <w:tcPr>
            <w:tcW w:w="636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10(i)(18)</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XSIP RSU Award Agreement, 3-year, cash-settled under 2024 EPIP, amended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80" w:type="dxa"/>
            <w:vAlign w:val="bottom"/>
            <w:tcBorders>
              <w:top w:val="single" w:sz="8" w:color="0000FF"/>
            </w:tcBorders>
            <w:gridSpan w:val="17"/>
          </w:tcPr>
          <w:p>
            <w:pPr>
              <w:spacing w:after="0" w:line="176" w:lineRule="exact"/>
              <w:rPr>
                <w:sz w:val="20"/>
                <w:szCs w:val="20"/>
                <w:color w:val="auto"/>
              </w:rPr>
            </w:pPr>
            <w:r>
              <w:rPr>
                <w:rFonts w:ascii="Arial" w:cs="Arial" w:eastAsia="Arial" w:hAnsi="Arial"/>
                <w:sz w:val="19"/>
                <w:szCs w:val="19"/>
                <w:b w:val="1"/>
                <w:bCs w:val="1"/>
                <w:color w:val="0000FF"/>
              </w:rPr>
              <w:t>effective as of February 18, 2026</w:t>
            </w:r>
            <w:r>
              <w:rPr>
                <w:rFonts w:ascii="Arial" w:cs="Arial" w:eastAsia="Arial" w:hAnsi="Arial"/>
                <w:sz w:val="19"/>
                <w:szCs w:val="19"/>
                <w:b w:val="1"/>
                <w:bCs w:val="1"/>
                <w:color w:val="000000"/>
              </w:rPr>
              <w:t>.</w:t>
            </w:r>
          </w:p>
        </w:tc>
        <w:tc>
          <w:tcPr>
            <w:tcW w:w="140" w:type="dxa"/>
            <w:vAlign w:val="bottom"/>
            <w:gridSpan w:val="4"/>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9"/>
                <w:szCs w:val="19"/>
                <w:b w:val="1"/>
                <w:bCs w:val="1"/>
                <w:color w:val="0000FF"/>
                <w:w w:val="94"/>
              </w:rPr>
              <w:t>*10(j)</w:t>
            </w:r>
          </w:p>
        </w:tc>
        <w:tc>
          <w:tcPr>
            <w:tcW w:w="940" w:type="dxa"/>
            <w:vAlign w:val="bottom"/>
            <w:gridSpan w:val="5"/>
            <w:vMerge w:val="restart"/>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vMerge w:val="continue"/>
          </w:tcPr>
          <w:p>
            <w:pPr>
              <w:spacing w:after="0"/>
              <w:rPr>
                <w:sz w:val="22"/>
                <w:szCs w:val="22"/>
                <w:color w:val="auto"/>
              </w:rPr>
            </w:pPr>
          </w:p>
        </w:tc>
        <w:tc>
          <w:tcPr>
            <w:tcW w:w="940" w:type="dxa"/>
            <w:vAlign w:val="bottom"/>
            <w:gridSpan w:val="5"/>
            <w:vMerge w:val="continue"/>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Offer Letter, dated December 29, 2023, by and between Xerox Corporation and Louie Pastor.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800" w:type="dxa"/>
            <w:vAlign w:val="bottom"/>
            <w:gridSpan w:val="7"/>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80" w:type="dxa"/>
            <w:vAlign w:val="bottom"/>
            <w:tcBorders>
              <w:bottom w:val="single" w:sz="8" w:color="0000FF"/>
            </w:tcBorders>
            <w:gridSpan w:val="32"/>
          </w:tcPr>
          <w:p>
            <w:pPr>
              <w:spacing w:after="0"/>
              <w:rPr>
                <w:sz w:val="20"/>
                <w:szCs w:val="20"/>
                <w:color w:val="auto"/>
              </w:rPr>
            </w:pPr>
            <w:r>
              <w:rPr>
                <w:rFonts w:ascii="Arial" w:cs="Arial" w:eastAsia="Arial" w:hAnsi="Arial"/>
                <w:sz w:val="19"/>
                <w:szCs w:val="19"/>
                <w:b w:val="1"/>
                <w:bCs w:val="1"/>
                <w:color w:val="0000FF"/>
                <w:w w:val="94"/>
              </w:rPr>
              <w:t>Incorporated by reference to Exhibit 10.2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80" w:type="dxa"/>
            <w:vAlign w:val="bottom"/>
            <w:gridSpan w:val="32"/>
          </w:tcPr>
          <w:p>
            <w:pPr>
              <w:spacing w:after="0" w:line="174" w:lineRule="exact"/>
              <w:rPr>
                <w:sz w:val="20"/>
                <w:szCs w:val="20"/>
                <w:color w:val="auto"/>
              </w:rPr>
            </w:pPr>
            <w:r>
              <w:rPr>
                <w:rFonts w:ascii="Arial" w:cs="Arial" w:eastAsia="Arial" w:hAnsi="Arial"/>
                <w:sz w:val="19"/>
                <w:szCs w:val="19"/>
                <w:b w:val="1"/>
                <w:bCs w:val="1"/>
                <w:color w:val="0000FF"/>
              </w:rPr>
              <w:t>Current Report on Form 8-K dated December 29, 2023. See SEC File Numbers 001-39013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Borders>
              <w:top w:val="single" w:sz="8" w:color="0000FF"/>
              <w:bottom w:val="single" w:sz="8" w:color="0000FF"/>
            </w:tcBorders>
            <w:gridSpan w:val="3"/>
          </w:tcPr>
          <w:p>
            <w:pPr>
              <w:spacing w:after="0" w:line="174" w:lineRule="exact"/>
              <w:rPr>
                <w:sz w:val="20"/>
                <w:szCs w:val="20"/>
                <w:color w:val="auto"/>
              </w:rPr>
            </w:pPr>
            <w:r>
              <w:rPr>
                <w:rFonts w:ascii="Arial" w:cs="Arial" w:eastAsia="Arial" w:hAnsi="Arial"/>
                <w:sz w:val="19"/>
                <w:szCs w:val="19"/>
                <w:b w:val="1"/>
                <w:bCs w:val="1"/>
                <w:color w:val="0000FF"/>
                <w:w w:val="99"/>
              </w:rPr>
              <w:t>001-04471.</w:t>
            </w: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0" w:type="dxa"/>
            <w:vAlign w:val="bottom"/>
            <w:tcBorders>
              <w:top w:val="single" w:sz="8" w:color="0000FF"/>
            </w:tcBorders>
          </w:tcPr>
          <w:p>
            <w:pPr>
              <w:spacing w:after="0"/>
              <w:rPr>
                <w:sz w:val="15"/>
                <w:szCs w:val="15"/>
                <w:color w:val="auto"/>
              </w:rPr>
            </w:pPr>
          </w:p>
        </w:tc>
        <w:tc>
          <w:tcPr>
            <w:tcW w:w="27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6"/>
          </w:tcPr>
          <w:p>
            <w:pPr>
              <w:spacing w:after="0"/>
              <w:rPr>
                <w:sz w:val="20"/>
                <w:szCs w:val="20"/>
                <w:color w:val="auto"/>
              </w:rPr>
            </w:pPr>
            <w:r>
              <w:rPr>
                <w:rFonts w:ascii="Arial" w:cs="Arial" w:eastAsia="Arial" w:hAnsi="Arial"/>
                <w:sz w:val="19"/>
                <w:szCs w:val="19"/>
                <w:b w:val="1"/>
                <w:bCs w:val="1"/>
                <w:color w:val="0000FF"/>
              </w:rPr>
              <w:t>*10(k)</w:t>
            </w: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w w:val="97"/>
              </w:rPr>
              <w:t>Form of Change in Control Severance Agreement, effective January 1, 2024, as approved by the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40" w:type="dxa"/>
            <w:vAlign w:val="bottom"/>
            <w:tcBorders>
              <w:top w:val="single" w:sz="8" w:color="0000FF"/>
            </w:tcBorders>
            <w:gridSpan w:val="27"/>
          </w:tcPr>
          <w:p>
            <w:pPr>
              <w:spacing w:after="0" w:line="184" w:lineRule="exact"/>
              <w:rPr>
                <w:sz w:val="20"/>
                <w:szCs w:val="20"/>
                <w:color w:val="auto"/>
              </w:rPr>
            </w:pPr>
            <w:r>
              <w:rPr>
                <w:rFonts w:ascii="Arial" w:cs="Arial" w:eastAsia="Arial" w:hAnsi="Arial"/>
                <w:sz w:val="19"/>
                <w:szCs w:val="19"/>
                <w:b w:val="1"/>
                <w:bCs w:val="1"/>
                <w:color w:val="0000FF"/>
                <w:w w:val="95"/>
              </w:rPr>
              <w:t>Compensation Committee of the Board of Directors of Xerox Holdings Corporation. Executed by</w:t>
            </w:r>
          </w:p>
        </w:tc>
        <w:tc>
          <w:tcPr>
            <w:tcW w:w="1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360" w:type="dxa"/>
            <w:vAlign w:val="bottom"/>
            <w:tcBorders>
              <w:top w:val="single" w:sz="8" w:color="0000FF"/>
            </w:tcBorders>
            <w:gridSpan w:val="28"/>
          </w:tcPr>
          <w:p>
            <w:pPr>
              <w:spacing w:after="0" w:line="174" w:lineRule="exact"/>
              <w:rPr>
                <w:sz w:val="20"/>
                <w:szCs w:val="20"/>
                <w:color w:val="auto"/>
              </w:rPr>
            </w:pPr>
            <w:r>
              <w:rPr>
                <w:rFonts w:ascii="Arial" w:cs="Arial" w:eastAsia="Arial" w:hAnsi="Arial"/>
                <w:sz w:val="19"/>
                <w:szCs w:val="19"/>
                <w:b w:val="1"/>
                <w:bCs w:val="1"/>
                <w:color w:val="0000FF"/>
                <w:w w:val="96"/>
              </w:rPr>
              <w:t>Steve Bandrowczak, Louie Pastor, Jacques-Edouard Gueden, Charles Butler and Flor M. Colon.</w:t>
            </w: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80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80" w:type="dxa"/>
            <w:vAlign w:val="bottom"/>
            <w:tcBorders>
              <w:bottom w:val="single" w:sz="8" w:color="0000FF"/>
            </w:tcBorders>
            <w:gridSpan w:val="32"/>
          </w:tcPr>
          <w:p>
            <w:pPr>
              <w:spacing w:after="0"/>
              <w:rPr>
                <w:sz w:val="20"/>
                <w:szCs w:val="20"/>
                <w:color w:val="auto"/>
              </w:rPr>
            </w:pPr>
            <w:r>
              <w:rPr>
                <w:rFonts w:ascii="Arial" w:cs="Arial" w:eastAsia="Arial" w:hAnsi="Arial"/>
                <w:sz w:val="19"/>
                <w:szCs w:val="19"/>
                <w:b w:val="1"/>
                <w:bCs w:val="1"/>
                <w:color w:val="0000FF"/>
                <w:w w:val="94"/>
              </w:rPr>
              <w:t>Incorporated by reference to Exhibit 10.3 to Xerox Holdings Corporation’s and Xerox Corporation’s</w:t>
            </w:r>
          </w:p>
        </w:tc>
        <w:tc>
          <w:tcPr>
            <w:tcW w:w="20" w:type="dxa"/>
            <w:vAlign w:val="bottom"/>
            <w:tcBorders>
              <w:bottom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80" w:type="dxa"/>
            <w:vAlign w:val="bottom"/>
            <w:gridSpan w:val="32"/>
          </w:tcPr>
          <w:p>
            <w:pPr>
              <w:spacing w:after="0" w:line="174" w:lineRule="exact"/>
              <w:rPr>
                <w:sz w:val="20"/>
                <w:szCs w:val="20"/>
                <w:color w:val="auto"/>
              </w:rPr>
            </w:pPr>
            <w:r>
              <w:rPr>
                <w:rFonts w:ascii="Arial" w:cs="Arial" w:eastAsia="Arial" w:hAnsi="Arial"/>
                <w:sz w:val="19"/>
                <w:szCs w:val="19"/>
                <w:b w:val="1"/>
                <w:bCs w:val="1"/>
                <w:color w:val="0000FF"/>
              </w:rPr>
              <w:t>Current Report on Form 8-K dated December 29, 2023. See SEC File Numbers 001-39013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Borders>
              <w:top w:val="single" w:sz="8" w:color="0000FF"/>
              <w:bottom w:val="single" w:sz="8" w:color="0000FF"/>
            </w:tcBorders>
            <w:gridSpan w:val="3"/>
          </w:tcPr>
          <w:p>
            <w:pPr>
              <w:spacing w:after="0" w:line="174" w:lineRule="exact"/>
              <w:rPr>
                <w:sz w:val="20"/>
                <w:szCs w:val="20"/>
                <w:color w:val="auto"/>
              </w:rPr>
            </w:pPr>
            <w:r>
              <w:rPr>
                <w:rFonts w:ascii="Arial" w:cs="Arial" w:eastAsia="Arial" w:hAnsi="Arial"/>
                <w:sz w:val="19"/>
                <w:szCs w:val="19"/>
                <w:b w:val="1"/>
                <w:bCs w:val="1"/>
                <w:color w:val="0000FF"/>
                <w:w w:val="99"/>
              </w:rPr>
              <w:t>001-04471.</w:t>
            </w: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0" w:type="dxa"/>
            <w:vAlign w:val="bottom"/>
            <w:tcBorders>
              <w:top w:val="single" w:sz="8" w:color="0000FF"/>
            </w:tcBorders>
          </w:tcPr>
          <w:p>
            <w:pPr>
              <w:spacing w:after="0"/>
              <w:rPr>
                <w:sz w:val="15"/>
                <w:szCs w:val="15"/>
                <w:color w:val="auto"/>
              </w:rPr>
            </w:pPr>
          </w:p>
        </w:tc>
        <w:tc>
          <w:tcPr>
            <w:tcW w:w="27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9"/>
                <w:szCs w:val="19"/>
                <w:b w:val="1"/>
                <w:bCs w:val="1"/>
                <w:color w:val="0000FF"/>
                <w:w w:val="94"/>
              </w:rPr>
              <w:t>*10(l)</w:t>
            </w:r>
          </w:p>
        </w:tc>
        <w:tc>
          <w:tcPr>
            <w:tcW w:w="940" w:type="dxa"/>
            <w:vAlign w:val="bottom"/>
            <w:gridSpan w:val="5"/>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Form of Indemnification Agreement.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80" w:type="dxa"/>
            <w:vAlign w:val="bottom"/>
            <w:tcBorders>
              <w:bottom w:val="single" w:sz="8" w:color="0000FF"/>
            </w:tcBorders>
            <w:gridSpan w:val="32"/>
          </w:tcPr>
          <w:p>
            <w:pPr>
              <w:spacing w:after="0"/>
              <w:rPr>
                <w:sz w:val="20"/>
                <w:szCs w:val="20"/>
                <w:color w:val="auto"/>
              </w:rPr>
            </w:pPr>
            <w:r>
              <w:rPr>
                <w:rFonts w:ascii="Arial" w:cs="Arial" w:eastAsia="Arial" w:hAnsi="Arial"/>
                <w:sz w:val="19"/>
                <w:szCs w:val="19"/>
                <w:b w:val="1"/>
                <w:bCs w:val="1"/>
                <w:color w:val="0000FF"/>
                <w:w w:val="94"/>
              </w:rPr>
              <w:t>Incorporated by reference to Exhibit 10.2 to Xerox Holdings Corporation’s and Xerox Corporation’s</w:t>
            </w:r>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80" w:type="dxa"/>
            <w:vAlign w:val="bottom"/>
            <w:gridSpan w:val="32"/>
          </w:tcPr>
          <w:p>
            <w:pPr>
              <w:spacing w:after="0" w:line="174" w:lineRule="exact"/>
              <w:rPr>
                <w:sz w:val="20"/>
                <w:szCs w:val="20"/>
                <w:color w:val="auto"/>
              </w:rPr>
            </w:pPr>
            <w:r>
              <w:rPr>
                <w:rFonts w:ascii="Arial" w:cs="Arial" w:eastAsia="Arial" w:hAnsi="Arial"/>
                <w:sz w:val="19"/>
                <w:szCs w:val="19"/>
                <w:b w:val="1"/>
                <w:bCs w:val="1"/>
                <w:color w:val="0000FF"/>
              </w:rPr>
              <w:t>combined Quarterly Report on Form 10-Q dated November 2, 2022. See SEC File Number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80" w:type="dxa"/>
            <w:vAlign w:val="bottom"/>
            <w:tcBorders>
              <w:top w:val="single" w:sz="8" w:color="0000FF"/>
            </w:tcBorders>
            <w:gridSpan w:val="17"/>
          </w:tcPr>
          <w:p>
            <w:pPr>
              <w:spacing w:after="0" w:line="174" w:lineRule="exact"/>
              <w:rPr>
                <w:sz w:val="20"/>
                <w:szCs w:val="20"/>
                <w:color w:val="auto"/>
              </w:rPr>
            </w:pPr>
            <w:r>
              <w:rPr>
                <w:rFonts w:ascii="Arial" w:cs="Arial" w:eastAsia="Arial" w:hAnsi="Arial"/>
                <w:sz w:val="19"/>
                <w:szCs w:val="19"/>
                <w:b w:val="1"/>
                <w:bCs w:val="1"/>
                <w:color w:val="0000FF"/>
              </w:rPr>
              <w:t>001-39013 and 001-04471.</w:t>
            </w:r>
          </w:p>
        </w:tc>
        <w:tc>
          <w:tcPr>
            <w:tcW w:w="300" w:type="dxa"/>
            <w:vAlign w:val="bottom"/>
            <w:gridSpan w:val="8"/>
          </w:tcPr>
          <w:p>
            <w:pPr>
              <w:spacing w:after="0"/>
              <w:rPr>
                <w:sz w:val="15"/>
                <w:szCs w:val="15"/>
                <w:color w:val="auto"/>
              </w:rPr>
            </w:pPr>
          </w:p>
        </w:tc>
        <w:tc>
          <w:tcPr>
            <w:tcW w:w="3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6"/>
            <w:vMerge w:val="restart"/>
          </w:tcPr>
          <w:p>
            <w:pPr>
              <w:spacing w:after="0"/>
              <w:rPr>
                <w:sz w:val="20"/>
                <w:szCs w:val="20"/>
                <w:color w:val="auto"/>
              </w:rPr>
            </w:pPr>
            <w:r>
              <w:rPr>
                <w:rFonts w:ascii="Arial" w:cs="Arial" w:eastAsia="Arial" w:hAnsi="Arial"/>
                <w:sz w:val="19"/>
                <w:szCs w:val="19"/>
                <w:b w:val="1"/>
                <w:bCs w:val="1"/>
                <w:color w:val="0000FF"/>
              </w:rPr>
              <w:t>10(m)</w:t>
            </w:r>
          </w:p>
        </w:tc>
        <w:tc>
          <w:tcPr>
            <w:tcW w:w="2340" w:type="dxa"/>
            <w:vAlign w:val="bottom"/>
            <w:gridSpan w:val="6"/>
            <w:shd w:val="clear" w:color="auto" w:fill="0000FF"/>
          </w:tcPr>
          <w:p>
            <w:pPr>
              <w:spacing w:after="0" w:line="20" w:lineRule="exact"/>
              <w:rPr>
                <w:sz w:val="1"/>
                <w:szCs w:val="1"/>
                <w:color w:val="auto"/>
              </w:rPr>
            </w:pPr>
          </w:p>
        </w:tc>
        <w:tc>
          <w:tcPr>
            <w:tcW w:w="5840" w:type="dxa"/>
            <w:vAlign w:val="bottom"/>
            <w:gridSpan w:val="19"/>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6"/>
            <w:vMerge w:val="continue"/>
          </w:tcPr>
          <w:p>
            <w:pPr>
              <w:spacing w:after="0"/>
              <w:rPr>
                <w:sz w:val="22"/>
                <w:szCs w:val="22"/>
                <w:color w:val="auto"/>
              </w:rPr>
            </w:pPr>
          </w:p>
        </w:tc>
        <w:tc>
          <w:tcPr>
            <w:tcW w:w="8480" w:type="dxa"/>
            <w:vAlign w:val="bottom"/>
            <w:gridSpan w:val="32"/>
          </w:tcPr>
          <w:p>
            <w:pPr>
              <w:spacing w:after="0"/>
              <w:rPr>
                <w:sz w:val="20"/>
                <w:szCs w:val="20"/>
                <w:color w:val="auto"/>
              </w:rPr>
            </w:pPr>
            <w:r>
              <w:rPr>
                <w:rFonts w:ascii="Arial" w:cs="Arial" w:eastAsia="Arial" w:hAnsi="Arial"/>
                <w:sz w:val="19"/>
                <w:szCs w:val="19"/>
                <w:b w:val="1"/>
                <w:bCs w:val="1"/>
                <w:color w:val="0000FF"/>
              </w:rPr>
              <w:t>Credit Agreement, dated as of November 17, 2023, by and among XEROX CORPORATION, 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60" w:type="dxa"/>
            <w:vAlign w:val="bottom"/>
            <w:tcBorders>
              <w:top w:val="single" w:sz="8" w:color="0000FF"/>
            </w:tcBorders>
            <w:gridSpan w:val="24"/>
          </w:tcPr>
          <w:p>
            <w:pPr>
              <w:spacing w:after="0" w:line="164" w:lineRule="exact"/>
              <w:rPr>
                <w:sz w:val="20"/>
                <w:szCs w:val="20"/>
                <w:color w:val="auto"/>
              </w:rPr>
            </w:pPr>
            <w:r>
              <w:rPr>
                <w:rFonts w:ascii="Arial" w:cs="Arial" w:eastAsia="Arial" w:hAnsi="Arial"/>
                <w:sz w:val="19"/>
                <w:szCs w:val="19"/>
                <w:b w:val="1"/>
                <w:bCs w:val="1"/>
                <w:u w:val="single" w:color="auto"/>
                <w:color w:val="0000FF"/>
                <w:w w:val="96"/>
              </w:rPr>
              <w:t>New York corporation, XEROX HOLDINGS CORPORATION, a New York corporation, and each</w:t>
            </w:r>
          </w:p>
        </w:tc>
        <w:tc>
          <w:tcPr>
            <w:tcW w:w="30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400" w:right="1140"/>
        <w:spacing w:after="0" w:line="255" w:lineRule="auto"/>
        <w:rPr>
          <w:sz w:val="20"/>
          <w:szCs w:val="20"/>
          <w:color w:val="auto"/>
        </w:rPr>
      </w:pPr>
      <w:r>
        <w:rPr>
          <w:rFonts w:ascii="Arial" w:cs="Arial" w:eastAsia="Arial" w:hAnsi="Arial"/>
          <w:sz w:val="19"/>
          <w:szCs w:val="19"/>
          <w:b w:val="1"/>
          <w:bCs w:val="1"/>
          <w:u w:val="single" w:color="auto"/>
          <w:color w:val="0000FF"/>
        </w:rPr>
        <w:t>other Guarantor party thereto, the lenders party thereto and Jefferies Finance LLC, as administrative agent and collateral agent.</w:t>
      </w:r>
    </w:p>
    <w:p>
      <w:pPr>
        <w:spacing w:after="0" w:line="200" w:lineRule="exact"/>
        <w:rPr>
          <w:sz w:val="20"/>
          <w:szCs w:val="20"/>
          <w:color w:val="auto"/>
        </w:rPr>
      </w:pPr>
    </w:p>
    <w:p>
      <w:pPr>
        <w:spacing w:after="0" w:line="391"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177</w:t>
      </w:r>
    </w:p>
    <w:p>
      <w:pPr>
        <w:sectPr>
          <w:pgSz w:w="11880" w:h="15480" w:orient="portrait"/>
          <w:cols w:equalWidth="0" w:num="1">
            <w:col w:w="9900"/>
          </w:cols>
          <w:pgMar w:left="1020" w:top="801" w:right="960" w:bottom="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18"/>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5"/>
              </w:rPr>
              <w:t>Incorporated by reference to Exhibit 10.1 to Xerox Holding Corporation’s and Xerox Corporation’s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40" w:type="dxa"/>
            <w:vAlign w:val="bottom"/>
            <w:tcBorders>
              <w:top w:val="single" w:sz="8" w:color="0000FF"/>
            </w:tcBorders>
            <w:gridSpan w:val="43"/>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November 17, 2023. See SEC File Numbers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20" w:type="dxa"/>
            <w:vAlign w:val="bottom"/>
            <w:tcBorders>
              <w:top w:val="single" w:sz="8" w:color="0000FF"/>
            </w:tcBorders>
            <w:gridSpan w:val="26"/>
          </w:tcPr>
          <w:p>
            <w:pPr>
              <w:spacing w:after="0" w:line="174" w:lineRule="exact"/>
              <w:rPr>
                <w:sz w:val="20"/>
                <w:szCs w:val="20"/>
                <w:color w:val="auto"/>
              </w:rPr>
            </w:pPr>
            <w:r>
              <w:rPr>
                <w:rFonts w:ascii="Arial" w:cs="Arial" w:eastAsia="Arial" w:hAnsi="Arial"/>
                <w:sz w:val="19"/>
                <w:szCs w:val="19"/>
                <w:b w:val="1"/>
                <w:bCs w:val="1"/>
                <w:color w:val="0000FF"/>
              </w:rPr>
              <w:t>001-39013 and 001-04471.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4"/>
            <w:vMerge w:val="restart"/>
          </w:tcPr>
          <w:p>
            <w:pPr>
              <w:spacing w:after="0"/>
              <w:rPr>
                <w:sz w:val="20"/>
                <w:szCs w:val="20"/>
                <w:color w:val="auto"/>
              </w:rPr>
            </w:pPr>
            <w:r>
              <w:rPr>
                <w:rFonts w:ascii="Arial" w:cs="Arial" w:eastAsia="Arial" w:hAnsi="Arial"/>
                <w:sz w:val="19"/>
                <w:szCs w:val="19"/>
                <w:b w:val="1"/>
                <w:bCs w:val="1"/>
                <w:color w:val="0000FF"/>
              </w:rPr>
              <w:t>10(n)</w:t>
            </w: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4"/>
            <w:vMerge w:val="continue"/>
          </w:tcPr>
          <w:p>
            <w:pPr>
              <w:spacing w:after="0"/>
              <w:rPr>
                <w:sz w:val="22"/>
                <w:szCs w:val="22"/>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Credit Agreement, dated as of July 7, 2022, among Xerox Corporation, Xerox Holdings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7780" w:type="dxa"/>
            <w:vAlign w:val="bottom"/>
            <w:tcBorders>
              <w:bottom w:val="single" w:sz="8" w:color="0000FF"/>
            </w:tcBorders>
            <w:gridSpan w:val="24"/>
          </w:tcPr>
          <w:p>
            <w:pPr>
              <w:spacing w:after="0" w:line="176" w:lineRule="exact"/>
              <w:rPr>
                <w:sz w:val="20"/>
                <w:szCs w:val="20"/>
                <w:color w:val="auto"/>
              </w:rPr>
            </w:pPr>
            <w:r>
              <w:rPr>
                <w:rFonts w:ascii="Arial" w:cs="Arial" w:eastAsia="Arial" w:hAnsi="Arial"/>
                <w:sz w:val="19"/>
                <w:szCs w:val="19"/>
                <w:b w:val="1"/>
                <w:bCs w:val="1"/>
                <w:color w:val="0000FF"/>
                <w:w w:val="94"/>
              </w:rPr>
              <w:t>Corporation, certain Lenders signatory thereto, and Citibank, N.A., as administrative agent.</w:t>
            </w:r>
          </w:p>
        </w:tc>
        <w:tc>
          <w:tcPr>
            <w:tcW w:w="68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5"/>
              </w:rPr>
              <w:t>Incorporated by reference to Exhibit 4.2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0" w:type="dxa"/>
            <w:vAlign w:val="bottom"/>
            <w:tcBorders>
              <w:top w:val="single" w:sz="8" w:color="0000FF"/>
            </w:tcBorders>
            <w:gridSpan w:val="41"/>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July 13, 2022. See SEC File Numbers 001-39013</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40" w:type="dxa"/>
            <w:vAlign w:val="bottom"/>
            <w:tcBorders>
              <w:top w:val="single" w:sz="8" w:color="0000FF"/>
            </w:tcBorders>
            <w:gridSpan w:val="35"/>
          </w:tcPr>
          <w:p>
            <w:pPr>
              <w:spacing w:after="0" w:line="174" w:lineRule="exact"/>
              <w:rPr>
                <w:sz w:val="20"/>
                <w:szCs w:val="20"/>
                <w:color w:val="auto"/>
              </w:rPr>
            </w:pPr>
            <w:r>
              <w:rPr>
                <w:rFonts w:ascii="Arial" w:cs="Arial" w:eastAsia="Arial" w:hAnsi="Arial"/>
                <w:sz w:val="19"/>
                <w:szCs w:val="19"/>
                <w:b w:val="1"/>
                <w:bCs w:val="1"/>
                <w:color w:val="0000FF"/>
              </w:rPr>
              <w:t>and 001-04471.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4"/>
            <w:vMerge w:val="restart"/>
          </w:tcPr>
          <w:p>
            <w:pPr>
              <w:spacing w:after="0"/>
              <w:rPr>
                <w:sz w:val="20"/>
                <w:szCs w:val="20"/>
                <w:color w:val="auto"/>
              </w:rPr>
            </w:pPr>
            <w:r>
              <w:rPr>
                <w:rFonts w:ascii="Arial" w:cs="Arial" w:eastAsia="Arial" w:hAnsi="Arial"/>
                <w:sz w:val="19"/>
                <w:szCs w:val="19"/>
                <w:b w:val="1"/>
                <w:bCs w:val="1"/>
                <w:color w:val="0000FF"/>
              </w:rPr>
              <w:t>10(o)</w:t>
            </w: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4"/>
            <w:vMerge w:val="continue"/>
          </w:tcPr>
          <w:p>
            <w:pPr>
              <w:spacing w:after="0"/>
              <w:rPr>
                <w:sz w:val="22"/>
                <w:szCs w:val="22"/>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Credit Agreement, dated May 22, 2023, by and among Xerox Corporation, a New York</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8460" w:type="dxa"/>
            <w:vAlign w:val="bottom"/>
            <w:tcBorders>
              <w:bottom w:val="single" w:sz="8" w:color="0000FF"/>
            </w:tcBorders>
            <w:gridSpan w:val="43"/>
          </w:tcPr>
          <w:p>
            <w:pPr>
              <w:spacing w:after="0" w:line="182" w:lineRule="exact"/>
              <w:rPr>
                <w:sz w:val="20"/>
                <w:szCs w:val="20"/>
                <w:color w:val="auto"/>
              </w:rPr>
            </w:pPr>
            <w:r>
              <w:rPr>
                <w:rFonts w:ascii="Arial" w:cs="Arial" w:eastAsia="Arial" w:hAnsi="Arial"/>
                <w:sz w:val="19"/>
                <w:szCs w:val="19"/>
                <w:b w:val="1"/>
                <w:bCs w:val="1"/>
                <w:color w:val="0000FF"/>
                <w:w w:val="94"/>
              </w:rPr>
              <w:t>Corporation, Xerox Holdings Corporation, a New York corporation, and each other Guarantor party</w:t>
            </w: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80" w:type="dxa"/>
            <w:vAlign w:val="bottom"/>
            <w:gridSpan w:val="44"/>
          </w:tcPr>
          <w:p>
            <w:pPr>
              <w:spacing w:after="0" w:line="174" w:lineRule="exact"/>
              <w:rPr>
                <w:sz w:val="20"/>
                <w:szCs w:val="20"/>
                <w:color w:val="auto"/>
              </w:rPr>
            </w:pPr>
            <w:r>
              <w:rPr>
                <w:rFonts w:ascii="Arial" w:cs="Arial" w:eastAsia="Arial" w:hAnsi="Arial"/>
                <w:sz w:val="19"/>
                <w:szCs w:val="19"/>
                <w:b w:val="1"/>
                <w:bCs w:val="1"/>
                <w:color w:val="0000FF"/>
                <w:w w:val="98"/>
              </w:rPr>
              <w:t>thereto, the lenders and issuing banks party thereto and Citibank, N.A., as administrative agent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6"/>
          </w:tcPr>
          <w:p>
            <w:pPr>
              <w:spacing w:after="0" w:line="174" w:lineRule="exact"/>
              <w:rPr>
                <w:sz w:val="20"/>
                <w:szCs w:val="20"/>
                <w:color w:val="auto"/>
              </w:rPr>
            </w:pPr>
            <w:r>
              <w:rPr>
                <w:rFonts w:ascii="Arial" w:cs="Arial" w:eastAsia="Arial" w:hAnsi="Arial"/>
                <w:sz w:val="19"/>
                <w:szCs w:val="19"/>
                <w:b w:val="1"/>
                <w:bCs w:val="1"/>
                <w:color w:val="0000FF"/>
                <w:w w:val="94"/>
              </w:rPr>
              <w:t>and collateral agent.</w:t>
            </w:r>
          </w:p>
        </w:tc>
        <w:tc>
          <w:tcPr>
            <w:tcW w:w="6460" w:type="dxa"/>
            <w:vAlign w:val="bottom"/>
            <w:tcBorders>
              <w:top w:val="single" w:sz="8" w:color="0000FF"/>
            </w:tcBorders>
            <w:gridSpan w:val="2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tcBorders>
              <w:bottom w:val="single" w:sz="8" w:color="0000FF"/>
            </w:tcBorders>
            <w:gridSpan w:val="44"/>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140" w:type="dxa"/>
            <w:vAlign w:val="bottom"/>
            <w:tcBorders>
              <w:bottom w:val="single" w:sz="8" w:color="0000FF"/>
            </w:tcBorders>
            <w:gridSpan w:val="31"/>
          </w:tcPr>
          <w:p>
            <w:pPr>
              <w:spacing w:after="0" w:line="174" w:lineRule="exact"/>
              <w:rPr>
                <w:sz w:val="20"/>
                <w:szCs w:val="20"/>
                <w:color w:val="auto"/>
              </w:rPr>
            </w:pPr>
            <w:r>
              <w:rPr>
                <w:rFonts w:ascii="Arial" w:cs="Arial" w:eastAsia="Arial" w:hAnsi="Arial"/>
                <w:sz w:val="19"/>
                <w:szCs w:val="19"/>
                <w:b w:val="1"/>
                <w:bCs w:val="1"/>
                <w:color w:val="0000FF"/>
                <w:w w:val="97"/>
              </w:rPr>
              <w:t>combined Current Report on Form 8-K dated May 23, 2023. See SEC File Number 001-39013.</w:t>
            </w:r>
          </w:p>
        </w:tc>
        <w:tc>
          <w:tcPr>
            <w:tcW w:w="34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10(p)</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Amendment No. 2 to Credit Agreement, dated as of June 10, 2024, by and among XEROX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8000" w:type="dxa"/>
            <w:vAlign w:val="bottom"/>
            <w:tcBorders>
              <w:bottom w:val="single" w:sz="8" w:color="0000FF"/>
            </w:tcBorders>
            <w:gridSpan w:val="27"/>
          </w:tcPr>
          <w:p>
            <w:pPr>
              <w:spacing w:after="0" w:line="182" w:lineRule="exact"/>
              <w:rPr>
                <w:sz w:val="20"/>
                <w:szCs w:val="20"/>
                <w:color w:val="auto"/>
              </w:rPr>
            </w:pPr>
            <w:r>
              <w:rPr>
                <w:rFonts w:ascii="Arial" w:cs="Arial" w:eastAsia="Arial" w:hAnsi="Arial"/>
                <w:sz w:val="19"/>
                <w:szCs w:val="19"/>
                <w:b w:val="1"/>
                <w:bCs w:val="1"/>
                <w:color w:val="0000FF"/>
                <w:w w:val="98"/>
              </w:rPr>
              <w:t>CORPORATION, a New York corporation, XEROX HOLDINGS CORPORATION, a New York</w:t>
            </w:r>
          </w:p>
        </w:tc>
        <w:tc>
          <w:tcPr>
            <w:tcW w:w="46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80" w:type="dxa"/>
            <w:vAlign w:val="bottom"/>
            <w:gridSpan w:val="44"/>
          </w:tcPr>
          <w:p>
            <w:pPr>
              <w:spacing w:after="0" w:line="174" w:lineRule="exact"/>
              <w:rPr>
                <w:sz w:val="20"/>
                <w:szCs w:val="20"/>
                <w:color w:val="auto"/>
              </w:rPr>
            </w:pPr>
            <w:r>
              <w:rPr>
                <w:rFonts w:ascii="Arial" w:cs="Arial" w:eastAsia="Arial" w:hAnsi="Arial"/>
                <w:sz w:val="19"/>
                <w:szCs w:val="19"/>
                <w:b w:val="1"/>
                <w:bCs w:val="1"/>
                <w:color w:val="0000FF"/>
                <w:w w:val="97"/>
              </w:rPr>
              <w:t>corporation, the other Loan Parties party thereto, the 2024 Incremental Revolving Lenders party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320" w:type="dxa"/>
            <w:vAlign w:val="bottom"/>
            <w:tcBorders>
              <w:top w:val="single" w:sz="8" w:color="0000FF"/>
              <w:bottom w:val="single" w:sz="8" w:color="0000FF"/>
            </w:tcBorders>
            <w:gridSpan w:val="17"/>
          </w:tcPr>
          <w:p>
            <w:pPr>
              <w:spacing w:after="0" w:line="174" w:lineRule="exact"/>
              <w:rPr>
                <w:sz w:val="20"/>
                <w:szCs w:val="20"/>
                <w:color w:val="auto"/>
              </w:rPr>
            </w:pPr>
            <w:r>
              <w:rPr>
                <w:rFonts w:ascii="Arial" w:cs="Arial" w:eastAsia="Arial" w:hAnsi="Arial"/>
                <w:sz w:val="19"/>
                <w:szCs w:val="19"/>
                <w:b w:val="1"/>
                <w:bCs w:val="1"/>
                <w:color w:val="0000FF"/>
                <w:w w:val="95"/>
              </w:rPr>
              <w:t>thereto and CITIBANK, N.A., as administrative agent and collateral agent.</w:t>
            </w:r>
          </w:p>
        </w:tc>
        <w:tc>
          <w:tcPr>
            <w:tcW w:w="19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tcBorders>
              <w:bottom w:val="single" w:sz="8" w:color="0000FF"/>
            </w:tcBorders>
            <w:gridSpan w:val="44"/>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0" w:type="dxa"/>
            <w:vAlign w:val="bottom"/>
            <w:tcBorders>
              <w:bottom w:val="single" w:sz="8" w:color="0000FF"/>
            </w:tcBorders>
            <w:gridSpan w:val="33"/>
          </w:tcPr>
          <w:p>
            <w:pPr>
              <w:spacing w:after="0" w:line="174" w:lineRule="exact"/>
              <w:rPr>
                <w:sz w:val="20"/>
                <w:szCs w:val="20"/>
                <w:color w:val="auto"/>
              </w:rPr>
            </w:pPr>
            <w:r>
              <w:rPr>
                <w:rFonts w:ascii="Arial" w:cs="Arial" w:eastAsia="Arial" w:hAnsi="Arial"/>
                <w:sz w:val="19"/>
                <w:szCs w:val="19"/>
                <w:b w:val="1"/>
                <w:bCs w:val="1"/>
                <w:color w:val="0000FF"/>
                <w:w w:val="97"/>
              </w:rPr>
              <w:t>combined Current Report on Form 8-K dated June 12, 2024. See SEC File Number 001-39013.</w:t>
            </w:r>
          </w:p>
        </w:tc>
        <w:tc>
          <w:tcPr>
            <w:tcW w:w="2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*10(q)</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9"/>
              </w:rPr>
              <w:t>Amendment No. 1 to First Lien Term Loan Credit Agreement, dated July 1, 2025, among Xerox</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8160" w:type="dxa"/>
            <w:vAlign w:val="bottom"/>
            <w:tcBorders>
              <w:top w:val="single" w:sz="8" w:color="0000FF"/>
              <w:bottom w:val="single" w:sz="8" w:color="0000FF"/>
            </w:tcBorders>
            <w:gridSpan w:val="31"/>
          </w:tcPr>
          <w:p>
            <w:pPr>
              <w:spacing w:after="0" w:line="184" w:lineRule="exact"/>
              <w:rPr>
                <w:sz w:val="20"/>
                <w:szCs w:val="20"/>
                <w:color w:val="auto"/>
              </w:rPr>
            </w:pPr>
            <w:r>
              <w:rPr>
                <w:rFonts w:ascii="Arial" w:cs="Arial" w:eastAsia="Arial" w:hAnsi="Arial"/>
                <w:sz w:val="19"/>
                <w:szCs w:val="19"/>
                <w:b w:val="1"/>
                <w:bCs w:val="1"/>
                <w:color w:val="0000FF"/>
                <w:w w:val="94"/>
              </w:rPr>
              <w:t>Corporation, as borrower, Xerox Holdings Corporation, each 2025 Incremental Term Lender and</w:t>
            </w:r>
          </w:p>
        </w:tc>
        <w:tc>
          <w:tcPr>
            <w:tcW w:w="100" w:type="dxa"/>
            <w:vAlign w:val="bottom"/>
            <w:tcBorders>
              <w:bottom w:val="single" w:sz="8" w:color="0000FF"/>
            </w:tcBorders>
            <w:gridSpan w:val="5"/>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80" w:type="dxa"/>
            <w:vAlign w:val="bottom"/>
            <w:gridSpan w:val="37"/>
          </w:tcPr>
          <w:p>
            <w:pPr>
              <w:spacing w:after="0" w:line="174" w:lineRule="exact"/>
              <w:rPr>
                <w:sz w:val="20"/>
                <w:szCs w:val="20"/>
                <w:color w:val="auto"/>
              </w:rPr>
            </w:pPr>
            <w:r>
              <w:rPr>
                <w:rFonts w:ascii="Arial" w:cs="Arial" w:eastAsia="Arial" w:hAnsi="Arial"/>
                <w:sz w:val="19"/>
                <w:szCs w:val="19"/>
                <w:b w:val="1"/>
                <w:bCs w:val="1"/>
                <w:color w:val="0000FF"/>
              </w:rPr>
              <w:t>Jefferies Finance LLC, as administrative agent.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tcBorders>
              <w:bottom w:val="single" w:sz="8" w:color="0000FF"/>
            </w:tcBorders>
            <w:gridSpan w:val="44"/>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Borders>
              <w:bottom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80" w:type="dxa"/>
            <w:vAlign w:val="bottom"/>
            <w:tcBorders>
              <w:bottom w:val="single" w:sz="8" w:color="0000FF"/>
            </w:tcBorders>
            <w:gridSpan w:val="44"/>
          </w:tcPr>
          <w:p>
            <w:pPr>
              <w:spacing w:after="0" w:line="174" w:lineRule="exact"/>
              <w:rPr>
                <w:sz w:val="20"/>
                <w:szCs w:val="20"/>
                <w:color w:val="auto"/>
              </w:rPr>
            </w:pPr>
            <w:r>
              <w:rPr>
                <w:rFonts w:ascii="Arial" w:cs="Arial" w:eastAsia="Arial" w:hAnsi="Arial"/>
                <w:sz w:val="19"/>
                <w:szCs w:val="19"/>
                <w:b w:val="1"/>
                <w:bCs w:val="1"/>
                <w:color w:val="0000FF"/>
                <w:w w:val="97"/>
              </w:rPr>
              <w:t>combined Current Report on Form 8-K dated July 1, 2025. See SEC File Numbers 001-39013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Borders>
              <w:bottom w:val="single" w:sz="8" w:color="0000FF"/>
            </w:tcBorders>
            <w:gridSpan w:val="2"/>
          </w:tcPr>
          <w:p>
            <w:pPr>
              <w:spacing w:after="0" w:line="174" w:lineRule="exact"/>
              <w:rPr>
                <w:sz w:val="20"/>
                <w:szCs w:val="20"/>
                <w:color w:val="auto"/>
              </w:rPr>
            </w:pPr>
            <w:r>
              <w:rPr>
                <w:rFonts w:ascii="Arial" w:cs="Arial" w:eastAsia="Arial" w:hAnsi="Arial"/>
                <w:sz w:val="19"/>
                <w:szCs w:val="19"/>
                <w:b w:val="1"/>
                <w:bCs w:val="1"/>
                <w:color w:val="0000FF"/>
              </w:rPr>
              <w:t>001-04471</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0"/>
                <w:szCs w:val="20"/>
                <w:color w:val="auto"/>
              </w:rPr>
            </w:pPr>
            <w:r>
              <w:rPr>
                <w:rFonts w:ascii="Arial" w:cs="Arial" w:eastAsia="Arial" w:hAnsi="Arial"/>
                <w:sz w:val="19"/>
                <w:szCs w:val="19"/>
                <w:b w:val="1"/>
                <w:bCs w:val="1"/>
                <w:color w:val="0000FF"/>
                <w:w w:val="82"/>
              </w:rPr>
              <w:t>*10(r)</w:t>
            </w:r>
          </w:p>
        </w:tc>
        <w:tc>
          <w:tcPr>
            <w:tcW w:w="960" w:type="dxa"/>
            <w:vAlign w:val="bottom"/>
            <w:gridSpan w:val="3"/>
          </w:tcPr>
          <w:p>
            <w:pPr>
              <w:spacing w:after="0"/>
              <w:rPr>
                <w:sz w:val="22"/>
                <w:szCs w:val="22"/>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Form of Capped Call Confirmation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Incorporated by reference to Exhibit 10.1 to Xerox Holdings Corporation’s and Xerox</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340" w:type="dxa"/>
            <w:vAlign w:val="bottom"/>
            <w:tcBorders>
              <w:top w:val="single" w:sz="8" w:color="0000FF"/>
            </w:tcBorders>
            <w:gridSpan w:val="18"/>
          </w:tcPr>
          <w:p>
            <w:pPr>
              <w:spacing w:after="0" w:line="184" w:lineRule="exact"/>
              <w:rPr>
                <w:sz w:val="20"/>
                <w:szCs w:val="20"/>
                <w:color w:val="auto"/>
              </w:rPr>
            </w:pPr>
            <w:r>
              <w:rPr>
                <w:rFonts w:ascii="Arial" w:cs="Arial" w:eastAsia="Arial" w:hAnsi="Arial"/>
                <w:sz w:val="19"/>
                <w:szCs w:val="19"/>
                <w:b w:val="1"/>
                <w:bCs w:val="1"/>
                <w:color w:val="0000FF"/>
                <w:w w:val="96"/>
              </w:rPr>
              <w:t>Corporation’s combined Current Report on Form 8-K dated March 12, 2024. See SEC</w:t>
            </w:r>
          </w:p>
        </w:tc>
        <w:tc>
          <w:tcPr>
            <w:tcW w:w="20" w:type="dxa"/>
            <w:vAlign w:val="bottom"/>
          </w:tcPr>
          <w:p>
            <w:pPr>
              <w:spacing w:after="0"/>
              <w:rPr>
                <w:sz w:val="16"/>
                <w:szCs w:val="16"/>
                <w:color w:val="auto"/>
              </w:rPr>
            </w:pPr>
          </w:p>
        </w:tc>
        <w:tc>
          <w:tcPr>
            <w:tcW w:w="1120" w:type="dxa"/>
            <w:vAlign w:val="bottom"/>
            <w:gridSpan w:val="25"/>
          </w:tcPr>
          <w:p>
            <w:pPr>
              <w:ind w:left="60"/>
              <w:spacing w:after="0" w:line="184" w:lineRule="exact"/>
              <w:rPr>
                <w:sz w:val="20"/>
                <w:szCs w:val="20"/>
                <w:color w:val="auto"/>
              </w:rPr>
            </w:pPr>
            <w:r>
              <w:rPr>
                <w:rFonts w:ascii="Arial" w:cs="Arial" w:eastAsia="Arial" w:hAnsi="Arial"/>
                <w:sz w:val="19"/>
                <w:szCs w:val="19"/>
                <w:b w:val="1"/>
                <w:bCs w:val="1"/>
                <w:color w:val="0000FF"/>
              </w:rPr>
              <w:t>File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12"/>
          </w:tcPr>
          <w:p>
            <w:pPr>
              <w:spacing w:after="0" w:line="174" w:lineRule="exact"/>
              <w:rPr>
                <w:sz w:val="20"/>
                <w:szCs w:val="20"/>
                <w:color w:val="auto"/>
              </w:rPr>
            </w:pPr>
            <w:r>
              <w:rPr>
                <w:rFonts w:ascii="Arial" w:cs="Arial" w:eastAsia="Arial" w:hAnsi="Arial"/>
                <w:sz w:val="19"/>
                <w:szCs w:val="19"/>
                <w:b w:val="1"/>
                <w:bCs w:val="1"/>
                <w:color w:val="0000FF"/>
                <w:w w:val="99"/>
              </w:rPr>
              <w:t>Numbers 01-39013 and 001-04471.</w:t>
            </w:r>
          </w:p>
        </w:tc>
        <w:tc>
          <w:tcPr>
            <w:tcW w:w="4700" w:type="dxa"/>
            <w:vAlign w:val="bottom"/>
            <w:tcBorders>
              <w:top w:val="single" w:sz="8" w:color="0000FF"/>
            </w:tcBorders>
            <w:gridSpan w:val="12"/>
          </w:tcPr>
          <w:p>
            <w:pPr>
              <w:spacing w:after="0"/>
              <w:rPr>
                <w:sz w:val="15"/>
                <w:szCs w:val="15"/>
                <w:color w:val="auto"/>
              </w:rPr>
            </w:pPr>
          </w:p>
        </w:tc>
        <w:tc>
          <w:tcPr>
            <w:tcW w:w="6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10(s)</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Securities Purchase Agreement by and among Xerox, ITsavvy Holdings, LLC and ITsavvy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680" w:type="dxa"/>
            <w:vAlign w:val="bottom"/>
            <w:tcBorders>
              <w:top w:val="single" w:sz="8" w:color="0000FF"/>
              <w:bottom w:val="single" w:sz="8" w:color="0000FF"/>
            </w:tcBorders>
            <w:gridSpan w:val="21"/>
          </w:tcPr>
          <w:p>
            <w:pPr>
              <w:spacing w:after="0" w:line="176" w:lineRule="exact"/>
              <w:rPr>
                <w:sz w:val="20"/>
                <w:szCs w:val="20"/>
                <w:color w:val="auto"/>
              </w:rPr>
            </w:pPr>
            <w:r>
              <w:rPr>
                <w:rFonts w:ascii="Arial" w:cs="Arial" w:eastAsia="Arial" w:hAnsi="Arial"/>
                <w:sz w:val="19"/>
                <w:szCs w:val="19"/>
                <w:b w:val="1"/>
                <w:bCs w:val="1"/>
                <w:color w:val="0000FF"/>
                <w:w w:val="94"/>
              </w:rPr>
              <w:t>acquisition Company, Inc., dated as of October 15, 2024 (including the form of the Notes).</w:t>
            </w:r>
          </w:p>
        </w:tc>
        <w:tc>
          <w:tcPr>
            <w:tcW w:w="20" w:type="dxa"/>
            <w:vAlign w:val="bottom"/>
            <w:tcBorders>
              <w:top w:val="single" w:sz="8" w:color="0000FF"/>
            </w:tcBorders>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tcBorders>
              <w:bottom w:val="single" w:sz="8" w:color="0000FF"/>
            </w:tcBorders>
            <w:gridSpan w:val="44"/>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20" w:type="dxa"/>
            <w:vAlign w:val="bottom"/>
            <w:tcBorders>
              <w:bottom w:val="single" w:sz="8" w:color="0000FF"/>
            </w:tcBorders>
            <w:gridSpan w:val="39"/>
          </w:tcPr>
          <w:p>
            <w:pPr>
              <w:spacing w:after="0" w:line="174" w:lineRule="exact"/>
              <w:rPr>
                <w:sz w:val="20"/>
                <w:szCs w:val="20"/>
                <w:color w:val="auto"/>
              </w:rPr>
            </w:pPr>
            <w:r>
              <w:rPr>
                <w:rFonts w:ascii="Arial" w:cs="Arial" w:eastAsia="Arial" w:hAnsi="Arial"/>
                <w:sz w:val="19"/>
                <w:szCs w:val="19"/>
                <w:b w:val="1"/>
                <w:bCs w:val="1"/>
                <w:color w:val="0000FF"/>
                <w:w w:val="97"/>
              </w:rPr>
              <w:t>combined Current Report on Form 8-K dated October 17, 2024.See SEC File Number 01-39013.</w:t>
            </w: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10(t)</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Secured Promissory Note, dated November 20, 2024, by and between Xerox Corporation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960" w:type="dxa"/>
            <w:vAlign w:val="bottom"/>
            <w:tcBorders>
              <w:top w:val="single" w:sz="8" w:color="0000FF"/>
              <w:bottom w:val="single" w:sz="8" w:color="0000FF"/>
            </w:tcBorders>
            <w:gridSpan w:val="6"/>
          </w:tcPr>
          <w:p>
            <w:pPr>
              <w:spacing w:after="0" w:line="176" w:lineRule="exact"/>
              <w:rPr>
                <w:sz w:val="20"/>
                <w:szCs w:val="20"/>
                <w:color w:val="auto"/>
              </w:rPr>
            </w:pPr>
            <w:r>
              <w:rPr>
                <w:rFonts w:ascii="Arial" w:cs="Arial" w:eastAsia="Arial" w:hAnsi="Arial"/>
                <w:sz w:val="19"/>
                <w:szCs w:val="19"/>
                <w:b w:val="1"/>
                <w:bCs w:val="1"/>
                <w:color w:val="0000FF"/>
                <w:w w:val="92"/>
              </w:rPr>
              <w:t>ITsavvy Holdings, LLC.</w:t>
            </w:r>
          </w:p>
        </w:tc>
        <w:tc>
          <w:tcPr>
            <w:tcW w:w="612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6"/>
              </w:rPr>
              <w:t>Incorporated by reference to Exhibit 4.1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80" w:type="dxa"/>
            <w:vAlign w:val="bottom"/>
            <w:tcBorders>
              <w:top w:val="single" w:sz="8" w:color="0000FF"/>
              <w:bottom w:val="single" w:sz="8" w:color="0000FF"/>
            </w:tcBorders>
            <w:gridSpan w:val="40"/>
          </w:tcPr>
          <w:p>
            <w:pPr>
              <w:spacing w:after="0" w:line="174" w:lineRule="exact"/>
              <w:rPr>
                <w:sz w:val="20"/>
                <w:szCs w:val="20"/>
                <w:color w:val="auto"/>
              </w:rPr>
            </w:pPr>
            <w:r>
              <w:rPr>
                <w:rFonts w:ascii="Arial" w:cs="Arial" w:eastAsia="Arial" w:hAnsi="Arial"/>
                <w:sz w:val="19"/>
                <w:szCs w:val="19"/>
                <w:b w:val="1"/>
                <w:bCs w:val="1"/>
                <w:color w:val="0000FF"/>
                <w:w w:val="97"/>
              </w:rPr>
              <w:t>combined Current Report on Form 8-K dated November 21,2024. See SEC File Number 1-39013.</w:t>
            </w:r>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10(u)</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Equity Purchase Agreement, dated December 22, 2024, by and among Xerox Corporation,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100" w:type="dxa"/>
            <w:vAlign w:val="bottom"/>
            <w:tcBorders>
              <w:top w:val="single" w:sz="8" w:color="0000FF"/>
              <w:bottom w:val="single" w:sz="8" w:color="0000FF"/>
            </w:tcBorders>
            <w:gridSpan w:val="14"/>
          </w:tcPr>
          <w:p>
            <w:pPr>
              <w:spacing w:after="0" w:line="176" w:lineRule="exact"/>
              <w:rPr>
                <w:sz w:val="20"/>
                <w:szCs w:val="20"/>
                <w:color w:val="auto"/>
              </w:rPr>
            </w:pPr>
            <w:r>
              <w:rPr>
                <w:rFonts w:ascii="Arial" w:cs="Arial" w:eastAsia="Arial" w:hAnsi="Arial"/>
                <w:sz w:val="19"/>
                <w:szCs w:val="19"/>
                <w:b w:val="1"/>
                <w:bCs w:val="1"/>
                <w:color w:val="0000FF"/>
                <w:w w:val="94"/>
              </w:rPr>
              <w:t>Ninestar Group Company Limited and Lexmark.</w:t>
            </w:r>
          </w:p>
        </w:tc>
        <w:tc>
          <w:tcPr>
            <w:tcW w:w="3720" w:type="dxa"/>
            <w:vAlign w:val="bottom"/>
            <w:tcBorders>
              <w:top w:val="single" w:sz="8" w:color="0000FF"/>
            </w:tcBorders>
            <w:gridSpan w:val="12"/>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6"/>
              </w:rPr>
              <w:t>Incorporated by reference to Exhibit 2.1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80" w:type="dxa"/>
            <w:vAlign w:val="bottom"/>
            <w:tcBorders>
              <w:top w:val="single" w:sz="8" w:color="0000FF"/>
            </w:tcBorders>
            <w:gridSpan w:val="40"/>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December 23,2024. See SEC File Number</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Borders>
              <w:top w:val="single" w:sz="8" w:color="0000FF"/>
              <w:bottom w:val="single" w:sz="8" w:color="0000FF"/>
            </w:tcBorders>
            <w:gridSpan w:val="3"/>
          </w:tcPr>
          <w:p>
            <w:pPr>
              <w:spacing w:after="0" w:line="174" w:lineRule="exact"/>
              <w:rPr>
                <w:sz w:val="20"/>
                <w:szCs w:val="20"/>
                <w:color w:val="auto"/>
              </w:rPr>
            </w:pPr>
            <w:r>
              <w:rPr>
                <w:rFonts w:ascii="Arial" w:cs="Arial" w:eastAsia="Arial" w:hAnsi="Arial"/>
                <w:sz w:val="19"/>
                <w:szCs w:val="19"/>
                <w:b w:val="1"/>
                <w:bCs w:val="1"/>
                <w:color w:val="0000FF"/>
                <w:w w:val="99"/>
              </w:rPr>
              <w:t>001-39013.</w:t>
            </w:r>
          </w:p>
        </w:tc>
        <w:tc>
          <w:tcPr>
            <w:tcW w:w="3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E32E1"/>
              </w:rPr>
              <w:t>*10(v)</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8"/>
              </w:rPr>
              <w:t>General Release and Non-Competition Agreement between Xerox Corporation and John Bruno,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E32E1"/>
            </w:tcBorders>
          </w:tcPr>
          <w:p>
            <w:pPr>
              <w:spacing w:after="0"/>
              <w:rPr>
                <w:sz w:val="15"/>
                <w:szCs w:val="15"/>
                <w:color w:val="auto"/>
              </w:rPr>
            </w:pPr>
          </w:p>
        </w:tc>
        <w:tc>
          <w:tcPr>
            <w:tcW w:w="80" w:type="dxa"/>
            <w:vAlign w:val="bottom"/>
            <w:tcBorders>
              <w:top w:val="single" w:sz="8" w:color="0E32E1"/>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80" w:type="dxa"/>
            <w:vAlign w:val="bottom"/>
            <w:tcBorders>
              <w:top w:val="single" w:sz="8" w:color="0000FF"/>
            </w:tcBorders>
            <w:gridSpan w:val="37"/>
          </w:tcPr>
          <w:p>
            <w:pPr>
              <w:spacing w:after="0" w:line="176" w:lineRule="exact"/>
              <w:rPr>
                <w:sz w:val="20"/>
                <w:szCs w:val="20"/>
                <w:color w:val="auto"/>
              </w:rPr>
            </w:pPr>
            <w:r>
              <w:rPr>
                <w:rFonts w:ascii="Arial" w:cs="Arial" w:eastAsia="Arial" w:hAnsi="Arial"/>
                <w:sz w:val="19"/>
                <w:szCs w:val="19"/>
                <w:b w:val="1"/>
                <w:bCs w:val="1"/>
                <w:color w:val="0000FF"/>
              </w:rPr>
              <w:t>dated August 14, 2025.</w:t>
            </w:r>
          </w:p>
        </w:tc>
        <w:tc>
          <w:tcPr>
            <w:tcW w:w="2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tcBorders>
              <w:bottom w:val="single" w:sz="8" w:color="0000FF"/>
            </w:tcBorders>
            <w:gridSpan w:val="44"/>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80" w:type="dxa"/>
            <w:vAlign w:val="bottom"/>
            <w:gridSpan w:val="44"/>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August 15,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4"/>
            <w:vMerge w:val="restart"/>
          </w:tcPr>
          <w:p>
            <w:pPr>
              <w:spacing w:after="0"/>
              <w:rPr>
                <w:sz w:val="20"/>
                <w:szCs w:val="20"/>
                <w:color w:val="auto"/>
              </w:rPr>
            </w:pPr>
            <w:r>
              <w:rPr>
                <w:rFonts w:ascii="Arial" w:cs="Arial" w:eastAsia="Arial" w:hAnsi="Arial"/>
                <w:sz w:val="19"/>
                <w:szCs w:val="19"/>
                <w:b w:val="1"/>
                <w:bCs w:val="1"/>
                <w:color w:val="0000FF"/>
              </w:rPr>
              <w:t>*10(w)</w:t>
            </w:r>
          </w:p>
        </w:tc>
        <w:tc>
          <w:tcPr>
            <w:tcW w:w="1740" w:type="dxa"/>
            <w:vAlign w:val="bottom"/>
            <w:gridSpan w:val="5"/>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4"/>
            <w:vMerge w:val="continue"/>
          </w:tcPr>
          <w:p>
            <w:pPr>
              <w:spacing w:after="0"/>
              <w:rPr>
                <w:sz w:val="22"/>
                <w:szCs w:val="22"/>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w w:val="97"/>
              </w:rPr>
              <w:t>General Release, Non-Competition and Non-Solicitation Agreement, between Xerox Corporation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740" w:type="dxa"/>
            <w:vAlign w:val="bottom"/>
            <w:tcBorders>
              <w:top w:val="single" w:sz="8" w:color="0000FF"/>
              <w:bottom w:val="single" w:sz="8" w:color="0000FF"/>
            </w:tcBorders>
            <w:gridSpan w:val="12"/>
          </w:tcPr>
          <w:p>
            <w:pPr>
              <w:spacing w:after="0" w:line="176" w:lineRule="exact"/>
              <w:rPr>
                <w:sz w:val="20"/>
                <w:szCs w:val="20"/>
                <w:color w:val="auto"/>
              </w:rPr>
            </w:pPr>
            <w:r>
              <w:rPr>
                <w:rFonts w:ascii="Arial" w:cs="Arial" w:eastAsia="Arial" w:hAnsi="Arial"/>
                <w:sz w:val="19"/>
                <w:szCs w:val="19"/>
                <w:b w:val="1"/>
                <w:bCs w:val="1"/>
                <w:color w:val="0000FF"/>
                <w:w w:val="96"/>
              </w:rPr>
              <w:t>and Xavier Heiss, dated February 23, 2025.</w:t>
            </w:r>
          </w:p>
        </w:tc>
        <w:tc>
          <w:tcPr>
            <w:tcW w:w="4560" w:type="dxa"/>
            <w:vAlign w:val="bottom"/>
            <w:tcBorders>
              <w:top w:val="single" w:sz="8" w:color="0000FF"/>
            </w:tcBorders>
            <w:gridSpan w:val="26"/>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Incorporated by reference to Exhibit 10(ff) to Xerox Holdings Corporation's and Xerox</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360" w:type="dxa"/>
            <w:vAlign w:val="bottom"/>
            <w:tcBorders>
              <w:top w:val="single" w:sz="8" w:color="0000FF"/>
            </w:tcBorders>
            <w:gridSpan w:val="19"/>
          </w:tcPr>
          <w:p>
            <w:pPr>
              <w:spacing w:after="0" w:line="184" w:lineRule="exact"/>
              <w:rPr>
                <w:sz w:val="20"/>
                <w:szCs w:val="20"/>
                <w:color w:val="auto"/>
              </w:rPr>
            </w:pPr>
            <w:r>
              <w:rPr>
                <w:rFonts w:ascii="Arial" w:cs="Arial" w:eastAsia="Arial" w:hAnsi="Arial"/>
                <w:sz w:val="19"/>
                <w:szCs w:val="19"/>
                <w:b w:val="1"/>
                <w:bCs w:val="1"/>
                <w:color w:val="0000FF"/>
                <w:w w:val="97"/>
              </w:rPr>
              <w:t>Corporation's Combined Annual Report on Form 10-K dated February 24, 2025. See</w:t>
            </w:r>
          </w:p>
        </w:tc>
        <w:tc>
          <w:tcPr>
            <w:tcW w:w="1120" w:type="dxa"/>
            <w:vAlign w:val="bottom"/>
            <w:gridSpan w:val="25"/>
          </w:tcPr>
          <w:p>
            <w:pPr>
              <w:spacing w:after="0" w:line="184" w:lineRule="exact"/>
              <w:rPr>
                <w:sz w:val="20"/>
                <w:szCs w:val="20"/>
                <w:color w:val="auto"/>
              </w:rPr>
            </w:pPr>
            <w:r>
              <w:rPr>
                <w:rFonts w:ascii="Arial" w:cs="Arial" w:eastAsia="Arial" w:hAnsi="Arial"/>
                <w:sz w:val="19"/>
                <w:szCs w:val="19"/>
                <w:b w:val="1"/>
                <w:bCs w:val="1"/>
                <w:color w:val="0000FF"/>
              </w:rPr>
              <w:t>SEC File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5"/>
          </w:tcPr>
          <w:p>
            <w:pPr>
              <w:spacing w:after="0" w:line="174" w:lineRule="exact"/>
              <w:rPr>
                <w:sz w:val="20"/>
                <w:szCs w:val="20"/>
                <w:color w:val="auto"/>
              </w:rPr>
            </w:pPr>
            <w:r>
              <w:rPr>
                <w:rFonts w:ascii="Arial" w:cs="Arial" w:eastAsia="Arial" w:hAnsi="Arial"/>
                <w:sz w:val="19"/>
                <w:szCs w:val="19"/>
                <w:b w:val="1"/>
                <w:bCs w:val="1"/>
                <w:color w:val="0000FF"/>
                <w:w w:val="99"/>
              </w:rPr>
              <w:t>Number 001-39013.</w:t>
            </w:r>
          </w:p>
        </w:tc>
        <w:tc>
          <w:tcPr>
            <w:tcW w:w="6380" w:type="dxa"/>
            <w:vAlign w:val="bottom"/>
            <w:tcBorders>
              <w:top w:val="single" w:sz="8" w:color="0000FF"/>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4"/>
          </w:tcPr>
          <w:p>
            <w:pPr>
              <w:spacing w:after="0"/>
              <w:rPr>
                <w:sz w:val="20"/>
                <w:szCs w:val="20"/>
                <w:color w:val="auto"/>
              </w:rPr>
            </w:pPr>
            <w:r>
              <w:rPr>
                <w:rFonts w:ascii="Arial" w:cs="Arial" w:eastAsia="Arial" w:hAnsi="Arial"/>
                <w:sz w:val="19"/>
                <w:szCs w:val="19"/>
                <w:b w:val="1"/>
                <w:bCs w:val="1"/>
                <w:color w:val="0000FF"/>
              </w:rPr>
              <w:t>10(x)</w:t>
            </w:r>
          </w:p>
        </w:tc>
        <w:tc>
          <w:tcPr>
            <w:tcW w:w="8480" w:type="dxa"/>
            <w:vAlign w:val="bottom"/>
            <w:gridSpan w:val="44"/>
          </w:tcPr>
          <w:p>
            <w:pPr>
              <w:spacing w:after="0"/>
              <w:rPr>
                <w:sz w:val="20"/>
                <w:szCs w:val="20"/>
                <w:color w:val="auto"/>
              </w:rPr>
            </w:pPr>
            <w:r>
              <w:rPr>
                <w:rFonts w:ascii="Arial" w:cs="Arial" w:eastAsia="Arial" w:hAnsi="Arial"/>
                <w:sz w:val="19"/>
                <w:szCs w:val="19"/>
                <w:b w:val="1"/>
                <w:bCs w:val="1"/>
                <w:color w:val="0000FF"/>
              </w:rPr>
              <w:t>Separation and General Release Agreement, between Xerox Corporation and Mirlanda Gecaj,</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20" w:type="dxa"/>
            <w:vAlign w:val="bottom"/>
            <w:tcBorders>
              <w:top w:val="single" w:sz="8" w:color="0000FF"/>
            </w:tcBorders>
            <w:gridSpan w:val="30"/>
          </w:tcPr>
          <w:p>
            <w:pPr>
              <w:spacing w:after="0" w:line="176" w:lineRule="exact"/>
              <w:rPr>
                <w:sz w:val="20"/>
                <w:szCs w:val="20"/>
                <w:color w:val="auto"/>
              </w:rPr>
            </w:pPr>
            <w:r>
              <w:rPr>
                <w:rFonts w:ascii="Arial" w:cs="Arial" w:eastAsia="Arial" w:hAnsi="Arial"/>
                <w:sz w:val="19"/>
                <w:szCs w:val="19"/>
                <w:b w:val="1"/>
                <w:bCs w:val="1"/>
                <w:color w:val="0000FF"/>
              </w:rPr>
              <w:t>dated December 2, 2025</w:t>
            </w:r>
          </w:p>
        </w:tc>
        <w:tc>
          <w:tcPr>
            <w:tcW w:w="34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1400" w:right="60"/>
        <w:spacing w:after="0" w:line="236" w:lineRule="auto"/>
        <w:rPr>
          <w:sz w:val="20"/>
          <w:szCs w:val="20"/>
          <w:color w:val="auto"/>
        </w:rPr>
      </w:pPr>
      <w:r>
        <w:rPr>
          <w:rFonts w:ascii="Arial" w:cs="Arial" w:eastAsia="Arial" w:hAnsi="Arial"/>
          <w:sz w:val="19"/>
          <w:szCs w:val="19"/>
          <w:b w:val="1"/>
          <w:bCs w:val="1"/>
          <w:u w:val="single" w:color="auto"/>
          <w:color w:val="0000FF"/>
        </w:rPr>
        <w:t>Incorporated by reference to Exhibit 10.1 to Xerox Holdings Corporation's and Xerox Corporation’s combined Current Report on Form 8-K dated November 13, 2025. See SEC File Number 001-39013.</w:t>
      </w:r>
    </w:p>
    <w:p>
      <w:pPr>
        <w:sectPr>
          <w:pgSz w:w="11880" w:h="15480" w:orient="portrait"/>
          <w:cols w:equalWidth="0" w:num="1">
            <w:col w:w="9900"/>
          </w:cols>
          <w:pgMar w:left="1020" w:top="81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178</w:t>
      </w:r>
    </w:p>
    <w:p>
      <w:pPr>
        <w:sectPr>
          <w:pgSz w:w="11880" w:h="15480" w:orient="portrait"/>
          <w:cols w:equalWidth="0" w:num="1">
            <w:col w:w="9900"/>
          </w:cols>
          <w:pgMar w:left="1020" w:top="813" w:right="960" w:bottom="0" w:gutter="0" w:footer="0" w:header="0"/>
          <w:type w:val="continuous"/>
        </w:sectPr>
      </w:pPr>
    </w:p>
    <w:bookmarkStart w:id="188" w:name="page189"/>
    <w:bookmarkEnd w:id="188"/>
    <w:tbl>
      <w:tblPr>
        <w:tblLayout w:type="fixed"/>
        <w:tblInd w:w="60" w:type="dxa"/>
        <w:tblCellMar>
          <w:top w:w="0" w:type="dxa"/>
          <w:left w:w="0" w:type="dxa"/>
          <w:bottom w:w="0" w:type="dxa"/>
          <w:right w:w="0" w:type="dxa"/>
        </w:tblCellMar>
      </w:tblPr>
      <w:tr>
        <w:trPr>
          <w:trHeight w:val="220"/>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10(y)</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w w:val="96"/>
              </w:rPr>
              <w:t>Warrant Agreement (including Form of Warrant), dated February 12, 2026, among Xerox Holdings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20" w:type="dxa"/>
            <w:vAlign w:val="bottom"/>
            <w:tcBorders>
              <w:top w:val="single" w:sz="8" w:color="0000FF"/>
            </w:tcBorders>
            <w:gridSpan w:val="22"/>
          </w:tcPr>
          <w:p>
            <w:pPr>
              <w:spacing w:after="0" w:line="184" w:lineRule="exact"/>
              <w:rPr>
                <w:sz w:val="20"/>
                <w:szCs w:val="20"/>
                <w:color w:val="auto"/>
              </w:rPr>
            </w:pPr>
            <w:r>
              <w:rPr>
                <w:rFonts w:ascii="Arial" w:cs="Arial" w:eastAsia="Arial" w:hAnsi="Arial"/>
                <w:sz w:val="19"/>
                <w:szCs w:val="19"/>
                <w:b w:val="1"/>
                <w:bCs w:val="1"/>
                <w:color w:val="0000FF"/>
                <w:w w:val="98"/>
              </w:rPr>
              <w:t>Corporation and Computershare Inc. and Computershare Trust Company, N.A. , collectively as</w:t>
            </w: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w w:val="94"/>
              </w:rPr>
              <w:t>warrant agent</w:t>
            </w:r>
          </w:p>
        </w:tc>
        <w:tc>
          <w:tcPr>
            <w:tcW w:w="69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w w:val="95"/>
              </w:rPr>
              <w:t>Incorporated by reference to Exhibit 4.1 to Xerox Holdings Corporation's and Xerox Corporation’s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380" w:type="dxa"/>
            <w:vAlign w:val="bottom"/>
            <w:tcBorders>
              <w:top w:val="single" w:sz="8" w:color="0000FF"/>
            </w:tcBorders>
            <w:gridSpan w:val="22"/>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February 12, 2026. See SEC File Number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Borders>
              <w:top w:val="single" w:sz="8" w:color="0000FF"/>
            </w:tcBorders>
            <w:gridSpan w:val="4"/>
          </w:tcPr>
          <w:p>
            <w:pPr>
              <w:spacing w:after="0" w:line="174" w:lineRule="exact"/>
              <w:rPr>
                <w:sz w:val="20"/>
                <w:szCs w:val="20"/>
                <w:color w:val="auto"/>
              </w:rPr>
            </w:pPr>
            <w:r>
              <w:rPr>
                <w:rFonts w:ascii="Arial" w:cs="Arial" w:eastAsia="Arial" w:hAnsi="Arial"/>
                <w:sz w:val="19"/>
                <w:szCs w:val="19"/>
                <w:b w:val="1"/>
                <w:bCs w:val="1"/>
                <w:color w:val="0000FF"/>
              </w:rPr>
              <w:t>001-39013</w:t>
            </w:r>
            <w:r>
              <w:rPr>
                <w:rFonts w:ascii="Arial" w:cs="Arial" w:eastAsia="Arial" w:hAnsi="Arial"/>
                <w:sz w:val="19"/>
                <w:szCs w:val="19"/>
                <w:b w:val="1"/>
                <w:bCs w:val="1"/>
                <w:color w:val="000000"/>
              </w:rPr>
              <w:t>.</w:t>
            </w:r>
          </w:p>
        </w:tc>
        <w:tc>
          <w:tcPr>
            <w:tcW w:w="10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Arial" w:cs="Arial" w:eastAsia="Arial" w:hAnsi="Arial"/>
                <w:sz w:val="19"/>
                <w:szCs w:val="19"/>
                <w:b w:val="1"/>
                <w:bCs w:val="1"/>
                <w:color w:val="0000FF"/>
              </w:rPr>
              <w:t>10(z)</w:t>
            </w:r>
          </w:p>
        </w:tc>
        <w:tc>
          <w:tcPr>
            <w:tcW w:w="5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400" w:type="dxa"/>
            <w:vAlign w:val="bottom"/>
            <w:gridSpan w:val="5"/>
            <w:vMerge w:val="continue"/>
          </w:tcPr>
          <w:p>
            <w:pPr>
              <w:spacing w:after="0"/>
              <w:rPr>
                <w:sz w:val="23"/>
                <w:szCs w:val="23"/>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w w:val="96"/>
              </w:rPr>
              <w:t>Credit Agreement, dated as of February 17, 2026, by and among XRX Brandco Holdings LLC, the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8420" w:type="dxa"/>
            <w:vAlign w:val="bottom"/>
            <w:tcBorders>
              <w:top w:val="single" w:sz="8" w:color="0000FF"/>
              <w:bottom w:val="single" w:sz="8" w:color="0000FF"/>
            </w:tcBorders>
            <w:gridSpan w:val="22"/>
          </w:tcPr>
          <w:p>
            <w:pPr>
              <w:spacing w:after="0" w:line="184" w:lineRule="exact"/>
              <w:rPr>
                <w:sz w:val="20"/>
                <w:szCs w:val="20"/>
                <w:color w:val="auto"/>
              </w:rPr>
            </w:pPr>
            <w:r>
              <w:rPr>
                <w:rFonts w:ascii="Arial" w:cs="Arial" w:eastAsia="Arial" w:hAnsi="Arial"/>
                <w:sz w:val="19"/>
                <w:szCs w:val="19"/>
                <w:b w:val="1"/>
                <w:bCs w:val="1"/>
                <w:color w:val="0000FF"/>
                <w:w w:val="94"/>
              </w:rPr>
              <w:t>lenders party thereto from time to time and Alter Domus (US) LLC, as administrative and collateral</w:t>
            </w:r>
          </w:p>
        </w:tc>
        <w:tc>
          <w:tcPr>
            <w:tcW w:w="20" w:type="dxa"/>
            <w:vAlign w:val="bottom"/>
            <w:tcBorders>
              <w:bottom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Borders>
              <w:bottom w:val="single" w:sz="8" w:color="0000FF"/>
            </w:tcBorders>
            <w:gridSpan w:val="2"/>
          </w:tcPr>
          <w:p>
            <w:pPr>
              <w:spacing w:after="0" w:line="174" w:lineRule="exact"/>
              <w:rPr>
                <w:sz w:val="20"/>
                <w:szCs w:val="20"/>
                <w:color w:val="auto"/>
              </w:rPr>
            </w:pPr>
            <w:r>
              <w:rPr>
                <w:rFonts w:ascii="Arial" w:cs="Arial" w:eastAsia="Arial" w:hAnsi="Arial"/>
                <w:sz w:val="19"/>
                <w:szCs w:val="19"/>
                <w:b w:val="1"/>
                <w:bCs w:val="1"/>
                <w:color w:val="0000FF"/>
                <w:w w:val="94"/>
              </w:rPr>
              <w:t>agent</w:t>
            </w:r>
          </w:p>
        </w:tc>
        <w:tc>
          <w:tcPr>
            <w:tcW w:w="794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40" w:type="dxa"/>
            <w:vAlign w:val="bottom"/>
            <w:tcBorders>
              <w:bottom w:val="single" w:sz="8" w:color="0000FF"/>
            </w:tcBorders>
            <w:gridSpan w:val="23"/>
          </w:tcPr>
          <w:p>
            <w:pPr>
              <w:spacing w:after="0"/>
              <w:rPr>
                <w:sz w:val="20"/>
                <w:szCs w:val="20"/>
                <w:color w:val="auto"/>
              </w:rPr>
            </w:pPr>
            <w:r>
              <w:rPr>
                <w:rFonts w:ascii="Arial" w:cs="Arial" w:eastAsia="Arial" w:hAnsi="Arial"/>
                <w:sz w:val="19"/>
                <w:szCs w:val="19"/>
                <w:b w:val="1"/>
                <w:bCs w:val="1"/>
                <w:color w:val="0000FF"/>
                <w:w w:val="94"/>
              </w:rPr>
              <w:t>Incorporated by reference to Exhibit 10.1 to Xerox Holdings Corporation's and Xerox Corporation’s</w:t>
            </w:r>
          </w:p>
        </w:tc>
        <w:tc>
          <w:tcPr>
            <w:tcW w:w="20" w:type="dxa"/>
            <w:vAlign w:val="bottom"/>
            <w:tcBorders>
              <w:bottom w:val="single" w:sz="8" w:color="0000FF"/>
            </w:tcBorders>
          </w:tcPr>
          <w:p>
            <w:pPr>
              <w:spacing w:after="0"/>
              <w:rPr>
                <w:sz w:val="23"/>
                <w:szCs w:val="23"/>
                <w:color w:val="auto"/>
              </w:rPr>
            </w:pPr>
          </w:p>
        </w:tc>
        <w:tc>
          <w:tcPr>
            <w:tcW w:w="20" w:type="dxa"/>
            <w:vAlign w:val="bottom"/>
            <w:tcBorders>
              <w:bottom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40" w:type="dxa"/>
            <w:vAlign w:val="bottom"/>
            <w:gridSpan w:val="23"/>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February 17, 2026. See SEC File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3"/>
            <w:vMerge w:val="restart"/>
          </w:tcPr>
          <w:p>
            <w:pPr>
              <w:spacing w:after="0"/>
              <w:rPr>
                <w:sz w:val="20"/>
                <w:szCs w:val="20"/>
                <w:color w:val="auto"/>
              </w:rPr>
            </w:pPr>
            <w:r>
              <w:rPr>
                <w:rFonts w:ascii="Arial" w:cs="Arial" w:eastAsia="Arial" w:hAnsi="Arial"/>
                <w:sz w:val="19"/>
                <w:szCs w:val="19"/>
                <w:b w:val="1"/>
                <w:bCs w:val="1"/>
                <w:color w:val="0000FF"/>
                <w:w w:val="90"/>
              </w:rPr>
              <w:t>10(aa)</w:t>
            </w:r>
          </w:p>
        </w:tc>
        <w:tc>
          <w:tcPr>
            <w:tcW w:w="860" w:type="dxa"/>
            <w:vAlign w:val="bottom"/>
            <w:gridSpan w:val="2"/>
            <w:vMerge w:val="restart"/>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3"/>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Shared Services and License Agreement, dated as of February 17, 2026, by and among Xerox</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Borders>
              <w:bottom w:val="single" w:sz="8" w:color="0000FF"/>
            </w:tcBorders>
            <w:vMerge w:val="continue"/>
          </w:tcPr>
          <w:p>
            <w:pPr>
              <w:spacing w:after="0"/>
              <w:rPr>
                <w:sz w:val="16"/>
                <w:szCs w:val="16"/>
                <w:color w:val="auto"/>
              </w:rPr>
            </w:pPr>
          </w:p>
        </w:tc>
        <w:tc>
          <w:tcPr>
            <w:tcW w:w="8420" w:type="dxa"/>
            <w:vAlign w:val="bottom"/>
            <w:tcBorders>
              <w:bottom w:val="single" w:sz="8" w:color="0000FF"/>
            </w:tcBorders>
            <w:gridSpan w:val="22"/>
          </w:tcPr>
          <w:p>
            <w:pPr>
              <w:spacing w:after="0" w:line="184" w:lineRule="exact"/>
              <w:rPr>
                <w:sz w:val="20"/>
                <w:szCs w:val="20"/>
                <w:color w:val="auto"/>
              </w:rPr>
            </w:pPr>
            <w:r>
              <w:rPr>
                <w:rFonts w:ascii="Arial" w:cs="Arial" w:eastAsia="Arial" w:hAnsi="Arial"/>
                <w:sz w:val="19"/>
                <w:szCs w:val="19"/>
                <w:b w:val="1"/>
                <w:bCs w:val="1"/>
                <w:color w:val="0000FF"/>
                <w:w w:val="94"/>
              </w:rPr>
              <w:t>Holdings Corporation, Xerox Corporation, XRX Brandco Holdings LLC and XRX Brandco Holdings</w:t>
            </w:r>
          </w:p>
        </w:tc>
        <w:tc>
          <w:tcPr>
            <w:tcW w:w="20" w:type="dxa"/>
            <w:vAlign w:val="bottom"/>
            <w:tcBorders>
              <w:bottom w:val="single" w:sz="8" w:color="0000FF"/>
            </w:tcBorders>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tcBorders>
              <w:bottom w:val="single" w:sz="8" w:color="0000FF"/>
            </w:tcBorders>
            <w:gridSpan w:val="6"/>
          </w:tcPr>
          <w:p>
            <w:pPr>
              <w:spacing w:after="0" w:line="174" w:lineRule="exact"/>
              <w:rPr>
                <w:sz w:val="20"/>
                <w:szCs w:val="20"/>
                <w:color w:val="auto"/>
              </w:rPr>
            </w:pPr>
            <w:r>
              <w:rPr>
                <w:rFonts w:ascii="Arial" w:cs="Arial" w:eastAsia="Arial" w:hAnsi="Arial"/>
                <w:sz w:val="19"/>
                <w:szCs w:val="19"/>
                <w:b w:val="1"/>
                <w:bCs w:val="1"/>
                <w:color w:val="0000FF"/>
                <w:w w:val="96"/>
              </w:rPr>
              <w:t>LLC and XRX Brandco LLC</w:t>
            </w:r>
          </w:p>
        </w:tc>
        <w:tc>
          <w:tcPr>
            <w:tcW w:w="606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40" w:type="dxa"/>
            <w:vAlign w:val="bottom"/>
            <w:tcBorders>
              <w:bottom w:val="single" w:sz="8" w:color="0000FF"/>
            </w:tcBorders>
            <w:gridSpan w:val="23"/>
          </w:tcPr>
          <w:p>
            <w:pPr>
              <w:spacing w:after="0"/>
              <w:rPr>
                <w:sz w:val="20"/>
                <w:szCs w:val="20"/>
                <w:color w:val="auto"/>
              </w:rPr>
            </w:pPr>
            <w:r>
              <w:rPr>
                <w:rFonts w:ascii="Arial" w:cs="Arial" w:eastAsia="Arial" w:hAnsi="Arial"/>
                <w:sz w:val="19"/>
                <w:szCs w:val="19"/>
                <w:b w:val="1"/>
                <w:bCs w:val="1"/>
                <w:color w:val="0000FF"/>
                <w:w w:val="94"/>
              </w:rPr>
              <w:t>Incorporated by reference to Exhibit 10.2 to Xerox Holdings Corporation's and Xerox Corporation’s</w:t>
            </w:r>
          </w:p>
        </w:tc>
        <w:tc>
          <w:tcPr>
            <w:tcW w:w="20" w:type="dxa"/>
            <w:vAlign w:val="bottom"/>
            <w:tcBorders>
              <w:bottom w:val="single" w:sz="8" w:color="0000FF"/>
            </w:tcBorders>
          </w:tcPr>
          <w:p>
            <w:pPr>
              <w:spacing w:after="0"/>
              <w:rPr>
                <w:sz w:val="23"/>
                <w:szCs w:val="23"/>
                <w:color w:val="auto"/>
              </w:rPr>
            </w:pPr>
          </w:p>
        </w:tc>
        <w:tc>
          <w:tcPr>
            <w:tcW w:w="20" w:type="dxa"/>
            <w:vAlign w:val="bottom"/>
            <w:tcBorders>
              <w:bottom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40" w:type="dxa"/>
            <w:vAlign w:val="bottom"/>
            <w:gridSpan w:val="23"/>
          </w:tcPr>
          <w:p>
            <w:pPr>
              <w:spacing w:after="0" w:line="174" w:lineRule="exact"/>
              <w:rPr>
                <w:sz w:val="20"/>
                <w:szCs w:val="20"/>
                <w:color w:val="auto"/>
              </w:rPr>
            </w:pPr>
            <w:r>
              <w:rPr>
                <w:rFonts w:ascii="Arial" w:cs="Arial" w:eastAsia="Arial" w:hAnsi="Arial"/>
                <w:sz w:val="19"/>
                <w:szCs w:val="19"/>
                <w:b w:val="1"/>
                <w:bCs w:val="1"/>
                <w:color w:val="0000FF"/>
              </w:rPr>
              <w:t>combined Current Report on Form 8-K dated February 17, 2026. See SEC File Number</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Borders>
              <w:top w:val="single" w:sz="8" w:color="0000FF"/>
              <w:bottom w:val="single" w:sz="8" w:color="0000FF"/>
            </w:tcBorders>
            <w:gridSpan w:val="3"/>
          </w:tcPr>
          <w:p>
            <w:pPr>
              <w:spacing w:after="0" w:line="174" w:lineRule="exact"/>
              <w:rPr>
                <w:sz w:val="20"/>
                <w:szCs w:val="20"/>
                <w:color w:val="auto"/>
              </w:rPr>
            </w:pPr>
            <w:r>
              <w:rPr>
                <w:rFonts w:ascii="Arial" w:cs="Arial" w:eastAsia="Arial" w:hAnsi="Arial"/>
                <w:sz w:val="19"/>
                <w:szCs w:val="19"/>
                <w:b w:val="1"/>
                <w:bCs w:val="1"/>
                <w:color w:val="0000FF"/>
              </w:rPr>
              <w:t>001-39013</w:t>
            </w:r>
          </w:p>
        </w:tc>
        <w:tc>
          <w:tcPr>
            <w:tcW w:w="26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40" w:type="dxa"/>
            <w:vAlign w:val="bottom"/>
            <w:gridSpan w:val="3"/>
          </w:tcPr>
          <w:p>
            <w:pPr>
              <w:spacing w:after="0"/>
              <w:rPr>
                <w:sz w:val="20"/>
                <w:szCs w:val="20"/>
                <w:color w:val="auto"/>
              </w:rPr>
            </w:pPr>
            <w:r>
              <w:rPr>
                <w:rFonts w:ascii="Arial" w:cs="Arial" w:eastAsia="Arial" w:hAnsi="Arial"/>
                <w:sz w:val="19"/>
                <w:szCs w:val="19"/>
                <w:b w:val="1"/>
                <w:bCs w:val="1"/>
                <w:color w:val="0000FF"/>
                <w:w w:val="87"/>
              </w:rPr>
              <w:t>10(bb)</w:t>
            </w:r>
          </w:p>
        </w:tc>
        <w:tc>
          <w:tcPr>
            <w:tcW w:w="860" w:type="dxa"/>
            <w:vAlign w:val="bottom"/>
            <w:gridSpan w:val="2"/>
          </w:tcPr>
          <w:p>
            <w:pPr>
              <w:spacing w:after="0"/>
              <w:rPr>
                <w:sz w:val="22"/>
                <w:szCs w:val="22"/>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Management Incentive Plan for 2025 Performance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9"/>
                <w:szCs w:val="19"/>
                <w:b w:val="1"/>
                <w:bCs w:val="1"/>
                <w:color w:val="0000FF"/>
                <w:w w:val="90"/>
              </w:rPr>
              <w:t>10(cc)</w:t>
            </w:r>
          </w:p>
        </w:tc>
        <w:tc>
          <w:tcPr>
            <w:tcW w:w="8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top w:val="single" w:sz="8" w:color="0000FF"/>
            </w:tcBorders>
            <w:gridSpan w:val="4"/>
            <w:shd w:val="clear" w:color="auto" w:fill="0000FF"/>
          </w:tcPr>
          <w:p>
            <w:pPr>
              <w:spacing w:after="0" w:line="20" w:lineRule="exact"/>
              <w:rPr>
                <w:sz w:val="1"/>
                <w:szCs w:val="1"/>
                <w:color w:val="auto"/>
              </w:rPr>
            </w:pPr>
          </w:p>
        </w:tc>
        <w:tc>
          <w:tcPr>
            <w:tcW w:w="480" w:type="dxa"/>
            <w:vAlign w:val="bottom"/>
            <w:tcBorders>
              <w:top w:val="single" w:sz="8" w:color="0000FF"/>
            </w:tcBorders>
            <w:gridSpan w:val="2"/>
            <w:shd w:val="clear" w:color="auto" w:fill="0000FF"/>
          </w:tcPr>
          <w:p>
            <w:pPr>
              <w:spacing w:after="0" w:line="20" w:lineRule="exact"/>
              <w:rPr>
                <w:sz w:val="1"/>
                <w:szCs w:val="1"/>
                <w:color w:val="auto"/>
              </w:rPr>
            </w:pPr>
          </w:p>
        </w:tc>
        <w:tc>
          <w:tcPr>
            <w:tcW w:w="160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0" w:type="dxa"/>
            <w:vAlign w:val="bottom"/>
            <w:gridSpan w:val="3"/>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Annual Bonus Plan (formerly Management Incentive Plan (MIP)) for 2026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16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0" w:type="dxa"/>
            <w:vAlign w:val="bottom"/>
            <w:gridSpan w:val="3"/>
          </w:tcPr>
          <w:p>
            <w:pPr>
              <w:spacing w:after="0"/>
              <w:rPr>
                <w:sz w:val="20"/>
                <w:szCs w:val="20"/>
                <w:color w:val="auto"/>
              </w:rPr>
            </w:pPr>
            <w:r>
              <w:rPr>
                <w:rFonts w:ascii="Arial" w:cs="Arial" w:eastAsia="Arial" w:hAnsi="Arial"/>
                <w:sz w:val="19"/>
                <w:szCs w:val="19"/>
                <w:b w:val="1"/>
                <w:bCs w:val="1"/>
                <w:color w:val="0000FF"/>
                <w:w w:val="87"/>
              </w:rPr>
              <w:t>10(dd)</w:t>
            </w:r>
          </w:p>
        </w:tc>
        <w:tc>
          <w:tcPr>
            <w:tcW w:w="860" w:type="dxa"/>
            <w:vAlign w:val="bottom"/>
            <w:gridSpan w:val="2"/>
          </w:tcPr>
          <w:p>
            <w:pPr>
              <w:spacing w:after="0"/>
              <w:rPr>
                <w:sz w:val="21"/>
                <w:szCs w:val="21"/>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Executive Long-Term Incentive Program for 2026 Performance Elements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FF"/>
            </w:tcBorders>
            <w:vMerge w:val="restart"/>
          </w:tcPr>
          <w:p>
            <w:pPr>
              <w:spacing w:after="0"/>
              <w:rPr>
                <w:sz w:val="20"/>
                <w:szCs w:val="20"/>
                <w:color w:val="auto"/>
              </w:rPr>
            </w:pPr>
            <w:r>
              <w:rPr>
                <w:rFonts w:ascii="Arial" w:cs="Arial" w:eastAsia="Arial" w:hAnsi="Arial"/>
                <w:sz w:val="19"/>
                <w:szCs w:val="19"/>
                <w:b w:val="1"/>
                <w:bCs w:val="1"/>
                <w:color w:val="0000FF"/>
                <w:w w:val="94"/>
              </w:rPr>
              <w:t>19</w:t>
            </w: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top w:val="single" w:sz="8" w:color="0000FF"/>
            </w:tcBorders>
            <w:gridSpan w:val="4"/>
            <w:shd w:val="clear" w:color="auto" w:fill="0000FF"/>
          </w:tcPr>
          <w:p>
            <w:pPr>
              <w:spacing w:after="0" w:line="20" w:lineRule="exact"/>
              <w:rPr>
                <w:sz w:val="1"/>
                <w:szCs w:val="1"/>
                <w:color w:val="auto"/>
              </w:rPr>
            </w:pPr>
          </w:p>
        </w:tc>
        <w:tc>
          <w:tcPr>
            <w:tcW w:w="480" w:type="dxa"/>
            <w:vAlign w:val="bottom"/>
            <w:tcBorders>
              <w:top w:val="single" w:sz="8" w:color="0000FF"/>
            </w:tcBorders>
            <w:gridSpan w:val="2"/>
            <w:shd w:val="clear" w:color="auto" w:fill="0000FF"/>
          </w:tcPr>
          <w:p>
            <w:pPr>
              <w:spacing w:after="0" w:line="20" w:lineRule="exact"/>
              <w:rPr>
                <w:sz w:val="1"/>
                <w:szCs w:val="1"/>
                <w:color w:val="auto"/>
              </w:rPr>
            </w:pPr>
          </w:p>
        </w:tc>
        <w:tc>
          <w:tcPr>
            <w:tcW w:w="1780" w:type="dxa"/>
            <w:vAlign w:val="bottom"/>
            <w:tcBorders>
              <w:top w:val="single" w:sz="8" w:color="0000FF"/>
            </w:tcBorders>
            <w:gridSpan w:val="2"/>
            <w:shd w:val="clear" w:color="auto" w:fill="0000FF"/>
          </w:tcPr>
          <w:p>
            <w:pPr>
              <w:spacing w:after="0" w:line="20" w:lineRule="exact"/>
              <w:rPr>
                <w:sz w:val="1"/>
                <w:szCs w:val="1"/>
                <w:color w:val="auto"/>
              </w:rPr>
            </w:pPr>
          </w:p>
        </w:tc>
        <w:tc>
          <w:tcPr>
            <w:tcW w:w="76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760" w:type="dxa"/>
            <w:vAlign w:val="bottom"/>
            <w:tcBorders>
              <w:top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Company Insider Trading Policy</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w w:val="96"/>
              </w:rPr>
              <w:t>Incorporated by reference to Exhibit 19 to Xerox Holdings Corporation's and Xerox Corporation’s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380" w:type="dxa"/>
            <w:vAlign w:val="bottom"/>
            <w:tcBorders>
              <w:top w:val="single" w:sz="8" w:color="0000FF"/>
            </w:tcBorders>
            <w:gridSpan w:val="22"/>
          </w:tcPr>
          <w:p>
            <w:pPr>
              <w:spacing w:after="0" w:line="174" w:lineRule="exact"/>
              <w:rPr>
                <w:sz w:val="20"/>
                <w:szCs w:val="20"/>
                <w:color w:val="auto"/>
              </w:rPr>
            </w:pPr>
            <w:r>
              <w:rPr>
                <w:rFonts w:ascii="Arial" w:cs="Arial" w:eastAsia="Arial" w:hAnsi="Arial"/>
                <w:sz w:val="19"/>
                <w:szCs w:val="19"/>
                <w:b w:val="1"/>
                <w:bCs w:val="1"/>
                <w:color w:val="0000FF"/>
              </w:rPr>
              <w:t>combined Annual Report on Form 10-K dated February 23, 2024. See SEC File Number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Borders>
              <w:top w:val="single" w:sz="8" w:color="0000FF"/>
              <w:bottom w:val="single" w:sz="8" w:color="0000FF"/>
            </w:tcBorders>
            <w:gridSpan w:val="3"/>
          </w:tcPr>
          <w:p>
            <w:pPr>
              <w:spacing w:after="0" w:line="174" w:lineRule="exact"/>
              <w:rPr>
                <w:sz w:val="20"/>
                <w:szCs w:val="20"/>
                <w:color w:val="auto"/>
              </w:rPr>
            </w:pPr>
            <w:r>
              <w:rPr>
                <w:rFonts w:ascii="Arial" w:cs="Arial" w:eastAsia="Arial" w:hAnsi="Arial"/>
                <w:sz w:val="19"/>
                <w:szCs w:val="19"/>
                <w:b w:val="1"/>
                <w:bCs w:val="1"/>
                <w:color w:val="0000FF"/>
              </w:rPr>
              <w:t>001-39013</w:t>
            </w:r>
          </w:p>
        </w:tc>
        <w:tc>
          <w:tcPr>
            <w:tcW w:w="26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0"/>
                <w:szCs w:val="20"/>
                <w:color w:val="auto"/>
              </w:rPr>
            </w:pPr>
            <w:r>
              <w:rPr>
                <w:rFonts w:ascii="Arial" w:cs="Arial" w:eastAsia="Arial" w:hAnsi="Arial"/>
                <w:sz w:val="19"/>
                <w:szCs w:val="19"/>
                <w:b w:val="1"/>
                <w:bCs w:val="1"/>
                <w:color w:val="0000FF"/>
                <w:w w:val="94"/>
              </w:rPr>
              <w:t>21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Subsidiaries of Registrant.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23(a)</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Consent of PricewaterhouseCoopers LLP re Xerox Holdings Corporation.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16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23(b)</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Consent of PricewaterhouseCoopers LLP re Xerox Corporation.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16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31(a)(1)</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w w:val="99"/>
              </w:rPr>
              <w:t>Certification of Xerox Holdings Corporation CEO pursuant to Rule 13a-14(a) or Rule 15d-14(a).</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8"/>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31(a)(2)</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Certification of Xerox Corporation CEO pursuant to Rule 13a-14(a) or Rule 15d-14(a).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8"/>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31(b)(1)</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w w:val="99"/>
              </w:rPr>
              <w:t>Certification of Xerox Holdings Corporation CFO pursuant to Rule 13a-14(a) or Rule 15d-14(a).</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16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31(b)(2)</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Certification of Xerox Corporation CFO pursuant to Rule 13a-14(a) or Rule 15d-14(a).</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FF"/>
            </w:tcBorders>
            <w:gridSpan w:val="4"/>
            <w:vMerge w:val="restart"/>
          </w:tcPr>
          <w:p>
            <w:pPr>
              <w:spacing w:after="0"/>
              <w:rPr>
                <w:sz w:val="20"/>
                <w:szCs w:val="20"/>
                <w:color w:val="auto"/>
              </w:rPr>
            </w:pPr>
            <w:r>
              <w:rPr>
                <w:rFonts w:ascii="Arial" w:cs="Arial" w:eastAsia="Arial" w:hAnsi="Arial"/>
                <w:sz w:val="19"/>
                <w:szCs w:val="19"/>
                <w:b w:val="1"/>
                <w:bCs w:val="1"/>
                <w:color w:val="0000FF"/>
              </w:rPr>
              <w:t>32(a)</w:t>
            </w:r>
          </w:p>
        </w:tc>
        <w:tc>
          <w:tcPr>
            <w:tcW w:w="7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Borders>
              <w:top w:val="single" w:sz="8" w:color="0000FF"/>
            </w:tcBorders>
            <w:gridSpan w:val="8"/>
            <w:shd w:val="clear" w:color="auto" w:fill="0000FF"/>
          </w:tcPr>
          <w:p>
            <w:pPr>
              <w:spacing w:after="0" w:line="20" w:lineRule="exact"/>
              <w:rPr>
                <w:sz w:val="1"/>
                <w:szCs w:val="1"/>
                <w:color w:val="auto"/>
              </w:rPr>
            </w:pPr>
          </w:p>
        </w:tc>
        <w:tc>
          <w:tcPr>
            <w:tcW w:w="760" w:type="dxa"/>
            <w:vAlign w:val="bottom"/>
            <w:tcBorders>
              <w:top w:val="single" w:sz="8" w:color="0000FF"/>
            </w:tcBorders>
            <w:shd w:val="clear" w:color="auto" w:fill="0000FF"/>
          </w:tcPr>
          <w:p>
            <w:pPr>
              <w:spacing w:after="0" w:line="20" w:lineRule="exact"/>
              <w:rPr>
                <w:sz w:val="1"/>
                <w:szCs w:val="1"/>
                <w:color w:val="auto"/>
              </w:rPr>
            </w:pPr>
          </w:p>
        </w:tc>
        <w:tc>
          <w:tcPr>
            <w:tcW w:w="2060" w:type="dxa"/>
            <w:vAlign w:val="bottom"/>
            <w:tcBorders>
              <w:top w:val="single" w:sz="8" w:color="0000FF"/>
            </w:tcBorders>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80" w:type="dxa"/>
            <w:vAlign w:val="bottom"/>
            <w:gridSpan w:val="4"/>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Certification of Xerox Holdings Corporation CEO and CFO pursuant to 18 U.S.C. §1350 as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5260" w:type="dxa"/>
            <w:vAlign w:val="bottom"/>
            <w:tcBorders>
              <w:top w:val="single" w:sz="8" w:color="0000FF"/>
              <w:bottom w:val="single" w:sz="8" w:color="0000FF"/>
            </w:tcBorders>
            <w:gridSpan w:val="9"/>
          </w:tcPr>
          <w:p>
            <w:pPr>
              <w:spacing w:after="0" w:line="176" w:lineRule="exact"/>
              <w:rPr>
                <w:sz w:val="20"/>
                <w:szCs w:val="20"/>
                <w:color w:val="auto"/>
              </w:rPr>
            </w:pPr>
            <w:r>
              <w:rPr>
                <w:rFonts w:ascii="Arial" w:cs="Arial" w:eastAsia="Arial" w:hAnsi="Arial"/>
                <w:sz w:val="19"/>
                <w:szCs w:val="19"/>
                <w:b w:val="1"/>
                <w:bCs w:val="1"/>
                <w:color w:val="0000FF"/>
                <w:w w:val="95"/>
              </w:rPr>
              <w:t>adopted pursuant to §906 of the Sarbanes-Oxley Act of 2002.</w:t>
            </w:r>
          </w:p>
        </w:tc>
        <w:tc>
          <w:tcPr>
            <w:tcW w:w="2540" w:type="dxa"/>
            <w:vAlign w:val="bottom"/>
            <w:tcBorders>
              <w:top w:val="single" w:sz="8" w:color="0000FF"/>
            </w:tcBorders>
            <w:gridSpan w:val="8"/>
          </w:tcPr>
          <w:p>
            <w:pPr>
              <w:spacing w:after="0"/>
              <w:rPr>
                <w:sz w:val="15"/>
                <w:szCs w:val="15"/>
                <w:color w:val="auto"/>
              </w:rPr>
            </w:pPr>
          </w:p>
        </w:tc>
        <w:tc>
          <w:tcPr>
            <w:tcW w:w="6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00" w:type="dxa"/>
            <w:vAlign w:val="bottom"/>
            <w:gridSpan w:val="5"/>
          </w:tcPr>
          <w:p>
            <w:pPr>
              <w:spacing w:after="0"/>
              <w:rPr>
                <w:sz w:val="20"/>
                <w:szCs w:val="20"/>
                <w:color w:val="auto"/>
              </w:rPr>
            </w:pPr>
            <w:r>
              <w:rPr>
                <w:rFonts w:ascii="Arial" w:cs="Arial" w:eastAsia="Arial" w:hAnsi="Arial"/>
                <w:sz w:val="19"/>
                <w:szCs w:val="19"/>
                <w:b w:val="1"/>
                <w:bCs w:val="1"/>
                <w:color w:val="0000FF"/>
              </w:rPr>
              <w:t>32(b)</w:t>
            </w:r>
          </w:p>
        </w:tc>
        <w:tc>
          <w:tcPr>
            <w:tcW w:w="8440" w:type="dxa"/>
            <w:vAlign w:val="bottom"/>
            <w:gridSpan w:val="23"/>
          </w:tcPr>
          <w:p>
            <w:pPr>
              <w:spacing w:after="0"/>
              <w:rPr>
                <w:sz w:val="20"/>
                <w:szCs w:val="20"/>
                <w:color w:val="auto"/>
              </w:rPr>
            </w:pPr>
            <w:r>
              <w:rPr>
                <w:rFonts w:ascii="Arial" w:cs="Arial" w:eastAsia="Arial" w:hAnsi="Arial"/>
                <w:sz w:val="19"/>
                <w:szCs w:val="19"/>
                <w:b w:val="1"/>
                <w:bCs w:val="1"/>
                <w:color w:val="0000FF"/>
              </w:rPr>
              <w:t>Certification of Xerox Corporation CEO and CFO pursuant to 18 U.S.C. §1350 as adopted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tcBorders>
              <w:top w:val="single" w:sz="8" w:color="0000FF"/>
            </w:tcBorders>
            <w:gridSpan w:val="16"/>
          </w:tcPr>
          <w:p>
            <w:pPr>
              <w:spacing w:after="0" w:line="176" w:lineRule="exact"/>
              <w:rPr>
                <w:sz w:val="20"/>
                <w:szCs w:val="20"/>
                <w:color w:val="auto"/>
              </w:rPr>
            </w:pPr>
            <w:r>
              <w:rPr>
                <w:rFonts w:ascii="Arial" w:cs="Arial" w:eastAsia="Arial" w:hAnsi="Arial"/>
                <w:sz w:val="19"/>
                <w:szCs w:val="19"/>
                <w:b w:val="1"/>
                <w:bCs w:val="1"/>
                <w:color w:val="0000FF"/>
              </w:rPr>
              <w:t>pursuant to §906 of the Sarbanes-Oxley Act of 2002.</w:t>
            </w:r>
          </w:p>
        </w:tc>
        <w:tc>
          <w:tcPr>
            <w:tcW w:w="6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460" w:hanging="1405"/>
        <w:spacing w:after="0"/>
        <w:tabs>
          <w:tab w:leader="none" w:pos="1460" w:val="left"/>
        </w:tabs>
        <w:numPr>
          <w:ilvl w:val="0"/>
          <w:numId w:val="15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Company Clawback Policy</w:t>
      </w:r>
    </w:p>
    <w:p>
      <w:pPr>
        <w:spacing w:after="0" w:line="67" w:lineRule="exact"/>
        <w:rPr>
          <w:rFonts w:ascii="Arial" w:cs="Arial" w:eastAsia="Arial" w:hAnsi="Arial"/>
          <w:sz w:val="19"/>
          <w:szCs w:val="19"/>
          <w:b w:val="1"/>
          <w:bCs w:val="1"/>
          <w:u w:val="single" w:color="auto"/>
          <w:color w:val="0000FF"/>
        </w:rPr>
      </w:pPr>
    </w:p>
    <w:p>
      <w:pPr>
        <w:ind w:left="1460" w:right="280"/>
        <w:spacing w:after="0" w:line="255" w:lineRule="auto"/>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Incorporated by reference to Exhibit 97 to Xerox Holdings Corporation's Annual Report on Form 10-K dated February 23, 2024. See SEC File Number 001-39013.</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1100" w:type="dxa"/>
            <w:vAlign w:val="bottom"/>
          </w:tcPr>
          <w:p>
            <w:pPr>
              <w:spacing w:after="0"/>
              <w:rPr>
                <w:sz w:val="20"/>
                <w:szCs w:val="20"/>
                <w:color w:val="auto"/>
              </w:rPr>
            </w:pPr>
            <w:r>
              <w:rPr>
                <w:rFonts w:ascii="Arial" w:cs="Arial" w:eastAsia="Arial" w:hAnsi="Arial"/>
                <w:sz w:val="19"/>
                <w:szCs w:val="19"/>
                <w:b w:val="1"/>
                <w:bCs w:val="1"/>
                <w:color w:val="auto"/>
              </w:rPr>
              <w:t>101.INS</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Inline XBRL Instance Document</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101.SCH</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Inline XBRL Taxonomy Extension Schema Document</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101.CAL</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Inline XBRL Taxonomy Calculation Linkbase Document</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101.LAB</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Inline XBRL Taxonomy Label Linkbase Document</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101.PRE</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Inline XBRL Taxonomy Presentation Linkbase Document</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101.DEF</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Inline XBRL Taxonomy Definition Document</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104</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w w:val="95"/>
              </w:rPr>
              <w:t>The Cover Page Interactive Data File (formatted as Inline iXBRL and contained in Exhibit 101)</w:t>
            </w:r>
          </w:p>
        </w:tc>
      </w:tr>
      <w:tr>
        <w:trPr>
          <w:trHeight w:val="291"/>
        </w:trPr>
        <w:tc>
          <w:tcPr>
            <w:tcW w:w="1100" w:type="dxa"/>
            <w:vAlign w:val="bottom"/>
          </w:tcPr>
          <w:p>
            <w:pPr>
              <w:spacing w:after="0"/>
              <w:rPr>
                <w:sz w:val="20"/>
                <w:szCs w:val="20"/>
                <w:color w:val="auto"/>
              </w:rPr>
            </w:pPr>
            <w:r>
              <w:rPr>
                <w:rFonts w:ascii="Arial" w:cs="Arial" w:eastAsia="Arial" w:hAnsi="Arial"/>
                <w:sz w:val="19"/>
                <w:szCs w:val="19"/>
                <w:b w:val="1"/>
                <w:bCs w:val="1"/>
                <w:color w:val="auto"/>
              </w:rPr>
              <w:t>*</w:t>
            </w:r>
          </w:p>
        </w:tc>
        <w:tc>
          <w:tcPr>
            <w:tcW w:w="8360" w:type="dxa"/>
            <w:vAlign w:val="bottom"/>
          </w:tcPr>
          <w:p>
            <w:pPr>
              <w:ind w:left="300"/>
              <w:spacing w:after="0"/>
              <w:rPr>
                <w:sz w:val="20"/>
                <w:szCs w:val="20"/>
                <w:color w:val="auto"/>
              </w:rPr>
            </w:pPr>
            <w:r>
              <w:rPr>
                <w:rFonts w:ascii="Arial" w:cs="Arial" w:eastAsia="Arial" w:hAnsi="Arial"/>
                <w:sz w:val="19"/>
                <w:szCs w:val="19"/>
                <w:b w:val="1"/>
                <w:bCs w:val="1"/>
                <w:color w:val="auto"/>
              </w:rPr>
              <w:t>Indicates a management contract or compensatory plan or arrangement.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DA2031"/>
        </w:rPr>
        <w:t>Item 16. Form 10-K Summary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179</w:t>
      </w:r>
    </w:p>
    <w:p>
      <w:pPr>
        <w:sectPr>
          <w:pgSz w:w="11880" w:h="15480" w:orient="portrait"/>
          <w:cols w:equalWidth="0" w:num="1">
            <w:col w:w="9940"/>
          </w:cols>
          <w:pgMar w:left="960" w:top="801" w:right="980" w:bottom="0" w:gutter="0" w:footer="0" w:header="0"/>
        </w:sectPr>
      </w:pPr>
    </w:p>
    <w:bookmarkStart w:id="189" w:name="page190"/>
    <w:bookmarkEnd w:id="189"/>
    <w:p>
      <w:pPr>
        <w:spacing w:after="0"/>
        <w:rPr>
          <w:sz w:val="20"/>
          <w:szCs w:val="20"/>
          <w:color w:val="auto"/>
        </w:rPr>
      </w:pPr>
      <w:r>
        <w:rPr>
          <w:rFonts w:ascii="Arial" w:cs="Arial" w:eastAsia="Arial" w:hAnsi="Arial"/>
          <w:sz w:val="23"/>
          <w:szCs w:val="23"/>
          <w:b w:val="1"/>
          <w:bCs w:val="1"/>
          <w:color w:val="DA2031"/>
        </w:rPr>
        <w:t>Signatures</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b w:val="1"/>
          <w:bCs w:val="1"/>
          <w:color w:val="DA2031"/>
        </w:rPr>
        <w:t>Xerox Holdings Corporation</w:t>
      </w:r>
    </w:p>
    <w:p>
      <w:pPr>
        <w:spacing w:after="0" w:line="196"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XEROX HOLDINGS CORPORATION</w:t>
      </w:r>
    </w:p>
    <w:p>
      <w:pPr>
        <w:spacing w:after="0" w:line="73"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6"/>
          <w:szCs w:val="16"/>
          <w:b w:val="1"/>
          <w:bCs w:val="1"/>
          <w:color w:val="auto"/>
        </w:rPr>
        <w:t>/S/</w:t>
      </w:r>
      <w:r>
        <w:rPr>
          <w:sz w:val="20"/>
          <w:szCs w:val="20"/>
          <w:color w:val="auto"/>
        </w:rPr>
        <w:tab/>
      </w:r>
      <w:r>
        <w:rPr>
          <w:rFonts w:ascii="Arial" w:cs="Arial" w:eastAsia="Arial" w:hAnsi="Arial"/>
          <w:sz w:val="19"/>
          <w:szCs w:val="19"/>
          <w:b w:val="1"/>
          <w:bCs w:val="1"/>
          <w:color w:val="auto"/>
        </w:rPr>
        <w:t>S</w:t>
      </w:r>
      <w:r>
        <w:rPr>
          <w:rFonts w:ascii="Arial" w:cs="Arial" w:eastAsia="Arial" w:hAnsi="Arial"/>
          <w:sz w:val="15"/>
          <w:szCs w:val="15"/>
          <w:b w:val="1"/>
          <w:bCs w:val="1"/>
          <w:color w:val="auto"/>
        </w:rPr>
        <w:t>TEVEN</w:t>
      </w:r>
      <w:r>
        <w:rPr>
          <w:rFonts w:ascii="Arial" w:cs="Arial" w:eastAsia="Arial" w:hAnsi="Arial"/>
          <w:sz w:val="19"/>
          <w:szCs w:val="19"/>
          <w:b w:val="1"/>
          <w:bCs w:val="1"/>
          <w:color w:val="auto"/>
        </w:rPr>
        <w:t xml:space="preserve"> J</w:t>
      </w:r>
      <w:r>
        <w:rPr>
          <w:rFonts w:ascii="Arial" w:cs="Arial" w:eastAsia="Arial" w:hAnsi="Arial"/>
          <w:sz w:val="15"/>
          <w:szCs w:val="15"/>
          <w:b w:val="1"/>
          <w:bCs w:val="1"/>
          <w:color w:val="auto"/>
        </w:rPr>
        <w:t>.</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ANDROWCZAK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43760" cy="12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2143760" cy="12065"/>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Steven J. Bandrowczak</w:t>
      </w:r>
    </w:p>
    <w:p>
      <w:pPr>
        <w:ind w:left="60"/>
        <w:spacing w:after="0"/>
        <w:rPr>
          <w:sz w:val="20"/>
          <w:szCs w:val="20"/>
          <w:color w:val="auto"/>
        </w:rPr>
      </w:pPr>
      <w:r>
        <w:rPr>
          <w:rFonts w:ascii="Arial" w:cs="Arial" w:eastAsia="Arial" w:hAnsi="Arial"/>
          <w:sz w:val="16"/>
          <w:szCs w:val="16"/>
          <w:b w:val="1"/>
          <w:bCs w:val="1"/>
          <w:color w:val="auto"/>
        </w:rPr>
        <w:t>Chief Executive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 indicated.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16, 2026</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80" w:type="dxa"/>
            <w:vAlign w:val="bottom"/>
            <w:gridSpan w:val="2"/>
          </w:tcPr>
          <w:p>
            <w:pPr>
              <w:ind w:left="60"/>
              <w:spacing w:after="0"/>
              <w:rPr>
                <w:sz w:val="20"/>
                <w:szCs w:val="20"/>
                <w:color w:val="auto"/>
              </w:rPr>
            </w:pPr>
            <w:r>
              <w:rPr>
                <w:rFonts w:ascii="Arial" w:cs="Arial" w:eastAsia="Arial" w:hAnsi="Arial"/>
                <w:sz w:val="19"/>
                <w:szCs w:val="19"/>
                <w:b w:val="1"/>
                <w:bCs w:val="1"/>
                <w:color w:val="auto"/>
              </w:rPr>
              <w:t>Signature</w:t>
            </w:r>
          </w:p>
        </w:tc>
        <w:tc>
          <w:tcPr>
            <w:tcW w:w="4600" w:type="dxa"/>
            <w:vAlign w:val="bottom"/>
          </w:tcPr>
          <w:p>
            <w:pPr>
              <w:ind w:left="140"/>
              <w:spacing w:after="0"/>
              <w:rPr>
                <w:sz w:val="20"/>
                <w:szCs w:val="20"/>
                <w:color w:val="auto"/>
              </w:rPr>
            </w:pPr>
            <w:r>
              <w:rPr>
                <w:rFonts w:ascii="Arial" w:cs="Arial" w:eastAsia="Arial" w:hAnsi="Arial"/>
                <w:sz w:val="19"/>
                <w:szCs w:val="19"/>
                <w:b w:val="1"/>
                <w:bCs w:val="1"/>
                <w:color w:val="auto"/>
              </w:rPr>
              <w:t>Title</w:t>
            </w:r>
          </w:p>
        </w:tc>
      </w:tr>
      <w:tr>
        <w:trPr>
          <w:trHeight w:val="291"/>
        </w:trPr>
        <w:tc>
          <w:tcPr>
            <w:tcW w:w="3780" w:type="dxa"/>
            <w:vAlign w:val="bottom"/>
            <w:gridSpan w:val="2"/>
          </w:tcPr>
          <w:p>
            <w:pPr>
              <w:ind w:left="60"/>
              <w:spacing w:after="0"/>
              <w:rPr>
                <w:sz w:val="20"/>
                <w:szCs w:val="20"/>
                <w:color w:val="auto"/>
              </w:rPr>
            </w:pPr>
            <w:r>
              <w:rPr>
                <w:rFonts w:ascii="Arial" w:cs="Arial" w:eastAsia="Arial" w:hAnsi="Arial"/>
                <w:sz w:val="19"/>
                <w:szCs w:val="19"/>
                <w:b w:val="1"/>
                <w:bCs w:val="1"/>
                <w:i w:val="1"/>
                <w:iCs w:val="1"/>
                <w:color w:val="auto"/>
              </w:rPr>
              <w:t>Principal Executive Officer:</w:t>
            </w:r>
          </w:p>
        </w:tc>
        <w:tc>
          <w:tcPr>
            <w:tcW w:w="4600" w:type="dxa"/>
            <w:vAlign w:val="bottom"/>
          </w:tcPr>
          <w:p>
            <w:pPr>
              <w:spacing w:after="0"/>
              <w:rPr>
                <w:sz w:val="24"/>
                <w:szCs w:val="24"/>
                <w:color w:val="auto"/>
              </w:rPr>
            </w:pPr>
          </w:p>
        </w:tc>
      </w:tr>
      <w:tr>
        <w:trPr>
          <w:trHeight w:val="279"/>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9"/>
                <w:szCs w:val="19"/>
                <w:b w:val="1"/>
                <w:bCs w:val="1"/>
                <w:color w:val="auto"/>
              </w:rPr>
              <w:t>S</w:t>
            </w:r>
            <w:r>
              <w:rPr>
                <w:rFonts w:ascii="Arial" w:cs="Arial" w:eastAsia="Arial" w:hAnsi="Arial"/>
                <w:sz w:val="15"/>
                <w:szCs w:val="15"/>
                <w:b w:val="1"/>
                <w:bCs w:val="1"/>
                <w:color w:val="auto"/>
              </w:rPr>
              <w:t>TEVEN</w:t>
            </w:r>
            <w:r>
              <w:rPr>
                <w:rFonts w:ascii="Arial" w:cs="Arial" w:eastAsia="Arial" w:hAnsi="Arial"/>
                <w:sz w:val="19"/>
                <w:szCs w:val="19"/>
                <w:b w:val="1"/>
                <w:bCs w:val="1"/>
                <w:color w:val="auto"/>
              </w:rPr>
              <w:t xml:space="preserve"> J</w:t>
            </w:r>
            <w:r>
              <w:rPr>
                <w:rFonts w:ascii="Arial" w:cs="Arial" w:eastAsia="Arial" w:hAnsi="Arial"/>
                <w:sz w:val="15"/>
                <w:szCs w:val="15"/>
                <w:b w:val="1"/>
                <w:bCs w:val="1"/>
                <w:color w:val="auto"/>
              </w:rPr>
              <w:t>.</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ANDROWCZAK</w:t>
            </w:r>
          </w:p>
        </w:tc>
        <w:tc>
          <w:tcPr>
            <w:tcW w:w="4600" w:type="dxa"/>
            <w:vAlign w:val="bottom"/>
          </w:tcPr>
          <w:p>
            <w:pPr>
              <w:ind w:left="140"/>
              <w:spacing w:after="0"/>
              <w:rPr>
                <w:sz w:val="20"/>
                <w:szCs w:val="20"/>
                <w:color w:val="auto"/>
              </w:rPr>
            </w:pPr>
            <w:r>
              <w:rPr>
                <w:rFonts w:ascii="Arial" w:cs="Arial" w:eastAsia="Arial" w:hAnsi="Arial"/>
                <w:sz w:val="19"/>
                <w:szCs w:val="19"/>
                <w:b w:val="1"/>
                <w:bCs w:val="1"/>
                <w:color w:val="auto"/>
              </w:rPr>
              <w:t>Chief Executive Officer and Director</w:t>
            </w:r>
          </w:p>
        </w:tc>
      </w:tr>
      <w:tr>
        <w:trPr>
          <w:trHeight w:val="233"/>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Steven J. Bandrowczak</w:t>
            </w:r>
          </w:p>
        </w:tc>
        <w:tc>
          <w:tcPr>
            <w:tcW w:w="4600" w:type="dxa"/>
            <w:vAlign w:val="bottom"/>
          </w:tcPr>
          <w:p>
            <w:pPr>
              <w:spacing w:after="0"/>
              <w:rPr>
                <w:sz w:val="20"/>
                <w:szCs w:val="20"/>
                <w:color w:val="auto"/>
              </w:rPr>
            </w:pPr>
          </w:p>
        </w:tc>
      </w:tr>
      <w:tr>
        <w:trPr>
          <w:trHeight w:val="341"/>
        </w:trPr>
        <w:tc>
          <w:tcPr>
            <w:tcW w:w="3780" w:type="dxa"/>
            <w:vAlign w:val="bottom"/>
            <w:gridSpan w:val="2"/>
          </w:tcPr>
          <w:p>
            <w:pPr>
              <w:ind w:left="60"/>
              <w:spacing w:after="0"/>
              <w:rPr>
                <w:sz w:val="20"/>
                <w:szCs w:val="20"/>
                <w:color w:val="auto"/>
              </w:rPr>
            </w:pPr>
            <w:r>
              <w:rPr>
                <w:rFonts w:ascii="Arial" w:cs="Arial" w:eastAsia="Arial" w:hAnsi="Arial"/>
                <w:sz w:val="19"/>
                <w:szCs w:val="19"/>
                <w:b w:val="1"/>
                <w:bCs w:val="1"/>
                <w:i w:val="1"/>
                <w:iCs w:val="1"/>
                <w:color w:val="auto"/>
              </w:rPr>
              <w:t>Principal Financial Officer:</w:t>
            </w:r>
          </w:p>
        </w:tc>
        <w:tc>
          <w:tcPr>
            <w:tcW w:w="4600" w:type="dxa"/>
            <w:vAlign w:val="bottom"/>
          </w:tcPr>
          <w:p>
            <w:pPr>
              <w:spacing w:after="0"/>
              <w:rPr>
                <w:sz w:val="24"/>
                <w:szCs w:val="24"/>
                <w:color w:val="auto"/>
              </w:rPr>
            </w:pPr>
          </w:p>
        </w:tc>
      </w:tr>
      <w:tr>
        <w:trPr>
          <w:trHeight w:val="279"/>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HARLES</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UTLER</w:t>
            </w:r>
          </w:p>
        </w:tc>
        <w:tc>
          <w:tcPr>
            <w:tcW w:w="4600" w:type="dxa"/>
            <w:vAlign w:val="bottom"/>
          </w:tcPr>
          <w:p>
            <w:pPr>
              <w:ind w:left="140"/>
              <w:spacing w:after="0"/>
              <w:rPr>
                <w:sz w:val="20"/>
                <w:szCs w:val="20"/>
                <w:color w:val="auto"/>
              </w:rPr>
            </w:pPr>
            <w:r>
              <w:rPr>
                <w:rFonts w:ascii="Arial" w:cs="Arial" w:eastAsia="Arial" w:hAnsi="Arial"/>
                <w:sz w:val="19"/>
                <w:szCs w:val="19"/>
                <w:b w:val="1"/>
                <w:bCs w:val="1"/>
                <w:color w:val="auto"/>
                <w:w w:val="94"/>
              </w:rPr>
              <w:t>Executive Vice President and Chief Financial Officer</w:t>
            </w:r>
          </w:p>
        </w:tc>
      </w:tr>
      <w:tr>
        <w:trPr>
          <w:trHeight w:val="233"/>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Charles Butler</w:t>
            </w:r>
          </w:p>
        </w:tc>
        <w:tc>
          <w:tcPr>
            <w:tcW w:w="4600" w:type="dxa"/>
            <w:vAlign w:val="bottom"/>
          </w:tcPr>
          <w:p>
            <w:pPr>
              <w:spacing w:after="0"/>
              <w:rPr>
                <w:sz w:val="20"/>
                <w:szCs w:val="20"/>
                <w:color w:val="auto"/>
              </w:rPr>
            </w:pPr>
          </w:p>
        </w:tc>
      </w:tr>
      <w:tr>
        <w:trPr>
          <w:trHeight w:val="341"/>
        </w:trPr>
        <w:tc>
          <w:tcPr>
            <w:tcW w:w="3780" w:type="dxa"/>
            <w:vAlign w:val="bottom"/>
            <w:gridSpan w:val="2"/>
          </w:tcPr>
          <w:p>
            <w:pPr>
              <w:ind w:left="60"/>
              <w:spacing w:after="0"/>
              <w:rPr>
                <w:sz w:val="20"/>
                <w:szCs w:val="20"/>
                <w:color w:val="auto"/>
              </w:rPr>
            </w:pPr>
            <w:r>
              <w:rPr>
                <w:rFonts w:ascii="Arial" w:cs="Arial" w:eastAsia="Arial" w:hAnsi="Arial"/>
                <w:sz w:val="19"/>
                <w:szCs w:val="19"/>
                <w:b w:val="1"/>
                <w:bCs w:val="1"/>
                <w:i w:val="1"/>
                <w:iCs w:val="1"/>
                <w:color w:val="auto"/>
              </w:rPr>
              <w:t>Principal Accounting Officer:</w:t>
            </w:r>
          </w:p>
        </w:tc>
        <w:tc>
          <w:tcPr>
            <w:tcW w:w="4600" w:type="dxa"/>
            <w:vAlign w:val="bottom"/>
          </w:tcPr>
          <w:p>
            <w:pPr>
              <w:spacing w:after="0"/>
              <w:rPr>
                <w:sz w:val="24"/>
                <w:szCs w:val="24"/>
                <w:color w:val="auto"/>
              </w:rPr>
            </w:pPr>
          </w:p>
        </w:tc>
      </w:tr>
      <w:tr>
        <w:trPr>
          <w:trHeight w:val="281"/>
        </w:trPr>
        <w:tc>
          <w:tcPr>
            <w:tcW w:w="340" w:type="dxa"/>
            <w:vAlign w:val="bottom"/>
          </w:tcPr>
          <w:p>
            <w:pPr>
              <w:ind w:left="60"/>
              <w:spacing w:after="0"/>
              <w:rPr>
                <w:sz w:val="20"/>
                <w:szCs w:val="20"/>
                <w:color w:val="auto"/>
              </w:rPr>
            </w:pPr>
            <w:r>
              <w:rPr>
                <w:rFonts w:ascii="Arial" w:cs="Arial" w:eastAsia="Arial" w:hAnsi="Arial"/>
                <w:sz w:val="19"/>
                <w:szCs w:val="19"/>
                <w:b w:val="1"/>
                <w:bCs w:val="1"/>
                <w:color w:val="auto"/>
              </w:rPr>
              <w:t>/s/</w:t>
            </w:r>
          </w:p>
        </w:tc>
        <w:tc>
          <w:tcPr>
            <w:tcW w:w="3440" w:type="dxa"/>
            <w:vAlign w:val="bottom"/>
          </w:tcPr>
          <w:p>
            <w:pPr>
              <w:ind w:left="14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5"/>
                <w:szCs w:val="15"/>
                <w:b w:val="1"/>
                <w:bCs w:val="1"/>
                <w:color w:val="auto"/>
              </w:rPr>
              <w:t>ILLIAM</w:t>
            </w:r>
            <w:r>
              <w:rPr>
                <w:rFonts w:ascii="Arial" w:cs="Arial" w:eastAsia="Arial" w:hAnsi="Arial"/>
                <w:sz w:val="19"/>
                <w:szCs w:val="19"/>
                <w:b w:val="1"/>
                <w:bCs w:val="1"/>
                <w:color w:val="auto"/>
              </w:rPr>
              <w:t xml:space="preserve"> T</w:t>
            </w:r>
            <w:r>
              <w:rPr>
                <w:rFonts w:ascii="Arial" w:cs="Arial" w:eastAsia="Arial" w:hAnsi="Arial"/>
                <w:sz w:val="15"/>
                <w:szCs w:val="15"/>
                <w:b w:val="1"/>
                <w:bCs w:val="1"/>
                <w:color w:val="auto"/>
              </w:rPr>
              <w:t>WOMEY</w:t>
            </w:r>
          </w:p>
        </w:tc>
        <w:tc>
          <w:tcPr>
            <w:tcW w:w="4600" w:type="dxa"/>
            <w:vAlign w:val="bottom"/>
          </w:tcPr>
          <w:p>
            <w:pPr>
              <w:ind w:left="140"/>
              <w:spacing w:after="0"/>
              <w:rPr>
                <w:sz w:val="20"/>
                <w:szCs w:val="20"/>
                <w:color w:val="auto"/>
              </w:rPr>
            </w:pPr>
            <w:r>
              <w:rPr>
                <w:rFonts w:ascii="Arial" w:cs="Arial" w:eastAsia="Arial" w:hAnsi="Arial"/>
                <w:sz w:val="19"/>
                <w:szCs w:val="19"/>
                <w:b w:val="1"/>
                <w:bCs w:val="1"/>
                <w:color w:val="auto"/>
              </w:rPr>
              <w:t>Vice President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2402205" cy="12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2402205" cy="12065"/>
                    </a:xfrm>
                    <a:prstGeom prst="rect">
                      <a:avLst/>
                    </a:prstGeom>
                    <a:noFill/>
                  </pic:spPr>
                </pic:pic>
              </a:graphicData>
            </a:graphic>
          </wp:anchor>
        </w:drawing>
      </w:r>
    </w:p>
    <w:p>
      <w:pPr>
        <w:sectPr>
          <w:pgSz w:w="11880" w:h="15480" w:orient="portrait"/>
          <w:cols w:equalWidth="0" w:num="1">
            <w:col w:w="9820"/>
          </w:cols>
          <w:pgMar w:left="960" w:top="724" w:right="1100" w:bottom="0" w:gutter="0" w:footer="0" w:header="0"/>
        </w:sectPr>
      </w:pP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William Twomey</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9"/>
          <w:szCs w:val="19"/>
          <w:b w:val="1"/>
          <w:bCs w:val="1"/>
          <w:i w:val="1"/>
          <w:iCs w:val="1"/>
          <w:color w:val="auto"/>
        </w:rPr>
        <w:t>Directors:</w:t>
      </w:r>
    </w:p>
    <w:p>
      <w:pPr>
        <w:spacing w:after="0" w:line="71"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6"/>
          <w:szCs w:val="16"/>
          <w:b w:val="1"/>
          <w:bCs w:val="1"/>
          <w:color w:val="auto"/>
        </w:rPr>
        <w:t>/S/</w:t>
      </w:r>
      <w:r>
        <w:rPr>
          <w:sz w:val="20"/>
          <w:szCs w:val="20"/>
          <w:color w:val="auto"/>
        </w:rPr>
        <w:tab/>
      </w:r>
      <w:r>
        <w:rPr>
          <w:rFonts w:ascii="Arial" w:cs="Arial" w:eastAsia="Arial" w:hAnsi="Arial"/>
          <w:sz w:val="19"/>
          <w:szCs w:val="19"/>
          <w:b w:val="1"/>
          <w:bCs w:val="1"/>
          <w:color w:val="auto"/>
        </w:rPr>
        <w:t>A. S</w:t>
      </w:r>
      <w:r>
        <w:rPr>
          <w:rFonts w:ascii="Arial" w:cs="Arial" w:eastAsia="Arial" w:hAnsi="Arial"/>
          <w:sz w:val="15"/>
          <w:szCs w:val="15"/>
          <w:b w:val="1"/>
          <w:bCs w:val="1"/>
          <w:color w:val="auto"/>
        </w:rPr>
        <w:t>COTT</w:t>
      </w:r>
      <w:r>
        <w:rPr>
          <w:rFonts w:ascii="Arial" w:cs="Arial" w:eastAsia="Arial" w:hAnsi="Arial"/>
          <w:sz w:val="19"/>
          <w:szCs w:val="19"/>
          <w:b w:val="1"/>
          <w:bCs w:val="1"/>
          <w:color w:val="auto"/>
        </w:rPr>
        <w:t xml:space="preserve"> L</w:t>
      </w:r>
      <w:r>
        <w:rPr>
          <w:rFonts w:ascii="Arial" w:cs="Arial" w:eastAsia="Arial" w:hAnsi="Arial"/>
          <w:sz w:val="15"/>
          <w:szCs w:val="15"/>
          <w:b w:val="1"/>
          <w:bCs w:val="1"/>
          <w:color w:val="auto"/>
        </w:rPr>
        <w:t>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402205" cy="12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2402205" cy="12065"/>
                    </a:xfrm>
                    <a:prstGeom prst="rect">
                      <a:avLst/>
                    </a:prstGeom>
                    <a:noFill/>
                  </pic:spPr>
                </pic:pic>
              </a:graphicData>
            </a:graphic>
          </wp:anchor>
        </w:drawing>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 Scott Letier</w:t>
      </w:r>
    </w:p>
    <w:p>
      <w:pPr>
        <w:spacing w:after="0" w:line="60"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6"/>
          <w:szCs w:val="16"/>
          <w:b w:val="1"/>
          <w:bCs w:val="1"/>
          <w:color w:val="auto"/>
        </w:rPr>
        <w:t>/S/</w:t>
      </w:r>
      <w:r>
        <w:rPr>
          <w:sz w:val="20"/>
          <w:szCs w:val="20"/>
          <w:color w:val="auto"/>
        </w:rPr>
        <w:tab/>
      </w:r>
      <w:r>
        <w:rPr>
          <w:rFonts w:ascii="Arial" w:cs="Arial" w:eastAsia="Arial" w:hAnsi="Arial"/>
          <w:sz w:val="19"/>
          <w:szCs w:val="19"/>
          <w:b w:val="1"/>
          <w:bCs w:val="1"/>
          <w:color w:val="auto"/>
        </w:rPr>
        <w:t>J</w:t>
      </w:r>
      <w:r>
        <w:rPr>
          <w:rFonts w:ascii="Arial" w:cs="Arial" w:eastAsia="Arial" w:hAnsi="Arial"/>
          <w:sz w:val="15"/>
          <w:szCs w:val="15"/>
          <w:b w:val="1"/>
          <w:bCs w:val="1"/>
          <w:color w:val="auto"/>
        </w:rPr>
        <w:t>OHN</w:t>
      </w:r>
      <w:r>
        <w:rPr>
          <w:rFonts w:ascii="Arial" w:cs="Arial" w:eastAsia="Arial" w:hAnsi="Arial"/>
          <w:sz w:val="19"/>
          <w:szCs w:val="19"/>
          <w:b w:val="1"/>
          <w:bCs w:val="1"/>
          <w:color w:val="auto"/>
        </w:rPr>
        <w:t xml:space="preserve"> G. B</w:t>
      </w:r>
      <w:r>
        <w:rPr>
          <w:rFonts w:ascii="Arial" w:cs="Arial" w:eastAsia="Arial" w:hAnsi="Arial"/>
          <w:sz w:val="15"/>
          <w:szCs w:val="15"/>
          <w:b w:val="1"/>
          <w:bCs w:val="1"/>
          <w:color w:val="auto"/>
        </w:rPr>
        <w:t>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402205" cy="120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2402205" cy="12065"/>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John G. Bruno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Chairman and Director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w:t>
      </w:r>
    </w:p>
    <w:p>
      <w:pPr>
        <w:spacing w:after="0" w:line="349" w:lineRule="exact"/>
        <w:rPr>
          <w:sz w:val="20"/>
          <w:szCs w:val="20"/>
          <w:color w:val="auto"/>
        </w:rPr>
      </w:pPr>
    </w:p>
    <w:p>
      <w:pPr>
        <w:sectPr>
          <w:pgSz w:w="11880" w:h="15480" w:orient="portrait"/>
          <w:cols w:equalWidth="0" w:num="2">
            <w:col w:w="3200" w:space="720"/>
            <w:col w:w="5900"/>
          </w:cols>
          <w:pgMar w:left="960" w:top="724" w:right="1100" w:bottom="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5"/>
                <w:szCs w:val="15"/>
                <w:b w:val="1"/>
                <w:bCs w:val="1"/>
                <w:color w:val="auto"/>
              </w:rPr>
              <w:t>AMI</w:t>
            </w:r>
            <w:r>
              <w:rPr>
                <w:rFonts w:ascii="Arial" w:cs="Arial" w:eastAsia="Arial" w:hAnsi="Arial"/>
                <w:sz w:val="19"/>
                <w:szCs w:val="19"/>
                <w:b w:val="1"/>
                <w:bCs w:val="1"/>
                <w:color w:val="auto"/>
              </w:rPr>
              <w:t xml:space="preserve"> A. E</w:t>
            </w:r>
            <w:r>
              <w:rPr>
                <w:rFonts w:ascii="Arial" w:cs="Arial" w:eastAsia="Arial" w:hAnsi="Arial"/>
                <w:sz w:val="15"/>
                <w:szCs w:val="15"/>
                <w:b w:val="1"/>
                <w:bCs w:val="1"/>
                <w:color w:val="auto"/>
              </w:rPr>
              <w:t>RWIN</w:t>
            </w:r>
          </w:p>
        </w:tc>
        <w:tc>
          <w:tcPr>
            <w:tcW w:w="800" w:type="dxa"/>
            <w:vAlign w:val="bottom"/>
          </w:tcPr>
          <w:p>
            <w:pPr>
              <w:ind w:left="140"/>
              <w:spacing w:after="0"/>
              <w:rPr>
                <w:sz w:val="20"/>
                <w:szCs w:val="20"/>
                <w:color w:val="auto"/>
              </w:rPr>
            </w:pPr>
            <w:r>
              <w:rPr>
                <w:rFonts w:ascii="Arial" w:cs="Arial" w:eastAsia="Arial" w:hAnsi="Arial"/>
                <w:sz w:val="19"/>
                <w:szCs w:val="19"/>
                <w:b w:val="1"/>
                <w:bCs w:val="1"/>
                <w:color w:val="auto"/>
                <w:w w:val="87"/>
              </w:rPr>
              <w:t>Director</w:t>
            </w:r>
          </w:p>
        </w:tc>
      </w:tr>
      <w:tr>
        <w:trPr>
          <w:trHeight w:val="277"/>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Tami A. Erwin</w:t>
            </w:r>
          </w:p>
        </w:tc>
        <w:tc>
          <w:tcPr>
            <w:tcW w:w="800" w:type="dxa"/>
            <w:vAlign w:val="bottom"/>
          </w:tcPr>
          <w:p>
            <w:pPr>
              <w:spacing w:after="0"/>
              <w:rPr>
                <w:sz w:val="24"/>
                <w:szCs w:val="24"/>
                <w:color w:val="auto"/>
              </w:rPr>
            </w:pPr>
          </w:p>
        </w:tc>
      </w:tr>
      <w:tr>
        <w:trPr>
          <w:trHeight w:val="300"/>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P</w:t>
            </w:r>
            <w:r>
              <w:rPr>
                <w:rFonts w:ascii="Arial" w:cs="Arial" w:eastAsia="Arial" w:hAnsi="Arial"/>
                <w:sz w:val="15"/>
                <w:szCs w:val="15"/>
                <w:b w:val="1"/>
                <w:bCs w:val="1"/>
                <w:color w:val="auto"/>
              </w:rPr>
              <w:t>RISCILLA</w:t>
            </w:r>
            <w:r>
              <w:rPr>
                <w:rFonts w:ascii="Arial" w:cs="Arial" w:eastAsia="Arial" w:hAnsi="Arial"/>
                <w:sz w:val="19"/>
                <w:szCs w:val="19"/>
                <w:b w:val="1"/>
                <w:bCs w:val="1"/>
                <w:color w:val="auto"/>
              </w:rPr>
              <w:t xml:space="preserve"> H</w:t>
            </w:r>
            <w:r>
              <w:rPr>
                <w:rFonts w:ascii="Arial" w:cs="Arial" w:eastAsia="Arial" w:hAnsi="Arial"/>
                <w:sz w:val="15"/>
                <w:szCs w:val="15"/>
                <w:b w:val="1"/>
                <w:bCs w:val="1"/>
                <w:color w:val="auto"/>
              </w:rPr>
              <w:t>UNG</w:t>
            </w:r>
          </w:p>
        </w:tc>
        <w:tc>
          <w:tcPr>
            <w:tcW w:w="800" w:type="dxa"/>
            <w:vAlign w:val="bottom"/>
          </w:tcPr>
          <w:p>
            <w:pPr>
              <w:ind w:left="140"/>
              <w:spacing w:after="0"/>
              <w:rPr>
                <w:sz w:val="20"/>
                <w:szCs w:val="20"/>
                <w:color w:val="auto"/>
              </w:rPr>
            </w:pPr>
            <w:r>
              <w:rPr>
                <w:rFonts w:ascii="Arial" w:cs="Arial" w:eastAsia="Arial" w:hAnsi="Arial"/>
                <w:sz w:val="19"/>
                <w:szCs w:val="19"/>
                <w:b w:val="1"/>
                <w:bCs w:val="1"/>
                <w:color w:val="auto"/>
                <w:w w:val="87"/>
              </w:rPr>
              <w:t>Director</w:t>
            </w:r>
          </w:p>
        </w:tc>
      </w:tr>
      <w:tr>
        <w:trPr>
          <w:trHeight w:val="277"/>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Priscilla Hung</w:t>
            </w:r>
          </w:p>
        </w:tc>
        <w:tc>
          <w:tcPr>
            <w:tcW w:w="800" w:type="dxa"/>
            <w:vAlign w:val="bottom"/>
          </w:tcPr>
          <w:p>
            <w:pPr>
              <w:spacing w:after="0"/>
              <w:rPr>
                <w:sz w:val="24"/>
                <w:szCs w:val="24"/>
                <w:color w:val="auto"/>
              </w:rPr>
            </w:pPr>
          </w:p>
        </w:tc>
      </w:tr>
      <w:tr>
        <w:trPr>
          <w:trHeight w:val="285"/>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ICHELLE</w:t>
            </w:r>
            <w:r>
              <w:rPr>
                <w:rFonts w:ascii="Arial" w:cs="Arial" w:eastAsia="Arial" w:hAnsi="Arial"/>
                <w:sz w:val="19"/>
                <w:szCs w:val="19"/>
                <w:b w:val="1"/>
                <w:bCs w:val="1"/>
                <w:color w:val="auto"/>
              </w:rPr>
              <w:t xml:space="preserve"> M</w:t>
            </w:r>
            <w:r>
              <w:rPr>
                <w:rFonts w:ascii="Arial" w:cs="Arial" w:eastAsia="Arial" w:hAnsi="Arial"/>
                <w:sz w:val="15"/>
                <w:szCs w:val="15"/>
                <w:b w:val="1"/>
                <w:bCs w:val="1"/>
                <w:color w:val="auto"/>
              </w:rPr>
              <w:t>AYNARD-</w:t>
            </w:r>
            <w:r>
              <w:rPr>
                <w:rFonts w:ascii="Arial" w:cs="Arial" w:eastAsia="Arial" w:hAnsi="Arial"/>
                <w:sz w:val="19"/>
                <w:szCs w:val="19"/>
                <w:b w:val="1"/>
                <w:bCs w:val="1"/>
                <w:color w:val="auto"/>
              </w:rPr>
              <w:t>E</w:t>
            </w:r>
            <w:r>
              <w:rPr>
                <w:rFonts w:ascii="Arial" w:cs="Arial" w:eastAsia="Arial" w:hAnsi="Arial"/>
                <w:sz w:val="15"/>
                <w:szCs w:val="15"/>
                <w:b w:val="1"/>
                <w:bCs w:val="1"/>
                <w:color w:val="auto"/>
              </w:rPr>
              <w:t>LLIOTT</w:t>
            </w:r>
          </w:p>
        </w:tc>
        <w:tc>
          <w:tcPr>
            <w:tcW w:w="800" w:type="dxa"/>
            <w:vAlign w:val="bottom"/>
          </w:tcPr>
          <w:p>
            <w:pPr>
              <w:ind w:left="140"/>
              <w:spacing w:after="0"/>
              <w:rPr>
                <w:sz w:val="20"/>
                <w:szCs w:val="20"/>
                <w:color w:val="auto"/>
              </w:rPr>
            </w:pPr>
            <w:r>
              <w:rPr>
                <w:rFonts w:ascii="Arial" w:cs="Arial" w:eastAsia="Arial" w:hAnsi="Arial"/>
                <w:sz w:val="19"/>
                <w:szCs w:val="19"/>
                <w:b w:val="1"/>
                <w:bCs w:val="1"/>
                <w:color w:val="auto"/>
                <w:w w:val="87"/>
              </w:rPr>
              <w:t>Director</w:t>
            </w:r>
          </w:p>
        </w:tc>
      </w:tr>
      <w:tr>
        <w:trPr>
          <w:trHeight w:val="277"/>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Nichelle Maynard-Elliott</w:t>
            </w:r>
          </w:p>
        </w:tc>
        <w:tc>
          <w:tcPr>
            <w:tcW w:w="800" w:type="dxa"/>
            <w:vAlign w:val="bottom"/>
          </w:tcPr>
          <w:p>
            <w:pPr>
              <w:spacing w:after="0"/>
              <w:rPr>
                <w:sz w:val="24"/>
                <w:szCs w:val="24"/>
                <w:color w:val="auto"/>
              </w:rPr>
            </w:pPr>
          </w:p>
        </w:tc>
      </w:tr>
      <w:tr>
        <w:trPr>
          <w:trHeight w:val="285"/>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5"/>
                <w:szCs w:val="15"/>
                <w:b w:val="1"/>
                <w:bCs w:val="1"/>
                <w:color w:val="auto"/>
              </w:rPr>
              <w:t>DWARD</w:t>
            </w:r>
            <w:r>
              <w:rPr>
                <w:rFonts w:ascii="Arial" w:cs="Arial" w:eastAsia="Arial" w:hAnsi="Arial"/>
                <w:sz w:val="19"/>
                <w:szCs w:val="19"/>
                <w:b w:val="1"/>
                <w:bCs w:val="1"/>
                <w:color w:val="auto"/>
              </w:rPr>
              <w:t xml:space="preserve"> G. M</w:t>
            </w:r>
            <w:r>
              <w:rPr>
                <w:rFonts w:ascii="Arial" w:cs="Arial" w:eastAsia="Arial" w:hAnsi="Arial"/>
                <w:sz w:val="15"/>
                <w:szCs w:val="15"/>
                <w:b w:val="1"/>
                <w:bCs w:val="1"/>
                <w:color w:val="auto"/>
              </w:rPr>
              <w:t>C</w:t>
            </w:r>
            <w:r>
              <w:rPr>
                <w:rFonts w:ascii="Arial" w:cs="Arial" w:eastAsia="Arial" w:hAnsi="Arial"/>
                <w:sz w:val="19"/>
                <w:szCs w:val="19"/>
                <w:b w:val="1"/>
                <w:bCs w:val="1"/>
                <w:color w:val="auto"/>
              </w:rPr>
              <w:t>L</w:t>
            </w:r>
            <w:r>
              <w:rPr>
                <w:rFonts w:ascii="Arial" w:cs="Arial" w:eastAsia="Arial" w:hAnsi="Arial"/>
                <w:sz w:val="15"/>
                <w:szCs w:val="15"/>
                <w:b w:val="1"/>
                <w:bCs w:val="1"/>
                <w:color w:val="auto"/>
              </w:rPr>
              <w:t>AUGHLIN</w:t>
            </w:r>
          </w:p>
        </w:tc>
        <w:tc>
          <w:tcPr>
            <w:tcW w:w="800" w:type="dxa"/>
            <w:vAlign w:val="bottom"/>
          </w:tcPr>
          <w:p>
            <w:pPr>
              <w:ind w:left="140"/>
              <w:spacing w:after="0"/>
              <w:rPr>
                <w:sz w:val="20"/>
                <w:szCs w:val="20"/>
                <w:color w:val="auto"/>
              </w:rPr>
            </w:pPr>
            <w:r>
              <w:rPr>
                <w:rFonts w:ascii="Arial" w:cs="Arial" w:eastAsia="Arial" w:hAnsi="Arial"/>
                <w:sz w:val="19"/>
                <w:szCs w:val="19"/>
                <w:b w:val="1"/>
                <w:bCs w:val="1"/>
                <w:color w:val="auto"/>
                <w:w w:val="87"/>
              </w:rPr>
              <w:t>Director</w:t>
            </w:r>
          </w:p>
        </w:tc>
      </w:tr>
      <w:tr>
        <w:trPr>
          <w:trHeight w:val="277"/>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Edward G. McLaughlin</w:t>
            </w:r>
          </w:p>
        </w:tc>
        <w:tc>
          <w:tcPr>
            <w:tcW w:w="800" w:type="dxa"/>
            <w:vAlign w:val="bottom"/>
          </w:tcPr>
          <w:p>
            <w:pPr>
              <w:spacing w:after="0"/>
              <w:rPr>
                <w:sz w:val="24"/>
                <w:szCs w:val="24"/>
                <w:color w:val="auto"/>
              </w:rPr>
            </w:pPr>
          </w:p>
        </w:tc>
      </w:tr>
      <w:tr>
        <w:trPr>
          <w:trHeight w:val="285"/>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J</w:t>
            </w:r>
            <w:r>
              <w:rPr>
                <w:rFonts w:ascii="Arial" w:cs="Arial" w:eastAsia="Arial" w:hAnsi="Arial"/>
                <w:sz w:val="15"/>
                <w:szCs w:val="15"/>
                <w:b w:val="1"/>
                <w:bCs w:val="1"/>
                <w:color w:val="auto"/>
              </w:rPr>
              <w:t>OHN</w:t>
            </w:r>
            <w:r>
              <w:rPr>
                <w:rFonts w:ascii="Arial" w:cs="Arial" w:eastAsia="Arial" w:hAnsi="Arial"/>
                <w:sz w:val="19"/>
                <w:szCs w:val="19"/>
                <w:b w:val="1"/>
                <w:bCs w:val="1"/>
                <w:color w:val="auto"/>
              </w:rPr>
              <w:t xml:space="preserve"> J. R</w:t>
            </w:r>
            <w:r>
              <w:rPr>
                <w:rFonts w:ascii="Arial" w:cs="Arial" w:eastAsia="Arial" w:hAnsi="Arial"/>
                <w:sz w:val="15"/>
                <w:szCs w:val="15"/>
                <w:b w:val="1"/>
                <w:bCs w:val="1"/>
                <w:color w:val="auto"/>
              </w:rPr>
              <w:t>OESE</w:t>
            </w:r>
          </w:p>
        </w:tc>
        <w:tc>
          <w:tcPr>
            <w:tcW w:w="800" w:type="dxa"/>
            <w:vAlign w:val="bottom"/>
          </w:tcPr>
          <w:p>
            <w:pPr>
              <w:ind w:left="140"/>
              <w:spacing w:after="0"/>
              <w:rPr>
                <w:sz w:val="20"/>
                <w:szCs w:val="20"/>
                <w:color w:val="auto"/>
              </w:rPr>
            </w:pPr>
            <w:r>
              <w:rPr>
                <w:rFonts w:ascii="Arial" w:cs="Arial" w:eastAsia="Arial" w:hAnsi="Arial"/>
                <w:sz w:val="19"/>
                <w:szCs w:val="19"/>
                <w:b w:val="1"/>
                <w:bCs w:val="1"/>
                <w:color w:val="auto"/>
                <w:w w:val="87"/>
              </w:rPr>
              <w:t>Director</w:t>
            </w:r>
          </w:p>
        </w:tc>
      </w:tr>
      <w:tr>
        <w:trPr>
          <w:trHeight w:val="277"/>
        </w:trPr>
        <w:tc>
          <w:tcPr>
            <w:tcW w:w="3780" w:type="dxa"/>
            <w:vAlign w:val="bottom"/>
            <w:gridSpan w:val="2"/>
          </w:tcPr>
          <w:p>
            <w:pPr>
              <w:ind w:left="60"/>
              <w:spacing w:after="0"/>
              <w:rPr>
                <w:sz w:val="20"/>
                <w:szCs w:val="20"/>
                <w:color w:val="auto"/>
              </w:rPr>
            </w:pPr>
            <w:r>
              <w:rPr>
                <w:rFonts w:ascii="Arial" w:cs="Arial" w:eastAsia="Arial" w:hAnsi="Arial"/>
                <w:sz w:val="16"/>
                <w:szCs w:val="16"/>
                <w:b w:val="1"/>
                <w:bCs w:val="1"/>
                <w:color w:val="auto"/>
              </w:rPr>
              <w:t>John J. Roese</w:t>
            </w:r>
          </w:p>
        </w:tc>
        <w:tc>
          <w:tcPr>
            <w:tcW w:w="800" w:type="dxa"/>
            <w:vAlign w:val="bottom"/>
          </w:tcPr>
          <w:p>
            <w:pPr>
              <w:spacing w:after="0"/>
              <w:rPr>
                <w:sz w:val="24"/>
                <w:szCs w:val="24"/>
                <w:color w:val="auto"/>
              </w:rPr>
            </w:pPr>
          </w:p>
        </w:tc>
      </w:tr>
      <w:tr>
        <w:trPr>
          <w:trHeight w:val="285"/>
        </w:trPr>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w:t>
            </w:r>
          </w:p>
        </w:tc>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MY</w:t>
            </w:r>
            <w:r>
              <w:rPr>
                <w:rFonts w:ascii="Arial" w:cs="Arial" w:eastAsia="Arial" w:hAnsi="Arial"/>
                <w:sz w:val="19"/>
                <w:szCs w:val="19"/>
                <w:b w:val="1"/>
                <w:bCs w:val="1"/>
                <w:color w:val="auto"/>
              </w:rPr>
              <w:t xml:space="preserve"> S</w:t>
            </w:r>
            <w:r>
              <w:rPr>
                <w:rFonts w:ascii="Arial" w:cs="Arial" w:eastAsia="Arial" w:hAnsi="Arial"/>
                <w:sz w:val="15"/>
                <w:szCs w:val="15"/>
                <w:b w:val="1"/>
                <w:bCs w:val="1"/>
                <w:color w:val="auto"/>
              </w:rPr>
              <w:t>CHWETZ</w:t>
            </w:r>
          </w:p>
        </w:tc>
        <w:tc>
          <w:tcPr>
            <w:tcW w:w="800" w:type="dxa"/>
            <w:vAlign w:val="bottom"/>
          </w:tcPr>
          <w:p>
            <w:pPr>
              <w:ind w:left="140"/>
              <w:spacing w:after="0"/>
              <w:rPr>
                <w:sz w:val="20"/>
                <w:szCs w:val="20"/>
                <w:color w:val="auto"/>
              </w:rPr>
            </w:pPr>
            <w:r>
              <w:rPr>
                <w:rFonts w:ascii="Arial" w:cs="Arial" w:eastAsia="Arial" w:hAnsi="Arial"/>
                <w:sz w:val="19"/>
                <w:szCs w:val="19"/>
                <w:b w:val="1"/>
                <w:bCs w:val="1"/>
                <w:color w:val="auto"/>
                <w:w w:val="87"/>
              </w:rPr>
              <w:t>Director</w:t>
            </w:r>
          </w:p>
        </w:tc>
      </w:tr>
    </w:tbl>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Amy Schwetz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180</w:t>
      </w:r>
    </w:p>
    <w:p>
      <w:pPr>
        <w:sectPr>
          <w:pgSz w:w="11880" w:h="15480" w:orient="portrait"/>
          <w:cols w:equalWidth="0" w:num="1">
            <w:col w:w="9820"/>
          </w:cols>
          <w:pgMar w:left="960" w:top="724" w:right="1100" w:bottom="0" w:gutter="0" w:footer="0" w:header="0"/>
          <w:type w:val="continuous"/>
        </w:sectPr>
      </w:pPr>
    </w:p>
    <w:bookmarkStart w:id="190" w:name="page191"/>
    <w:bookmarkEnd w:id="190"/>
    <w:p>
      <w:pPr>
        <w:spacing w:after="0"/>
        <w:rPr>
          <w:sz w:val="20"/>
          <w:szCs w:val="20"/>
          <w:color w:val="auto"/>
        </w:rPr>
      </w:pPr>
      <w:r>
        <w:rPr>
          <w:rFonts w:ascii="Arial" w:cs="Arial" w:eastAsia="Arial" w:hAnsi="Arial"/>
          <w:sz w:val="23"/>
          <w:szCs w:val="23"/>
          <w:b w:val="1"/>
          <w:bCs w:val="1"/>
          <w:color w:val="DA2031"/>
        </w:rPr>
        <w:t>Signatures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DA2031"/>
        </w:rPr>
        <w:t>Xerox Corporation</w:t>
      </w:r>
    </w:p>
    <w:p>
      <w:pPr>
        <w:spacing w:after="0" w:line="190"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XEROX CORPORATION</w:t>
      </w:r>
    </w:p>
    <w:p>
      <w:pPr>
        <w:spacing w:after="0" w:line="73"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6"/>
          <w:szCs w:val="16"/>
          <w:b w:val="1"/>
          <w:bCs w:val="1"/>
          <w:color w:val="auto"/>
        </w:rPr>
        <w:t>/S/</w:t>
      </w:r>
      <w:r>
        <w:rPr>
          <w:sz w:val="20"/>
          <w:szCs w:val="20"/>
          <w:color w:val="auto"/>
        </w:rPr>
        <w:tab/>
      </w:r>
      <w:r>
        <w:rPr>
          <w:rFonts w:ascii="Arial" w:cs="Arial" w:eastAsia="Arial" w:hAnsi="Arial"/>
          <w:sz w:val="19"/>
          <w:szCs w:val="19"/>
          <w:b w:val="1"/>
          <w:bCs w:val="1"/>
          <w:color w:val="auto"/>
        </w:rPr>
        <w:t>S</w:t>
      </w:r>
      <w:r>
        <w:rPr>
          <w:rFonts w:ascii="Arial" w:cs="Arial" w:eastAsia="Arial" w:hAnsi="Arial"/>
          <w:sz w:val="15"/>
          <w:szCs w:val="15"/>
          <w:b w:val="1"/>
          <w:bCs w:val="1"/>
          <w:color w:val="auto"/>
        </w:rPr>
        <w:t>TEVEN</w:t>
      </w:r>
      <w:r>
        <w:rPr>
          <w:rFonts w:ascii="Arial" w:cs="Arial" w:eastAsia="Arial" w:hAnsi="Arial"/>
          <w:sz w:val="19"/>
          <w:szCs w:val="19"/>
          <w:b w:val="1"/>
          <w:bCs w:val="1"/>
          <w:color w:val="auto"/>
        </w:rPr>
        <w:t xml:space="preserve"> J</w:t>
      </w:r>
      <w:r>
        <w:rPr>
          <w:rFonts w:ascii="Arial" w:cs="Arial" w:eastAsia="Arial" w:hAnsi="Arial"/>
          <w:sz w:val="15"/>
          <w:szCs w:val="15"/>
          <w:b w:val="1"/>
          <w:bCs w:val="1"/>
          <w:color w:val="auto"/>
        </w:rPr>
        <w:t>.</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ANDROWCZAK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15820" cy="12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2115820" cy="1206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Steven J. Bandrowczak</w:t>
      </w:r>
    </w:p>
    <w:p>
      <w:pPr>
        <w:ind w:left="60"/>
        <w:spacing w:after="0"/>
        <w:rPr>
          <w:sz w:val="20"/>
          <w:szCs w:val="20"/>
          <w:color w:val="auto"/>
        </w:rPr>
      </w:pPr>
      <w:r>
        <w:rPr>
          <w:rFonts w:ascii="Arial" w:cs="Arial" w:eastAsia="Arial" w:hAnsi="Arial"/>
          <w:sz w:val="16"/>
          <w:szCs w:val="16"/>
          <w:b w:val="1"/>
          <w:bCs w:val="1"/>
          <w:color w:val="auto"/>
        </w:rPr>
        <w:t>Chief Executive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 indicated.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16, 2026</w:t>
      </w: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68"/>
        </w:trPr>
        <w:tc>
          <w:tcPr>
            <w:tcW w:w="3780" w:type="dxa"/>
            <w:vAlign w:val="bottom"/>
            <w:gridSpan w:val="2"/>
          </w:tcPr>
          <w:p>
            <w:pPr>
              <w:ind w:left="40"/>
              <w:spacing w:after="0"/>
              <w:rPr>
                <w:sz w:val="20"/>
                <w:szCs w:val="20"/>
                <w:color w:val="auto"/>
              </w:rPr>
            </w:pPr>
            <w:r>
              <w:rPr>
                <w:rFonts w:ascii="Arial" w:cs="Arial" w:eastAsia="Arial" w:hAnsi="Arial"/>
                <w:sz w:val="19"/>
                <w:szCs w:val="19"/>
                <w:b w:val="1"/>
                <w:bCs w:val="1"/>
                <w:color w:val="auto"/>
              </w:rPr>
              <w:t>Signature</w:t>
            </w:r>
          </w:p>
        </w:tc>
        <w:tc>
          <w:tcPr>
            <w:tcW w:w="4600" w:type="dxa"/>
            <w:vAlign w:val="bottom"/>
          </w:tcPr>
          <w:p>
            <w:pPr>
              <w:ind w:left="120"/>
              <w:spacing w:after="0"/>
              <w:rPr>
                <w:sz w:val="20"/>
                <w:szCs w:val="20"/>
                <w:color w:val="auto"/>
              </w:rPr>
            </w:pPr>
            <w:r>
              <w:rPr>
                <w:rFonts w:ascii="Arial" w:cs="Arial" w:eastAsia="Arial" w:hAnsi="Arial"/>
                <w:sz w:val="19"/>
                <w:szCs w:val="19"/>
                <w:b w:val="1"/>
                <w:bCs w:val="1"/>
                <w:color w:val="auto"/>
              </w:rPr>
              <w:t>Title</w:t>
            </w:r>
          </w:p>
        </w:tc>
      </w:tr>
      <w:tr>
        <w:trPr>
          <w:trHeight w:val="291"/>
        </w:trPr>
        <w:tc>
          <w:tcPr>
            <w:tcW w:w="378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Principal Executive Officer:</w:t>
            </w:r>
          </w:p>
        </w:tc>
        <w:tc>
          <w:tcPr>
            <w:tcW w:w="4600" w:type="dxa"/>
            <w:vAlign w:val="bottom"/>
          </w:tcPr>
          <w:p>
            <w:pPr>
              <w:spacing w:after="0"/>
              <w:rPr>
                <w:sz w:val="24"/>
                <w:szCs w:val="24"/>
                <w:color w:val="auto"/>
              </w:rPr>
            </w:pPr>
          </w:p>
        </w:tc>
      </w:tr>
      <w:tr>
        <w:trPr>
          <w:trHeight w:val="279"/>
        </w:trPr>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9"/>
                <w:szCs w:val="19"/>
                <w:b w:val="1"/>
                <w:bCs w:val="1"/>
                <w:color w:val="auto"/>
              </w:rPr>
              <w:t>S</w:t>
            </w:r>
            <w:r>
              <w:rPr>
                <w:rFonts w:ascii="Arial" w:cs="Arial" w:eastAsia="Arial" w:hAnsi="Arial"/>
                <w:sz w:val="15"/>
                <w:szCs w:val="15"/>
                <w:b w:val="1"/>
                <w:bCs w:val="1"/>
                <w:color w:val="auto"/>
              </w:rPr>
              <w:t>TEVEN</w:t>
            </w:r>
            <w:r>
              <w:rPr>
                <w:rFonts w:ascii="Arial" w:cs="Arial" w:eastAsia="Arial" w:hAnsi="Arial"/>
                <w:sz w:val="19"/>
                <w:szCs w:val="19"/>
                <w:b w:val="1"/>
                <w:bCs w:val="1"/>
                <w:color w:val="auto"/>
              </w:rPr>
              <w:t xml:space="preserve"> J</w:t>
            </w:r>
            <w:r>
              <w:rPr>
                <w:rFonts w:ascii="Arial" w:cs="Arial" w:eastAsia="Arial" w:hAnsi="Arial"/>
                <w:sz w:val="15"/>
                <w:szCs w:val="15"/>
                <w:b w:val="1"/>
                <w:bCs w:val="1"/>
                <w:color w:val="auto"/>
              </w:rPr>
              <w:t>.</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ANDROWCZAK</w:t>
            </w:r>
          </w:p>
        </w:tc>
        <w:tc>
          <w:tcPr>
            <w:tcW w:w="4600" w:type="dxa"/>
            <w:vAlign w:val="bottom"/>
          </w:tcPr>
          <w:p>
            <w:pPr>
              <w:ind w:left="120"/>
              <w:spacing w:after="0"/>
              <w:rPr>
                <w:sz w:val="20"/>
                <w:szCs w:val="20"/>
                <w:color w:val="auto"/>
              </w:rPr>
            </w:pPr>
            <w:r>
              <w:rPr>
                <w:rFonts w:ascii="Arial" w:cs="Arial" w:eastAsia="Arial" w:hAnsi="Arial"/>
                <w:sz w:val="19"/>
                <w:szCs w:val="19"/>
                <w:b w:val="1"/>
                <w:bCs w:val="1"/>
                <w:color w:val="auto"/>
              </w:rPr>
              <w:t>Chief Executive Officer and Director</w:t>
            </w:r>
          </w:p>
        </w:tc>
      </w:tr>
      <w:tr>
        <w:trPr>
          <w:trHeight w:val="233"/>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Steven J. Bandrowczak</w:t>
            </w:r>
          </w:p>
        </w:tc>
        <w:tc>
          <w:tcPr>
            <w:tcW w:w="4600" w:type="dxa"/>
            <w:vAlign w:val="bottom"/>
          </w:tcPr>
          <w:p>
            <w:pPr>
              <w:spacing w:after="0"/>
              <w:rPr>
                <w:sz w:val="20"/>
                <w:szCs w:val="20"/>
                <w:color w:val="auto"/>
              </w:rPr>
            </w:pPr>
          </w:p>
        </w:tc>
      </w:tr>
      <w:tr>
        <w:trPr>
          <w:trHeight w:val="341"/>
        </w:trPr>
        <w:tc>
          <w:tcPr>
            <w:tcW w:w="378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Principal Financial Officer:</w:t>
            </w:r>
          </w:p>
        </w:tc>
        <w:tc>
          <w:tcPr>
            <w:tcW w:w="4600" w:type="dxa"/>
            <w:vAlign w:val="bottom"/>
          </w:tcPr>
          <w:p>
            <w:pPr>
              <w:spacing w:after="0"/>
              <w:rPr>
                <w:sz w:val="24"/>
                <w:szCs w:val="24"/>
                <w:color w:val="auto"/>
              </w:rPr>
            </w:pPr>
          </w:p>
        </w:tc>
      </w:tr>
      <w:tr>
        <w:trPr>
          <w:trHeight w:val="279"/>
        </w:trPr>
        <w:tc>
          <w:tcPr>
            <w:tcW w:w="3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/s/</w:t>
            </w: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HARLES</w:t>
            </w:r>
            <w:r>
              <w:rPr>
                <w:rFonts w:ascii="Arial" w:cs="Arial" w:eastAsia="Arial" w:hAnsi="Arial"/>
                <w:sz w:val="19"/>
                <w:szCs w:val="19"/>
                <w:b w:val="1"/>
                <w:bCs w:val="1"/>
                <w:color w:val="auto"/>
              </w:rPr>
              <w:t xml:space="preserve"> B</w:t>
            </w:r>
            <w:r>
              <w:rPr>
                <w:rFonts w:ascii="Arial" w:cs="Arial" w:eastAsia="Arial" w:hAnsi="Arial"/>
                <w:sz w:val="15"/>
                <w:szCs w:val="15"/>
                <w:b w:val="1"/>
                <w:bCs w:val="1"/>
                <w:color w:val="auto"/>
              </w:rPr>
              <w:t>UTLER</w:t>
            </w:r>
          </w:p>
        </w:tc>
        <w:tc>
          <w:tcPr>
            <w:tcW w:w="4600" w:type="dxa"/>
            <w:vAlign w:val="bottom"/>
          </w:tcPr>
          <w:p>
            <w:pPr>
              <w:ind w:left="120"/>
              <w:spacing w:after="0"/>
              <w:rPr>
                <w:sz w:val="20"/>
                <w:szCs w:val="20"/>
                <w:color w:val="auto"/>
              </w:rPr>
            </w:pPr>
            <w:r>
              <w:rPr>
                <w:rFonts w:ascii="Arial" w:cs="Arial" w:eastAsia="Arial" w:hAnsi="Arial"/>
                <w:sz w:val="19"/>
                <w:szCs w:val="19"/>
                <w:b w:val="1"/>
                <w:bCs w:val="1"/>
                <w:color w:val="auto"/>
                <w:w w:val="94"/>
              </w:rPr>
              <w:t>Executive Vice President and Chief Financial Officer</w:t>
            </w:r>
          </w:p>
        </w:tc>
      </w:tr>
      <w:tr>
        <w:trPr>
          <w:trHeight w:val="27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Charles Butler</w:t>
            </w:r>
          </w:p>
        </w:tc>
        <w:tc>
          <w:tcPr>
            <w:tcW w:w="4600" w:type="dxa"/>
            <w:vAlign w:val="bottom"/>
          </w:tcPr>
          <w:p>
            <w:pPr>
              <w:spacing w:after="0"/>
              <w:rPr>
                <w:sz w:val="24"/>
                <w:szCs w:val="24"/>
                <w:color w:val="auto"/>
              </w:rPr>
            </w:pPr>
          </w:p>
        </w:tc>
      </w:tr>
      <w:tr>
        <w:trPr>
          <w:trHeight w:val="297"/>
        </w:trPr>
        <w:tc>
          <w:tcPr>
            <w:tcW w:w="378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Principal Accounting Officer:</w:t>
            </w:r>
          </w:p>
        </w:tc>
        <w:tc>
          <w:tcPr>
            <w:tcW w:w="4600" w:type="dxa"/>
            <w:vAlign w:val="bottom"/>
          </w:tcPr>
          <w:p>
            <w:pPr>
              <w:spacing w:after="0"/>
              <w:rPr>
                <w:sz w:val="24"/>
                <w:szCs w:val="24"/>
                <w:color w:val="auto"/>
              </w:rPr>
            </w:pPr>
          </w:p>
        </w:tc>
      </w:tr>
      <w:tr>
        <w:trPr>
          <w:trHeight w:val="281"/>
        </w:trPr>
        <w:tc>
          <w:tcPr>
            <w:tcW w:w="360" w:type="dxa"/>
            <w:vAlign w:val="bottom"/>
          </w:tcPr>
          <w:p>
            <w:pPr>
              <w:ind w:left="40"/>
              <w:spacing w:after="0"/>
              <w:rPr>
                <w:sz w:val="20"/>
                <w:szCs w:val="20"/>
                <w:color w:val="auto"/>
              </w:rPr>
            </w:pPr>
            <w:r>
              <w:rPr>
                <w:rFonts w:ascii="Arial" w:cs="Arial" w:eastAsia="Arial" w:hAnsi="Arial"/>
                <w:sz w:val="19"/>
                <w:szCs w:val="19"/>
                <w:b w:val="1"/>
                <w:bCs w:val="1"/>
                <w:color w:val="auto"/>
              </w:rPr>
              <w:t>/s/</w:t>
            </w:r>
          </w:p>
        </w:tc>
        <w:tc>
          <w:tcPr>
            <w:tcW w:w="3420" w:type="dxa"/>
            <w:vAlign w:val="bottom"/>
          </w:tcPr>
          <w:p>
            <w:pPr>
              <w:ind w:left="10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5"/>
                <w:szCs w:val="15"/>
                <w:b w:val="1"/>
                <w:bCs w:val="1"/>
                <w:color w:val="auto"/>
              </w:rPr>
              <w:t>ILLIAM</w:t>
            </w:r>
            <w:r>
              <w:rPr>
                <w:rFonts w:ascii="Arial" w:cs="Arial" w:eastAsia="Arial" w:hAnsi="Arial"/>
                <w:sz w:val="19"/>
                <w:szCs w:val="19"/>
                <w:b w:val="1"/>
                <w:bCs w:val="1"/>
                <w:color w:val="auto"/>
              </w:rPr>
              <w:t xml:space="preserve"> T</w:t>
            </w:r>
            <w:r>
              <w:rPr>
                <w:rFonts w:ascii="Arial" w:cs="Arial" w:eastAsia="Arial" w:hAnsi="Arial"/>
                <w:sz w:val="15"/>
                <w:szCs w:val="15"/>
                <w:b w:val="1"/>
                <w:bCs w:val="1"/>
                <w:color w:val="auto"/>
              </w:rPr>
              <w:t>WOMEY</w:t>
            </w:r>
          </w:p>
        </w:tc>
        <w:tc>
          <w:tcPr>
            <w:tcW w:w="4600" w:type="dxa"/>
            <w:vAlign w:val="bottom"/>
          </w:tcPr>
          <w:p>
            <w:pPr>
              <w:ind w:left="120"/>
              <w:spacing w:after="0"/>
              <w:rPr>
                <w:sz w:val="20"/>
                <w:szCs w:val="20"/>
                <w:color w:val="auto"/>
              </w:rPr>
            </w:pPr>
            <w:r>
              <w:rPr>
                <w:rFonts w:ascii="Arial" w:cs="Arial" w:eastAsia="Arial" w:hAnsi="Arial"/>
                <w:sz w:val="19"/>
                <w:szCs w:val="19"/>
                <w:b w:val="1"/>
                <w:bCs w:val="1"/>
                <w:color w:val="auto"/>
              </w:rPr>
              <w:t>Vice President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-635</wp:posOffset>
            </wp:positionV>
            <wp:extent cx="2402205" cy="120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2402205" cy="12065"/>
                    </a:xfrm>
                    <a:prstGeom prst="rect">
                      <a:avLst/>
                    </a:prstGeom>
                    <a:noFill/>
                  </pic:spPr>
                </pic:pic>
              </a:graphicData>
            </a:graphic>
          </wp:anchor>
        </w:drawing>
      </w:r>
    </w:p>
    <w:p>
      <w:pPr>
        <w:sectPr>
          <w:pgSz w:w="11880" w:h="15480" w:orient="portrait"/>
          <w:cols w:equalWidth="0" w:num="1">
            <w:col w:w="9820"/>
          </w:cols>
          <w:pgMar w:left="960" w:top="724" w:right="1100" w:bottom="0" w:gutter="0" w:footer="0" w:header="0"/>
        </w:sectPr>
      </w:pPr>
    </w:p>
    <w:p>
      <w:pPr>
        <w:spacing w:after="0" w:line="3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William Twomey</w:t>
      </w: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auto"/>
        </w:rPr>
        <w:t>Directors:</w:t>
      </w:r>
    </w:p>
    <w:p>
      <w:pPr>
        <w:spacing w:after="0" w:line="71"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6"/>
          <w:szCs w:val="16"/>
          <w:b w:val="1"/>
          <w:bCs w:val="1"/>
          <w:color w:val="auto"/>
        </w:rPr>
        <w:t>/S/</w:t>
      </w:r>
      <w:r>
        <w:rPr>
          <w:sz w:val="20"/>
          <w:szCs w:val="20"/>
          <w:color w:val="auto"/>
        </w:rPr>
        <w:tab/>
      </w:r>
      <w:r>
        <w:rPr>
          <w:rFonts w:ascii="Arial" w:cs="Arial" w:eastAsia="Arial" w:hAnsi="Arial"/>
          <w:sz w:val="19"/>
          <w:szCs w:val="19"/>
          <w:b w:val="1"/>
          <w:bCs w:val="1"/>
          <w:color w:val="auto"/>
        </w:rPr>
        <w:t>A. S</w:t>
      </w:r>
      <w:r>
        <w:rPr>
          <w:rFonts w:ascii="Arial" w:cs="Arial" w:eastAsia="Arial" w:hAnsi="Arial"/>
          <w:sz w:val="15"/>
          <w:szCs w:val="15"/>
          <w:b w:val="1"/>
          <w:bCs w:val="1"/>
          <w:color w:val="auto"/>
        </w:rPr>
        <w:t>COTT</w:t>
      </w:r>
      <w:r>
        <w:rPr>
          <w:rFonts w:ascii="Arial" w:cs="Arial" w:eastAsia="Arial" w:hAnsi="Arial"/>
          <w:sz w:val="19"/>
          <w:szCs w:val="19"/>
          <w:b w:val="1"/>
          <w:bCs w:val="1"/>
          <w:color w:val="auto"/>
        </w:rPr>
        <w:t xml:space="preserve"> L</w:t>
      </w:r>
      <w:r>
        <w:rPr>
          <w:rFonts w:ascii="Arial" w:cs="Arial" w:eastAsia="Arial" w:hAnsi="Arial"/>
          <w:sz w:val="15"/>
          <w:szCs w:val="15"/>
          <w:b w:val="1"/>
          <w:bCs w:val="1"/>
          <w:color w:val="auto"/>
        </w:rPr>
        <w:t>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23495</wp:posOffset>
            </wp:positionV>
            <wp:extent cx="2402205" cy="120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2402205" cy="12065"/>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 Scott Letier</w:t>
      </w:r>
    </w:p>
    <w:p>
      <w:pPr>
        <w:spacing w:after="0" w:line="60"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16"/>
          <w:szCs w:val="16"/>
          <w:b w:val="1"/>
          <w:bCs w:val="1"/>
          <w:color w:val="auto"/>
        </w:rPr>
        <w:t>/S/</w:t>
      </w:r>
      <w:r>
        <w:rPr>
          <w:sz w:val="20"/>
          <w:szCs w:val="20"/>
          <w:color w:val="auto"/>
        </w:rPr>
        <w:tab/>
      </w:r>
      <w:r>
        <w:rPr>
          <w:rFonts w:ascii="Arial" w:cs="Arial" w:eastAsia="Arial" w:hAnsi="Arial"/>
          <w:sz w:val="19"/>
          <w:szCs w:val="19"/>
          <w:b w:val="1"/>
          <w:bCs w:val="1"/>
          <w:color w:val="auto"/>
        </w:rPr>
        <w:t>J</w:t>
      </w:r>
      <w:r>
        <w:rPr>
          <w:rFonts w:ascii="Arial" w:cs="Arial" w:eastAsia="Arial" w:hAnsi="Arial"/>
          <w:sz w:val="15"/>
          <w:szCs w:val="15"/>
          <w:b w:val="1"/>
          <w:bCs w:val="1"/>
          <w:color w:val="auto"/>
        </w:rPr>
        <w:t>OHN</w:t>
      </w:r>
      <w:r>
        <w:rPr>
          <w:rFonts w:ascii="Arial" w:cs="Arial" w:eastAsia="Arial" w:hAnsi="Arial"/>
          <w:sz w:val="19"/>
          <w:szCs w:val="19"/>
          <w:b w:val="1"/>
          <w:bCs w:val="1"/>
          <w:color w:val="auto"/>
        </w:rPr>
        <w:t xml:space="preserve"> G. B</w:t>
      </w:r>
      <w:r>
        <w:rPr>
          <w:rFonts w:ascii="Arial" w:cs="Arial" w:eastAsia="Arial" w:hAnsi="Arial"/>
          <w:sz w:val="15"/>
          <w:szCs w:val="15"/>
          <w:b w:val="1"/>
          <w:bCs w:val="1"/>
          <w:color w:val="auto"/>
        </w:rPr>
        <w:t>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23495</wp:posOffset>
            </wp:positionV>
            <wp:extent cx="2402205" cy="120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1">
                      <a:extLst>
                        <a:ext uri="{28A0092B-C50C-407E-A947-70E740481C1C}"/>
                      </a:extLst>
                    </a:blip>
                    <a:srcRect/>
                    <a:stretch>
                      <a:fillRect/>
                    </a:stretch>
                  </pic:blipFill>
                  <pic:spPr bwMode="auto">
                    <a:xfrm>
                      <a:off x="0" y="0"/>
                      <a:ext cx="2402205" cy="12065"/>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John G. Bruno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Director</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w:t>
      </w:r>
    </w:p>
    <w:p>
      <w:pPr>
        <w:spacing w:after="0" w:line="363" w:lineRule="exact"/>
        <w:rPr>
          <w:sz w:val="20"/>
          <w:szCs w:val="20"/>
          <w:color w:val="auto"/>
        </w:rPr>
      </w:pPr>
    </w:p>
    <w:p>
      <w:pPr>
        <w:sectPr>
          <w:pgSz w:w="11880" w:h="15480" w:orient="portrait"/>
          <w:cols w:equalWidth="0" w:num="2">
            <w:col w:w="3240" w:space="720"/>
            <w:col w:w="5860"/>
          </w:cols>
          <w:pgMar w:left="960" w:top="724" w:right="1100" w:bottom="0" w:gutter="0" w:footer="0" w:header="0"/>
          <w:type w:val="continuous"/>
        </w:sectPr>
      </w:pPr>
    </w:p>
    <w:tbl>
      <w:tblPr>
        <w:tblLayout w:type="fixed"/>
        <w:tblInd w:w="60" w:type="dxa"/>
        <w:tblCellMar>
          <w:top w:w="0" w:type="dxa"/>
          <w:left w:w="0" w:type="dxa"/>
          <w:bottom w:w="0" w:type="dxa"/>
          <w:right w:w="0" w:type="dxa"/>
        </w:tblCellMar>
      </w:tblPr>
      <w:tr>
        <w:trPr>
          <w:trHeight w:val="255"/>
        </w:trPr>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5"/>
                <w:szCs w:val="15"/>
                <w:b w:val="1"/>
                <w:bCs w:val="1"/>
                <w:color w:val="auto"/>
              </w:rPr>
              <w:t>AMI</w:t>
            </w:r>
            <w:r>
              <w:rPr>
                <w:rFonts w:ascii="Arial" w:cs="Arial" w:eastAsia="Arial" w:hAnsi="Arial"/>
                <w:sz w:val="19"/>
                <w:szCs w:val="19"/>
                <w:b w:val="1"/>
                <w:bCs w:val="1"/>
                <w:color w:val="auto"/>
              </w:rPr>
              <w:t xml:space="preserve"> A. E</w:t>
            </w:r>
            <w:r>
              <w:rPr>
                <w:rFonts w:ascii="Arial" w:cs="Arial" w:eastAsia="Arial" w:hAnsi="Arial"/>
                <w:sz w:val="15"/>
                <w:szCs w:val="15"/>
                <w:b w:val="1"/>
                <w:bCs w:val="1"/>
                <w:color w:val="auto"/>
              </w:rPr>
              <w:t>RWIN</w:t>
            </w:r>
          </w:p>
        </w:tc>
        <w:tc>
          <w:tcPr>
            <w:tcW w:w="800" w:type="dxa"/>
            <w:vAlign w:val="bottom"/>
          </w:tcPr>
          <w:p>
            <w:pPr>
              <w:ind w:left="120"/>
              <w:spacing w:after="0"/>
              <w:rPr>
                <w:sz w:val="20"/>
                <w:szCs w:val="20"/>
                <w:color w:val="auto"/>
              </w:rPr>
            </w:pPr>
            <w:r>
              <w:rPr>
                <w:rFonts w:ascii="Arial" w:cs="Arial" w:eastAsia="Arial" w:hAnsi="Arial"/>
                <w:sz w:val="19"/>
                <w:szCs w:val="19"/>
                <w:b w:val="1"/>
                <w:bCs w:val="1"/>
                <w:color w:val="auto"/>
                <w:w w:val="90"/>
              </w:rPr>
              <w:t>Director</w:t>
            </w:r>
          </w:p>
        </w:tc>
      </w:tr>
      <w:tr>
        <w:trPr>
          <w:trHeight w:val="27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Tami A. Erwin</w:t>
            </w:r>
          </w:p>
        </w:tc>
        <w:tc>
          <w:tcPr>
            <w:tcW w:w="800" w:type="dxa"/>
            <w:vAlign w:val="bottom"/>
          </w:tcPr>
          <w:p>
            <w:pPr>
              <w:spacing w:after="0"/>
              <w:rPr>
                <w:sz w:val="24"/>
                <w:szCs w:val="24"/>
                <w:color w:val="auto"/>
              </w:rPr>
            </w:pPr>
          </w:p>
        </w:tc>
      </w:tr>
      <w:tr>
        <w:trPr>
          <w:trHeight w:val="285"/>
        </w:trPr>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P</w:t>
            </w:r>
            <w:r>
              <w:rPr>
                <w:rFonts w:ascii="Arial" w:cs="Arial" w:eastAsia="Arial" w:hAnsi="Arial"/>
                <w:sz w:val="15"/>
                <w:szCs w:val="15"/>
                <w:b w:val="1"/>
                <w:bCs w:val="1"/>
                <w:color w:val="auto"/>
              </w:rPr>
              <w:t>RISCILLA</w:t>
            </w:r>
            <w:r>
              <w:rPr>
                <w:rFonts w:ascii="Arial" w:cs="Arial" w:eastAsia="Arial" w:hAnsi="Arial"/>
                <w:sz w:val="19"/>
                <w:szCs w:val="19"/>
                <w:b w:val="1"/>
                <w:bCs w:val="1"/>
                <w:color w:val="auto"/>
              </w:rPr>
              <w:t xml:space="preserve"> H</w:t>
            </w:r>
            <w:r>
              <w:rPr>
                <w:rFonts w:ascii="Arial" w:cs="Arial" w:eastAsia="Arial" w:hAnsi="Arial"/>
                <w:sz w:val="15"/>
                <w:szCs w:val="15"/>
                <w:b w:val="1"/>
                <w:bCs w:val="1"/>
                <w:color w:val="auto"/>
              </w:rPr>
              <w:t>UNG</w:t>
            </w:r>
          </w:p>
        </w:tc>
        <w:tc>
          <w:tcPr>
            <w:tcW w:w="800" w:type="dxa"/>
            <w:vAlign w:val="bottom"/>
          </w:tcPr>
          <w:p>
            <w:pPr>
              <w:ind w:left="120"/>
              <w:spacing w:after="0"/>
              <w:rPr>
                <w:sz w:val="20"/>
                <w:szCs w:val="20"/>
                <w:color w:val="auto"/>
              </w:rPr>
            </w:pPr>
            <w:r>
              <w:rPr>
                <w:rFonts w:ascii="Arial" w:cs="Arial" w:eastAsia="Arial" w:hAnsi="Arial"/>
                <w:sz w:val="19"/>
                <w:szCs w:val="19"/>
                <w:b w:val="1"/>
                <w:bCs w:val="1"/>
                <w:color w:val="auto"/>
                <w:w w:val="90"/>
              </w:rPr>
              <w:t>Director</w:t>
            </w:r>
          </w:p>
        </w:tc>
      </w:tr>
      <w:tr>
        <w:trPr>
          <w:trHeight w:val="27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Priscilla Hung</w:t>
            </w:r>
          </w:p>
        </w:tc>
        <w:tc>
          <w:tcPr>
            <w:tcW w:w="800" w:type="dxa"/>
            <w:vAlign w:val="bottom"/>
          </w:tcPr>
          <w:p>
            <w:pPr>
              <w:spacing w:after="0"/>
              <w:rPr>
                <w:sz w:val="24"/>
                <w:szCs w:val="24"/>
                <w:color w:val="auto"/>
              </w:rPr>
            </w:pPr>
          </w:p>
        </w:tc>
      </w:tr>
      <w:tr>
        <w:trPr>
          <w:trHeight w:val="285"/>
        </w:trPr>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5"/>
                <w:szCs w:val="15"/>
                <w:b w:val="1"/>
                <w:bCs w:val="1"/>
                <w:color w:val="auto"/>
              </w:rPr>
              <w:t>ICHELLE</w:t>
            </w:r>
            <w:r>
              <w:rPr>
                <w:rFonts w:ascii="Arial" w:cs="Arial" w:eastAsia="Arial" w:hAnsi="Arial"/>
                <w:sz w:val="19"/>
                <w:szCs w:val="19"/>
                <w:b w:val="1"/>
                <w:bCs w:val="1"/>
                <w:color w:val="auto"/>
              </w:rPr>
              <w:t xml:space="preserve"> M</w:t>
            </w:r>
            <w:r>
              <w:rPr>
                <w:rFonts w:ascii="Arial" w:cs="Arial" w:eastAsia="Arial" w:hAnsi="Arial"/>
                <w:sz w:val="15"/>
                <w:szCs w:val="15"/>
                <w:b w:val="1"/>
                <w:bCs w:val="1"/>
                <w:color w:val="auto"/>
              </w:rPr>
              <w:t>AYNARD-</w:t>
            </w:r>
            <w:r>
              <w:rPr>
                <w:rFonts w:ascii="Arial" w:cs="Arial" w:eastAsia="Arial" w:hAnsi="Arial"/>
                <w:sz w:val="19"/>
                <w:szCs w:val="19"/>
                <w:b w:val="1"/>
                <w:bCs w:val="1"/>
                <w:color w:val="auto"/>
              </w:rPr>
              <w:t>E</w:t>
            </w:r>
            <w:r>
              <w:rPr>
                <w:rFonts w:ascii="Arial" w:cs="Arial" w:eastAsia="Arial" w:hAnsi="Arial"/>
                <w:sz w:val="15"/>
                <w:szCs w:val="15"/>
                <w:b w:val="1"/>
                <w:bCs w:val="1"/>
                <w:color w:val="auto"/>
              </w:rPr>
              <w:t>LLIOTT</w:t>
            </w:r>
          </w:p>
        </w:tc>
        <w:tc>
          <w:tcPr>
            <w:tcW w:w="800" w:type="dxa"/>
            <w:vAlign w:val="bottom"/>
          </w:tcPr>
          <w:p>
            <w:pPr>
              <w:ind w:left="120"/>
              <w:spacing w:after="0"/>
              <w:rPr>
                <w:sz w:val="20"/>
                <w:szCs w:val="20"/>
                <w:color w:val="auto"/>
              </w:rPr>
            </w:pPr>
            <w:r>
              <w:rPr>
                <w:rFonts w:ascii="Arial" w:cs="Arial" w:eastAsia="Arial" w:hAnsi="Arial"/>
                <w:sz w:val="19"/>
                <w:szCs w:val="19"/>
                <w:b w:val="1"/>
                <w:bCs w:val="1"/>
                <w:color w:val="auto"/>
                <w:w w:val="90"/>
              </w:rPr>
              <w:t>Director</w:t>
            </w:r>
          </w:p>
        </w:tc>
      </w:tr>
      <w:tr>
        <w:trPr>
          <w:trHeight w:val="27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Nichelle Maynard-Elliott</w:t>
            </w:r>
          </w:p>
        </w:tc>
        <w:tc>
          <w:tcPr>
            <w:tcW w:w="800" w:type="dxa"/>
            <w:vAlign w:val="bottom"/>
          </w:tcPr>
          <w:p>
            <w:pPr>
              <w:spacing w:after="0"/>
              <w:rPr>
                <w:sz w:val="24"/>
                <w:szCs w:val="24"/>
                <w:color w:val="auto"/>
              </w:rPr>
            </w:pPr>
          </w:p>
        </w:tc>
      </w:tr>
      <w:tr>
        <w:trPr>
          <w:trHeight w:val="300"/>
        </w:trPr>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5"/>
                <w:szCs w:val="15"/>
                <w:b w:val="1"/>
                <w:bCs w:val="1"/>
                <w:color w:val="auto"/>
              </w:rPr>
              <w:t>DWARD</w:t>
            </w:r>
            <w:r>
              <w:rPr>
                <w:rFonts w:ascii="Arial" w:cs="Arial" w:eastAsia="Arial" w:hAnsi="Arial"/>
                <w:sz w:val="19"/>
                <w:szCs w:val="19"/>
                <w:b w:val="1"/>
                <w:bCs w:val="1"/>
                <w:color w:val="auto"/>
              </w:rPr>
              <w:t xml:space="preserve"> G. M</w:t>
            </w:r>
            <w:r>
              <w:rPr>
                <w:rFonts w:ascii="Arial" w:cs="Arial" w:eastAsia="Arial" w:hAnsi="Arial"/>
                <w:sz w:val="15"/>
                <w:szCs w:val="15"/>
                <w:b w:val="1"/>
                <w:bCs w:val="1"/>
                <w:color w:val="auto"/>
              </w:rPr>
              <w:t>C</w:t>
            </w:r>
            <w:r>
              <w:rPr>
                <w:rFonts w:ascii="Arial" w:cs="Arial" w:eastAsia="Arial" w:hAnsi="Arial"/>
                <w:sz w:val="19"/>
                <w:szCs w:val="19"/>
                <w:b w:val="1"/>
                <w:bCs w:val="1"/>
                <w:color w:val="auto"/>
              </w:rPr>
              <w:t>L</w:t>
            </w:r>
            <w:r>
              <w:rPr>
                <w:rFonts w:ascii="Arial" w:cs="Arial" w:eastAsia="Arial" w:hAnsi="Arial"/>
                <w:sz w:val="15"/>
                <w:szCs w:val="15"/>
                <w:b w:val="1"/>
                <w:bCs w:val="1"/>
                <w:color w:val="auto"/>
              </w:rPr>
              <w:t>AUGHLIN</w:t>
            </w:r>
          </w:p>
        </w:tc>
        <w:tc>
          <w:tcPr>
            <w:tcW w:w="800" w:type="dxa"/>
            <w:vAlign w:val="bottom"/>
          </w:tcPr>
          <w:p>
            <w:pPr>
              <w:ind w:left="120"/>
              <w:spacing w:after="0"/>
              <w:rPr>
                <w:sz w:val="20"/>
                <w:szCs w:val="20"/>
                <w:color w:val="auto"/>
              </w:rPr>
            </w:pPr>
            <w:r>
              <w:rPr>
                <w:rFonts w:ascii="Arial" w:cs="Arial" w:eastAsia="Arial" w:hAnsi="Arial"/>
                <w:sz w:val="19"/>
                <w:szCs w:val="19"/>
                <w:b w:val="1"/>
                <w:bCs w:val="1"/>
                <w:color w:val="auto"/>
                <w:w w:val="90"/>
              </w:rPr>
              <w:t>Director</w:t>
            </w:r>
          </w:p>
        </w:tc>
      </w:tr>
      <w:tr>
        <w:trPr>
          <w:trHeight w:val="292"/>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Edward G. McLaughlin</w:t>
            </w:r>
          </w:p>
        </w:tc>
        <w:tc>
          <w:tcPr>
            <w:tcW w:w="800" w:type="dxa"/>
            <w:vAlign w:val="bottom"/>
          </w:tcPr>
          <w:p>
            <w:pPr>
              <w:spacing w:after="0"/>
              <w:rPr>
                <w:sz w:val="24"/>
                <w:szCs w:val="24"/>
                <w:color w:val="auto"/>
              </w:rPr>
            </w:pPr>
          </w:p>
        </w:tc>
      </w:tr>
      <w:tr>
        <w:trPr>
          <w:trHeight w:val="300"/>
        </w:trPr>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9"/>
                <w:szCs w:val="19"/>
                <w:b w:val="1"/>
                <w:bCs w:val="1"/>
                <w:color w:val="auto"/>
              </w:rPr>
              <w:t>J</w:t>
            </w:r>
            <w:r>
              <w:rPr>
                <w:rFonts w:ascii="Arial" w:cs="Arial" w:eastAsia="Arial" w:hAnsi="Arial"/>
                <w:sz w:val="15"/>
                <w:szCs w:val="15"/>
                <w:b w:val="1"/>
                <w:bCs w:val="1"/>
                <w:color w:val="auto"/>
              </w:rPr>
              <w:t>OHN</w:t>
            </w:r>
            <w:r>
              <w:rPr>
                <w:rFonts w:ascii="Arial" w:cs="Arial" w:eastAsia="Arial" w:hAnsi="Arial"/>
                <w:sz w:val="19"/>
                <w:szCs w:val="19"/>
                <w:b w:val="1"/>
                <w:bCs w:val="1"/>
                <w:color w:val="auto"/>
              </w:rPr>
              <w:t xml:space="preserve"> J. R</w:t>
            </w:r>
            <w:r>
              <w:rPr>
                <w:rFonts w:ascii="Arial" w:cs="Arial" w:eastAsia="Arial" w:hAnsi="Arial"/>
                <w:sz w:val="15"/>
                <w:szCs w:val="15"/>
                <w:b w:val="1"/>
                <w:bCs w:val="1"/>
                <w:color w:val="auto"/>
              </w:rPr>
              <w:t>OESE</w:t>
            </w:r>
          </w:p>
        </w:tc>
        <w:tc>
          <w:tcPr>
            <w:tcW w:w="800" w:type="dxa"/>
            <w:vAlign w:val="bottom"/>
          </w:tcPr>
          <w:p>
            <w:pPr>
              <w:ind w:left="120"/>
              <w:spacing w:after="0"/>
              <w:rPr>
                <w:sz w:val="20"/>
                <w:szCs w:val="20"/>
                <w:color w:val="auto"/>
              </w:rPr>
            </w:pPr>
            <w:r>
              <w:rPr>
                <w:rFonts w:ascii="Arial" w:cs="Arial" w:eastAsia="Arial" w:hAnsi="Arial"/>
                <w:sz w:val="19"/>
                <w:szCs w:val="19"/>
                <w:b w:val="1"/>
                <w:bCs w:val="1"/>
                <w:color w:val="auto"/>
                <w:w w:val="90"/>
              </w:rPr>
              <w:t>Director</w:t>
            </w:r>
          </w:p>
        </w:tc>
      </w:tr>
      <w:tr>
        <w:trPr>
          <w:trHeight w:val="292"/>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John J. Roese</w:t>
            </w:r>
          </w:p>
        </w:tc>
        <w:tc>
          <w:tcPr>
            <w:tcW w:w="800" w:type="dxa"/>
            <w:vAlign w:val="bottom"/>
          </w:tcPr>
          <w:p>
            <w:pPr>
              <w:spacing w:after="0"/>
              <w:rPr>
                <w:sz w:val="24"/>
                <w:szCs w:val="24"/>
                <w:color w:val="auto"/>
              </w:rPr>
            </w:pPr>
          </w:p>
        </w:tc>
      </w:tr>
      <w:tr>
        <w:trPr>
          <w:trHeight w:val="300"/>
        </w:trPr>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w:t>
            </w:r>
          </w:p>
        </w:tc>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MY</w:t>
            </w:r>
            <w:r>
              <w:rPr>
                <w:rFonts w:ascii="Arial" w:cs="Arial" w:eastAsia="Arial" w:hAnsi="Arial"/>
                <w:sz w:val="19"/>
                <w:szCs w:val="19"/>
                <w:b w:val="1"/>
                <w:bCs w:val="1"/>
                <w:color w:val="auto"/>
              </w:rPr>
              <w:t xml:space="preserve"> S</w:t>
            </w:r>
            <w:r>
              <w:rPr>
                <w:rFonts w:ascii="Arial" w:cs="Arial" w:eastAsia="Arial" w:hAnsi="Arial"/>
                <w:sz w:val="15"/>
                <w:szCs w:val="15"/>
                <w:b w:val="1"/>
                <w:bCs w:val="1"/>
                <w:color w:val="auto"/>
              </w:rPr>
              <w:t>CHWETZ</w:t>
            </w:r>
          </w:p>
        </w:tc>
        <w:tc>
          <w:tcPr>
            <w:tcW w:w="800" w:type="dxa"/>
            <w:vAlign w:val="bottom"/>
          </w:tcPr>
          <w:p>
            <w:pPr>
              <w:ind w:left="120"/>
              <w:spacing w:after="0"/>
              <w:rPr>
                <w:sz w:val="20"/>
                <w:szCs w:val="20"/>
                <w:color w:val="auto"/>
              </w:rPr>
            </w:pPr>
            <w:r>
              <w:rPr>
                <w:rFonts w:ascii="Arial" w:cs="Arial" w:eastAsia="Arial" w:hAnsi="Arial"/>
                <w:sz w:val="19"/>
                <w:szCs w:val="19"/>
                <w:b w:val="1"/>
                <w:bCs w:val="1"/>
                <w:color w:val="auto"/>
                <w:w w:val="90"/>
              </w:rPr>
              <w:t>Director</w:t>
            </w:r>
          </w:p>
        </w:tc>
      </w:tr>
    </w:tbl>
    <w:p>
      <w:pPr>
        <w:spacing w:after="0" w:line="7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Amy Schwetz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tabs>
          <w:tab w:leader="none" w:pos="260" w:val="left"/>
        </w:tabs>
        <w:rPr>
          <w:sz w:val="20"/>
          <w:szCs w:val="20"/>
          <w:color w:val="auto"/>
        </w:rPr>
      </w:pPr>
      <w:r>
        <w:rPr>
          <w:rFonts w:ascii="Arial" w:cs="Arial" w:eastAsia="Arial" w:hAnsi="Arial"/>
          <w:sz w:val="18"/>
          <w:szCs w:val="18"/>
          <w:color w:val="E3001D"/>
        </w:rPr>
        <w:t>Xerox 2025 Annual Report</w:t>
      </w:r>
      <w:r>
        <w:rPr>
          <w:sz w:val="20"/>
          <w:szCs w:val="20"/>
          <w:color w:val="auto"/>
        </w:rPr>
        <w:tab/>
      </w:r>
      <w:r>
        <w:rPr>
          <w:rFonts w:ascii="Arial" w:cs="Arial" w:eastAsia="Arial" w:hAnsi="Arial"/>
          <w:sz w:val="17"/>
          <w:szCs w:val="17"/>
          <w:color w:val="E3001D"/>
        </w:rPr>
        <w:t>181</w:t>
      </w:r>
    </w:p>
    <w:p>
      <w:pPr>
        <w:sectPr>
          <w:pgSz w:w="11880" w:h="15480" w:orient="portrait"/>
          <w:cols w:equalWidth="0" w:num="1">
            <w:col w:w="9820"/>
          </w:cols>
          <w:pgMar w:left="960" w:top="724" w:right="1100" w:bottom="0" w:gutter="0" w:footer="0" w:header="0"/>
          <w:type w:val="continuous"/>
        </w:sectPr>
      </w:pPr>
    </w:p>
    <w:bookmarkStart w:id="191" w:name="page192"/>
    <w:bookmarkEnd w:id="191"/>
    <w:p>
      <w:pPr>
        <w:spacing w:after="0"/>
        <w:rPr>
          <w:sz w:val="20"/>
          <w:szCs w:val="20"/>
          <w:color w:val="auto"/>
        </w:rPr>
      </w:pPr>
      <w:r>
        <w:rPr>
          <w:rFonts w:ascii="Arial" w:cs="Arial" w:eastAsia="Arial" w:hAnsi="Arial"/>
          <w:sz w:val="56"/>
          <w:szCs w:val="56"/>
          <w:color w:val="E3001D"/>
        </w:rPr>
        <w:t>FYI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Shareholder Information</w:t>
      </w:r>
    </w:p>
    <w:p>
      <w:pPr>
        <w:spacing w:after="0" w:line="246" w:lineRule="exact"/>
        <w:rPr>
          <w:sz w:val="20"/>
          <w:szCs w:val="20"/>
          <w:color w:val="auto"/>
        </w:rPr>
      </w:pPr>
    </w:p>
    <w:p>
      <w:pPr>
        <w:ind w:right="3120"/>
        <w:spacing w:after="0" w:line="296" w:lineRule="auto"/>
        <w:rPr>
          <w:sz w:val="20"/>
          <w:szCs w:val="20"/>
          <w:color w:val="auto"/>
        </w:rPr>
      </w:pPr>
      <w:r>
        <w:rPr>
          <w:rFonts w:ascii="Arial" w:cs="Arial" w:eastAsia="Arial" w:hAnsi="Arial"/>
          <w:sz w:val="28"/>
          <w:szCs w:val="28"/>
          <w:color w:val="auto"/>
        </w:rPr>
        <w:t xml:space="preserve">For investor information, including comprehensive earnings releases: </w:t>
      </w:r>
      <w:r>
        <w:rPr>
          <w:rFonts w:ascii="Arial" w:cs="Arial" w:eastAsia="Arial" w:hAnsi="Arial"/>
          <w:sz w:val="28"/>
          <w:szCs w:val="28"/>
          <w:color w:val="E3001D"/>
        </w:rPr>
        <w:t>https://investors.xerox.com/</w:t>
      </w:r>
    </w:p>
    <w:p>
      <w:pPr>
        <w:spacing w:after="0" w:line="146" w:lineRule="exact"/>
        <w:rPr>
          <w:sz w:val="20"/>
          <w:szCs w:val="20"/>
          <w:color w:val="auto"/>
        </w:rPr>
      </w:pPr>
    </w:p>
    <w:p>
      <w:pPr>
        <w:jc w:val="both"/>
        <w:ind w:right="2480"/>
        <w:spacing w:after="0" w:line="301" w:lineRule="auto"/>
        <w:rPr>
          <w:sz w:val="20"/>
          <w:szCs w:val="20"/>
          <w:color w:val="auto"/>
        </w:rPr>
      </w:pPr>
      <w:r>
        <w:rPr>
          <w:rFonts w:ascii="Arial" w:cs="Arial" w:eastAsia="Arial" w:hAnsi="Arial"/>
          <w:sz w:val="27"/>
          <w:szCs w:val="27"/>
          <w:color w:val="auto"/>
        </w:rPr>
        <w:t xml:space="preserve">For shareholder services, call 800.828.6396 (TDD: 800.368.0328) or 781.575.3222; or write to Computershare Trust Company, N.A., PO BOX 43078, Providence, RI 02940-3078; or via online access at </w:t>
      </w:r>
      <w:r>
        <w:rPr>
          <w:rFonts w:ascii="Arial" w:cs="Arial" w:eastAsia="Arial" w:hAnsi="Arial"/>
          <w:sz w:val="27"/>
          <w:szCs w:val="27"/>
          <w:color w:val="E3001D"/>
        </w:rPr>
        <w:t>www.computershare.com.</w:t>
      </w:r>
    </w:p>
    <w:p>
      <w:pPr>
        <w:sectPr>
          <w:pgSz w:w="11880" w:h="15480" w:orient="portrait"/>
          <w:cols w:equalWidth="0" w:num="1">
            <w:col w:w="10000"/>
          </w:cols>
          <w:pgMar w:left="720" w:top="593" w:right="11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b w:val="1"/>
          <w:bCs w:val="1"/>
          <w:color w:val="auto"/>
        </w:rPr>
        <w:t xml:space="preserve">Electronic Delivery Enrollment: </w:t>
      </w:r>
      <w:r>
        <w:rPr>
          <w:rFonts w:ascii="Arial" w:cs="Arial" w:eastAsia="Arial" w:hAnsi="Arial"/>
          <w:sz w:val="18"/>
          <w:szCs w:val="18"/>
          <w:color w:val="auto"/>
        </w:rPr>
        <w:t>Xerox offers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convenience of electronic delivery, including immediate receipt of the Proxy Statement and Annual Report and online proxy voting.</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 xml:space="preserve">Registered Shareholders, visit: </w:t>
      </w:r>
      <w:r>
        <w:rPr>
          <w:rFonts w:ascii="Arial" w:cs="Arial" w:eastAsia="Arial" w:hAnsi="Arial"/>
          <w:sz w:val="18"/>
          <w:szCs w:val="18"/>
          <w:color w:val="E3001D"/>
        </w:rPr>
        <w:t>www.computershare.com/</w:t>
      </w:r>
      <w:r>
        <w:rPr>
          <w:rFonts w:ascii="Arial" w:cs="Arial" w:eastAsia="Arial" w:hAnsi="Arial"/>
          <w:sz w:val="18"/>
          <w:szCs w:val="18"/>
          <w:b w:val="1"/>
          <w:bCs w:val="1"/>
          <w:color w:val="auto"/>
        </w:rPr>
        <w:t xml:space="preserve"> </w:t>
      </w:r>
      <w:r>
        <w:rPr>
          <w:rFonts w:ascii="Arial" w:cs="Arial" w:eastAsia="Arial" w:hAnsi="Arial"/>
          <w:sz w:val="18"/>
          <w:szCs w:val="18"/>
          <w:color w:val="E3001D"/>
        </w:rPr>
        <w:t>investor</w:t>
      </w:r>
      <w:r>
        <w:rPr>
          <w:rFonts w:ascii="Arial" w:cs="Arial" w:eastAsia="Arial" w:hAnsi="Arial"/>
          <w:sz w:val="18"/>
          <w:szCs w:val="18"/>
          <w:color w:val="000000"/>
        </w:rPr>
        <w:t>. You are a registered shareholder if you have your stock</w:t>
      </w:r>
      <w:r>
        <w:rPr>
          <w:rFonts w:ascii="Arial" w:cs="Arial" w:eastAsia="Arial" w:hAnsi="Arial"/>
          <w:sz w:val="18"/>
          <w:szCs w:val="18"/>
          <w:color w:val="E3001D"/>
        </w:rPr>
        <w:t xml:space="preserve"> </w:t>
      </w:r>
      <w:r>
        <w:rPr>
          <w:rFonts w:ascii="Arial" w:cs="Arial" w:eastAsia="Arial" w:hAnsi="Arial"/>
          <w:sz w:val="18"/>
          <w:szCs w:val="18"/>
          <w:color w:val="000000"/>
        </w:rPr>
        <w:t>certificate in your possession or if the shares are being held by our transfer agent, Computershare.</w:t>
      </w:r>
    </w:p>
    <w:p>
      <w:pPr>
        <w:spacing w:after="0" w:line="160" w:lineRule="exact"/>
        <w:rPr>
          <w:sz w:val="20"/>
          <w:szCs w:val="20"/>
          <w:color w:val="auto"/>
        </w:rPr>
      </w:pPr>
    </w:p>
    <w:p>
      <w:pPr>
        <w:ind w:right="240"/>
        <w:spacing w:after="0" w:line="311" w:lineRule="auto"/>
        <w:rPr>
          <w:sz w:val="20"/>
          <w:szCs w:val="20"/>
          <w:color w:val="auto"/>
        </w:rPr>
      </w:pPr>
      <w:r>
        <w:rPr>
          <w:rFonts w:ascii="Arial" w:cs="Arial" w:eastAsia="Arial" w:hAnsi="Arial"/>
          <w:sz w:val="17"/>
          <w:szCs w:val="17"/>
          <w:b w:val="1"/>
          <w:bCs w:val="1"/>
          <w:color w:val="auto"/>
        </w:rPr>
        <w:t xml:space="preserve">Beneficial Shareholders, visit: </w:t>
      </w:r>
      <w:r>
        <w:rPr>
          <w:rFonts w:ascii="Arial" w:cs="Arial" w:eastAsia="Arial" w:hAnsi="Arial"/>
          <w:sz w:val="17"/>
          <w:szCs w:val="17"/>
          <w:color w:val="E3001D"/>
        </w:rPr>
        <w:t>http://enroll.icsdelivery.com/</w:t>
      </w:r>
      <w:r>
        <w:rPr>
          <w:rFonts w:ascii="Arial" w:cs="Arial" w:eastAsia="Arial" w:hAnsi="Arial"/>
          <w:sz w:val="17"/>
          <w:szCs w:val="17"/>
          <w:b w:val="1"/>
          <w:bCs w:val="1"/>
          <w:color w:val="auto"/>
        </w:rPr>
        <w:t xml:space="preserve"> </w:t>
      </w:r>
      <w:r>
        <w:rPr>
          <w:rFonts w:ascii="Arial" w:cs="Arial" w:eastAsia="Arial" w:hAnsi="Arial"/>
          <w:sz w:val="17"/>
          <w:szCs w:val="17"/>
          <w:color w:val="E3001D"/>
        </w:rPr>
        <w:t>xrx</w:t>
      </w:r>
      <w:r>
        <w:rPr>
          <w:rFonts w:ascii="Arial" w:cs="Arial" w:eastAsia="Arial" w:hAnsi="Arial"/>
          <w:sz w:val="17"/>
          <w:szCs w:val="17"/>
          <w:color w:val="000000"/>
        </w:rPr>
        <w:t>. You are a beneficial shareholder if you maintain your</w:t>
      </w:r>
      <w:r>
        <w:rPr>
          <w:rFonts w:ascii="Arial" w:cs="Arial" w:eastAsia="Arial" w:hAnsi="Arial"/>
          <w:sz w:val="17"/>
          <w:szCs w:val="17"/>
          <w:color w:val="E3001D"/>
        </w:rPr>
        <w:t xml:space="preserve"> </w:t>
      </w:r>
      <w:r>
        <w:rPr>
          <w:rFonts w:ascii="Arial" w:cs="Arial" w:eastAsia="Arial" w:hAnsi="Arial"/>
          <w:sz w:val="17"/>
          <w:szCs w:val="17"/>
          <w:color w:val="000000"/>
        </w:rPr>
        <w:t>position in Xerox within a brokerage 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Investor Relations Contact: </w:t>
      </w:r>
      <w:r>
        <w:rPr>
          <w:rFonts w:ascii="Arial" w:cs="Arial" w:eastAsia="Arial" w:hAnsi="Arial"/>
          <w:sz w:val="18"/>
          <w:szCs w:val="18"/>
          <w:color w:val="E3001D"/>
        </w:rPr>
        <w:t>investorrelations@xerox.com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E3001D"/>
        </w:rPr>
        <w:t>ADDITIONAL INFORMATION</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Independent Auditors</w:t>
      </w:r>
    </w:p>
    <w:p>
      <w:pPr>
        <w:spacing w:after="0" w:line="38" w:lineRule="exact"/>
        <w:rPr>
          <w:sz w:val="20"/>
          <w:szCs w:val="20"/>
          <w:color w:val="auto"/>
        </w:rPr>
      </w:pPr>
    </w:p>
    <w:p>
      <w:pPr>
        <w:ind w:left="2" w:right="2060"/>
        <w:spacing w:after="0" w:line="282" w:lineRule="auto"/>
        <w:rPr>
          <w:sz w:val="20"/>
          <w:szCs w:val="20"/>
          <w:color w:val="auto"/>
        </w:rPr>
      </w:pPr>
      <w:r>
        <w:rPr>
          <w:rFonts w:ascii="Arial" w:cs="Arial" w:eastAsia="Arial" w:hAnsi="Arial"/>
          <w:sz w:val="18"/>
          <w:szCs w:val="18"/>
          <w:color w:val="auto"/>
        </w:rPr>
        <w:t>PricewaterhouseCoopers LLP 263 Tresser Boulevard, Suite 800 Stamford, CT 06901 203.539.3000</w:t>
      </w:r>
    </w:p>
    <w:p>
      <w:pPr>
        <w:spacing w:after="0" w:line="162" w:lineRule="exact"/>
        <w:rPr>
          <w:sz w:val="20"/>
          <w:szCs w:val="20"/>
          <w:color w:val="auto"/>
        </w:rPr>
      </w:pPr>
    </w:p>
    <w:p>
      <w:pPr>
        <w:ind w:left="2" w:right="440"/>
        <w:spacing w:after="0" w:line="287" w:lineRule="auto"/>
        <w:rPr>
          <w:sz w:val="20"/>
          <w:szCs w:val="20"/>
          <w:color w:val="auto"/>
        </w:rPr>
      </w:pPr>
      <w:r>
        <w:rPr>
          <w:rFonts w:ascii="Arial" w:cs="Arial" w:eastAsia="Arial" w:hAnsi="Arial"/>
          <w:sz w:val="18"/>
          <w:szCs w:val="18"/>
          <w:b w:val="1"/>
          <w:bCs w:val="1"/>
          <w:color w:val="auto"/>
        </w:rPr>
        <w:t xml:space="preserve">Corporate Social Responsibility Report: </w:t>
      </w:r>
      <w:r>
        <w:rPr>
          <w:rFonts w:ascii="Arial" w:cs="Arial" w:eastAsia="Arial" w:hAnsi="Arial"/>
          <w:sz w:val="18"/>
          <w:szCs w:val="18"/>
          <w:color w:val="E3001D"/>
        </w:rPr>
        <w:t>https://www.xerox.com/en-us/about/corporate-social-responsibility</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Ethics Helpline:</w:t>
      </w:r>
    </w:p>
    <w:p>
      <w:pPr>
        <w:spacing w:after="0" w:line="110" w:lineRule="exact"/>
        <w:rPr>
          <w:sz w:val="20"/>
          <w:szCs w:val="20"/>
          <w:color w:val="auto"/>
        </w:rPr>
      </w:pPr>
    </w:p>
    <w:p>
      <w:pPr>
        <w:ind w:left="182" w:hanging="182"/>
        <w:spacing w:after="0"/>
        <w:tabs>
          <w:tab w:leader="none" w:pos="18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Online submission tool: </w:t>
      </w:r>
      <w:r>
        <w:rPr>
          <w:rFonts w:ascii="Arial" w:cs="Arial" w:eastAsia="Arial" w:hAnsi="Arial"/>
          <w:sz w:val="18"/>
          <w:szCs w:val="18"/>
          <w:color w:val="E3001D"/>
        </w:rPr>
        <w:t>www.xeroxethicshelpline.com</w:t>
      </w:r>
    </w:p>
    <w:p>
      <w:pPr>
        <w:spacing w:after="0" w:line="105" w:lineRule="exact"/>
        <w:rPr>
          <w:rFonts w:ascii="Arial" w:cs="Arial" w:eastAsia="Arial" w:hAnsi="Arial"/>
          <w:sz w:val="18"/>
          <w:szCs w:val="18"/>
          <w:color w:val="auto"/>
        </w:rPr>
      </w:pPr>
    </w:p>
    <w:p>
      <w:pPr>
        <w:ind w:left="182" w:hanging="182"/>
        <w:spacing w:after="0"/>
        <w:tabs>
          <w:tab w:leader="none" w:pos="18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Phone numbers: U.S. and Canada: </w:t>
      </w:r>
      <w:r>
        <w:rPr>
          <w:rFonts w:ascii="Arial" w:cs="Arial" w:eastAsia="Arial" w:hAnsi="Arial"/>
          <w:sz w:val="18"/>
          <w:szCs w:val="18"/>
          <w:color w:val="E3001D"/>
        </w:rPr>
        <w:t>866.XRX.0001</w:t>
      </w:r>
      <w:r>
        <w:rPr>
          <w:rFonts w:ascii="Arial" w:cs="Arial" w:eastAsia="Arial" w:hAnsi="Arial"/>
          <w:sz w:val="18"/>
          <w:szCs w:val="18"/>
          <w:color w:val="auto"/>
        </w:rPr>
        <w:t>;</w:t>
      </w:r>
    </w:p>
    <w:p>
      <w:pPr>
        <w:spacing w:after="0" w:line="33" w:lineRule="exact"/>
        <w:rPr>
          <w:rFonts w:ascii="Arial" w:cs="Arial" w:eastAsia="Arial" w:hAnsi="Arial"/>
          <w:sz w:val="18"/>
          <w:szCs w:val="18"/>
          <w:color w:val="auto"/>
        </w:rPr>
      </w:pPr>
    </w:p>
    <w:p>
      <w:pPr>
        <w:ind w:left="182"/>
        <w:spacing w:after="0"/>
        <w:rPr>
          <w:rFonts w:ascii="Arial" w:cs="Arial" w:eastAsia="Arial" w:hAnsi="Arial"/>
          <w:sz w:val="18"/>
          <w:szCs w:val="18"/>
          <w:color w:val="auto"/>
        </w:rPr>
      </w:pPr>
      <w:r>
        <w:rPr>
          <w:rFonts w:ascii="Arial" w:cs="Arial" w:eastAsia="Arial" w:hAnsi="Arial"/>
          <w:sz w:val="17"/>
          <w:szCs w:val="17"/>
          <w:color w:val="auto"/>
        </w:rPr>
        <w:t xml:space="preserve">International numbers located at: </w:t>
      </w:r>
      <w:r>
        <w:rPr>
          <w:rFonts w:ascii="Arial" w:cs="Arial" w:eastAsia="Arial" w:hAnsi="Arial"/>
          <w:sz w:val="17"/>
          <w:szCs w:val="17"/>
          <w:color w:val="E3001D"/>
        </w:rPr>
        <w:t>www.xerox.com/ethics</w:t>
      </w:r>
    </w:p>
    <w:p>
      <w:pPr>
        <w:spacing w:after="0" w:line="21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Environment, Health, Safety and Sustainability: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color w:val="E3001D"/>
        </w:rPr>
        <w:t>www.xerox.com/environment</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Governance: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color w:val="E3001D"/>
        </w:rPr>
        <w:t>https://www.xerox.com/en-us/about/corporate-social-</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8"/>
          <w:szCs w:val="18"/>
          <w:color w:val="E3001D"/>
        </w:rPr>
        <w:t>responsibility/governance</w:t>
      </w:r>
    </w:p>
    <w:p>
      <w:pPr>
        <w:sectPr>
          <w:pgSz w:w="11880" w:h="15480" w:orient="portrait"/>
          <w:cols w:equalWidth="0" w:num="2">
            <w:col w:w="4980" w:space="398"/>
            <w:col w:w="4622"/>
          </w:cols>
          <w:pgMar w:left="720" w:top="593" w:right="1160" w:bottom="1440" w:gutter="0" w:footer="0" w:header="0"/>
          <w:type w:val="continuous"/>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Xerox Holdings Corporation</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FFFFFF"/>
        </w:rPr>
        <w:t>401 Merritt 7</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FFFFFF"/>
        </w:rPr>
        <w:t>Norwalk, CT 06851-1056</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FFFFFF"/>
        </w:rPr>
        <w:t>United States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FFFFFF"/>
        </w:rPr>
        <w:t>www.xerox.com</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FFFFFF"/>
        </w:rPr>
        <w:t>©2026 Xerox Holdings Corporation.</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All rights reserved. BR42334</w:t>
      </w:r>
    </w:p>
    <w:sectPr>
      <w:pgSz w:w="11880" w:h="15480" w:orient="portrait"/>
      <w:cols w:equalWidth="0" w:num="1">
        <w:col w:w="9700"/>
      </w:cols>
      <w:pgMar w:left="7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decimal"/>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1)"/>
      <w:numFmt w:val="lowerRoman"/>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1)"/>
      <w:numFmt w:val="decimal"/>
      <w:start w:val="1"/>
    </w:lvl>
  </w:abstractNum>
  <w:abstractNum w:abstractNumId="23">
    <w:nsid w:val="3222E7CD"/>
    <w:multiLevelType w:val="hybridMultilevel"/>
    <w:lvl w:ilvl="0">
      <w:lvlJc w:val="left"/>
      <w:lvlText w:val="(%1)"/>
      <w:numFmt w:val="decimal"/>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1)"/>
      <w:numFmt w:val="decimal"/>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1)"/>
      <w:numFmt w:val="decimal"/>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decimal"/>
      <w:start w:val="1"/>
    </w:lvl>
  </w:abstractNum>
  <w:abstractNum w:abstractNumId="32">
    <w:nsid w:val="43F18422"/>
    <w:multiLevelType w:val="hybridMultilevel"/>
    <w:lvl w:ilvl="0">
      <w:lvlJc w:val="left"/>
      <w:lvlText w:val="(%1)"/>
      <w:numFmt w:val="decimal"/>
      <w:start w:val="1"/>
    </w:lvl>
  </w:abstractNum>
  <w:abstractNum w:abstractNumId="33">
    <w:nsid w:val="60EF0119"/>
    <w:multiLevelType w:val="hybridMultilevel"/>
    <w:lvl w:ilvl="0">
      <w:lvlJc w:val="left"/>
      <w:lvlText w:val="(%1)"/>
      <w:numFmt w:val="decimal"/>
      <w:start w:val="1"/>
    </w:lvl>
  </w:abstractNum>
  <w:abstractNum w:abstractNumId="34">
    <w:nsid w:val="26F324BA"/>
    <w:multiLevelType w:val="hybridMultilevel"/>
    <w:lvl w:ilvl="0">
      <w:lvlJc w:val="left"/>
      <w:lvlText w:val="(%1)"/>
      <w:numFmt w:val="decimal"/>
      <w:start w:val="1"/>
    </w:lvl>
  </w:abstractNum>
  <w:abstractNum w:abstractNumId="35">
    <w:nsid w:val="7F01579B"/>
    <w:multiLevelType w:val="hybridMultilevel"/>
    <w:lvl w:ilvl="0">
      <w:lvlJc w:val="left"/>
      <w:lvlText w:val="(%1)"/>
      <w:numFmt w:val="decimal"/>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1)"/>
      <w:numFmt w:val="decimal"/>
      <w:start w:val="1"/>
    </w:lvl>
  </w:abstractNum>
  <w:abstractNum w:abstractNumId="40">
    <w:nsid w:val="488AC1A"/>
    <w:multiLevelType w:val="hybridMultilevel"/>
    <w:lvl w:ilvl="0">
      <w:lvlJc w:val="left"/>
      <w:lvlText w:val="(%1)"/>
      <w:numFmt w:val="decimal"/>
      <w:start w:val="1"/>
    </w:lvl>
  </w:abstractNum>
  <w:abstractNum w:abstractNumId="41">
    <w:nsid w:val="5FB8011C"/>
    <w:multiLevelType w:val="hybridMultilevel"/>
    <w:lvl w:ilvl="0">
      <w:lvlJc w:val="left"/>
      <w:lvlText w:val="(%1)"/>
      <w:numFmt w:val="decimal"/>
      <w:start w:val="1"/>
    </w:lvl>
  </w:abstractNum>
  <w:abstractNum w:abstractNumId="42">
    <w:nsid w:val="6AA78F7F"/>
    <w:multiLevelType w:val="hybridMultilevel"/>
    <w:lvl w:ilvl="0">
      <w:lvlJc w:val="left"/>
      <w:lvlText w:val="(%1)"/>
      <w:numFmt w:val="decimal"/>
      <w:start w:val="1"/>
    </w:lvl>
  </w:abstractNum>
  <w:abstractNum w:abstractNumId="43">
    <w:nsid w:val="7672BD23"/>
    <w:multiLevelType w:val="hybridMultilevel"/>
    <w:lvl w:ilvl="0">
      <w:lvlJc w:val="left"/>
      <w:lvlText w:val="(%1)"/>
      <w:numFmt w:val="decimal"/>
      <w:start w:val="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decimal"/>
      <w:start w:val="1"/>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1)"/>
      <w:numFmt w:val="decimal"/>
      <w:start w:val="1"/>
    </w:lvl>
  </w:abstractNum>
  <w:abstractNum w:abstractNumId="48">
    <w:nsid w:val="73A1821B"/>
    <w:multiLevelType w:val="hybridMultilevel"/>
    <w:lvl w:ilvl="0">
      <w:lvlJc w:val="left"/>
      <w:lvlText w:val="(%1)"/>
      <w:numFmt w:val="decimal"/>
      <w:start w:val="1"/>
    </w:lvl>
  </w:abstractNum>
  <w:abstractNum w:abstractNumId="49">
    <w:nsid w:val="7DE67713"/>
    <w:multiLevelType w:val="hybridMultilevel"/>
    <w:lvl w:ilvl="0">
      <w:lvlJc w:val="left"/>
      <w:lvlText w:val="(%1)"/>
      <w:numFmt w:val="decimal"/>
      <w:start w:val="1"/>
    </w:lvl>
  </w:abstractNum>
  <w:abstractNum w:abstractNumId="50">
    <w:nsid w:val="555C55B5"/>
    <w:multiLevelType w:val="hybridMultilevel"/>
    <w:lvl w:ilvl="0">
      <w:lvlJc w:val="left"/>
      <w:lvlText w:val="(%1)"/>
      <w:numFmt w:val="decimal"/>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decimal"/>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1)"/>
      <w:numFmt w:val="decimal"/>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1)"/>
      <w:numFmt w:val="decimal"/>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1)"/>
      <w:numFmt w:val="decimal"/>
      <w:start w:val="1"/>
    </w:lvl>
  </w:abstractNum>
  <w:abstractNum w:abstractNumId="73">
    <w:nsid w:val="E7FFA2B"/>
    <w:multiLevelType w:val="hybridMultilevel"/>
    <w:lvl w:ilvl="0">
      <w:lvlJc w:val="left"/>
      <w:lvlText w:val="(%1)"/>
      <w:numFmt w:val="decimal"/>
      <w:start w:val="1"/>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1)"/>
      <w:numFmt w:val="decimal"/>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1)"/>
      <w:numFmt w:val="lowerRoman"/>
      <w:start w:val="2"/>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1)"/>
      <w:numFmt w:val="decimal"/>
      <w:start w:val="4"/>
    </w:lvl>
  </w:abstractNum>
  <w:abstractNum w:abstractNumId="82">
    <w:nsid w:val="2C27173B"/>
    <w:multiLevelType w:val="hybridMultilevel"/>
    <w:lvl w:ilvl="0">
      <w:lvlJc w:val="left"/>
      <w:lvlText w:val="(%1)"/>
      <w:numFmt w:val="decimal"/>
      <w:start w:val="1"/>
    </w:lvl>
  </w:abstractNum>
  <w:abstractNum w:abstractNumId="83">
    <w:nsid w:val="4C9B0904"/>
    <w:multiLevelType w:val="hybridMultilevel"/>
    <w:lvl w:ilvl="0">
      <w:lvlJc w:val="left"/>
      <w:lvlText w:val="(%1)"/>
      <w:numFmt w:val="decimal"/>
      <w:start w:val="1"/>
    </w:lvl>
  </w:abstractNum>
  <w:abstractNum w:abstractNumId="84">
    <w:nsid w:val="6AA7B75C"/>
    <w:multiLevelType w:val="hybridMultilevel"/>
    <w:lvl w:ilvl="0">
      <w:lvlJc w:val="left"/>
      <w:lvlText w:val="(%1)"/>
      <w:numFmt w:val="decimal"/>
      <w:start w:val="1"/>
    </w:lvl>
  </w:abstractNum>
  <w:abstractNum w:abstractNumId="85">
    <w:nsid w:val="1DF029D3"/>
    <w:multiLevelType w:val="hybridMultilevel"/>
    <w:lvl w:ilvl="0">
      <w:lvlJc w:val="left"/>
      <w:lvlText w:val="(%1)"/>
      <w:numFmt w:val="decimal"/>
      <w:start w:val="1"/>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1)"/>
      <w:numFmt w:val="decimal"/>
      <w:start w:val="1"/>
    </w:lvl>
  </w:abstractNum>
  <w:abstractNum w:abstractNumId="88">
    <w:nsid w:val="3DB012B3"/>
    <w:multiLevelType w:val="hybridMultilevel"/>
    <w:lvl w:ilvl="0">
      <w:lvlJc w:val="left"/>
      <w:lvlText w:val="(%1)"/>
      <w:numFmt w:val="decimal"/>
      <w:start w:val="1"/>
    </w:lvl>
  </w:abstractNum>
  <w:abstractNum w:abstractNumId="89">
    <w:nsid w:val="2708C9AF"/>
    <w:multiLevelType w:val="hybridMultilevel"/>
    <w:lvl w:ilvl="0">
      <w:lvlJc w:val="left"/>
      <w:lvlText w:val="(%1)"/>
      <w:numFmt w:val="decimal"/>
      <w:start w:val="1"/>
    </w:lvl>
  </w:abstractNum>
  <w:abstractNum w:abstractNumId="90">
    <w:nsid w:val="5B25ACE2"/>
    <w:multiLevelType w:val="hybridMultilevel"/>
    <w:lvl w:ilvl="0">
      <w:lvlJc w:val="left"/>
      <w:lvlText w:val="(%1)"/>
      <w:numFmt w:val="decimal"/>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1)"/>
      <w:numFmt w:val="decimal"/>
      <w:start w:val="1"/>
    </w:lvl>
  </w:abstractNum>
  <w:abstractNum w:abstractNumId="93">
    <w:nsid w:val="53B0A9E"/>
    <w:multiLevelType w:val="hybridMultilevel"/>
    <w:lvl w:ilvl="0">
      <w:lvlJc w:val="left"/>
      <w:lvlText w:val="(%1)"/>
      <w:numFmt w:val="decimal"/>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1)"/>
      <w:numFmt w:val="decimal"/>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1)"/>
      <w:numFmt w:val="decimal"/>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1)"/>
      <w:numFmt w:val="decimal"/>
      <w:start w:val="1"/>
    </w:lvl>
  </w:abstractNum>
  <w:abstractNum w:abstractNumId="100">
    <w:nsid w:val="4DF72E4E"/>
    <w:multiLevelType w:val="hybridMultilevel"/>
    <w:lvl w:ilvl="0">
      <w:lvlJc w:val="left"/>
      <w:lvlText w:val="(%1)"/>
      <w:numFmt w:val="decimal"/>
      <w:start w:val="1"/>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1)"/>
      <w:numFmt w:val="decimal"/>
      <w:start w:val="1"/>
    </w:lvl>
  </w:abstractNum>
  <w:abstractNum w:abstractNumId="103">
    <w:nsid w:val="2A082C70"/>
    <w:multiLevelType w:val="hybridMultilevel"/>
    <w:lvl w:ilvl="0">
      <w:lvlJc w:val="left"/>
      <w:lvlText w:val="(%1)"/>
      <w:numFmt w:val="decimal"/>
      <w:start w:val="1"/>
    </w:lvl>
  </w:abstractNum>
  <w:abstractNum w:abstractNumId="104">
    <w:nsid w:val="5EC6AFD4"/>
    <w:multiLevelType w:val="hybridMultilevel"/>
    <w:lvl w:ilvl="0">
      <w:lvlJc w:val="left"/>
      <w:lvlText w:val="(%1)"/>
      <w:numFmt w:val="decimal"/>
      <w:start w:val="1"/>
    </w:lvl>
  </w:abstractNum>
  <w:abstractNum w:abstractNumId="105">
    <w:nsid w:val="19E21BB2"/>
    <w:multiLevelType w:val="hybridMultilevel"/>
    <w:lvl w:ilvl="0">
      <w:lvlJc w:val="left"/>
      <w:lvlText w:val="(%1)"/>
      <w:numFmt w:val="decimal"/>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1)"/>
      <w:numFmt w:val="decimal"/>
      <w:start w:val="1"/>
    </w:lvl>
  </w:abstractNum>
  <w:abstractNum w:abstractNumId="108">
    <w:nsid w:val="5399C654"/>
    <w:multiLevelType w:val="hybridMultilevel"/>
    <w:lvl w:ilvl="0">
      <w:lvlJc w:val="left"/>
      <w:lvlText w:val="(%1)"/>
      <w:numFmt w:val="decimal"/>
      <w:start w:val="1"/>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1)"/>
      <w:numFmt w:val="decimal"/>
      <w:start w:val="1"/>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1"/>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1)"/>
      <w:numFmt w:val="decimal"/>
      <w:start w:val="1"/>
    </w:lvl>
  </w:abstractNum>
  <w:abstractNum w:abstractNumId="117">
    <w:nsid w:val="2E48F044"/>
    <w:multiLevelType w:val="hybridMultilevel"/>
    <w:lvl w:ilvl="0">
      <w:lvlJc w:val="left"/>
      <w:lvlText w:val="(%1)"/>
      <w:numFmt w:val="decimal"/>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decimal"/>
      <w:start w:val="1"/>
    </w:lvl>
  </w:abstractNum>
  <w:abstractNum w:abstractNumId="120">
    <w:nsid w:val="5551B9F3"/>
    <w:multiLevelType w:val="hybridMultilevel"/>
    <w:lvl w:ilvl="0">
      <w:lvlJc w:val="left"/>
      <w:lvlText w:val="(%1)"/>
      <w:numFmt w:val="decimal"/>
      <w:start w:val="1"/>
    </w:lvl>
  </w:abstractNum>
  <w:abstractNum w:abstractNumId="121">
    <w:nsid w:val="24F6AB8E"/>
    <w:multiLevelType w:val="hybridMultilevel"/>
    <w:lvl w:ilvl="0">
      <w:lvlJc w:val="left"/>
      <w:lvlText w:val="(%1)"/>
      <w:numFmt w:val="decimal"/>
      <w:start w:val="1"/>
    </w:lvl>
  </w:abstractNum>
  <w:abstractNum w:abstractNumId="122">
    <w:nsid w:val="634C574C"/>
    <w:multiLevelType w:val="hybridMultilevel"/>
    <w:lvl w:ilvl="0">
      <w:lvlJc w:val="left"/>
      <w:lvlText w:val="(%1)"/>
      <w:numFmt w:val="decimal"/>
      <w:start w:val="1"/>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decimal"/>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1)"/>
      <w:numFmt w:val="decimal"/>
      <w:start w:val="1"/>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decimal"/>
      <w:start w:val="1"/>
    </w:lvl>
  </w:abstractNum>
  <w:abstractNum w:abstractNumId="129">
    <w:nsid w:val="2A6DE806"/>
    <w:multiLevelType w:val="hybridMultilevel"/>
    <w:lvl w:ilvl="0">
      <w:lvlJc w:val="left"/>
      <w:lvlText w:val="(%1)"/>
      <w:numFmt w:val="decimal"/>
      <w:start w:val="1"/>
    </w:lvl>
  </w:abstractNum>
  <w:abstractNum w:abstractNumId="130">
    <w:nsid w:val="1816F8C4"/>
    <w:multiLevelType w:val="hybridMultilevel"/>
    <w:lvl w:ilvl="0">
      <w:lvlJc w:val="left"/>
      <w:lvlText w:val="(%1)"/>
      <w:numFmt w:val="decimal"/>
      <w:start w:val="1"/>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1"/>
    </w:lvl>
  </w:abstractNum>
  <w:abstractNum w:abstractNumId="133">
    <w:nsid w:val="759F82CD"/>
    <w:multiLevelType w:val="hybridMultilevel"/>
    <w:lvl w:ilvl="0">
      <w:lvlJc w:val="left"/>
      <w:lvlText w:val="(%1)"/>
      <w:numFmt w:val="decimal"/>
      <w:start w:val="1"/>
    </w:lvl>
  </w:abstractNum>
  <w:abstractNum w:abstractNumId="134">
    <w:nsid w:val="61E74EA3"/>
    <w:multiLevelType w:val="hybridMultilevel"/>
    <w:lvl w:ilvl="0">
      <w:lvlJc w:val="left"/>
      <w:lvlText w:val="(%1)"/>
      <w:numFmt w:val="decimal"/>
      <w:start w:val="1"/>
    </w:lvl>
  </w:abstractNum>
  <w:abstractNum w:abstractNumId="135">
    <w:nsid w:val="597B4D84"/>
    <w:multiLevelType w:val="hybridMultilevel"/>
    <w:lvl w:ilvl="0">
      <w:lvlJc w:val="left"/>
      <w:lvlText w:val="(%1)"/>
      <w:numFmt w:val="decimal"/>
      <w:start w:val="1"/>
    </w:lvl>
  </w:abstractNum>
  <w:abstractNum w:abstractNumId="136">
    <w:nsid w:val="F819E7F"/>
    <w:multiLevelType w:val="hybridMultilevel"/>
    <w:lvl w:ilvl="0">
      <w:lvlJc w:val="left"/>
      <w:lvlText w:val="(%1)"/>
      <w:numFmt w:val="decimal"/>
      <w:start w:val="1"/>
    </w:lvl>
  </w:abstractNum>
  <w:abstractNum w:abstractNumId="137">
    <w:nsid w:val="57C7D42D"/>
    <w:multiLevelType w:val="hybridMultilevel"/>
    <w:lvl w:ilvl="0">
      <w:lvlJc w:val="left"/>
      <w:lvlText w:val="(%1)"/>
      <w:numFmt w:val="decimal"/>
      <w:start w:val="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1"/>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decimal"/>
      <w:start w:val="1"/>
    </w:lvl>
  </w:abstractNum>
  <w:abstractNum w:abstractNumId="152">
    <w:nsid w:val="14D53685"/>
    <w:multiLevelType w:val="hybridMultilevel"/>
    <w:lvl w:ilvl="0">
      <w:lvlJc w:val="left"/>
      <w:lvlText w:val="%1"/>
      <w:numFmt w:val="decimal"/>
      <w:start w:val="97"/>
    </w:lvl>
  </w:abstractNum>
  <w:abstractNum w:abstractNumId="153">
    <w:nsid w:val="230F85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2026-04-07T19:49:54Z</dcterms:created>
  <dcterms:modified xsi:type="dcterms:W3CDTF">2026-04-07T19:49:54Z</dcterms:modified>
</cp:coreProperties>
</file>