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2974340</wp:posOffset>
            </wp:positionH>
            <wp:positionV relativeFrom="paragraph">
              <wp:posOffset>424815</wp:posOffset>
            </wp:positionV>
            <wp:extent cx="1045845" cy="231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5845" cy="2317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XEROX HOLDINGS CORPORATION</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05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001-39013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83-3933743</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054"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054"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401 Merritt 7</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Norwalk, Connecticut</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06851</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(203) 849-5216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250190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054"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Xerox Holdings Corporation Common Stock, $1</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XRX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par value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Xerox Holdings Corporation Warrants to Purchase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XRXDW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Stock, $1 par value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054"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0" w:space="440"/>
            <w:col w:w="9780"/>
          </w:cols>
          <w:pgMar w:left="440" w:top="293" w:right="479" w:bottom="1440" w:gutter="0" w:footer="0" w:header="0"/>
        </w:sect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May 20, 2026, the shareholders of Xerox Holdings Corporation (the “Company”) approved an amendment (the “Plan Amendment”) to the Xerox Holdings Corporation 2024 Equity and Performance Incentive Plan (the “Plan”) at the Company’s annual meeting of shareholders (the “2026 Annual Meeting”). The Company’s shareholders approved the Plan Amendment in accordance with the voting results set forth below under Item 5.07. The Plan Amendment was previously adopted by the Company’s Board of Directors, subject to shareholder approval.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was originally approved by the Company’s shareholders on May 22, 2024, and the term of the Plan ends on May 22, 2034, or such earlier date as determined by the Compensation and Human Capital Committee of the Board of Directors. The Plan Amendment became effective on May 20, 2026, following approval by the Company’s shareholders. The Plan Amendment increases the number of shares of the Company’s common stock available for issuance under the Plan by 15,000,000 shares.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description of the Plan Amendment does not purport to be complete and is qualified in its entirety by the full text of the Plan Amendment, set forth in Exhibit 10.1, and incorporated herein by reference.</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80"/>
          </w:cols>
          <w:pgMar w:left="440" w:top="293" w:right="479" w:bottom="1440" w:gutter="0" w:footer="0" w:header="0"/>
          <w:type w:val="continuous"/>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Set forth below are the matters on which the Company’s shareholders voted at the 2026 Annual Meeting, along with final voting results, as reported by the Company’s independent inspector of election.</w:t>
      </w:r>
    </w:p>
    <w:p>
      <w:pPr>
        <w:spacing w:after="0" w:line="6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Election of Directors. </w:t>
      </w:r>
      <w:r>
        <w:rPr>
          <w:rFonts w:ascii="Times New Roman" w:cs="Times New Roman" w:eastAsia="Times New Roman" w:hAnsi="Times New Roman"/>
          <w:sz w:val="18"/>
          <w:szCs w:val="18"/>
          <w:color w:val="auto"/>
        </w:rPr>
        <w:t>All nominees for director were elected.</w:t>
      </w:r>
    </w:p>
    <w:p>
      <w:pPr>
        <w:spacing w:after="0" w:line="250"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For</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Against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Abstain</w:t>
            </w: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Non-Votes</w:t>
            </w:r>
          </w:p>
        </w:tc>
      </w:tr>
      <w:tr>
        <w:trPr>
          <w:trHeight w:val="209"/>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G. Bruno</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61,031,963</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1,983,261</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294,579</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24,917,530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Tami A. Erwin</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60,879,481</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2,112,130</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318,192</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24,917,530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Priscilla Hung</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60,306,508</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2,673,724</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329,571</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24,917,530</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Scott Letier</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60,763,260</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2,230,676</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315,867</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24,917,530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Nichelle Maynard-Elliott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60,609,204</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2,377,772</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322,827</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24,917,530</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Edward G. McLaughlin</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60,808,194</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2,174,684</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326,925</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24,917,530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Louis J. Pastor</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61,361,965</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1,660,009</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287,829</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24,917,530</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John J. Roese</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61,134,753</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1,859,087</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315,963</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24,917,530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Amy Schwetz</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61,022,748</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1,954,945</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332,110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24,917,530</w:t>
            </w:r>
          </w:p>
        </w:tc>
      </w:tr>
    </w:tbl>
    <w:p>
      <w:pPr>
        <w:spacing w:after="0" w:line="101" w:lineRule="exact"/>
        <w:rPr>
          <w:sz w:val="20"/>
          <w:szCs w:val="20"/>
          <w:color w:val="auto"/>
        </w:rPr>
      </w:pPr>
    </w:p>
    <w:p>
      <w:pPr>
        <w:ind w:left="424" w:right="360" w:hanging="424"/>
        <w:spacing w:after="0" w:line="284"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Ratification of appointment of PricewaterhouseCoopers LLP as the Company’s independent registered public accounting firm for 2026.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selection of PricewaterhouseCoopers LLP was ratified.</w:t>
      </w:r>
    </w:p>
    <w:p>
      <w:pPr>
        <w:spacing w:after="0" w:line="183" w:lineRule="exact"/>
        <w:rPr>
          <w:sz w:val="20"/>
          <w:szCs w:val="20"/>
          <w:color w:val="auto"/>
        </w:rPr>
      </w:pPr>
    </w:p>
    <w:tbl>
      <w:tblPr>
        <w:tblLayout w:type="fixed"/>
        <w:tblInd w:w="1104" w:type="dxa"/>
        <w:tblCellMar>
          <w:top w:w="0" w:type="dxa"/>
          <w:left w:w="0" w:type="dxa"/>
          <w:bottom w:w="0" w:type="dxa"/>
          <w:right w:w="0" w:type="dxa"/>
        </w:tblCellMar>
      </w:tblPr>
      <w:tr>
        <w:trPr>
          <w:trHeight w:val="171"/>
        </w:trPr>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Against</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Abstain</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Non-Votes</w:t>
            </w:r>
          </w:p>
        </w:tc>
      </w:tr>
      <w:tr>
        <w:trPr>
          <w:trHeight w:val="216"/>
        </w:trPr>
        <w:tc>
          <w:tcPr>
            <w:tcW w:w="220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85,318,113</w:t>
            </w:r>
          </w:p>
        </w:tc>
        <w:tc>
          <w:tcPr>
            <w:tcW w:w="224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2,380,846</w:t>
            </w:r>
          </w:p>
        </w:tc>
        <w:tc>
          <w:tcPr>
            <w:tcW w:w="218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528,374</w:t>
            </w:r>
          </w:p>
        </w:tc>
        <w:tc>
          <w:tcPr>
            <w:tcW w:w="218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0</w:t>
            </w:r>
          </w:p>
        </w:tc>
      </w:tr>
    </w:tbl>
    <w:p>
      <w:pPr>
        <w:spacing w:after="0" w:line="101" w:lineRule="exact"/>
        <w:rPr>
          <w:sz w:val="20"/>
          <w:szCs w:val="20"/>
          <w:color w:val="auto"/>
        </w:rPr>
      </w:pPr>
    </w:p>
    <w:p>
      <w:pPr>
        <w:ind w:left="424" w:right="80" w:hanging="424"/>
        <w:spacing w:after="0" w:line="267"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Approval, on an advisory basis, of the 2025 compensation of the Company’s Named Executive Officers (“NEOs”), as defined and disclosed in Company’s proxy statement in connection with the 2026 Annual Meeting. </w:t>
      </w:r>
      <w:r>
        <w:rPr>
          <w:rFonts w:ascii="Times New Roman" w:cs="Times New Roman" w:eastAsia="Times New Roman" w:hAnsi="Times New Roman"/>
          <w:sz w:val="18"/>
          <w:szCs w:val="18"/>
          <w:color w:val="auto"/>
        </w:rPr>
        <w:t>The 2025 compensation of the Company’s NEOs was approved,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basis.</w:t>
      </w:r>
    </w:p>
    <w:p>
      <w:pPr>
        <w:spacing w:after="0" w:line="198" w:lineRule="exact"/>
        <w:rPr>
          <w:sz w:val="20"/>
          <w:szCs w:val="20"/>
          <w:color w:val="auto"/>
        </w:rPr>
      </w:pPr>
    </w:p>
    <w:tbl>
      <w:tblPr>
        <w:tblLayout w:type="fixed"/>
        <w:tblInd w:w="1104" w:type="dxa"/>
        <w:tblCellMar>
          <w:top w:w="0" w:type="dxa"/>
          <w:left w:w="0" w:type="dxa"/>
          <w:bottom w:w="0" w:type="dxa"/>
          <w:right w:w="0" w:type="dxa"/>
        </w:tblCellMar>
      </w:tblPr>
      <w:tr>
        <w:trPr>
          <w:trHeight w:val="171"/>
        </w:trPr>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Against</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Abstain</w:t>
            </w:r>
          </w:p>
        </w:tc>
        <w:tc>
          <w:tcPr>
            <w:tcW w:w="2220" w:type="dxa"/>
            <w:vAlign w:val="bottom"/>
          </w:tcPr>
          <w:p>
            <w:pPr>
              <w:jc w:val="center"/>
              <w:ind w:left="39"/>
              <w:spacing w:after="0"/>
              <w:rPr>
                <w:sz w:val="20"/>
                <w:szCs w:val="20"/>
                <w:color w:val="auto"/>
              </w:rPr>
            </w:pPr>
            <w:r>
              <w:rPr>
                <w:rFonts w:ascii="Times New Roman" w:cs="Times New Roman" w:eastAsia="Times New Roman" w:hAnsi="Times New Roman"/>
                <w:sz w:val="14"/>
                <w:szCs w:val="14"/>
                <w:color w:val="auto"/>
              </w:rPr>
              <w:t>Non-Votes</w:t>
            </w:r>
          </w:p>
        </w:tc>
      </w:tr>
      <w:tr>
        <w:trPr>
          <w:trHeight w:val="216"/>
        </w:trPr>
        <w:tc>
          <w:tcPr>
            <w:tcW w:w="220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57,704,131</w:t>
            </w:r>
          </w:p>
        </w:tc>
        <w:tc>
          <w:tcPr>
            <w:tcW w:w="224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5,076,884</w:t>
            </w:r>
          </w:p>
        </w:tc>
        <w:tc>
          <w:tcPr>
            <w:tcW w:w="21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528,788</w:t>
            </w:r>
          </w:p>
        </w:tc>
        <w:tc>
          <w:tcPr>
            <w:tcW w:w="222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24,917,530</w:t>
            </w:r>
          </w:p>
        </w:tc>
      </w:tr>
    </w:tbl>
    <w:p>
      <w:pPr>
        <w:spacing w:after="0" w:line="101" w:lineRule="exact"/>
        <w:rPr>
          <w:sz w:val="20"/>
          <w:szCs w:val="20"/>
          <w:color w:val="auto"/>
        </w:rPr>
      </w:pPr>
    </w:p>
    <w:p>
      <w:pPr>
        <w:ind w:left="424" w:hanging="424"/>
        <w:spacing w:after="0" w:line="284"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Proposal to approve an Amendment to the Company’s 2024 Equity and Performance Incentive Plan. </w:t>
      </w:r>
      <w:r>
        <w:rPr>
          <w:rFonts w:ascii="Times New Roman" w:cs="Times New Roman" w:eastAsia="Times New Roman" w:hAnsi="Times New Roman"/>
          <w:sz w:val="18"/>
          <w:szCs w:val="18"/>
          <w:color w:val="auto"/>
        </w:rPr>
        <w:t>The Second Amendment to the 2024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Performance Incentive Plan was approved.</w:t>
      </w:r>
    </w:p>
    <w:p>
      <w:pPr>
        <w:spacing w:after="0" w:line="183" w:lineRule="exact"/>
        <w:rPr>
          <w:sz w:val="20"/>
          <w:szCs w:val="20"/>
          <w:color w:val="auto"/>
        </w:rPr>
      </w:pPr>
    </w:p>
    <w:tbl>
      <w:tblPr>
        <w:tblLayout w:type="fixed"/>
        <w:tblInd w:w="1104" w:type="dxa"/>
        <w:tblCellMar>
          <w:top w:w="0" w:type="dxa"/>
          <w:left w:w="0" w:type="dxa"/>
          <w:bottom w:w="0" w:type="dxa"/>
          <w:right w:w="0" w:type="dxa"/>
        </w:tblCellMar>
      </w:tblPr>
      <w:tr>
        <w:trPr>
          <w:trHeight w:val="171"/>
        </w:trPr>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1820" w:type="dxa"/>
            <w:vAlign w:val="bottom"/>
          </w:tcPr>
          <w:p>
            <w:pPr>
              <w:jc w:val="center"/>
              <w:ind w:left="339"/>
              <w:spacing w:after="0"/>
              <w:rPr>
                <w:sz w:val="20"/>
                <w:szCs w:val="20"/>
                <w:color w:val="auto"/>
              </w:rPr>
            </w:pPr>
            <w:r>
              <w:rPr>
                <w:rFonts w:ascii="Times New Roman" w:cs="Times New Roman" w:eastAsia="Times New Roman" w:hAnsi="Times New Roman"/>
                <w:sz w:val="14"/>
                <w:szCs w:val="14"/>
                <w:color w:val="auto"/>
              </w:rPr>
              <w:t>Against</w:t>
            </w:r>
          </w:p>
        </w:tc>
        <w:tc>
          <w:tcPr>
            <w:tcW w:w="2600" w:type="dxa"/>
            <w:vAlign w:val="bottom"/>
          </w:tcPr>
          <w:p>
            <w:pPr>
              <w:jc w:val="center"/>
              <w:ind w:left="396"/>
              <w:spacing w:after="0"/>
              <w:rPr>
                <w:sz w:val="20"/>
                <w:szCs w:val="20"/>
                <w:color w:val="auto"/>
              </w:rPr>
            </w:pPr>
            <w:r>
              <w:rPr>
                <w:rFonts w:ascii="Times New Roman" w:cs="Times New Roman" w:eastAsia="Times New Roman" w:hAnsi="Times New Roman"/>
                <w:sz w:val="14"/>
                <w:szCs w:val="14"/>
                <w:color w:val="auto"/>
              </w:rPr>
              <w:t>Abstain</w:t>
            </w:r>
          </w:p>
        </w:tc>
        <w:tc>
          <w:tcPr>
            <w:tcW w:w="2220" w:type="dxa"/>
            <w:vAlign w:val="bottom"/>
          </w:tcPr>
          <w:p>
            <w:pPr>
              <w:jc w:val="center"/>
              <w:ind w:left="39"/>
              <w:spacing w:after="0"/>
              <w:rPr>
                <w:sz w:val="20"/>
                <w:szCs w:val="20"/>
                <w:color w:val="auto"/>
              </w:rPr>
            </w:pPr>
            <w:r>
              <w:rPr>
                <w:rFonts w:ascii="Times New Roman" w:cs="Times New Roman" w:eastAsia="Times New Roman" w:hAnsi="Times New Roman"/>
                <w:sz w:val="14"/>
                <w:szCs w:val="14"/>
                <w:color w:val="auto"/>
              </w:rPr>
              <w:t>Non-Votes</w:t>
            </w:r>
          </w:p>
        </w:tc>
      </w:tr>
      <w:tr>
        <w:trPr>
          <w:trHeight w:val="216"/>
        </w:trPr>
        <w:tc>
          <w:tcPr>
            <w:tcW w:w="216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46,522,213</w:t>
            </w:r>
          </w:p>
        </w:tc>
        <w:tc>
          <w:tcPr>
            <w:tcW w:w="18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15,872,321</w:t>
            </w:r>
          </w:p>
        </w:tc>
        <w:tc>
          <w:tcPr>
            <w:tcW w:w="260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915,269</w:t>
            </w:r>
          </w:p>
        </w:tc>
        <w:tc>
          <w:tcPr>
            <w:tcW w:w="222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24,917,530</w:t>
            </w:r>
          </w:p>
        </w:tc>
      </w:tr>
      <w:tr>
        <w:trPr>
          <w:trHeight w:val="729"/>
        </w:trPr>
        <w:tc>
          <w:tcPr>
            <w:tcW w:w="2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- 3 -</w:t>
            </w:r>
          </w:p>
        </w:tc>
        <w:tc>
          <w:tcPr>
            <w:tcW w:w="2220" w:type="dxa"/>
            <w:vAlign w:val="bottom"/>
          </w:tcPr>
          <w:p>
            <w:pPr>
              <w:spacing w:after="0"/>
              <w:rPr>
                <w:sz w:val="24"/>
                <w:szCs w:val="24"/>
                <w:color w:val="auto"/>
              </w:rPr>
            </w:pPr>
          </w:p>
        </w:tc>
      </w:tr>
    </w:tbl>
    <w:p>
      <w:pPr>
        <w:sectPr>
          <w:pgSz w:w="11900" w:h="16838" w:orient="portrait"/>
          <w:cols w:equalWidth="0" w:num="1">
            <w:col w:w="10884"/>
          </w:cols>
          <w:pgMar w:left="436" w:top="293" w:right="57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t>Item 9.01.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-220980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32" w:lineRule="exact"/>
        <w:rPr>
          <w:sz w:val="20"/>
          <w:szCs w:val="20"/>
          <w:color w:val="auto"/>
        </w:rPr>
      </w:pPr>
    </w:p>
    <w:p>
      <w:pPr>
        <w:sectPr>
          <w:pgSz w:w="11900" w:h="16838" w:orient="portrait"/>
          <w:cols w:equalWidth="0" w:num="2">
            <w:col w:w="764" w:space="440"/>
            <w:col w:w="9800"/>
          </w:cols>
          <w:pgMar w:left="436" w:top="293" w:right="459" w:bottom="1440" w:gutter="0" w:footer="0" w:header="0"/>
        </w:sectPr>
      </w:pPr>
    </w:p>
    <w:p>
      <w:pPr>
        <w:ind w:left="4"/>
        <w:spacing w:after="0"/>
        <w:rPr>
          <w:sz w:val="20"/>
          <w:szCs w:val="20"/>
          <w:color w:val="auto"/>
        </w:rPr>
      </w:pPr>
      <w:r>
        <w:rPr>
          <w:rFonts w:ascii="Times New Roman" w:cs="Times New Roman" w:eastAsia="Times New Roman" w:hAnsi="Times New Roman"/>
          <w:sz w:val="17"/>
          <w:szCs w:val="17"/>
          <w:color w:val="auto"/>
        </w:rPr>
        <w:t>(d) Exhibits.</w:t>
      </w:r>
    </w:p>
    <w:p>
      <w:pPr>
        <w:sectPr>
          <w:pgSz w:w="11900" w:h="16838" w:orient="portrait"/>
          <w:cols w:equalWidth="0" w:num="1">
            <w:col w:w="11004"/>
          </w:cols>
          <w:pgMar w:left="436" w:top="293" w:right="459" w:bottom="1440" w:gutter="0" w:footer="0" w:header="0"/>
          <w:type w:val="continuous"/>
        </w:sectPr>
      </w:pPr>
    </w:p>
    <w:p>
      <w:pPr>
        <w:spacing w:after="0" w:line="259" w:lineRule="exact"/>
        <w:rPr>
          <w:sz w:val="20"/>
          <w:szCs w:val="20"/>
          <w:color w:val="auto"/>
        </w:rPr>
      </w:pPr>
    </w:p>
    <w:p>
      <w:pPr>
        <w:jc w:val="center"/>
        <w:ind w:right="4136"/>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jc w:val="center"/>
        <w:ind w:right="4136"/>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center"/>
        <w:ind w:right="4420"/>
        <w:spacing w:after="0"/>
        <w:rPr>
          <w:sz w:val="20"/>
          <w:szCs w:val="20"/>
          <w:color w:val="auto"/>
        </w:rPr>
      </w:pPr>
      <w:r>
        <w:rPr>
          <w:rFonts w:ascii="Times New Roman" w:cs="Times New Roman" w:eastAsia="Times New Roman" w:hAnsi="Times New Roman"/>
          <w:sz w:val="14"/>
          <w:szCs w:val="14"/>
          <w:color w:val="auto"/>
        </w:rPr>
        <w:t>Description of Exhibit</w:t>
      </w:r>
    </w:p>
    <w:p>
      <w:pPr>
        <w:spacing w:after="0" w:line="99" w:lineRule="exact"/>
        <w:rPr>
          <w:sz w:val="20"/>
          <w:szCs w:val="20"/>
          <w:color w:val="auto"/>
        </w:rPr>
      </w:pPr>
    </w:p>
    <w:p>
      <w:pPr>
        <w:sectPr>
          <w:pgSz w:w="11900" w:h="16838" w:orient="portrait"/>
          <w:cols w:equalWidth="0" w:num="2">
            <w:col w:w="4564" w:space="720"/>
            <w:col w:w="5720"/>
          </w:cols>
          <w:pgMar w:left="436" w:top="293" w:right="459" w:bottom="1440" w:gutter="0" w:footer="0" w:header="0"/>
          <w:type w:val="continuous"/>
        </w:sectPr>
      </w:pPr>
    </w:p>
    <w:p>
      <w:pPr>
        <w:ind w:left="844" w:hanging="849"/>
        <w:spacing w:after="0" w:line="282" w:lineRule="auto"/>
        <w:tabs>
          <w:tab w:leader="none" w:pos="82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21">
        <w:r>
          <w:rPr>
            <w:rFonts w:ascii="Times New Roman" w:cs="Times New Roman" w:eastAsia="Times New Roman" w:hAnsi="Times New Roman"/>
            <w:sz w:val="18"/>
            <w:szCs w:val="18"/>
            <w:u w:val="single" w:color="auto"/>
            <w:color w:val="0000EE"/>
          </w:rPr>
          <w:t>Second Amendment to the Xerox Holdings Corporation 2024 Equity and Performance Incentive Plan (Incorporated by reference to Annex A</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to Xerox Holdings Corporation’s Proxy Statement on Schedule 14A dated April 7, 2026. See SEC File Number 001-39013)</w:t>
        </w:r>
      </w:hyperlink>
    </w:p>
    <w:p>
      <w:pPr>
        <w:spacing w:after="0" w:line="54" w:lineRule="exact"/>
        <w:rPr>
          <w:sz w:val="20"/>
          <w:szCs w:val="20"/>
          <w:color w:val="auto"/>
        </w:rPr>
      </w:pPr>
    </w:p>
    <w:p>
      <w:pPr>
        <w:ind w:left="5364" w:right="3020" w:hanging="5364"/>
        <w:spacing w:after="0" w:line="877" w:lineRule="auto"/>
        <w:tabs>
          <w:tab w:leader="none" w:pos="8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File (the cover page tags are embedded within the Inline XBRL document). - 4 -</w:t>
      </w:r>
    </w:p>
    <w:p>
      <w:pPr>
        <w:sectPr>
          <w:pgSz w:w="11900" w:h="16838" w:orient="portrait"/>
          <w:cols w:equalWidth="0" w:num="1">
            <w:col w:w="11004"/>
          </w:cols>
          <w:pgMar w:left="436" w:top="293" w:right="45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Registrant has duly authorized this Report to be signed on its behalf by the undersigned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XEROX HOLDINGS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Risi</w:t>
            </w:r>
          </w:p>
        </w:tc>
      </w:tr>
      <w:tr>
        <w:trPr>
          <w:trHeight w:val="205"/>
        </w:trPr>
        <w:tc>
          <w:tcPr>
            <w:tcW w:w="6060" w:type="dxa"/>
            <w:vAlign w:val="bottom"/>
          </w:tcPr>
          <w:p>
            <w:pPr>
              <w:spacing w:after="0"/>
              <w:rPr>
                <w:sz w:val="17"/>
                <w:szCs w:val="17"/>
                <w:color w:val="auto"/>
              </w:rPr>
            </w:pPr>
          </w:p>
        </w:tc>
        <w:tc>
          <w:tcPr>
            <w:tcW w:w="4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Eric Risi</w:t>
            </w: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2026</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364"/>
        </w:trPr>
        <w:tc>
          <w:tcPr>
            <w:tcW w:w="6060" w:type="dxa"/>
            <w:vAlign w:val="bottom"/>
          </w:tcPr>
          <w:p>
            <w:pPr>
              <w:ind w:left="5360"/>
              <w:spacing w:after="0"/>
              <w:rPr>
                <w:sz w:val="20"/>
                <w:szCs w:val="20"/>
                <w:color w:val="auto"/>
              </w:rPr>
            </w:pPr>
            <w:r>
              <w:rPr>
                <w:rFonts w:ascii="Times New Roman" w:cs="Times New Roman" w:eastAsia="Times New Roman" w:hAnsi="Times New Roman"/>
                <w:sz w:val="18"/>
                <w:szCs w:val="18"/>
                <w:color w:val="auto"/>
              </w:rPr>
              <w:t>- 5 -</w:t>
            </w:r>
          </w:p>
        </w:tc>
        <w:tc>
          <w:tcPr>
            <w:tcW w:w="49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1" Type="http://schemas.openxmlformats.org/officeDocument/2006/relationships/hyperlink" Target="http://www.sec.gov/Archives/edgar/data/1770450/000177045026000020/xrx-202604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2026-05-27T15:22:01Z</dcterms:created>
  <dcterms:modified xsi:type="dcterms:W3CDTF">2026-05-27T15:22:01Z</dcterms:modified>
</cp:coreProperties>
</file>