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0"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54"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7" w:lineRule="exact"/>
        <w:rPr>
          <w:sz w:val="24"/>
          <w:szCs w:val="24"/>
          <w:color w:val="auto"/>
        </w:rPr>
      </w:pPr>
    </w:p>
    <w:p>
      <w:pPr>
        <w:ind w:left="660"/>
        <w:spacing w:after="0"/>
        <w:tabs>
          <w:tab w:leader="none" w:pos="43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86360</wp:posOffset>
            </wp:positionV>
            <wp:extent cx="1209040"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9040" cy="24003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XEROX HOLDINGS CORPORATION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XEROX CORPORATION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64"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2880" w:type="dxa"/>
            <w:vAlign w:val="bottom"/>
          </w:tcPr>
          <w:p>
            <w:pPr>
              <w:jc w:val="center"/>
              <w:spacing w:after="0"/>
              <w:rPr>
                <w:sz w:val="20"/>
                <w:szCs w:val="20"/>
                <w:color w:val="auto"/>
              </w:rPr>
            </w:pPr>
            <w:r>
              <w:rPr>
                <w:rFonts w:ascii="Arial" w:cs="Arial" w:eastAsia="Arial" w:hAnsi="Arial"/>
                <w:sz w:val="16"/>
                <w:szCs w:val="16"/>
                <w:b w:val="1"/>
                <w:bCs w:val="1"/>
                <w:color w:val="auto"/>
              </w:rPr>
              <w:t>New York</w:t>
            </w:r>
          </w:p>
        </w:tc>
        <w:tc>
          <w:tcPr>
            <w:tcW w:w="4520" w:type="dxa"/>
            <w:vAlign w:val="bottom"/>
          </w:tcPr>
          <w:p>
            <w:pPr>
              <w:jc w:val="center"/>
              <w:spacing w:after="0"/>
              <w:rPr>
                <w:sz w:val="20"/>
                <w:szCs w:val="20"/>
                <w:color w:val="auto"/>
              </w:rPr>
            </w:pPr>
            <w:r>
              <w:rPr>
                <w:rFonts w:ascii="Arial" w:cs="Arial" w:eastAsia="Arial" w:hAnsi="Arial"/>
                <w:sz w:val="16"/>
                <w:szCs w:val="16"/>
                <w:b w:val="1"/>
                <w:bCs w:val="1"/>
                <w:color w:val="auto"/>
              </w:rPr>
              <w:t>001-39013</w:t>
            </w:r>
          </w:p>
        </w:tc>
        <w:tc>
          <w:tcPr>
            <w:tcW w:w="2980" w:type="dxa"/>
            <w:vAlign w:val="bottom"/>
          </w:tcPr>
          <w:p>
            <w:pPr>
              <w:jc w:val="center"/>
              <w:spacing w:after="0"/>
              <w:rPr>
                <w:sz w:val="20"/>
                <w:szCs w:val="20"/>
                <w:color w:val="auto"/>
              </w:rPr>
            </w:pPr>
            <w:r>
              <w:rPr>
                <w:rFonts w:ascii="Arial" w:cs="Arial" w:eastAsia="Arial" w:hAnsi="Arial"/>
                <w:sz w:val="16"/>
                <w:szCs w:val="16"/>
                <w:b w:val="1"/>
                <w:bCs w:val="1"/>
                <w:color w:val="auto"/>
              </w:rPr>
              <w:t>83-3933743</w:t>
            </w:r>
          </w:p>
        </w:tc>
        <w:tc>
          <w:tcPr>
            <w:tcW w:w="0" w:type="dxa"/>
            <w:vAlign w:val="bottom"/>
          </w:tcPr>
          <w:p>
            <w:pPr>
              <w:spacing w:after="0"/>
              <w:rPr>
                <w:sz w:val="1"/>
                <w:szCs w:val="1"/>
                <w:color w:val="auto"/>
              </w:rPr>
            </w:pPr>
          </w:p>
        </w:tc>
      </w:tr>
      <w:tr>
        <w:trPr>
          <w:trHeight w:val="221"/>
        </w:trPr>
        <w:tc>
          <w:tcPr>
            <w:tcW w:w="2880" w:type="dxa"/>
            <w:vAlign w:val="bottom"/>
          </w:tcPr>
          <w:p>
            <w:pPr>
              <w:jc w:val="center"/>
              <w:spacing w:after="0"/>
              <w:rPr>
                <w:sz w:val="20"/>
                <w:szCs w:val="20"/>
                <w:color w:val="auto"/>
              </w:rPr>
            </w:pPr>
            <w:r>
              <w:rPr>
                <w:rFonts w:ascii="Arial" w:cs="Arial" w:eastAsia="Arial" w:hAnsi="Arial"/>
                <w:sz w:val="16"/>
                <w:szCs w:val="16"/>
                <w:b w:val="1"/>
                <w:bCs w:val="1"/>
                <w:color w:val="auto"/>
              </w:rPr>
              <w:t>New York</w:t>
            </w:r>
          </w:p>
        </w:tc>
        <w:tc>
          <w:tcPr>
            <w:tcW w:w="4520" w:type="dxa"/>
            <w:vAlign w:val="bottom"/>
          </w:tcPr>
          <w:p>
            <w:pPr>
              <w:jc w:val="center"/>
              <w:spacing w:after="0"/>
              <w:rPr>
                <w:sz w:val="20"/>
                <w:szCs w:val="20"/>
                <w:color w:val="auto"/>
              </w:rPr>
            </w:pPr>
            <w:r>
              <w:rPr>
                <w:rFonts w:ascii="Arial" w:cs="Arial" w:eastAsia="Arial" w:hAnsi="Arial"/>
                <w:sz w:val="16"/>
                <w:szCs w:val="16"/>
                <w:b w:val="1"/>
                <w:bCs w:val="1"/>
                <w:color w:val="auto"/>
              </w:rPr>
              <w:t>001-04471</w:t>
            </w:r>
          </w:p>
        </w:tc>
        <w:tc>
          <w:tcPr>
            <w:tcW w:w="2980" w:type="dxa"/>
            <w:vAlign w:val="bottom"/>
          </w:tcPr>
          <w:p>
            <w:pPr>
              <w:jc w:val="center"/>
              <w:spacing w:after="0"/>
              <w:rPr>
                <w:sz w:val="20"/>
                <w:szCs w:val="20"/>
                <w:color w:val="auto"/>
              </w:rPr>
            </w:pPr>
            <w:r>
              <w:rPr>
                <w:rFonts w:ascii="Arial" w:cs="Arial" w:eastAsia="Arial" w:hAnsi="Arial"/>
                <w:sz w:val="16"/>
                <w:szCs w:val="16"/>
                <w:b w:val="1"/>
                <w:bCs w:val="1"/>
                <w:color w:val="auto"/>
              </w:rPr>
              <w:t>16-0468020</w:t>
            </w:r>
          </w:p>
        </w:tc>
        <w:tc>
          <w:tcPr>
            <w:tcW w:w="0" w:type="dxa"/>
            <w:vAlign w:val="bottom"/>
          </w:tcPr>
          <w:p>
            <w:pPr>
              <w:spacing w:after="0"/>
              <w:rPr>
                <w:sz w:val="1"/>
                <w:szCs w:val="1"/>
                <w:color w:val="auto"/>
              </w:rPr>
            </w:pPr>
          </w:p>
        </w:tc>
      </w:tr>
      <w:tr>
        <w:trPr>
          <w:trHeight w:val="148"/>
        </w:trPr>
        <w:tc>
          <w:tcPr>
            <w:tcW w:w="2880" w:type="dxa"/>
            <w:vAlign w:val="bottom"/>
          </w:tcPr>
          <w:p>
            <w:pPr>
              <w:jc w:val="center"/>
              <w:spacing w:after="0" w:line="149" w:lineRule="exact"/>
              <w:rPr>
                <w:sz w:val="20"/>
                <w:szCs w:val="20"/>
                <w:color w:val="auto"/>
              </w:rPr>
            </w:pPr>
            <w:r>
              <w:rPr>
                <w:rFonts w:ascii="Arial" w:cs="Arial" w:eastAsia="Arial" w:hAnsi="Arial"/>
                <w:sz w:val="14"/>
                <w:szCs w:val="14"/>
                <w:color w:val="auto"/>
              </w:rPr>
              <w:t>(State or other jurisdiction of incorporation or</w:t>
            </w:r>
          </w:p>
        </w:tc>
        <w:tc>
          <w:tcPr>
            <w:tcW w:w="4520" w:type="dxa"/>
            <w:vAlign w:val="bottom"/>
          </w:tcPr>
          <w:p>
            <w:pPr>
              <w:jc w:val="center"/>
              <w:spacing w:after="0" w:line="149" w:lineRule="exact"/>
              <w:rPr>
                <w:sz w:val="20"/>
                <w:szCs w:val="20"/>
                <w:color w:val="auto"/>
              </w:rPr>
            </w:pPr>
            <w:r>
              <w:rPr>
                <w:rFonts w:ascii="Arial" w:cs="Arial" w:eastAsia="Arial" w:hAnsi="Arial"/>
                <w:sz w:val="14"/>
                <w:szCs w:val="14"/>
                <w:color w:val="auto"/>
              </w:rPr>
              <w:t>(Commission File Number)</w:t>
            </w:r>
          </w:p>
        </w:tc>
        <w:tc>
          <w:tcPr>
            <w:tcW w:w="2980" w:type="dxa"/>
            <w:vAlign w:val="bottom"/>
          </w:tcPr>
          <w:p>
            <w:pPr>
              <w:jc w:val="center"/>
              <w:spacing w:after="0" w:line="149" w:lineRule="exact"/>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190"/>
        </w:trPr>
        <w:tc>
          <w:tcPr>
            <w:tcW w:w="2880" w:type="dxa"/>
            <w:vAlign w:val="bottom"/>
          </w:tcPr>
          <w:p>
            <w:pPr>
              <w:jc w:val="center"/>
              <w:spacing w:after="0"/>
              <w:rPr>
                <w:sz w:val="20"/>
                <w:szCs w:val="20"/>
                <w:color w:val="auto"/>
              </w:rPr>
            </w:pPr>
            <w:r>
              <w:rPr>
                <w:rFonts w:ascii="Arial" w:cs="Arial" w:eastAsia="Arial" w:hAnsi="Arial"/>
                <w:sz w:val="14"/>
                <w:szCs w:val="14"/>
                <w:color w:val="auto"/>
              </w:rPr>
              <w:t>organization)</w:t>
            </w:r>
          </w:p>
        </w:tc>
        <w:tc>
          <w:tcPr>
            <w:tcW w:w="45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28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Arial" w:cs="Arial" w:eastAsia="Arial" w:hAnsi="Arial"/>
                <w:sz w:val="16"/>
                <w:szCs w:val="16"/>
                <w:b w:val="1"/>
                <w:bCs w:val="1"/>
                <w:color w:val="auto"/>
              </w:rPr>
              <w:t>P.O. Box 4505, 201 Merritt 7</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4520" w:type="dxa"/>
            <w:vAlign w:val="bottom"/>
          </w:tcPr>
          <w:p>
            <w:pPr>
              <w:jc w:val="center"/>
              <w:spacing w:after="0"/>
              <w:rPr>
                <w:sz w:val="20"/>
                <w:szCs w:val="20"/>
                <w:color w:val="auto"/>
              </w:rPr>
            </w:pPr>
            <w:r>
              <w:rPr>
                <w:rFonts w:ascii="Arial" w:cs="Arial" w:eastAsia="Arial" w:hAnsi="Arial"/>
                <w:sz w:val="16"/>
                <w:szCs w:val="16"/>
                <w:b w:val="1"/>
                <w:bCs w:val="1"/>
                <w:color w:val="auto"/>
              </w:rPr>
              <w:t>Norwalk, Connecticut 06851-1056</w:t>
            </w:r>
          </w:p>
        </w:tc>
        <w:tc>
          <w:tcPr>
            <w:tcW w:w="2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880" w:type="dxa"/>
            <w:vAlign w:val="bottom"/>
          </w:tcPr>
          <w:p>
            <w:pPr>
              <w:spacing w:after="0"/>
              <w:rPr>
                <w:sz w:val="17"/>
                <w:szCs w:val="17"/>
                <w:color w:val="auto"/>
              </w:rPr>
            </w:pPr>
          </w:p>
        </w:tc>
        <w:tc>
          <w:tcPr>
            <w:tcW w:w="4520" w:type="dxa"/>
            <w:vAlign w:val="bottom"/>
          </w:tcPr>
          <w:p>
            <w:pPr>
              <w:jc w:val="center"/>
              <w:spacing w:after="0"/>
              <w:rPr>
                <w:sz w:val="20"/>
                <w:szCs w:val="20"/>
                <w:color w:val="auto"/>
              </w:rPr>
            </w:pPr>
            <w:r>
              <w:rPr>
                <w:rFonts w:ascii="Arial" w:cs="Arial" w:eastAsia="Arial" w:hAnsi="Arial"/>
                <w:sz w:val="14"/>
                <w:szCs w:val="14"/>
                <w:color w:val="auto"/>
              </w:rPr>
              <w:t>(Address of principal executive offices)</w:t>
            </w: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28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Arial" w:cs="Arial" w:eastAsia="Arial" w:hAnsi="Arial"/>
                <w:sz w:val="16"/>
                <w:szCs w:val="16"/>
                <w:b w:val="1"/>
                <w:bCs w:val="1"/>
                <w:color w:val="auto"/>
              </w:rPr>
              <w:t>(203) 849-5216</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880" w:type="dxa"/>
            <w:vAlign w:val="bottom"/>
          </w:tcPr>
          <w:p>
            <w:pPr>
              <w:spacing w:after="0"/>
              <w:rPr>
                <w:sz w:val="16"/>
                <w:szCs w:val="16"/>
                <w:color w:val="auto"/>
              </w:rPr>
            </w:pPr>
          </w:p>
        </w:tc>
        <w:tc>
          <w:tcPr>
            <w:tcW w:w="4520" w:type="dxa"/>
            <w:vAlign w:val="bottom"/>
          </w:tcPr>
          <w:p>
            <w:pPr>
              <w:jc w:val="center"/>
              <w:spacing w:after="0"/>
              <w:rPr>
                <w:sz w:val="20"/>
                <w:szCs w:val="20"/>
                <w:color w:val="auto"/>
              </w:rPr>
            </w:pPr>
            <w:r>
              <w:rPr>
                <w:rFonts w:ascii="Arial" w:cs="Arial" w:eastAsia="Arial" w:hAnsi="Arial"/>
                <w:sz w:val="14"/>
                <w:szCs w:val="14"/>
                <w:color w:val="auto"/>
              </w:rPr>
              <w:t>(Registrant's telephone number, including area code)</w:t>
            </w: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28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Xerox Holdings Corporation</w:t>
            </w:r>
          </w:p>
        </w:tc>
        <w:tc>
          <w:tcPr>
            <w:tcW w:w="4520" w:type="dxa"/>
            <w:vAlign w:val="bottom"/>
          </w:tcPr>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880" w:type="dxa"/>
            <w:vAlign w:val="bottom"/>
            <w:vMerge w:val="continue"/>
          </w:tcPr>
          <w:p>
            <w:pPr>
              <w:spacing w:after="0"/>
              <w:rPr>
                <w:sz w:val="18"/>
                <w:szCs w:val="18"/>
                <w:color w:val="auto"/>
              </w:rPr>
            </w:pPr>
          </w:p>
        </w:tc>
        <w:tc>
          <w:tcPr>
            <w:tcW w:w="45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80" w:type="dxa"/>
            <w:vAlign w:val="bottom"/>
          </w:tcPr>
          <w:p>
            <w:pPr>
              <w:jc w:val="center"/>
              <w:spacing w:after="0"/>
              <w:rPr>
                <w:sz w:val="20"/>
                <w:szCs w:val="20"/>
                <w:color w:val="auto"/>
              </w:rPr>
            </w:pPr>
            <w:r>
              <w:rPr>
                <w:rFonts w:ascii="Arial" w:cs="Arial" w:eastAsia="Arial" w:hAnsi="Arial"/>
                <w:sz w:val="16"/>
                <w:szCs w:val="16"/>
                <w:b w:val="1"/>
                <w:bCs w:val="1"/>
                <w:color w:val="auto"/>
              </w:rPr>
              <w:t>Common Stock, $1 par value</w:t>
            </w:r>
          </w:p>
        </w:tc>
        <w:tc>
          <w:tcPr>
            <w:tcW w:w="4520" w:type="dxa"/>
            <w:vAlign w:val="bottom"/>
          </w:tcPr>
          <w:p>
            <w:pPr>
              <w:jc w:val="center"/>
              <w:spacing w:after="0"/>
              <w:rPr>
                <w:sz w:val="20"/>
                <w:szCs w:val="20"/>
                <w:color w:val="auto"/>
              </w:rPr>
            </w:pPr>
            <w:r>
              <w:rPr>
                <w:rFonts w:ascii="Arial" w:cs="Arial" w:eastAsia="Arial" w:hAnsi="Arial"/>
                <w:sz w:val="16"/>
                <w:szCs w:val="16"/>
                <w:b w:val="1"/>
                <w:bCs w:val="1"/>
                <w:color w:val="auto"/>
              </w:rPr>
              <w:t>XRX</w:t>
            </w:r>
          </w:p>
        </w:tc>
        <w:tc>
          <w:tcPr>
            <w:tcW w:w="2980" w:type="dxa"/>
            <w:vAlign w:val="bottom"/>
          </w:tcPr>
          <w:p>
            <w:pPr>
              <w:jc w:val="center"/>
              <w:spacing w:after="0"/>
              <w:rPr>
                <w:sz w:val="20"/>
                <w:szCs w:val="20"/>
                <w:color w:val="auto"/>
              </w:rPr>
            </w:pPr>
            <w:r>
              <w:rPr>
                <w:rFonts w:ascii="Arial" w:cs="Arial" w:eastAsia="Arial" w:hAnsi="Arial"/>
                <w:sz w:val="16"/>
                <w:szCs w:val="16"/>
                <w:b w:val="1"/>
                <w:bCs w:val="1"/>
                <w:color w:val="auto"/>
              </w:rPr>
              <w:t>Nasdaq Global Select Market</w:t>
            </w:r>
          </w:p>
        </w:tc>
        <w:tc>
          <w:tcPr>
            <w:tcW w:w="0" w:type="dxa"/>
            <w:vAlign w:val="bottom"/>
          </w:tcPr>
          <w:p>
            <w:pPr>
              <w:spacing w:after="0"/>
              <w:rPr>
                <w:sz w:val="1"/>
                <w:szCs w:val="1"/>
                <w:color w:val="auto"/>
              </w:rPr>
            </w:pPr>
          </w:p>
        </w:tc>
      </w:tr>
      <w:tr>
        <w:trPr>
          <w:trHeight w:val="190"/>
        </w:trPr>
        <w:tc>
          <w:tcPr>
            <w:tcW w:w="2880" w:type="dxa"/>
            <w:vAlign w:val="bottom"/>
          </w:tcPr>
          <w:p>
            <w:pPr>
              <w:jc w:val="center"/>
              <w:spacing w:after="0"/>
              <w:rPr>
                <w:sz w:val="20"/>
                <w:szCs w:val="20"/>
                <w:color w:val="auto"/>
              </w:rPr>
            </w:pPr>
            <w:r>
              <w:rPr>
                <w:rFonts w:ascii="Arial" w:cs="Arial" w:eastAsia="Arial" w:hAnsi="Arial"/>
                <w:sz w:val="14"/>
                <w:szCs w:val="14"/>
                <w:color w:val="auto"/>
              </w:rPr>
              <w:t>(Title of each class)</w:t>
            </w:r>
          </w:p>
        </w:tc>
        <w:tc>
          <w:tcPr>
            <w:tcW w:w="4520" w:type="dxa"/>
            <w:vAlign w:val="bottom"/>
          </w:tcPr>
          <w:p>
            <w:pPr>
              <w:jc w:val="center"/>
              <w:spacing w:after="0"/>
              <w:rPr>
                <w:sz w:val="20"/>
                <w:szCs w:val="20"/>
                <w:color w:val="auto"/>
              </w:rPr>
            </w:pPr>
            <w:r>
              <w:rPr>
                <w:rFonts w:ascii="Arial" w:cs="Arial" w:eastAsia="Arial" w:hAnsi="Arial"/>
                <w:sz w:val="14"/>
                <w:szCs w:val="14"/>
                <w:color w:val="auto"/>
              </w:rPr>
              <w:t>(Trading Symbol)</w:t>
            </w:r>
          </w:p>
        </w:tc>
        <w:tc>
          <w:tcPr>
            <w:tcW w:w="2980" w:type="dxa"/>
            <w:vAlign w:val="bottom"/>
          </w:tcPr>
          <w:p>
            <w:pPr>
              <w:jc w:val="center"/>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bl>
    <w:p>
      <w:pPr>
        <w:spacing w:after="0" w:line="196" w:lineRule="exact"/>
        <w:rPr>
          <w:sz w:val="24"/>
          <w:szCs w:val="24"/>
          <w:color w:val="auto"/>
        </w:rPr>
      </w:pPr>
    </w:p>
    <w:p>
      <w:pPr>
        <w:jc w:val="center"/>
        <w:ind w:left="380" w:right="200"/>
        <w:spacing w:after="0" w:line="26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tabs>
          <w:tab w:leader="none" w:pos="3720" w:val="left"/>
        </w:tabs>
        <w:rPr>
          <w:sz w:val="20"/>
          <w:szCs w:val="20"/>
          <w:color w:val="auto"/>
        </w:rPr>
      </w:pPr>
      <w:r>
        <w:rPr>
          <w:rFonts w:ascii="Arial" w:cs="Arial" w:eastAsia="Arial" w:hAnsi="Arial"/>
          <w:sz w:val="16"/>
          <w:szCs w:val="16"/>
          <w:b w:val="1"/>
          <w:bCs w:val="1"/>
          <w:color w:val="auto"/>
        </w:rPr>
        <w:t xml:space="preserve">Xerox Holdings Corporation </w:t>
      </w:r>
      <w:r>
        <w:rPr>
          <w:rFonts w:ascii="Arial" w:cs="Arial" w:eastAsia="Arial" w:hAnsi="Arial"/>
          <w:sz w:val="16"/>
          <w:szCs w:val="16"/>
          <w:color w:val="auto"/>
        </w:rPr>
        <w:t>Yes</w:t>
      </w:r>
      <w:r>
        <w:rPr>
          <w:rFonts w:ascii="Arial" w:cs="Arial" w:eastAsia="Arial" w:hAnsi="Arial"/>
          <w:sz w:val="16"/>
          <w:szCs w:val="16"/>
          <w:b w:val="1"/>
          <w:bCs w:val="1"/>
          <w:color w:val="auto"/>
        </w:rPr>
        <w:t xml:space="preserve">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w:t>
      </w:r>
      <w:r>
        <w:rPr>
          <w:rFonts w:ascii="Arial" w:cs="Arial" w:eastAsia="Arial" w:hAnsi="Arial"/>
          <w:sz w:val="16"/>
          <w:szCs w:val="16"/>
          <w:b w:val="1"/>
          <w:bCs w:val="1"/>
          <w:color w:val="auto"/>
        </w:rPr>
        <w:t xml:space="preserve">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b w:val="1"/>
          <w:bCs w:val="1"/>
          <w:color w:val="auto"/>
        </w:rPr>
        <w:t xml:space="preserve">Xerox Corporation </w:t>
      </w:r>
      <w:r>
        <w:rPr>
          <w:rFonts w:ascii="Arial" w:cs="Arial" w:eastAsia="Arial" w:hAnsi="Arial"/>
          <w:sz w:val="15"/>
          <w:szCs w:val="15"/>
          <w:color w:val="auto"/>
        </w:rPr>
        <w:t>Yes</w:t>
      </w:r>
      <w:r>
        <w:rPr>
          <w:rFonts w:ascii="Arial" w:cs="Arial" w:eastAsia="Arial" w:hAnsi="Arial"/>
          <w:sz w:val="15"/>
          <w:szCs w:val="15"/>
          <w:b w:val="1"/>
          <w:bCs w:val="1"/>
          <w:color w:val="auto"/>
        </w:rPr>
        <w:t xml:space="preserve"> </w:t>
      </w:r>
      <w:r>
        <w:rPr>
          <w:rFonts w:ascii="MS PGothic" w:cs="MS PGothic" w:eastAsia="MS PGothic" w:hAnsi="MS PGothic"/>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No</w:t>
      </w:r>
      <w:r>
        <w:rPr>
          <w:rFonts w:ascii="Arial" w:cs="Arial" w:eastAsia="Arial" w:hAnsi="Arial"/>
          <w:sz w:val="15"/>
          <w:szCs w:val="15"/>
          <w:b w:val="1"/>
          <w:bCs w:val="1"/>
          <w:color w:val="auto"/>
        </w:rPr>
        <w:t xml:space="preserve"> </w:t>
      </w:r>
      <w:r>
        <w:rPr>
          <w:rFonts w:ascii="MS PGothic" w:cs="MS PGothic" w:eastAsia="MS PGothic" w:hAnsi="MS PGothic"/>
          <w:sz w:val="15"/>
          <w:szCs w:val="15"/>
          <w:color w:val="auto"/>
        </w:rPr>
        <w:t>☐</w:t>
      </w:r>
    </w:p>
    <w:p>
      <w:pPr>
        <w:spacing w:after="0" w:line="60" w:lineRule="exact"/>
        <w:rPr>
          <w:sz w:val="24"/>
          <w:szCs w:val="24"/>
          <w:color w:val="auto"/>
        </w:rPr>
      </w:pPr>
    </w:p>
    <w:p>
      <w:pPr>
        <w:ind w:firstLine="162"/>
        <w:spacing w:after="0" w:line="26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84" w:lineRule="exact"/>
        <w:tabs>
          <w:tab w:leader="none" w:pos="3720" w:val="left"/>
        </w:tabs>
        <w:rPr>
          <w:sz w:val="20"/>
          <w:szCs w:val="20"/>
          <w:color w:val="auto"/>
        </w:rPr>
      </w:pPr>
      <w:r>
        <w:rPr>
          <w:rFonts w:ascii="Arial" w:cs="Arial" w:eastAsia="Arial" w:hAnsi="Arial"/>
          <w:sz w:val="16"/>
          <w:szCs w:val="16"/>
          <w:b w:val="1"/>
          <w:bCs w:val="1"/>
          <w:color w:val="auto"/>
        </w:rPr>
        <w:t xml:space="preserve">Xerox Holdings Corporation </w:t>
      </w:r>
      <w:r>
        <w:rPr>
          <w:rFonts w:ascii="Arial" w:cs="Arial" w:eastAsia="Arial" w:hAnsi="Arial"/>
          <w:sz w:val="16"/>
          <w:szCs w:val="16"/>
          <w:color w:val="auto"/>
        </w:rPr>
        <w:t>Yes</w:t>
      </w:r>
      <w:r>
        <w:rPr>
          <w:rFonts w:ascii="Arial" w:cs="Arial" w:eastAsia="Arial" w:hAnsi="Arial"/>
          <w:sz w:val="16"/>
          <w:szCs w:val="16"/>
          <w:b w:val="1"/>
          <w:bCs w:val="1"/>
          <w:color w:val="auto"/>
        </w:rPr>
        <w:t xml:space="preserve">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w:t>
      </w:r>
      <w:r>
        <w:rPr>
          <w:rFonts w:ascii="Arial" w:cs="Arial" w:eastAsia="Arial" w:hAnsi="Arial"/>
          <w:sz w:val="16"/>
          <w:szCs w:val="16"/>
          <w:b w:val="1"/>
          <w:bCs w:val="1"/>
          <w:color w:val="auto"/>
        </w:rPr>
        <w:t xml:space="preserve">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b w:val="1"/>
          <w:bCs w:val="1"/>
          <w:color w:val="auto"/>
        </w:rPr>
        <w:t xml:space="preserve">Xerox Corporation </w:t>
      </w:r>
      <w:r>
        <w:rPr>
          <w:rFonts w:ascii="Arial" w:cs="Arial" w:eastAsia="Arial" w:hAnsi="Arial"/>
          <w:sz w:val="15"/>
          <w:szCs w:val="15"/>
          <w:color w:val="auto"/>
        </w:rPr>
        <w:t>Yes</w:t>
      </w:r>
      <w:r>
        <w:rPr>
          <w:rFonts w:ascii="Arial" w:cs="Arial" w:eastAsia="Arial" w:hAnsi="Arial"/>
          <w:sz w:val="15"/>
          <w:szCs w:val="15"/>
          <w:b w:val="1"/>
          <w:bCs w:val="1"/>
          <w:color w:val="auto"/>
        </w:rPr>
        <w:t xml:space="preserve"> </w:t>
      </w:r>
      <w:r>
        <w:rPr>
          <w:rFonts w:ascii="MS PGothic" w:cs="MS PGothic" w:eastAsia="MS PGothic" w:hAnsi="MS PGothic"/>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No</w:t>
      </w:r>
      <w:r>
        <w:rPr>
          <w:rFonts w:ascii="Arial" w:cs="Arial" w:eastAsia="Arial" w:hAnsi="Arial"/>
          <w:sz w:val="15"/>
          <w:szCs w:val="15"/>
          <w:b w:val="1"/>
          <w:bCs w:val="1"/>
          <w:color w:val="auto"/>
        </w:rPr>
        <w:t xml:space="preserve"> </w:t>
      </w:r>
      <w:r>
        <w:rPr>
          <w:rFonts w:ascii="MS PGothic" w:cs="MS PGothic" w:eastAsia="MS PGothic" w:hAnsi="MS PGothic"/>
          <w:sz w:val="15"/>
          <w:szCs w:val="15"/>
          <w:color w:val="auto"/>
        </w:rPr>
        <w:t>☐</w:t>
      </w:r>
    </w:p>
    <w:p>
      <w:pPr>
        <w:spacing w:after="0" w:line="47" w:lineRule="exact"/>
        <w:rPr>
          <w:sz w:val="24"/>
          <w:szCs w:val="24"/>
          <w:color w:val="auto"/>
        </w:rPr>
      </w:pPr>
    </w:p>
    <w:p>
      <w:pPr>
        <w:ind w:right="40" w:firstLine="162"/>
        <w:spacing w:after="0" w:line="27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21"/>
        </w:trPr>
        <w:tc>
          <w:tcPr>
            <w:tcW w:w="2500" w:type="dxa"/>
            <w:vAlign w:val="bottom"/>
          </w:tcPr>
          <w:p>
            <w:pPr>
              <w:spacing w:after="0"/>
              <w:rPr>
                <w:sz w:val="20"/>
                <w:szCs w:val="20"/>
                <w:color w:val="auto"/>
              </w:rPr>
            </w:pPr>
            <w:r>
              <w:rPr>
                <w:rFonts w:ascii="Arial" w:cs="Arial" w:eastAsia="Arial" w:hAnsi="Arial"/>
                <w:sz w:val="16"/>
                <w:szCs w:val="16"/>
                <w:b w:val="1"/>
                <w:bCs w:val="1"/>
                <w:color w:val="auto"/>
              </w:rPr>
              <w:t>Xerox Holdings Corporation</w:t>
            </w:r>
          </w:p>
        </w:tc>
        <w:tc>
          <w:tcPr>
            <w:tcW w:w="298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460"/>
              <w:spacing w:after="0"/>
              <w:rPr>
                <w:sz w:val="20"/>
                <w:szCs w:val="20"/>
                <w:color w:val="auto"/>
              </w:rPr>
            </w:pPr>
            <w:r>
              <w:rPr>
                <w:rFonts w:ascii="Arial" w:cs="Arial" w:eastAsia="Arial" w:hAnsi="Arial"/>
                <w:sz w:val="16"/>
                <w:szCs w:val="16"/>
                <w:b w:val="1"/>
                <w:bCs w:val="1"/>
                <w:color w:val="auto"/>
              </w:rPr>
              <w:t>Xerox Corporation</w:t>
            </w:r>
          </w:p>
        </w:tc>
        <w:tc>
          <w:tcPr>
            <w:tcW w:w="740" w:type="dxa"/>
            <w:vAlign w:val="bottom"/>
            <w:vMerge w:val="restart"/>
          </w:tcPr>
          <w:p>
            <w:pPr>
              <w:ind w:left="58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99"/>
        </w:trPr>
        <w:tc>
          <w:tcPr>
            <w:tcW w:w="2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80" w:type="dxa"/>
            <w:vAlign w:val="bottom"/>
            <w:vMerge w:val="continue"/>
          </w:tcPr>
          <w:p>
            <w:pPr>
              <w:spacing w:after="0"/>
              <w:rPr>
                <w:sz w:val="17"/>
                <w:szCs w:val="17"/>
                <w:color w:val="auto"/>
              </w:rPr>
            </w:pPr>
          </w:p>
        </w:tc>
        <w:tc>
          <w:tcPr>
            <w:tcW w:w="4740" w:type="dxa"/>
            <w:vAlign w:val="bottom"/>
          </w:tcPr>
          <w:p>
            <w:pPr>
              <w:ind w:left="2460"/>
              <w:spacing w:after="0"/>
              <w:rPr>
                <w:sz w:val="20"/>
                <w:szCs w:val="20"/>
                <w:color w:val="auto"/>
              </w:rPr>
            </w:pPr>
            <w:r>
              <w:rPr>
                <w:rFonts w:ascii="Arial" w:cs="Arial" w:eastAsia="Arial" w:hAnsi="Arial"/>
                <w:sz w:val="14"/>
                <w:szCs w:val="14"/>
                <w:color w:val="auto"/>
              </w:rPr>
              <w:t>Large accelerated filer</w:t>
            </w: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00" w:type="dxa"/>
            <w:vAlign w:val="bottom"/>
          </w:tcPr>
          <w:p>
            <w:pPr>
              <w:spacing w:after="0"/>
              <w:rPr>
                <w:sz w:val="20"/>
                <w:szCs w:val="20"/>
                <w:color w:val="auto"/>
              </w:rPr>
            </w:pPr>
            <w:r>
              <w:rPr>
                <w:rFonts w:ascii="Arial" w:cs="Arial" w:eastAsia="Arial" w:hAnsi="Arial"/>
                <w:sz w:val="14"/>
                <w:szCs w:val="14"/>
                <w:color w:val="auto"/>
              </w:rPr>
              <w:t>Accelerated filer</w:t>
            </w:r>
          </w:p>
        </w:tc>
        <w:tc>
          <w:tcPr>
            <w:tcW w:w="29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460"/>
              <w:spacing w:after="0"/>
              <w:rPr>
                <w:sz w:val="20"/>
                <w:szCs w:val="20"/>
                <w:color w:val="auto"/>
              </w:rPr>
            </w:pPr>
            <w:r>
              <w:rPr>
                <w:rFonts w:ascii="Arial" w:cs="Arial" w:eastAsia="Arial" w:hAnsi="Arial"/>
                <w:sz w:val="14"/>
                <w:szCs w:val="14"/>
                <w:color w:val="auto"/>
              </w:rPr>
              <w:t>Accelerated filer</w:t>
            </w:r>
          </w:p>
        </w:tc>
        <w:tc>
          <w:tcPr>
            <w:tcW w:w="7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r>
              <w:rPr>
                <w:rFonts w:ascii="Arial" w:cs="Arial" w:eastAsia="Arial" w:hAnsi="Arial"/>
                <w:sz w:val="14"/>
                <w:szCs w:val="14"/>
                <w:color w:val="auto"/>
              </w:rPr>
              <w:t>Non-accelerated filer</w:t>
            </w:r>
          </w:p>
        </w:tc>
        <w:tc>
          <w:tcPr>
            <w:tcW w:w="29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460"/>
              <w:spacing w:after="0"/>
              <w:rPr>
                <w:sz w:val="20"/>
                <w:szCs w:val="20"/>
                <w:color w:val="auto"/>
              </w:rPr>
            </w:pPr>
            <w:r>
              <w:rPr>
                <w:rFonts w:ascii="Arial" w:cs="Arial" w:eastAsia="Arial" w:hAnsi="Arial"/>
                <w:sz w:val="14"/>
                <w:szCs w:val="14"/>
                <w:color w:val="auto"/>
              </w:rPr>
              <w:t>Non-accelerated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4"/>
                <w:szCs w:val="14"/>
                <w:color w:val="auto"/>
              </w:rPr>
              <w:t>Smaller reporting company</w:t>
            </w:r>
          </w:p>
        </w:tc>
        <w:tc>
          <w:tcPr>
            <w:tcW w:w="29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460"/>
              <w:spacing w:after="0"/>
              <w:rPr>
                <w:sz w:val="20"/>
                <w:szCs w:val="20"/>
                <w:color w:val="auto"/>
              </w:rPr>
            </w:pPr>
            <w:r>
              <w:rPr>
                <w:rFonts w:ascii="Arial" w:cs="Arial" w:eastAsia="Arial" w:hAnsi="Arial"/>
                <w:sz w:val="14"/>
                <w:szCs w:val="14"/>
                <w:color w:val="auto"/>
              </w:rPr>
              <w:t>Smaller reporting company</w:t>
            </w:r>
          </w:p>
        </w:tc>
        <w:tc>
          <w:tcPr>
            <w:tcW w:w="7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54"/>
        </w:trPr>
        <w:tc>
          <w:tcPr>
            <w:tcW w:w="25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9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460"/>
              <w:spacing w:after="0"/>
              <w:rPr>
                <w:sz w:val="20"/>
                <w:szCs w:val="20"/>
                <w:color w:val="auto"/>
              </w:rPr>
            </w:pPr>
            <w:r>
              <w:rPr>
                <w:rFonts w:ascii="Arial" w:cs="Arial" w:eastAsia="Arial" w:hAnsi="Arial"/>
                <w:sz w:val="14"/>
                <w:szCs w:val="14"/>
                <w:color w:val="auto"/>
              </w:rPr>
              <w:t>Emerging growth company</w:t>
            </w:r>
          </w:p>
        </w:tc>
        <w:tc>
          <w:tcPr>
            <w:tcW w:w="7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bl>
    <w:p>
      <w:pPr>
        <w:spacing w:after="0" w:line="122" w:lineRule="exact"/>
        <w:rPr>
          <w:sz w:val="24"/>
          <w:szCs w:val="24"/>
          <w:color w:val="auto"/>
        </w:rPr>
      </w:pPr>
    </w:p>
    <w:p>
      <w:pPr>
        <w:ind w:right="160" w:firstLine="162"/>
        <w:spacing w:after="0" w:line="264"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tabs>
          <w:tab w:leader="none" w:pos="2580" w:val="left"/>
        </w:tabs>
        <w:rPr>
          <w:sz w:val="20"/>
          <w:szCs w:val="20"/>
          <w:color w:val="auto"/>
        </w:rPr>
      </w:pPr>
      <w:r>
        <w:rPr>
          <w:rFonts w:ascii="Arial" w:cs="Arial" w:eastAsia="Arial" w:hAnsi="Arial"/>
          <w:sz w:val="16"/>
          <w:szCs w:val="16"/>
          <w:b w:val="1"/>
          <w:bCs w:val="1"/>
          <w:color w:val="auto"/>
        </w:rPr>
        <w:t xml:space="preserve">Xerox Holdings Corporation </w:t>
      </w:r>
      <w:r>
        <w:rPr>
          <w:rFonts w:ascii="Arial" w:cs="Arial" w:eastAsia="Arial" w:hAnsi="Arial"/>
          <w:sz w:val="16"/>
          <w:szCs w:val="16"/>
          <w:color w:val="auto"/>
        </w:rPr>
        <w:t>o</w:t>
      </w:r>
      <w:r>
        <w:rPr>
          <w:sz w:val="20"/>
          <w:szCs w:val="20"/>
          <w:color w:val="auto"/>
        </w:rPr>
        <w:tab/>
      </w:r>
      <w:r>
        <w:rPr>
          <w:rFonts w:ascii="Arial" w:cs="Arial" w:eastAsia="Arial" w:hAnsi="Arial"/>
          <w:sz w:val="16"/>
          <w:szCs w:val="16"/>
          <w:b w:val="1"/>
          <w:bCs w:val="1"/>
          <w:color w:val="auto"/>
        </w:rPr>
        <w:t xml:space="preserve">Xerox Corporation </w:t>
      </w:r>
      <w:r>
        <w:rPr>
          <w:rFonts w:ascii="Arial" w:cs="Arial" w:eastAsia="Arial" w:hAnsi="Arial"/>
          <w:sz w:val="16"/>
          <w:szCs w:val="16"/>
          <w:color w:val="auto"/>
        </w:rPr>
        <w:t>o</w:t>
      </w:r>
    </w:p>
    <w:p>
      <w:pPr>
        <w:spacing w:after="0" w:line="73"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Indicate by a check mark whether the registrant is a shell company (as defined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460" w:type="dxa"/>
            <w:vAlign w:val="bottom"/>
          </w:tcPr>
          <w:p>
            <w:pPr>
              <w:spacing w:after="0" w:line="196" w:lineRule="exact"/>
              <w:rPr>
                <w:sz w:val="20"/>
                <w:szCs w:val="20"/>
                <w:color w:val="auto"/>
              </w:rPr>
            </w:pPr>
            <w:r>
              <w:rPr>
                <w:rFonts w:ascii="Arial" w:cs="Arial" w:eastAsia="Arial" w:hAnsi="Arial"/>
                <w:sz w:val="16"/>
                <w:szCs w:val="16"/>
                <w:b w:val="1"/>
                <w:bCs w:val="1"/>
                <w:color w:val="auto"/>
              </w:rPr>
              <w:t xml:space="preserve">Xerox Holdings Corporation </w:t>
            </w:r>
            <w:r>
              <w:rPr>
                <w:rFonts w:ascii="Arial" w:cs="Arial" w:eastAsia="Arial" w:hAnsi="Arial"/>
                <w:sz w:val="16"/>
                <w:szCs w:val="16"/>
                <w:color w:val="auto"/>
              </w:rPr>
              <w:t>Yes</w:t>
            </w:r>
            <w:r>
              <w:rPr>
                <w:rFonts w:ascii="Arial" w:cs="Arial" w:eastAsia="Arial" w:hAnsi="Arial"/>
                <w:sz w:val="16"/>
                <w:szCs w:val="16"/>
                <w:b w:val="1"/>
                <w:bCs w:val="1"/>
                <w:color w:val="auto"/>
              </w:rPr>
              <w:t xml:space="preserve">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w:t>
            </w:r>
            <w:r>
              <w:rPr>
                <w:rFonts w:ascii="Arial" w:cs="Arial" w:eastAsia="Arial" w:hAnsi="Arial"/>
                <w:sz w:val="16"/>
                <w:szCs w:val="16"/>
                <w:b w:val="1"/>
                <w:bCs w:val="1"/>
                <w:color w:val="auto"/>
              </w:rPr>
              <w:t xml:space="preserve"> </w:t>
            </w:r>
            <w:r>
              <w:rPr>
                <w:rFonts w:ascii="MS PGothic" w:cs="MS PGothic" w:eastAsia="MS PGothic" w:hAnsi="MS PGothic"/>
                <w:sz w:val="17"/>
                <w:szCs w:val="17"/>
                <w:color w:val="auto"/>
              </w:rPr>
              <w:t>☒</w:t>
            </w:r>
          </w:p>
        </w:tc>
        <w:tc>
          <w:tcPr>
            <w:tcW w:w="3320" w:type="dxa"/>
            <w:vAlign w:val="bottom"/>
            <w:gridSpan w:val="3"/>
          </w:tcPr>
          <w:p>
            <w:pPr>
              <w:ind w:left="320"/>
              <w:spacing w:after="0" w:line="196" w:lineRule="exact"/>
              <w:rPr>
                <w:sz w:val="20"/>
                <w:szCs w:val="20"/>
                <w:color w:val="auto"/>
              </w:rPr>
            </w:pPr>
            <w:r>
              <w:rPr>
                <w:rFonts w:ascii="Arial" w:cs="Arial" w:eastAsia="Arial" w:hAnsi="Arial"/>
                <w:sz w:val="16"/>
                <w:szCs w:val="16"/>
                <w:b w:val="1"/>
                <w:bCs w:val="1"/>
                <w:color w:val="auto"/>
              </w:rPr>
              <w:t xml:space="preserve">Xerox Corporation </w:t>
            </w:r>
            <w:r>
              <w:rPr>
                <w:rFonts w:ascii="Arial" w:cs="Arial" w:eastAsia="Arial" w:hAnsi="Arial"/>
                <w:sz w:val="16"/>
                <w:szCs w:val="16"/>
                <w:color w:val="auto"/>
              </w:rPr>
              <w:t>Yes</w:t>
            </w:r>
            <w:r>
              <w:rPr>
                <w:rFonts w:ascii="Arial" w:cs="Arial" w:eastAsia="Arial" w:hAnsi="Arial"/>
                <w:sz w:val="16"/>
                <w:szCs w:val="16"/>
                <w:b w:val="1"/>
                <w:bCs w:val="1"/>
                <w:color w:val="auto"/>
              </w:rPr>
              <w:t xml:space="preserve">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w:t>
            </w:r>
            <w:r>
              <w:rPr>
                <w:rFonts w:ascii="Arial" w:cs="Arial" w:eastAsia="Arial" w:hAnsi="Arial"/>
                <w:sz w:val="16"/>
                <w:szCs w:val="16"/>
                <w:b w:val="1"/>
                <w:bCs w:val="1"/>
                <w:color w:val="auto"/>
              </w:rPr>
              <w:t xml:space="preserve"> </w:t>
            </w:r>
            <w:r>
              <w:rPr>
                <w:rFonts w:ascii="MS PGothic" w:cs="MS PGothic" w:eastAsia="MS PGothic" w:hAnsi="MS PGothic"/>
                <w:sz w:val="17"/>
                <w:szCs w:val="17"/>
                <w:color w:val="auto"/>
              </w:rPr>
              <w:t>☒</w:t>
            </w:r>
          </w:p>
        </w:tc>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5"/>
        </w:trPr>
        <w:tc>
          <w:tcPr>
            <w:tcW w:w="3460" w:type="dxa"/>
            <w:vAlign w:val="bottom"/>
          </w:tcPr>
          <w:p>
            <w:pPr>
              <w:jc w:val="center"/>
              <w:ind w:left="1859"/>
              <w:spacing w:after="0"/>
              <w:rPr>
                <w:sz w:val="20"/>
                <w:szCs w:val="20"/>
                <w:color w:val="auto"/>
              </w:rPr>
            </w:pPr>
            <w:r>
              <w:rPr>
                <w:rFonts w:ascii="Arial" w:cs="Arial" w:eastAsia="Arial" w:hAnsi="Arial"/>
                <w:sz w:val="16"/>
                <w:szCs w:val="16"/>
                <w:b w:val="1"/>
                <w:bCs w:val="1"/>
                <w:color w:val="auto"/>
              </w:rPr>
              <w:t>Class</w:t>
            </w:r>
          </w:p>
        </w:tc>
        <w:tc>
          <w:tcPr>
            <w:tcW w:w="19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460" w:type="dxa"/>
            <w:vAlign w:val="bottom"/>
            <w:gridSpan w:val="2"/>
          </w:tcPr>
          <w:p>
            <w:pPr>
              <w:jc w:val="center"/>
              <w:ind w:right="1000"/>
              <w:spacing w:after="0"/>
              <w:rPr>
                <w:sz w:val="20"/>
                <w:szCs w:val="20"/>
                <w:color w:val="auto"/>
              </w:rPr>
            </w:pPr>
            <w:r>
              <w:rPr>
                <w:rFonts w:ascii="Arial" w:cs="Arial" w:eastAsia="Arial" w:hAnsi="Arial"/>
                <w:sz w:val="16"/>
                <w:szCs w:val="16"/>
                <w:b w:val="1"/>
                <w:bCs w:val="1"/>
                <w:color w:val="auto"/>
              </w:rPr>
              <w:t>Outstanding at April 30, 2022</w:t>
            </w:r>
          </w:p>
        </w:tc>
      </w:tr>
      <w:tr>
        <w:trPr>
          <w:trHeight w:val="208"/>
        </w:trPr>
        <w:tc>
          <w:tcPr>
            <w:tcW w:w="54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rPr>
              <w:t>Xerox Holdings Corporation Common Stock, $1 par value</w:t>
            </w:r>
          </w:p>
        </w:tc>
        <w:tc>
          <w:tcPr>
            <w:tcW w:w="4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440" w:type="dxa"/>
            <w:vAlign w:val="bottom"/>
            <w:tcBorders>
              <w:top w:val="single" w:sz="8" w:color="auto"/>
            </w:tcBorders>
          </w:tcPr>
          <w:p>
            <w:pPr>
              <w:jc w:val="center"/>
              <w:ind w:right="899"/>
              <w:spacing w:after="0"/>
              <w:rPr>
                <w:sz w:val="20"/>
                <w:szCs w:val="20"/>
                <w:color w:val="auto"/>
              </w:rPr>
            </w:pPr>
            <w:r>
              <w:rPr>
                <w:rFonts w:ascii="Arial" w:cs="Arial" w:eastAsia="Arial" w:hAnsi="Arial"/>
                <w:sz w:val="16"/>
                <w:szCs w:val="16"/>
                <w:color w:val="auto"/>
              </w:rPr>
              <w:t>154,862,456 shares</w:t>
            </w:r>
          </w:p>
        </w:tc>
        <w:tc>
          <w:tcPr>
            <w:tcW w:w="20" w:type="dxa"/>
            <w:vAlign w:val="bottom"/>
          </w:tcPr>
          <w:p>
            <w:pPr>
              <w:spacing w:after="0"/>
              <w:rPr>
                <w:sz w:val="18"/>
                <w:szCs w:val="18"/>
                <w:color w:val="auto"/>
              </w:rPr>
            </w:pPr>
          </w:p>
        </w:tc>
      </w:tr>
      <w:tr>
        <w:trPr>
          <w:trHeight w:val="967"/>
        </w:trPr>
        <w:tc>
          <w:tcPr>
            <w:tcW w:w="34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DA2031"/>
        </w:rPr>
        <w:t>Forward-Looking Statements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document,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w:t>
      </w:r>
    </w:p>
    <w:p>
      <w:pPr>
        <w:spacing w:after="0" w:line="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Such factors include but are not limited to: the effects of pandemics, such as the COVID-19 pandemic, on our and our customers' businesses and the duration and extent to which this will impact our future results of operations and overall financial performance; our ability to address our business challenges in order to reverse revenue declines, reduce costs and increase productivity so that we can invest in and grow our business; our ability to successfully develop new products, technologies and service offerings and to protect our intellectual property rights; reliance on third parties, including subcontractors, for manufacturing of products and provision of services and the shared service arrangements entered into by us as part of Project Own It; our ability to attract and retain key personnel; the risk that confidential and/or individually identifiable information of ours, our customers, clients and employees could be inadvertently disclosed or disclosed as a result of a breach of our security systems due to cyber attacks or other intentional acts or that cyberattacks could result in a shutdown of our systems;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and transformation actions; our ability to manage changes in the printing environment like the decline in the volume of printed pages and extension of equipment placements; changes in economic and political conditions, trade protection measures, licensing requirements and tax laws in the United States and in the foreign countries in which we do business;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interest rates, cost of borrowing and access to credit markets; the imposition of new or incremental trade protection measures such as tariffs and import or export restrictions; funding requirements associated with our employee pension and retiree health benefit plans; changes in foreign currency exchange rates; the risk that our operations and products may not comply with applicable worldwide regulatory requirements, particularly environmental regulations and directives and anti-corruption laws; the outcome of litigation and regulatory proceedings to which we may be a party; and any impacts resulting from the restructuring of our relationship with Fujifilm Holdings Corporation.</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 risks that may affect Xerox’s operations are set forth in the “Risk Factors” section, the “Legal Proceedings” section, the “Management’s Discussion and Analysis of Financial Condition and Results of Operations” section and other sections of this combined Quarterly Report on Form 10-Q, and Xerox Holdings Corporation’s and Xerox Corporation’s combined 2021 Annual Report on Form 10-K, as well as in Xerox Holdings Corporation’s and Xerox Corporation’s Current Reports on Form 8-K filed with the Securities and Exchange Commission. These forward-looking statements speak only as of the date of this document or as of the date to which they refer, and we assume no obligation to update any forward-looking statements as a result of new information or future events or developments, except as required by law.</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Throughout this combined Quarterly Report on Form 10-Q (combined Form 10-Q), references to “Xerox Holdings” refer to Xerox Holdings Corporation and its consolidated subsidiaries while references to “Xerox” refer to Xerox Corporation and its consolidated subsidiaries. References herein to “we,” “us,” “our,” the “Company” refer collectively to both Xerox Holdings and Xerox unless the context suggests otherwise. References to “Xerox Holdings Corporation” refer to the stand-alone parent company and do not include its subsidiaries. References to “Xerox Corporation” refer to the stand-alone company and do not include subsidiaries.</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Xerox Holdings Corporation's primary direct operating subsidiary is Xerox and therefore Xerox reflects nearly all of Xerox Holdings'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DA2031"/>
        </w:rPr>
        <w:t>XEROX HOLDINGS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XEROX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FORM 10-Q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March 31, 2022</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A2031"/>
        </w:rPr>
        <w:t>TABLE OF CONTENTS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0100" w:type="dxa"/>
            <w:vAlign w:val="bottom"/>
            <w:gridSpan w:val="27"/>
            <w:vMerge w:val="restart"/>
          </w:tcPr>
          <w:p>
            <w:pPr>
              <w:spacing w:after="0"/>
              <w:rPr>
                <w:sz w:val="20"/>
                <w:szCs w:val="20"/>
                <w:color w:val="auto"/>
              </w:rPr>
            </w:pPr>
            <w:r>
              <w:rPr>
                <w:rFonts w:ascii="Arial" w:cs="Arial" w:eastAsia="Arial" w:hAnsi="Arial"/>
                <w:sz w:val="18"/>
                <w:szCs w:val="18"/>
                <w:b w:val="1"/>
                <w:bCs w:val="1"/>
                <w:color w:val="0000FF"/>
              </w:rPr>
              <w:t>Part I — Financial Information</w:t>
            </w:r>
          </w:p>
        </w:tc>
        <w:tc>
          <w:tcPr>
            <w:tcW w:w="11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5"/>
        </w:trPr>
        <w:tc>
          <w:tcPr>
            <w:tcW w:w="10100" w:type="dxa"/>
            <w:vAlign w:val="bottom"/>
            <w:gridSpan w:val="27"/>
            <w:vMerge w:val="continue"/>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60" w:type="dxa"/>
            <w:vAlign w:val="bottom"/>
          </w:tcPr>
          <w:p>
            <w:pPr>
              <w:spacing w:after="0" w:line="195" w:lineRule="exact"/>
              <w:rPr>
                <w:sz w:val="20"/>
                <w:szCs w:val="20"/>
                <w:color w:val="auto"/>
              </w:rPr>
            </w:pPr>
            <w:r>
              <w:rPr>
                <w:rFonts w:ascii="Arial" w:cs="Arial" w:eastAsia="Arial" w:hAnsi="Arial"/>
                <w:sz w:val="18"/>
                <w:szCs w:val="18"/>
                <w:color w:val="0000FF"/>
                <w:w w:val="98"/>
              </w:rPr>
              <w:t>Item 1.</w:t>
            </w:r>
          </w:p>
        </w:tc>
        <w:tc>
          <w:tcPr>
            <w:tcW w:w="560" w:type="dxa"/>
            <w:vAlign w:val="bottom"/>
            <w:gridSpan w:val="4"/>
          </w:tcPr>
          <w:p>
            <w:pPr>
              <w:spacing w:after="0"/>
              <w:rPr>
                <w:sz w:val="16"/>
                <w:szCs w:val="16"/>
                <w:color w:val="auto"/>
              </w:rPr>
            </w:pPr>
          </w:p>
        </w:tc>
        <w:tc>
          <w:tcPr>
            <w:tcW w:w="8980" w:type="dxa"/>
            <w:vAlign w:val="bottom"/>
            <w:gridSpan w:val="22"/>
          </w:tcPr>
          <w:p>
            <w:pPr>
              <w:spacing w:after="0" w:line="195" w:lineRule="exact"/>
              <w:rPr>
                <w:sz w:val="20"/>
                <w:szCs w:val="20"/>
                <w:color w:val="auto"/>
              </w:rPr>
            </w:pPr>
            <w:r>
              <w:rPr>
                <w:rFonts w:ascii="Arial" w:cs="Arial" w:eastAsia="Arial" w:hAnsi="Arial"/>
                <w:sz w:val="18"/>
                <w:szCs w:val="18"/>
                <w:color w:val="0000FF"/>
              </w:rPr>
              <w:t>Financial Statements (Unaudited)</w:t>
            </w:r>
          </w:p>
        </w:tc>
        <w:tc>
          <w:tcPr>
            <w:tcW w:w="660" w:type="dxa"/>
            <w:vAlign w:val="bottom"/>
            <w:gridSpan w:val="3"/>
          </w:tcPr>
          <w:p>
            <w:pPr>
              <w:jc w:val="center"/>
              <w:ind w:left="351"/>
              <w:spacing w:after="0" w:line="195" w:lineRule="exact"/>
              <w:rPr>
                <w:sz w:val="20"/>
                <w:szCs w:val="20"/>
                <w:color w:val="auto"/>
              </w:rPr>
            </w:pPr>
            <w:r>
              <w:rPr>
                <w:rFonts w:ascii="Arial" w:cs="Arial" w:eastAsia="Arial" w:hAnsi="Arial"/>
                <w:sz w:val="18"/>
                <w:szCs w:val="18"/>
                <w:color w:val="0000FF"/>
                <w:w w:val="99"/>
              </w:rPr>
              <w:t>3</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60" w:type="dxa"/>
            <w:vAlign w:val="bottom"/>
            <w:gridSpan w:val="18"/>
          </w:tcPr>
          <w:p>
            <w:pPr>
              <w:spacing w:after="0"/>
              <w:rPr>
                <w:sz w:val="20"/>
                <w:szCs w:val="20"/>
                <w:color w:val="auto"/>
              </w:rPr>
            </w:pPr>
            <w:r>
              <w:rPr>
                <w:rFonts w:ascii="Arial" w:cs="Arial" w:eastAsia="Arial" w:hAnsi="Arial"/>
                <w:sz w:val="18"/>
                <w:szCs w:val="18"/>
                <w:color w:val="0000FF"/>
                <w:w w:val="98"/>
              </w:rPr>
              <w:t>Xerox Holdings Corporation Condensed Consolidated Statements of (Loss) Income</w:t>
            </w:r>
          </w:p>
        </w:tc>
        <w:tc>
          <w:tcPr>
            <w:tcW w:w="242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8"/>
                <w:szCs w:val="18"/>
                <w:color w:val="0000FF"/>
                <w:w w:val="99"/>
              </w:rPr>
              <w:t>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980" w:type="dxa"/>
            <w:vAlign w:val="bottom"/>
            <w:gridSpan w:val="22"/>
          </w:tcPr>
          <w:p>
            <w:pPr>
              <w:spacing w:after="0"/>
              <w:rPr>
                <w:sz w:val="20"/>
                <w:szCs w:val="20"/>
                <w:color w:val="auto"/>
              </w:rPr>
            </w:pPr>
            <w:r>
              <w:rPr>
                <w:rFonts w:ascii="Arial" w:cs="Arial" w:eastAsia="Arial" w:hAnsi="Arial"/>
                <w:sz w:val="18"/>
                <w:szCs w:val="18"/>
                <w:color w:val="0000FF"/>
              </w:rPr>
              <w:t>Xerox Holdings Corporation Condensed Consolidated Statements of Comprehensive (Loss) Income</w:t>
            </w:r>
          </w:p>
        </w:tc>
        <w:tc>
          <w:tcPr>
            <w:tcW w:w="660" w:type="dxa"/>
            <w:vAlign w:val="bottom"/>
            <w:gridSpan w:val="3"/>
          </w:tcPr>
          <w:p>
            <w:pPr>
              <w:jc w:val="center"/>
              <w:ind w:left="351"/>
              <w:spacing w:after="0"/>
              <w:rPr>
                <w:sz w:val="20"/>
                <w:szCs w:val="20"/>
                <w:color w:val="auto"/>
              </w:rPr>
            </w:pPr>
            <w:r>
              <w:rPr>
                <w:rFonts w:ascii="Arial" w:cs="Arial" w:eastAsia="Arial" w:hAnsi="Arial"/>
                <w:sz w:val="18"/>
                <w:szCs w:val="18"/>
                <w:color w:val="0000FF"/>
                <w:w w:val="99"/>
              </w:rPr>
              <w:t>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gridSpan w:val="14"/>
          </w:tcPr>
          <w:p>
            <w:pPr>
              <w:spacing w:after="0"/>
              <w:rPr>
                <w:sz w:val="20"/>
                <w:szCs w:val="20"/>
                <w:color w:val="auto"/>
              </w:rPr>
            </w:pPr>
            <w:r>
              <w:rPr>
                <w:rFonts w:ascii="Arial" w:cs="Arial" w:eastAsia="Arial" w:hAnsi="Arial"/>
                <w:sz w:val="18"/>
                <w:szCs w:val="18"/>
                <w:color w:val="0000FF"/>
                <w:w w:val="98"/>
              </w:rPr>
              <w:t>Xerox Holdings Corporation Condensed Consolidated Balance Sheets</w:t>
            </w:r>
          </w:p>
        </w:tc>
        <w:tc>
          <w:tcPr>
            <w:tcW w:w="2340" w:type="dxa"/>
            <w:vAlign w:val="bottom"/>
            <w:gridSpan w:val="7"/>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8"/>
                <w:szCs w:val="18"/>
                <w:color w:val="0000FF"/>
                <w:w w:val="99"/>
              </w:rPr>
              <w:t>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360" w:type="dxa"/>
            <w:vAlign w:val="bottom"/>
            <w:gridSpan w:val="17"/>
          </w:tcPr>
          <w:p>
            <w:pPr>
              <w:spacing w:after="0"/>
              <w:rPr>
                <w:sz w:val="20"/>
                <w:szCs w:val="20"/>
                <w:color w:val="auto"/>
              </w:rPr>
            </w:pPr>
            <w:r>
              <w:rPr>
                <w:rFonts w:ascii="Arial" w:cs="Arial" w:eastAsia="Arial" w:hAnsi="Arial"/>
                <w:sz w:val="18"/>
                <w:szCs w:val="18"/>
                <w:color w:val="0000FF"/>
                <w:w w:val="98"/>
              </w:rPr>
              <w:t>Xerox Holdings Corporation Condensed Consolidated Statements of Cash Flows</w:t>
            </w:r>
          </w:p>
        </w:tc>
        <w:tc>
          <w:tcPr>
            <w:tcW w:w="262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8"/>
                <w:szCs w:val="18"/>
                <w:color w:val="0000FF"/>
                <w:w w:val="99"/>
              </w:rPr>
              <w:t>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360" w:type="dxa"/>
            <w:vAlign w:val="bottom"/>
            <w:gridSpan w:val="17"/>
          </w:tcPr>
          <w:p>
            <w:pPr>
              <w:spacing w:after="0"/>
              <w:rPr>
                <w:sz w:val="20"/>
                <w:szCs w:val="20"/>
                <w:color w:val="auto"/>
              </w:rPr>
            </w:pPr>
            <w:r>
              <w:rPr>
                <w:rFonts w:ascii="Arial" w:cs="Arial" w:eastAsia="Arial" w:hAnsi="Arial"/>
                <w:sz w:val="18"/>
                <w:szCs w:val="18"/>
                <w:color w:val="0000FF"/>
              </w:rPr>
              <w:t>Xerox Corporation Condensed Consolidated Statements of (Loss) Income</w:t>
            </w:r>
          </w:p>
        </w:tc>
        <w:tc>
          <w:tcPr>
            <w:tcW w:w="262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8"/>
                <w:szCs w:val="18"/>
                <w:color w:val="0000FF"/>
                <w:w w:val="99"/>
              </w:rPr>
              <w:t>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20" w:type="dxa"/>
            <w:vAlign w:val="bottom"/>
            <w:gridSpan w:val="20"/>
          </w:tcPr>
          <w:p>
            <w:pPr>
              <w:spacing w:after="0"/>
              <w:rPr>
                <w:sz w:val="20"/>
                <w:szCs w:val="20"/>
                <w:color w:val="auto"/>
              </w:rPr>
            </w:pPr>
            <w:r>
              <w:rPr>
                <w:rFonts w:ascii="Arial" w:cs="Arial" w:eastAsia="Arial" w:hAnsi="Arial"/>
                <w:sz w:val="18"/>
                <w:szCs w:val="18"/>
                <w:color w:val="0000FF"/>
                <w:w w:val="98"/>
              </w:rPr>
              <w:t>Xerox Corporation Condensed Consolidated Statements of Comprehensive (Loss) Income</w:t>
            </w:r>
          </w:p>
        </w:tc>
        <w:tc>
          <w:tcPr>
            <w:tcW w:w="18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8"/>
                <w:szCs w:val="18"/>
                <w:color w:val="0000FF"/>
                <w:w w:val="99"/>
              </w:rPr>
              <w:t>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20" w:type="dxa"/>
            <w:vAlign w:val="bottom"/>
            <w:gridSpan w:val="20"/>
          </w:tcPr>
          <w:p>
            <w:pPr>
              <w:spacing w:after="0"/>
              <w:rPr>
                <w:sz w:val="20"/>
                <w:szCs w:val="20"/>
                <w:color w:val="auto"/>
              </w:rPr>
            </w:pPr>
            <w:r>
              <w:rPr>
                <w:rFonts w:ascii="Arial" w:cs="Arial" w:eastAsia="Arial" w:hAnsi="Arial"/>
                <w:sz w:val="18"/>
                <w:szCs w:val="18"/>
                <w:color w:val="0000FF"/>
              </w:rPr>
              <w:t>Xerox Corporation Condensed Consolidated Balance Sheets</w:t>
            </w:r>
          </w:p>
        </w:tc>
        <w:tc>
          <w:tcPr>
            <w:tcW w:w="18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8"/>
                <w:szCs w:val="18"/>
                <w:color w:val="0000FF"/>
                <w:w w:val="99"/>
              </w:rPr>
              <w:t>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980" w:type="dxa"/>
            <w:vAlign w:val="bottom"/>
            <w:gridSpan w:val="22"/>
          </w:tcPr>
          <w:p>
            <w:pPr>
              <w:spacing w:after="0"/>
              <w:rPr>
                <w:sz w:val="20"/>
                <w:szCs w:val="20"/>
                <w:color w:val="auto"/>
              </w:rPr>
            </w:pPr>
            <w:r>
              <w:rPr>
                <w:rFonts w:ascii="Arial" w:cs="Arial" w:eastAsia="Arial" w:hAnsi="Arial"/>
                <w:sz w:val="18"/>
                <w:szCs w:val="18"/>
                <w:color w:val="0000FF"/>
              </w:rPr>
              <w:t>Xerox Corporation Condensed Consolidated Statements of Cash Flows</w:t>
            </w:r>
          </w:p>
        </w:tc>
        <w:tc>
          <w:tcPr>
            <w:tcW w:w="1120" w:type="dxa"/>
            <w:vAlign w:val="bottom"/>
            <w:gridSpan w:val="4"/>
          </w:tcPr>
          <w:p>
            <w:pPr>
              <w:jc w:val="center"/>
              <w:spacing w:after="0"/>
              <w:rPr>
                <w:sz w:val="20"/>
                <w:szCs w:val="20"/>
                <w:color w:val="auto"/>
              </w:rPr>
            </w:pPr>
            <w:r>
              <w:rPr>
                <w:rFonts w:ascii="Arial" w:cs="Arial" w:eastAsia="Arial" w:hAnsi="Arial"/>
                <w:sz w:val="18"/>
                <w:szCs w:val="18"/>
                <w:color w:val="0000FF"/>
                <w:w w:val="99"/>
              </w:rPr>
              <w:t>10</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w w:val="97"/>
              </w:rPr>
              <w:t>Notes to Condensed Consolidated Financial Statements</w:t>
            </w:r>
          </w:p>
        </w:tc>
        <w:tc>
          <w:tcPr>
            <w:tcW w:w="1200" w:type="dxa"/>
            <w:vAlign w:val="bottom"/>
            <w:tcBorders>
              <w:top w:val="single" w:sz="8" w:color="0000FF"/>
            </w:tcBorders>
            <w:gridSpan w:val="5"/>
          </w:tcPr>
          <w:p>
            <w:pPr>
              <w:spacing w:after="0"/>
              <w:rPr>
                <w:sz w:val="18"/>
                <w:szCs w:val="18"/>
                <w:color w:val="auto"/>
              </w:rPr>
            </w:pPr>
          </w:p>
        </w:tc>
        <w:tc>
          <w:tcPr>
            <w:tcW w:w="338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top w:val="single" w:sz="8" w:color="0000FF"/>
            </w:tcBorders>
            <w:gridSpan w:val="2"/>
          </w:tcPr>
          <w:p>
            <w:pPr>
              <w:jc w:val="center"/>
              <w:spacing w:after="0"/>
              <w:rPr>
                <w:sz w:val="20"/>
                <w:szCs w:val="20"/>
                <w:color w:val="auto"/>
              </w:rPr>
            </w:pPr>
            <w:r>
              <w:rPr>
                <w:rFonts w:ascii="Arial" w:cs="Arial" w:eastAsia="Arial" w:hAnsi="Arial"/>
                <w:sz w:val="18"/>
                <w:szCs w:val="18"/>
                <w:color w:val="0000FF"/>
                <w:w w:val="79"/>
              </w:rPr>
              <w:t>11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560" w:type="dxa"/>
            <w:vAlign w:val="bottom"/>
            <w:gridSpan w:val="4"/>
          </w:tcPr>
          <w:p>
            <w:pPr>
              <w:spacing w:after="0"/>
              <w:rPr>
                <w:sz w:val="18"/>
                <w:szCs w:val="18"/>
                <w:color w:val="auto"/>
              </w:rPr>
            </w:pPr>
          </w:p>
        </w:tc>
        <w:tc>
          <w:tcPr>
            <w:tcW w:w="8980" w:type="dxa"/>
            <w:vAlign w:val="bottom"/>
            <w:gridSpan w:val="2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120" w:type="dxa"/>
            <w:vAlign w:val="bottom"/>
            <w:gridSpan w:val="4"/>
          </w:tcPr>
          <w:p>
            <w:pPr>
              <w:jc w:val="center"/>
              <w:spacing w:after="0"/>
              <w:rPr>
                <w:sz w:val="20"/>
                <w:szCs w:val="20"/>
                <w:color w:val="auto"/>
              </w:rPr>
            </w:pPr>
            <w:r>
              <w:rPr>
                <w:rFonts w:ascii="Arial" w:cs="Arial" w:eastAsia="Arial" w:hAnsi="Arial"/>
                <w:sz w:val="18"/>
                <w:szCs w:val="18"/>
                <w:color w:val="0000FF"/>
                <w:w w:val="99"/>
              </w:rPr>
              <w:t>40</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20" w:type="dxa"/>
            <w:vAlign w:val="bottom"/>
            <w:gridSpan w:val="6"/>
            <w:shd w:val="clear" w:color="auto" w:fill="0000FF"/>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7"/>
          </w:tcPr>
          <w:p>
            <w:pPr>
              <w:spacing w:after="0"/>
              <w:rPr>
                <w:sz w:val="20"/>
                <w:szCs w:val="20"/>
                <w:color w:val="auto"/>
              </w:rPr>
            </w:pPr>
            <w:r>
              <w:rPr>
                <w:rFonts w:ascii="Arial" w:cs="Arial" w:eastAsia="Arial" w:hAnsi="Arial"/>
                <w:sz w:val="18"/>
                <w:szCs w:val="18"/>
                <w:color w:val="0000FF"/>
                <w:w w:val="94"/>
              </w:rPr>
              <w:t>Capital Resources and Liquidity</w:t>
            </w:r>
          </w:p>
        </w:tc>
        <w:tc>
          <w:tcPr>
            <w:tcW w:w="6560" w:type="dxa"/>
            <w:vAlign w:val="bottom"/>
            <w:gridSpan w:val="15"/>
          </w:tcPr>
          <w:p>
            <w:pPr>
              <w:spacing w:after="0"/>
              <w:rPr>
                <w:sz w:val="18"/>
                <w:szCs w:val="18"/>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color w:val="0000FF"/>
                <w:w w:val="99"/>
              </w:rPr>
              <w:t>54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7"/>
          </w:tcPr>
          <w:p>
            <w:pPr>
              <w:spacing w:after="0"/>
              <w:rPr>
                <w:sz w:val="20"/>
                <w:szCs w:val="20"/>
                <w:color w:val="auto"/>
              </w:rPr>
            </w:pPr>
            <w:r>
              <w:rPr>
                <w:rFonts w:ascii="Arial" w:cs="Arial" w:eastAsia="Arial" w:hAnsi="Arial"/>
                <w:sz w:val="18"/>
                <w:szCs w:val="18"/>
                <w:color w:val="0000FF"/>
              </w:rPr>
              <w:t>Financial Risk Management</w:t>
            </w:r>
          </w:p>
        </w:tc>
        <w:tc>
          <w:tcPr>
            <w:tcW w:w="6560" w:type="dxa"/>
            <w:vAlign w:val="bottom"/>
            <w:gridSpan w:val="15"/>
          </w:tcPr>
          <w:p>
            <w:pPr>
              <w:spacing w:after="0"/>
              <w:rPr>
                <w:sz w:val="18"/>
                <w:szCs w:val="18"/>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color w:val="0000FF"/>
                <w:w w:val="99"/>
              </w:rPr>
              <w:t>57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980" w:type="dxa"/>
            <w:vAlign w:val="bottom"/>
            <w:gridSpan w:val="22"/>
          </w:tcPr>
          <w:p>
            <w:pPr>
              <w:spacing w:after="0"/>
              <w:rPr>
                <w:sz w:val="20"/>
                <w:szCs w:val="20"/>
                <w:color w:val="auto"/>
              </w:rPr>
            </w:pPr>
            <w:r>
              <w:rPr>
                <w:rFonts w:ascii="Arial" w:cs="Arial" w:eastAsia="Arial" w:hAnsi="Arial"/>
                <w:sz w:val="18"/>
                <w:szCs w:val="18"/>
                <w:color w:val="0000FF"/>
              </w:rPr>
              <w:t>Non-GAAP Financial Measures</w:t>
            </w:r>
          </w:p>
        </w:tc>
        <w:tc>
          <w:tcPr>
            <w:tcW w:w="1120" w:type="dxa"/>
            <w:vAlign w:val="bottom"/>
            <w:gridSpan w:val="4"/>
          </w:tcPr>
          <w:p>
            <w:pPr>
              <w:jc w:val="center"/>
              <w:spacing w:after="0"/>
              <w:rPr>
                <w:sz w:val="20"/>
                <w:szCs w:val="20"/>
                <w:color w:val="auto"/>
              </w:rPr>
            </w:pPr>
            <w:r>
              <w:rPr>
                <w:rFonts w:ascii="Arial" w:cs="Arial" w:eastAsia="Arial" w:hAnsi="Arial"/>
                <w:sz w:val="18"/>
                <w:szCs w:val="18"/>
                <w:color w:val="0000FF"/>
                <w:w w:val="99"/>
              </w:rPr>
              <w:t>58</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540" w:type="dxa"/>
            <w:vAlign w:val="bottom"/>
            <w:gridSpan w:val="3"/>
          </w:tcPr>
          <w:p>
            <w:pPr>
              <w:spacing w:after="0"/>
              <w:rPr>
                <w:sz w:val="18"/>
                <w:szCs w:val="18"/>
                <w:color w:val="auto"/>
              </w:rPr>
            </w:pPr>
          </w:p>
        </w:tc>
        <w:tc>
          <w:tcPr>
            <w:tcW w:w="8980" w:type="dxa"/>
            <w:vAlign w:val="bottom"/>
            <w:gridSpan w:val="2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120" w:type="dxa"/>
            <w:vAlign w:val="bottom"/>
            <w:gridSpan w:val="4"/>
          </w:tcPr>
          <w:p>
            <w:pPr>
              <w:jc w:val="center"/>
              <w:spacing w:after="0"/>
              <w:rPr>
                <w:sz w:val="20"/>
                <w:szCs w:val="20"/>
                <w:color w:val="auto"/>
              </w:rPr>
            </w:pPr>
            <w:r>
              <w:rPr>
                <w:rFonts w:ascii="Arial" w:cs="Arial" w:eastAsia="Arial" w:hAnsi="Arial"/>
                <w:sz w:val="18"/>
                <w:szCs w:val="18"/>
                <w:color w:val="0000FF"/>
                <w:w w:val="99"/>
              </w:rPr>
              <w:t>61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20" w:type="dxa"/>
            <w:vAlign w:val="bottom"/>
          </w:tcPr>
          <w:p>
            <w:pPr>
              <w:spacing w:after="0"/>
              <w:rPr>
                <w:sz w:val="18"/>
                <w:szCs w:val="18"/>
                <w:color w:val="auto"/>
              </w:rPr>
            </w:pPr>
          </w:p>
        </w:tc>
        <w:tc>
          <w:tcPr>
            <w:tcW w:w="540" w:type="dxa"/>
            <w:vAlign w:val="bottom"/>
            <w:gridSpan w:val="3"/>
          </w:tcPr>
          <w:p>
            <w:pPr>
              <w:spacing w:after="0"/>
              <w:rPr>
                <w:sz w:val="18"/>
                <w:szCs w:val="18"/>
                <w:color w:val="auto"/>
              </w:rPr>
            </w:pPr>
          </w:p>
        </w:tc>
        <w:tc>
          <w:tcPr>
            <w:tcW w:w="8980" w:type="dxa"/>
            <w:vAlign w:val="bottom"/>
            <w:gridSpan w:val="22"/>
          </w:tcPr>
          <w:p>
            <w:pPr>
              <w:spacing w:after="0"/>
              <w:rPr>
                <w:sz w:val="20"/>
                <w:szCs w:val="20"/>
                <w:color w:val="auto"/>
              </w:rPr>
            </w:pPr>
            <w:r>
              <w:rPr>
                <w:rFonts w:ascii="Arial" w:cs="Arial" w:eastAsia="Arial" w:hAnsi="Arial"/>
                <w:sz w:val="18"/>
                <w:szCs w:val="18"/>
                <w:color w:val="0000FF"/>
              </w:rPr>
              <w:t>Controls and Procedures</w:t>
            </w:r>
          </w:p>
        </w:tc>
        <w:tc>
          <w:tcPr>
            <w:tcW w:w="1120" w:type="dxa"/>
            <w:vAlign w:val="bottom"/>
            <w:gridSpan w:val="4"/>
          </w:tcPr>
          <w:p>
            <w:pPr>
              <w:jc w:val="center"/>
              <w:spacing w:after="0"/>
              <w:rPr>
                <w:sz w:val="20"/>
                <w:szCs w:val="20"/>
                <w:color w:val="auto"/>
              </w:rPr>
            </w:pPr>
            <w:r>
              <w:rPr>
                <w:rFonts w:ascii="Arial" w:cs="Arial" w:eastAsia="Arial" w:hAnsi="Arial"/>
                <w:sz w:val="18"/>
                <w:szCs w:val="18"/>
                <w:color w:val="0000FF"/>
                <w:w w:val="99"/>
              </w:rPr>
              <w:t>61</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20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100" w:type="dxa"/>
            <w:vAlign w:val="bottom"/>
            <w:gridSpan w:val="27"/>
          </w:tcPr>
          <w:p>
            <w:pPr>
              <w:spacing w:after="0"/>
              <w:rPr>
                <w:sz w:val="20"/>
                <w:szCs w:val="20"/>
                <w:color w:val="auto"/>
              </w:rPr>
            </w:pPr>
            <w:r>
              <w:rPr>
                <w:rFonts w:ascii="Arial" w:cs="Arial" w:eastAsia="Arial" w:hAnsi="Arial"/>
                <w:sz w:val="18"/>
                <w:szCs w:val="18"/>
                <w:b w:val="1"/>
                <w:bCs w:val="1"/>
                <w:color w:val="0000FF"/>
              </w:rPr>
              <w:t>Part II — Other Information</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80" w:type="dxa"/>
            <w:vAlign w:val="bottom"/>
            <w:gridSpan w:val="2"/>
          </w:tcPr>
          <w:p>
            <w:pPr>
              <w:spacing w:after="0" w:line="195" w:lineRule="exact"/>
              <w:rPr>
                <w:sz w:val="20"/>
                <w:szCs w:val="20"/>
                <w:color w:val="auto"/>
              </w:rPr>
            </w:pPr>
            <w:r>
              <w:rPr>
                <w:rFonts w:ascii="Arial" w:cs="Arial" w:eastAsia="Arial" w:hAnsi="Arial"/>
                <w:sz w:val="18"/>
                <w:szCs w:val="18"/>
                <w:color w:val="0000FF"/>
              </w:rPr>
              <w:t>Item 1.</w:t>
            </w:r>
          </w:p>
        </w:tc>
        <w:tc>
          <w:tcPr>
            <w:tcW w:w="540" w:type="dxa"/>
            <w:vAlign w:val="bottom"/>
            <w:gridSpan w:val="3"/>
          </w:tcPr>
          <w:p>
            <w:pPr>
              <w:spacing w:after="0"/>
              <w:rPr>
                <w:sz w:val="16"/>
                <w:szCs w:val="16"/>
                <w:color w:val="auto"/>
              </w:rPr>
            </w:pPr>
          </w:p>
        </w:tc>
        <w:tc>
          <w:tcPr>
            <w:tcW w:w="8980" w:type="dxa"/>
            <w:vAlign w:val="bottom"/>
            <w:gridSpan w:val="22"/>
          </w:tcPr>
          <w:p>
            <w:pPr>
              <w:spacing w:after="0" w:line="195" w:lineRule="exact"/>
              <w:rPr>
                <w:sz w:val="20"/>
                <w:szCs w:val="20"/>
                <w:color w:val="auto"/>
              </w:rPr>
            </w:pPr>
            <w:r>
              <w:rPr>
                <w:rFonts w:ascii="Arial" w:cs="Arial" w:eastAsia="Arial" w:hAnsi="Arial"/>
                <w:sz w:val="18"/>
                <w:szCs w:val="18"/>
                <w:color w:val="0000FF"/>
              </w:rPr>
              <w:t>Legal Proceedings</w:t>
            </w:r>
          </w:p>
        </w:tc>
        <w:tc>
          <w:tcPr>
            <w:tcW w:w="1120" w:type="dxa"/>
            <w:vAlign w:val="bottom"/>
            <w:gridSpan w:val="4"/>
          </w:tcPr>
          <w:p>
            <w:pPr>
              <w:jc w:val="center"/>
              <w:spacing w:after="0" w:line="195" w:lineRule="exact"/>
              <w:rPr>
                <w:sz w:val="20"/>
                <w:szCs w:val="20"/>
                <w:color w:val="auto"/>
              </w:rPr>
            </w:pPr>
            <w:r>
              <w:rPr>
                <w:rFonts w:ascii="Arial" w:cs="Arial" w:eastAsia="Arial" w:hAnsi="Arial"/>
                <w:sz w:val="18"/>
                <w:szCs w:val="18"/>
                <w:color w:val="0000FF"/>
                <w:w w:val="99"/>
              </w:rPr>
              <w:t>62</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20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gridSpan w:val="3"/>
          </w:tcPr>
          <w:p>
            <w:pPr>
              <w:spacing w:after="0"/>
              <w:rPr>
                <w:sz w:val="20"/>
                <w:szCs w:val="20"/>
                <w:color w:val="auto"/>
              </w:rPr>
            </w:pPr>
            <w:r>
              <w:rPr>
                <w:rFonts w:ascii="Arial" w:cs="Arial" w:eastAsia="Arial" w:hAnsi="Arial"/>
                <w:sz w:val="18"/>
                <w:szCs w:val="18"/>
                <w:color w:val="0000FF"/>
                <w:w w:val="98"/>
              </w:rPr>
              <w:t>Item 1A.</w:t>
            </w:r>
          </w:p>
        </w:tc>
        <w:tc>
          <w:tcPr>
            <w:tcW w:w="440" w:type="dxa"/>
            <w:vAlign w:val="bottom"/>
            <w:gridSpan w:val="2"/>
          </w:tcPr>
          <w:p>
            <w:pPr>
              <w:spacing w:after="0"/>
              <w:rPr>
                <w:sz w:val="18"/>
                <w:szCs w:val="18"/>
                <w:color w:val="auto"/>
              </w:rPr>
            </w:pPr>
          </w:p>
        </w:tc>
        <w:tc>
          <w:tcPr>
            <w:tcW w:w="8980" w:type="dxa"/>
            <w:vAlign w:val="bottom"/>
            <w:gridSpan w:val="22"/>
          </w:tcPr>
          <w:p>
            <w:pPr>
              <w:spacing w:after="0"/>
              <w:rPr>
                <w:sz w:val="20"/>
                <w:szCs w:val="20"/>
                <w:color w:val="auto"/>
              </w:rPr>
            </w:pPr>
            <w:r>
              <w:rPr>
                <w:rFonts w:ascii="Arial" w:cs="Arial" w:eastAsia="Arial" w:hAnsi="Arial"/>
                <w:sz w:val="18"/>
                <w:szCs w:val="18"/>
                <w:color w:val="0000FF"/>
              </w:rPr>
              <w:t>Risk Factors</w:t>
            </w:r>
          </w:p>
        </w:tc>
        <w:tc>
          <w:tcPr>
            <w:tcW w:w="1120" w:type="dxa"/>
            <w:vAlign w:val="bottom"/>
            <w:gridSpan w:val="4"/>
          </w:tcPr>
          <w:p>
            <w:pPr>
              <w:jc w:val="center"/>
              <w:spacing w:after="0"/>
              <w:rPr>
                <w:sz w:val="20"/>
                <w:szCs w:val="20"/>
                <w:color w:val="auto"/>
              </w:rPr>
            </w:pPr>
            <w:r>
              <w:rPr>
                <w:rFonts w:ascii="Arial" w:cs="Arial" w:eastAsia="Arial" w:hAnsi="Arial"/>
                <w:sz w:val="18"/>
                <w:szCs w:val="18"/>
                <w:color w:val="0000FF"/>
                <w:w w:val="99"/>
              </w:rPr>
              <w:t>62</w:t>
            </w:r>
          </w:p>
        </w:tc>
        <w:tc>
          <w:tcPr>
            <w:tcW w:w="0" w:type="dxa"/>
            <w:vAlign w:val="bottom"/>
          </w:tcPr>
          <w:p>
            <w:pPr>
              <w:spacing w:after="0"/>
              <w:rPr>
                <w:sz w:val="1"/>
                <w:szCs w:val="1"/>
                <w:color w:val="auto"/>
              </w:rPr>
            </w:pPr>
          </w:p>
        </w:tc>
      </w:tr>
      <w:tr>
        <w:trPr>
          <w:trHeight w:val="20"/>
        </w:trPr>
        <w:tc>
          <w:tcPr>
            <w:tcW w:w="68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20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1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8980" w:type="dxa"/>
            <w:vAlign w:val="bottom"/>
            <w:gridSpan w:val="22"/>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120" w:type="dxa"/>
            <w:vAlign w:val="bottom"/>
            <w:gridSpan w:val="4"/>
          </w:tcPr>
          <w:p>
            <w:pPr>
              <w:jc w:val="center"/>
              <w:spacing w:after="0"/>
              <w:rPr>
                <w:sz w:val="20"/>
                <w:szCs w:val="20"/>
                <w:color w:val="auto"/>
              </w:rPr>
            </w:pPr>
            <w:r>
              <w:rPr>
                <w:rFonts w:ascii="Arial" w:cs="Arial" w:eastAsia="Arial" w:hAnsi="Arial"/>
                <w:sz w:val="18"/>
                <w:szCs w:val="18"/>
                <w:color w:val="0000FF"/>
                <w:w w:val="99"/>
              </w:rPr>
              <w:t>62</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420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540" w:type="dxa"/>
            <w:vAlign w:val="bottom"/>
            <w:gridSpan w:val="3"/>
          </w:tcPr>
          <w:p>
            <w:pPr>
              <w:spacing w:after="0"/>
              <w:rPr>
                <w:sz w:val="18"/>
                <w:szCs w:val="18"/>
                <w:color w:val="auto"/>
              </w:rPr>
            </w:pPr>
          </w:p>
        </w:tc>
        <w:tc>
          <w:tcPr>
            <w:tcW w:w="8980" w:type="dxa"/>
            <w:vAlign w:val="bottom"/>
            <w:gridSpan w:val="22"/>
          </w:tcPr>
          <w:p>
            <w:pPr>
              <w:spacing w:after="0"/>
              <w:rPr>
                <w:sz w:val="20"/>
                <w:szCs w:val="20"/>
                <w:color w:val="auto"/>
              </w:rPr>
            </w:pPr>
            <w:r>
              <w:rPr>
                <w:rFonts w:ascii="Arial" w:cs="Arial" w:eastAsia="Arial" w:hAnsi="Arial"/>
                <w:sz w:val="18"/>
                <w:szCs w:val="18"/>
                <w:color w:val="0000FF"/>
              </w:rPr>
              <w:t>Defaults Upon Senior Securities</w:t>
            </w:r>
          </w:p>
        </w:tc>
        <w:tc>
          <w:tcPr>
            <w:tcW w:w="1120" w:type="dxa"/>
            <w:vAlign w:val="bottom"/>
            <w:gridSpan w:val="4"/>
          </w:tcPr>
          <w:p>
            <w:pPr>
              <w:jc w:val="center"/>
              <w:spacing w:after="0"/>
              <w:rPr>
                <w:sz w:val="20"/>
                <w:szCs w:val="20"/>
                <w:color w:val="auto"/>
              </w:rPr>
            </w:pPr>
            <w:r>
              <w:rPr>
                <w:rFonts w:ascii="Arial" w:cs="Arial" w:eastAsia="Arial" w:hAnsi="Arial"/>
                <w:sz w:val="18"/>
                <w:szCs w:val="18"/>
                <w:color w:val="0000FF"/>
                <w:w w:val="99"/>
              </w:rPr>
              <w:t>63</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500" w:type="dxa"/>
            <w:vAlign w:val="bottom"/>
            <w:gridSpan w:val="1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Arial" w:cs="Arial" w:eastAsia="Arial" w:hAnsi="Arial"/>
                <w:sz w:val="18"/>
                <w:szCs w:val="18"/>
                <w:color w:val="0000FF"/>
              </w:rPr>
              <w:t>Item 4.</w:t>
            </w:r>
          </w:p>
        </w:tc>
        <w:tc>
          <w:tcPr>
            <w:tcW w:w="3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980" w:type="dxa"/>
            <w:vAlign w:val="bottom"/>
            <w:gridSpan w:val="22"/>
          </w:tcPr>
          <w:p>
            <w:pPr>
              <w:spacing w:after="0"/>
              <w:rPr>
                <w:sz w:val="20"/>
                <w:szCs w:val="20"/>
                <w:color w:val="auto"/>
              </w:rPr>
            </w:pPr>
            <w:r>
              <w:rPr>
                <w:rFonts w:ascii="Arial" w:cs="Arial" w:eastAsia="Arial" w:hAnsi="Arial"/>
                <w:sz w:val="18"/>
                <w:szCs w:val="18"/>
                <w:color w:val="0000FF"/>
              </w:rPr>
              <w:t>Mine Safety Disclosures</w:t>
            </w:r>
          </w:p>
        </w:tc>
        <w:tc>
          <w:tcPr>
            <w:tcW w:w="1120" w:type="dxa"/>
            <w:vAlign w:val="bottom"/>
            <w:gridSpan w:val="4"/>
          </w:tcPr>
          <w:p>
            <w:pPr>
              <w:jc w:val="center"/>
              <w:spacing w:after="0"/>
              <w:rPr>
                <w:sz w:val="20"/>
                <w:szCs w:val="20"/>
                <w:color w:val="auto"/>
              </w:rPr>
            </w:pPr>
            <w:r>
              <w:rPr>
                <w:rFonts w:ascii="Arial" w:cs="Arial" w:eastAsia="Arial" w:hAnsi="Arial"/>
                <w:sz w:val="18"/>
                <w:szCs w:val="18"/>
                <w:color w:val="0000FF"/>
                <w:w w:val="99"/>
              </w:rPr>
              <w:t>63</w:t>
            </w:r>
          </w:p>
        </w:tc>
        <w:tc>
          <w:tcPr>
            <w:tcW w:w="0" w:type="dxa"/>
            <w:vAlign w:val="bottom"/>
          </w:tcPr>
          <w:p>
            <w:pPr>
              <w:spacing w:after="0"/>
              <w:rPr>
                <w:sz w:val="1"/>
                <w:szCs w:val="1"/>
                <w:color w:val="auto"/>
              </w:rPr>
            </w:pPr>
          </w:p>
        </w:tc>
      </w:tr>
      <w:tr>
        <w:trPr>
          <w:trHeight w:val="20"/>
        </w:trPr>
        <w:tc>
          <w:tcPr>
            <w:tcW w:w="940" w:type="dxa"/>
            <w:vAlign w:val="bottom"/>
            <w:gridSpan w:val="4"/>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120" w:type="dxa"/>
            <w:vAlign w:val="bottom"/>
            <w:gridSpan w:val="17"/>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Arial" w:cs="Arial" w:eastAsia="Arial" w:hAnsi="Arial"/>
                <w:sz w:val="18"/>
                <w:szCs w:val="18"/>
                <w:color w:val="0000FF"/>
              </w:rPr>
              <w:t>Item 5.</w:t>
            </w:r>
          </w:p>
        </w:tc>
        <w:tc>
          <w:tcPr>
            <w:tcW w:w="3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980" w:type="dxa"/>
            <w:vAlign w:val="bottom"/>
            <w:gridSpan w:val="22"/>
          </w:tcPr>
          <w:p>
            <w:pPr>
              <w:spacing w:after="0"/>
              <w:rPr>
                <w:sz w:val="20"/>
                <w:szCs w:val="20"/>
                <w:color w:val="auto"/>
              </w:rPr>
            </w:pPr>
            <w:r>
              <w:rPr>
                <w:rFonts w:ascii="Arial" w:cs="Arial" w:eastAsia="Arial" w:hAnsi="Arial"/>
                <w:sz w:val="18"/>
                <w:szCs w:val="18"/>
                <w:color w:val="0000FF"/>
              </w:rPr>
              <w:t>Other Information</w:t>
            </w:r>
          </w:p>
        </w:tc>
        <w:tc>
          <w:tcPr>
            <w:tcW w:w="1120" w:type="dxa"/>
            <w:vAlign w:val="bottom"/>
            <w:gridSpan w:val="4"/>
          </w:tcPr>
          <w:p>
            <w:pPr>
              <w:jc w:val="center"/>
              <w:spacing w:after="0"/>
              <w:rPr>
                <w:sz w:val="20"/>
                <w:szCs w:val="20"/>
                <w:color w:val="auto"/>
              </w:rPr>
            </w:pPr>
            <w:r>
              <w:rPr>
                <w:rFonts w:ascii="Arial" w:cs="Arial" w:eastAsia="Arial" w:hAnsi="Arial"/>
                <w:sz w:val="18"/>
                <w:szCs w:val="18"/>
                <w:color w:val="0000FF"/>
                <w:w w:val="99"/>
              </w:rPr>
              <w:t>63</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660" w:type="dxa"/>
            <w:vAlign w:val="bottom"/>
            <w:gridSpan w:val="1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spacing w:after="0"/>
              <w:rPr>
                <w:sz w:val="20"/>
                <w:szCs w:val="20"/>
                <w:color w:val="auto"/>
              </w:rPr>
            </w:pPr>
            <w:r>
              <w:rPr>
                <w:rFonts w:ascii="Arial" w:cs="Arial" w:eastAsia="Arial" w:hAnsi="Arial"/>
                <w:sz w:val="18"/>
                <w:szCs w:val="18"/>
                <w:color w:val="0000FF"/>
              </w:rPr>
              <w:t>Item 6.</w:t>
            </w:r>
          </w:p>
        </w:tc>
        <w:tc>
          <w:tcPr>
            <w:tcW w:w="540" w:type="dxa"/>
            <w:vAlign w:val="bottom"/>
            <w:gridSpan w:val="3"/>
          </w:tcPr>
          <w:p>
            <w:pPr>
              <w:spacing w:after="0"/>
              <w:rPr>
                <w:sz w:val="18"/>
                <w:szCs w:val="18"/>
                <w:color w:val="auto"/>
              </w:rPr>
            </w:pPr>
          </w:p>
        </w:tc>
        <w:tc>
          <w:tcPr>
            <w:tcW w:w="8980" w:type="dxa"/>
            <w:vAlign w:val="bottom"/>
            <w:gridSpan w:val="22"/>
          </w:tcPr>
          <w:p>
            <w:pPr>
              <w:spacing w:after="0"/>
              <w:rPr>
                <w:sz w:val="20"/>
                <w:szCs w:val="20"/>
                <w:color w:val="auto"/>
              </w:rPr>
            </w:pPr>
            <w:r>
              <w:rPr>
                <w:rFonts w:ascii="Arial" w:cs="Arial" w:eastAsia="Arial" w:hAnsi="Arial"/>
                <w:sz w:val="18"/>
                <w:szCs w:val="18"/>
                <w:color w:val="0000FF"/>
              </w:rPr>
              <w:t>Exhibits</w:t>
            </w:r>
          </w:p>
        </w:tc>
        <w:tc>
          <w:tcPr>
            <w:tcW w:w="1120" w:type="dxa"/>
            <w:vAlign w:val="bottom"/>
            <w:gridSpan w:val="4"/>
          </w:tcPr>
          <w:p>
            <w:pPr>
              <w:jc w:val="center"/>
              <w:spacing w:after="0"/>
              <w:rPr>
                <w:sz w:val="20"/>
                <w:szCs w:val="20"/>
                <w:color w:val="auto"/>
              </w:rPr>
            </w:pPr>
            <w:r>
              <w:rPr>
                <w:rFonts w:ascii="Arial" w:cs="Arial" w:eastAsia="Arial" w:hAnsi="Arial"/>
                <w:sz w:val="18"/>
                <w:szCs w:val="18"/>
                <w:color w:val="0000FF"/>
                <w:w w:val="99"/>
              </w:rPr>
              <w:t>64</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4"/>
          </w:tcPr>
          <w:p>
            <w:pPr>
              <w:spacing w:after="0"/>
              <w:rPr>
                <w:sz w:val="20"/>
                <w:szCs w:val="20"/>
                <w:color w:val="auto"/>
              </w:rPr>
            </w:pPr>
            <w:r>
              <w:rPr>
                <w:rFonts w:ascii="Arial" w:cs="Arial" w:eastAsia="Arial" w:hAnsi="Arial"/>
                <w:sz w:val="18"/>
                <w:szCs w:val="18"/>
                <w:b w:val="1"/>
                <w:bCs w:val="1"/>
                <w:color w:val="0000FF"/>
                <w:w w:val="98"/>
              </w:rPr>
              <w:t>Signatures</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color w:val="0000FF"/>
                <w:w w:val="99"/>
              </w:rPr>
              <w:t>66</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00" w:type="dxa"/>
            <w:vAlign w:val="bottom"/>
            <w:gridSpan w:val="27"/>
          </w:tcPr>
          <w:p>
            <w:pPr>
              <w:spacing w:after="0"/>
              <w:rPr>
                <w:sz w:val="20"/>
                <w:szCs w:val="20"/>
                <w:color w:val="auto"/>
              </w:rPr>
            </w:pPr>
            <w:r>
              <w:rPr>
                <w:rFonts w:ascii="Arial" w:cs="Arial" w:eastAsia="Arial" w:hAnsi="Arial"/>
                <w:sz w:val="18"/>
                <w:szCs w:val="18"/>
                <w:b w:val="1"/>
                <w:bCs w:val="1"/>
                <w:color w:val="0000FF"/>
              </w:rPr>
              <w:t>Exhibit Index</w:t>
            </w:r>
          </w:p>
        </w:tc>
        <w:tc>
          <w:tcPr>
            <w:tcW w:w="1120" w:type="dxa"/>
            <w:vAlign w:val="bottom"/>
            <w:gridSpan w:val="4"/>
          </w:tcPr>
          <w:p>
            <w:pPr>
              <w:jc w:val="center"/>
              <w:spacing w:after="0"/>
              <w:rPr>
                <w:sz w:val="20"/>
                <w:szCs w:val="20"/>
                <w:color w:val="auto"/>
              </w:rPr>
            </w:pPr>
            <w:r>
              <w:rPr>
                <w:rFonts w:ascii="Arial" w:cs="Arial" w:eastAsia="Arial" w:hAnsi="Arial"/>
                <w:sz w:val="18"/>
                <w:szCs w:val="18"/>
                <w:color w:val="0000FF"/>
                <w:w w:val="99"/>
              </w:rPr>
              <w:t>67</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For additional information about Xerox Holdings Corporation and Xerox Corporation and access to our Annual Reports to Shareholders and SEC filings, free of charge, please visit our website at www.xerox.com/investor. The content of our website is not incorporated by reference into this combined Form 10-Q unless expressly noted.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DA2031"/>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ITEM 1 —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XEROX HOLDINGS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STATEMENTS OF (LOSS) INCOME (UNAUDITED)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110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color w:val="auto"/>
              </w:rPr>
              <w:t>March 31,</w:t>
            </w:r>
          </w:p>
        </w:tc>
        <w:tc>
          <w:tcPr>
            <w:tcW w:w="110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7580" w:type="dxa"/>
            <w:vAlign w:val="bottom"/>
            <w:gridSpan w:val="2"/>
          </w:tcPr>
          <w:p>
            <w:pPr>
              <w:spacing w:after="0"/>
              <w:rPr>
                <w:sz w:val="20"/>
                <w:szCs w:val="20"/>
                <w:color w:val="auto"/>
              </w:rPr>
            </w:pPr>
            <w:r>
              <w:rPr>
                <w:rFonts w:ascii="Arial" w:cs="Arial" w:eastAsia="Arial" w:hAnsi="Arial"/>
                <w:sz w:val="13"/>
                <w:szCs w:val="13"/>
                <w:color w:val="auto"/>
              </w:rPr>
              <w:t>(in millions, except per-share data)</w:t>
            </w:r>
          </w:p>
        </w:tc>
        <w:tc>
          <w:tcPr>
            <w:tcW w:w="420" w:type="dxa"/>
            <w:vAlign w:val="bottom"/>
          </w:tcPr>
          <w:p>
            <w:pPr>
              <w:spacing w:after="0"/>
              <w:rPr>
                <w:sz w:val="13"/>
                <w:szCs w:val="13"/>
                <w:color w:val="auto"/>
              </w:rPr>
            </w:pPr>
          </w:p>
        </w:tc>
        <w:tc>
          <w:tcPr>
            <w:tcW w:w="1340" w:type="dxa"/>
            <w:vAlign w:val="bottom"/>
          </w:tcPr>
          <w:p>
            <w:pPr>
              <w:jc w:val="right"/>
              <w:ind w:right="648"/>
              <w:spacing w:after="0" w:line="155"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jc w:val="right"/>
              <w:ind w:right="648"/>
              <w:spacing w:after="0" w:line="155" w:lineRule="exact"/>
              <w:rPr>
                <w:sz w:val="20"/>
                <w:szCs w:val="20"/>
                <w:color w:val="auto"/>
              </w:rPr>
            </w:pPr>
            <w:r>
              <w:rPr>
                <w:rFonts w:ascii="Arial" w:cs="Arial" w:eastAsia="Arial" w:hAnsi="Arial"/>
                <w:sz w:val="14"/>
                <w:szCs w:val="14"/>
                <w:color w:val="auto"/>
              </w:rPr>
              <w:t>2021</w:t>
            </w:r>
          </w:p>
        </w:tc>
      </w:tr>
      <w:tr>
        <w:trPr>
          <w:trHeight w:val="21"/>
        </w:trPr>
        <w:tc>
          <w:tcPr>
            <w:tcW w:w="20" w:type="dxa"/>
            <w:vAlign w:val="bottom"/>
            <w:tcBorders>
              <w:bottom w:val="single" w:sz="8" w:color="DBDBDB"/>
            </w:tcBorders>
          </w:tcPr>
          <w:p>
            <w:pPr>
              <w:spacing w:after="0" w:line="20" w:lineRule="exact"/>
              <w:rPr>
                <w:sz w:val="1"/>
                <w:szCs w:val="1"/>
                <w:color w:val="auto"/>
              </w:rPr>
            </w:pPr>
          </w:p>
        </w:tc>
        <w:tc>
          <w:tcPr>
            <w:tcW w:w="1940" w:type="dxa"/>
            <w:vAlign w:val="bottom"/>
            <w:tcBorders>
              <w:top w:val="single" w:sz="8" w:color="auto"/>
              <w:bottom w:val="single" w:sz="8" w:color="DBDBDB"/>
            </w:tcBorders>
          </w:tcPr>
          <w:p>
            <w:pPr>
              <w:spacing w:after="0" w:line="20" w:lineRule="exact"/>
              <w:rPr>
                <w:sz w:val="1"/>
                <w:szCs w:val="1"/>
                <w:color w:val="auto"/>
              </w:rPr>
            </w:pPr>
          </w:p>
        </w:tc>
        <w:tc>
          <w:tcPr>
            <w:tcW w:w="564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DBDBDB"/>
          </w:tcPr>
          <w:p>
            <w:pPr>
              <w:spacing w:after="0"/>
              <w:rPr>
                <w:sz w:val="15"/>
                <w:szCs w:val="15"/>
                <w:color w:val="auto"/>
              </w:rPr>
            </w:pPr>
          </w:p>
        </w:tc>
        <w:tc>
          <w:tcPr>
            <w:tcW w:w="7580" w:type="dxa"/>
            <w:vAlign w:val="bottom"/>
            <w:gridSpan w:val="2"/>
            <w:shd w:val="clear" w:color="auto" w:fill="DBDBDB"/>
          </w:tcPr>
          <w:p>
            <w:pPr>
              <w:spacing w:after="0"/>
              <w:rPr>
                <w:sz w:val="20"/>
                <w:szCs w:val="20"/>
                <w:color w:val="auto"/>
              </w:rPr>
            </w:pPr>
            <w:r>
              <w:rPr>
                <w:rFonts w:ascii="Arial" w:cs="Arial" w:eastAsia="Arial" w:hAnsi="Arial"/>
                <w:sz w:val="14"/>
                <w:szCs w:val="14"/>
                <w:b w:val="1"/>
                <w:bCs w:val="1"/>
                <w:color w:val="auto"/>
              </w:rPr>
              <w:t>Revenues</w:t>
            </w:r>
          </w:p>
        </w:tc>
        <w:tc>
          <w:tcPr>
            <w:tcW w:w="42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7580" w:type="dxa"/>
            <w:vAlign w:val="bottom"/>
            <w:gridSpan w:val="2"/>
          </w:tcPr>
          <w:p>
            <w:pPr>
              <w:ind w:left="200"/>
              <w:spacing w:after="0"/>
              <w:rPr>
                <w:sz w:val="20"/>
                <w:szCs w:val="20"/>
                <w:color w:val="auto"/>
              </w:rPr>
            </w:pPr>
            <w:r>
              <w:rPr>
                <w:rFonts w:ascii="Arial" w:cs="Arial" w:eastAsia="Arial" w:hAnsi="Arial"/>
                <w:sz w:val="14"/>
                <w:szCs w:val="14"/>
                <w:color w:val="auto"/>
              </w:rPr>
              <w:t>Sales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17"/>
                <w:szCs w:val="17"/>
                <w:color w:val="auto"/>
              </w:rPr>
            </w:pP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602</w:t>
            </w:r>
          </w:p>
        </w:tc>
      </w:tr>
      <w:tr>
        <w:trPr>
          <w:trHeight w:val="207"/>
        </w:trPr>
        <w:tc>
          <w:tcPr>
            <w:tcW w:w="20" w:type="dxa"/>
            <w:vAlign w:val="bottom"/>
            <w:shd w:val="clear" w:color="auto" w:fill="DBDBDB"/>
          </w:tcPr>
          <w:p>
            <w:pPr>
              <w:spacing w:after="0"/>
              <w:rPr>
                <w:sz w:val="17"/>
                <w:szCs w:val="17"/>
                <w:color w:val="auto"/>
              </w:rPr>
            </w:pPr>
          </w:p>
        </w:tc>
        <w:tc>
          <w:tcPr>
            <w:tcW w:w="7580" w:type="dxa"/>
            <w:vAlign w:val="bottom"/>
            <w:gridSpan w:val="2"/>
            <w:shd w:val="clear" w:color="auto" w:fill="DBDBDB"/>
          </w:tcPr>
          <w:p>
            <w:pPr>
              <w:ind w:left="200"/>
              <w:spacing w:after="0"/>
              <w:rPr>
                <w:sz w:val="20"/>
                <w:szCs w:val="20"/>
                <w:color w:val="auto"/>
              </w:rPr>
            </w:pPr>
            <w:r>
              <w:rPr>
                <w:rFonts w:ascii="Arial" w:cs="Arial" w:eastAsia="Arial" w:hAnsi="Arial"/>
                <w:sz w:val="14"/>
                <w:szCs w:val="14"/>
                <w:color w:val="auto"/>
              </w:rPr>
              <w:t>Services, maintenance and rentals</w:t>
            </w:r>
          </w:p>
        </w:tc>
        <w:tc>
          <w:tcPr>
            <w:tcW w:w="42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1,023</w:t>
            </w:r>
          </w:p>
        </w:tc>
        <w:tc>
          <w:tcPr>
            <w:tcW w:w="12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1,053</w:t>
            </w:r>
          </w:p>
        </w:tc>
      </w:tr>
      <w:tr>
        <w:trPr>
          <w:trHeight w:val="198"/>
        </w:trPr>
        <w:tc>
          <w:tcPr>
            <w:tcW w:w="20" w:type="dxa"/>
            <w:vAlign w:val="bottom"/>
            <w:tcBorders>
              <w:bottom w:val="single" w:sz="8" w:color="DBDBDB"/>
            </w:tcBorders>
          </w:tcPr>
          <w:p>
            <w:pPr>
              <w:spacing w:after="0"/>
              <w:rPr>
                <w:sz w:val="17"/>
                <w:szCs w:val="17"/>
                <w:color w:val="auto"/>
              </w:rPr>
            </w:pPr>
          </w:p>
        </w:tc>
        <w:tc>
          <w:tcPr>
            <w:tcW w:w="7580" w:type="dxa"/>
            <w:vAlign w:val="bottom"/>
            <w:tcBorders>
              <w:bottom w:val="single" w:sz="8" w:color="DBDBDB"/>
            </w:tcBorders>
            <w:gridSpan w:val="2"/>
          </w:tcPr>
          <w:p>
            <w:pPr>
              <w:ind w:left="200"/>
              <w:spacing w:after="0"/>
              <w:rPr>
                <w:sz w:val="20"/>
                <w:szCs w:val="20"/>
                <w:color w:val="auto"/>
              </w:rPr>
            </w:pPr>
            <w:r>
              <w:rPr>
                <w:rFonts w:ascii="Arial" w:cs="Arial" w:eastAsia="Arial" w:hAnsi="Arial"/>
                <w:sz w:val="14"/>
                <w:szCs w:val="14"/>
                <w:color w:val="auto"/>
              </w:rPr>
              <w:t>Financing</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DBDBDB"/>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r>
      <w:tr>
        <w:trPr>
          <w:trHeight w:val="200"/>
        </w:trPr>
        <w:tc>
          <w:tcPr>
            <w:tcW w:w="20" w:type="dxa"/>
            <w:vAlign w:val="bottom"/>
            <w:shd w:val="clear" w:color="auto" w:fill="DBDBDB"/>
          </w:tcPr>
          <w:p>
            <w:pPr>
              <w:spacing w:after="0"/>
              <w:rPr>
                <w:sz w:val="17"/>
                <w:szCs w:val="17"/>
                <w:color w:val="auto"/>
              </w:rPr>
            </w:pPr>
          </w:p>
        </w:tc>
        <w:tc>
          <w:tcPr>
            <w:tcW w:w="7580" w:type="dxa"/>
            <w:vAlign w:val="bottom"/>
            <w:gridSpan w:val="2"/>
            <w:shd w:val="clear" w:color="auto" w:fill="DBDBDB"/>
          </w:tcPr>
          <w:p>
            <w:pPr>
              <w:spacing w:after="0"/>
              <w:rPr>
                <w:sz w:val="20"/>
                <w:szCs w:val="20"/>
                <w:color w:val="auto"/>
              </w:rPr>
            </w:pPr>
            <w:r>
              <w:rPr>
                <w:rFonts w:ascii="Arial" w:cs="Arial" w:eastAsia="Arial" w:hAnsi="Arial"/>
                <w:sz w:val="14"/>
                <w:szCs w:val="14"/>
                <w:b w:val="1"/>
                <w:bCs w:val="1"/>
                <w:color w:val="auto"/>
              </w:rPr>
              <w:t>Total Revenues</w:t>
            </w:r>
          </w:p>
        </w:tc>
        <w:tc>
          <w:tcPr>
            <w:tcW w:w="420" w:type="dxa"/>
            <w:vAlign w:val="bottom"/>
            <w:tcBorders>
              <w:bottom w:val="single" w:sz="8" w:color="auto"/>
            </w:tcBorders>
            <w:shd w:val="clear" w:color="auto" w:fill="DBDBDB"/>
          </w:tcPr>
          <w:p>
            <w:pPr>
              <w:spacing w:after="0"/>
              <w:rPr>
                <w:sz w:val="17"/>
                <w:szCs w:val="17"/>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1,668</w:t>
            </w:r>
          </w:p>
        </w:tc>
        <w:tc>
          <w:tcPr>
            <w:tcW w:w="120" w:type="dxa"/>
            <w:vAlign w:val="bottom"/>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1,710</w:t>
            </w:r>
          </w:p>
        </w:tc>
      </w:tr>
      <w:tr>
        <w:trPr>
          <w:trHeight w:val="181"/>
        </w:trPr>
        <w:tc>
          <w:tcPr>
            <w:tcW w:w="20" w:type="dxa"/>
            <w:vAlign w:val="bottom"/>
          </w:tcPr>
          <w:p>
            <w:pPr>
              <w:spacing w:after="0"/>
              <w:rPr>
                <w:sz w:val="15"/>
                <w:szCs w:val="15"/>
                <w:color w:val="auto"/>
              </w:rPr>
            </w:pPr>
          </w:p>
        </w:tc>
        <w:tc>
          <w:tcPr>
            <w:tcW w:w="75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4"/>
        </w:trPr>
        <w:tc>
          <w:tcPr>
            <w:tcW w:w="20" w:type="dxa"/>
            <w:vAlign w:val="bottom"/>
            <w:shd w:val="clear" w:color="auto" w:fill="DBDBDB"/>
          </w:tcPr>
          <w:p>
            <w:pPr>
              <w:spacing w:after="0"/>
              <w:rPr>
                <w:sz w:val="17"/>
                <w:szCs w:val="17"/>
                <w:color w:val="auto"/>
              </w:rPr>
            </w:pPr>
          </w:p>
        </w:tc>
        <w:tc>
          <w:tcPr>
            <w:tcW w:w="7580" w:type="dxa"/>
            <w:vAlign w:val="bottom"/>
            <w:gridSpan w:val="2"/>
            <w:shd w:val="clear" w:color="auto" w:fill="DBDBDB"/>
          </w:tcPr>
          <w:p>
            <w:pPr>
              <w:ind w:left="200"/>
              <w:spacing w:after="0"/>
              <w:rPr>
                <w:sz w:val="20"/>
                <w:szCs w:val="20"/>
                <w:color w:val="auto"/>
              </w:rPr>
            </w:pPr>
            <w:r>
              <w:rPr>
                <w:rFonts w:ascii="Arial" w:cs="Arial" w:eastAsia="Arial" w:hAnsi="Arial"/>
                <w:sz w:val="14"/>
                <w:szCs w:val="14"/>
                <w:color w:val="auto"/>
              </w:rPr>
              <w:t>Cost of sales</w:t>
            </w:r>
          </w:p>
        </w:tc>
        <w:tc>
          <w:tcPr>
            <w:tcW w:w="42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435</w:t>
            </w:r>
          </w:p>
        </w:tc>
        <w:tc>
          <w:tcPr>
            <w:tcW w:w="12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420</w:t>
            </w:r>
          </w:p>
        </w:tc>
      </w:tr>
      <w:tr>
        <w:trPr>
          <w:trHeight w:val="198"/>
        </w:trPr>
        <w:tc>
          <w:tcPr>
            <w:tcW w:w="20" w:type="dxa"/>
            <w:vAlign w:val="bottom"/>
          </w:tcPr>
          <w:p>
            <w:pPr>
              <w:spacing w:after="0"/>
              <w:rPr>
                <w:sz w:val="17"/>
                <w:szCs w:val="17"/>
                <w:color w:val="auto"/>
              </w:rPr>
            </w:pPr>
          </w:p>
        </w:tc>
        <w:tc>
          <w:tcPr>
            <w:tcW w:w="7580" w:type="dxa"/>
            <w:vAlign w:val="bottom"/>
            <w:gridSpan w:val="2"/>
          </w:tcPr>
          <w:p>
            <w:pPr>
              <w:ind w:left="200"/>
              <w:spacing w:after="0"/>
              <w:rPr>
                <w:sz w:val="20"/>
                <w:szCs w:val="20"/>
                <w:color w:val="auto"/>
              </w:rPr>
            </w:pPr>
            <w:r>
              <w:rPr>
                <w:rFonts w:ascii="Arial" w:cs="Arial" w:eastAsia="Arial" w:hAnsi="Arial"/>
                <w:sz w:val="14"/>
                <w:szCs w:val="14"/>
                <w:color w:val="auto"/>
              </w:rPr>
              <w:t>Cost of services, maintenance and rentals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679</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651</w:t>
            </w:r>
          </w:p>
        </w:tc>
      </w:tr>
      <w:tr>
        <w:trPr>
          <w:trHeight w:val="207"/>
        </w:trPr>
        <w:tc>
          <w:tcPr>
            <w:tcW w:w="20" w:type="dxa"/>
            <w:vAlign w:val="bottom"/>
            <w:shd w:val="clear" w:color="auto" w:fill="DBDBDB"/>
          </w:tcPr>
          <w:p>
            <w:pPr>
              <w:spacing w:after="0"/>
              <w:rPr>
                <w:sz w:val="17"/>
                <w:szCs w:val="17"/>
                <w:color w:val="auto"/>
              </w:rPr>
            </w:pPr>
          </w:p>
        </w:tc>
        <w:tc>
          <w:tcPr>
            <w:tcW w:w="7580" w:type="dxa"/>
            <w:vAlign w:val="bottom"/>
            <w:gridSpan w:val="2"/>
            <w:shd w:val="clear" w:color="auto" w:fill="DBDBDB"/>
          </w:tcPr>
          <w:p>
            <w:pPr>
              <w:ind w:left="200"/>
              <w:spacing w:after="0"/>
              <w:rPr>
                <w:sz w:val="20"/>
                <w:szCs w:val="20"/>
                <w:color w:val="auto"/>
              </w:rPr>
            </w:pPr>
            <w:r>
              <w:rPr>
                <w:rFonts w:ascii="Arial" w:cs="Arial" w:eastAsia="Arial" w:hAnsi="Arial"/>
                <w:sz w:val="14"/>
                <w:szCs w:val="14"/>
                <w:color w:val="auto"/>
              </w:rPr>
              <w:t>Cost of financing</w:t>
            </w:r>
          </w:p>
        </w:tc>
        <w:tc>
          <w:tcPr>
            <w:tcW w:w="42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28</w:t>
            </w:r>
          </w:p>
        </w:tc>
      </w:tr>
      <w:tr>
        <w:trPr>
          <w:trHeight w:val="198"/>
        </w:trPr>
        <w:tc>
          <w:tcPr>
            <w:tcW w:w="20" w:type="dxa"/>
            <w:vAlign w:val="bottom"/>
          </w:tcPr>
          <w:p>
            <w:pPr>
              <w:spacing w:after="0"/>
              <w:rPr>
                <w:sz w:val="17"/>
                <w:szCs w:val="17"/>
                <w:color w:val="auto"/>
              </w:rPr>
            </w:pPr>
          </w:p>
        </w:tc>
        <w:tc>
          <w:tcPr>
            <w:tcW w:w="7580" w:type="dxa"/>
            <w:vAlign w:val="bottom"/>
            <w:gridSpan w:val="2"/>
          </w:tcPr>
          <w:p>
            <w:pPr>
              <w:ind w:left="200"/>
              <w:spacing w:after="0"/>
              <w:rPr>
                <w:sz w:val="20"/>
                <w:szCs w:val="20"/>
                <w:color w:val="auto"/>
              </w:rPr>
            </w:pPr>
            <w:r>
              <w:rPr>
                <w:rFonts w:ascii="Arial" w:cs="Arial" w:eastAsia="Arial" w:hAnsi="Arial"/>
                <w:sz w:val="14"/>
                <w:szCs w:val="14"/>
                <w:color w:val="auto"/>
              </w:rPr>
              <w:t>Research, development and engineering expenses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207"/>
        </w:trPr>
        <w:tc>
          <w:tcPr>
            <w:tcW w:w="20" w:type="dxa"/>
            <w:vAlign w:val="bottom"/>
            <w:shd w:val="clear" w:color="auto" w:fill="DBDBDB"/>
          </w:tcPr>
          <w:p>
            <w:pPr>
              <w:spacing w:after="0"/>
              <w:rPr>
                <w:sz w:val="17"/>
                <w:szCs w:val="17"/>
                <w:color w:val="auto"/>
              </w:rPr>
            </w:pPr>
          </w:p>
        </w:tc>
        <w:tc>
          <w:tcPr>
            <w:tcW w:w="7580" w:type="dxa"/>
            <w:vAlign w:val="bottom"/>
            <w:gridSpan w:val="2"/>
            <w:shd w:val="clear" w:color="auto" w:fill="DBDBDB"/>
          </w:tcPr>
          <w:p>
            <w:pPr>
              <w:ind w:left="200"/>
              <w:spacing w:after="0"/>
              <w:rPr>
                <w:sz w:val="20"/>
                <w:szCs w:val="20"/>
                <w:color w:val="auto"/>
              </w:rPr>
            </w:pPr>
            <w:r>
              <w:rPr>
                <w:rFonts w:ascii="Arial" w:cs="Arial" w:eastAsia="Arial" w:hAnsi="Arial"/>
                <w:sz w:val="14"/>
                <w:szCs w:val="14"/>
                <w:color w:val="auto"/>
              </w:rPr>
              <w:t>Selling, administrative and general expenses</w:t>
            </w:r>
          </w:p>
        </w:tc>
        <w:tc>
          <w:tcPr>
            <w:tcW w:w="42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455</w:t>
            </w:r>
          </w:p>
        </w:tc>
        <w:tc>
          <w:tcPr>
            <w:tcW w:w="12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448</w:t>
            </w:r>
          </w:p>
        </w:tc>
      </w:tr>
      <w:tr>
        <w:trPr>
          <w:trHeight w:val="198"/>
        </w:trPr>
        <w:tc>
          <w:tcPr>
            <w:tcW w:w="20" w:type="dxa"/>
            <w:vAlign w:val="bottom"/>
          </w:tcPr>
          <w:p>
            <w:pPr>
              <w:spacing w:after="0"/>
              <w:rPr>
                <w:sz w:val="17"/>
                <w:szCs w:val="17"/>
                <w:color w:val="auto"/>
              </w:rPr>
            </w:pPr>
          </w:p>
        </w:tc>
        <w:tc>
          <w:tcPr>
            <w:tcW w:w="7580" w:type="dxa"/>
            <w:vAlign w:val="bottom"/>
            <w:gridSpan w:val="2"/>
          </w:tcPr>
          <w:p>
            <w:pPr>
              <w:ind w:left="200"/>
              <w:spacing w:after="0"/>
              <w:rPr>
                <w:sz w:val="20"/>
                <w:szCs w:val="20"/>
                <w:color w:val="auto"/>
              </w:rPr>
            </w:pPr>
            <w:r>
              <w:rPr>
                <w:rFonts w:ascii="Arial" w:cs="Arial" w:eastAsia="Arial" w:hAnsi="Arial"/>
                <w:sz w:val="14"/>
                <w:szCs w:val="14"/>
                <w:color w:val="auto"/>
              </w:rPr>
              <w:t>Restructuring and related costs, net</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7"/>
        </w:trPr>
        <w:tc>
          <w:tcPr>
            <w:tcW w:w="20" w:type="dxa"/>
            <w:vAlign w:val="bottom"/>
            <w:shd w:val="clear" w:color="auto" w:fill="DBDBDB"/>
          </w:tcPr>
          <w:p>
            <w:pPr>
              <w:spacing w:after="0"/>
              <w:rPr>
                <w:sz w:val="17"/>
                <w:szCs w:val="17"/>
                <w:color w:val="auto"/>
              </w:rPr>
            </w:pPr>
          </w:p>
        </w:tc>
        <w:tc>
          <w:tcPr>
            <w:tcW w:w="7580" w:type="dxa"/>
            <w:vAlign w:val="bottom"/>
            <w:gridSpan w:val="2"/>
            <w:shd w:val="clear" w:color="auto" w:fill="DBDBDB"/>
          </w:tcPr>
          <w:p>
            <w:pPr>
              <w:ind w:left="200"/>
              <w:spacing w:after="0"/>
              <w:rPr>
                <w:sz w:val="20"/>
                <w:szCs w:val="20"/>
                <w:color w:val="auto"/>
              </w:rPr>
            </w:pPr>
            <w:r>
              <w:rPr>
                <w:rFonts w:ascii="Arial" w:cs="Arial" w:eastAsia="Arial" w:hAnsi="Arial"/>
                <w:sz w:val="14"/>
                <w:szCs w:val="14"/>
                <w:color w:val="auto"/>
              </w:rPr>
              <w:t>Amortization of intangible assets</w:t>
            </w:r>
          </w:p>
        </w:tc>
        <w:tc>
          <w:tcPr>
            <w:tcW w:w="42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w:t>
            </w:r>
          </w:p>
        </w:tc>
      </w:tr>
      <w:tr>
        <w:trPr>
          <w:trHeight w:val="198"/>
        </w:trPr>
        <w:tc>
          <w:tcPr>
            <w:tcW w:w="20" w:type="dxa"/>
            <w:vAlign w:val="bottom"/>
            <w:tcBorders>
              <w:bottom w:val="single" w:sz="8" w:color="DBDBDB"/>
            </w:tcBorders>
          </w:tcPr>
          <w:p>
            <w:pPr>
              <w:spacing w:after="0"/>
              <w:rPr>
                <w:sz w:val="17"/>
                <w:szCs w:val="17"/>
                <w:color w:val="auto"/>
              </w:rPr>
            </w:pPr>
          </w:p>
        </w:tc>
        <w:tc>
          <w:tcPr>
            <w:tcW w:w="7580" w:type="dxa"/>
            <w:vAlign w:val="bottom"/>
            <w:tcBorders>
              <w:bottom w:val="single" w:sz="8" w:color="DBDBDB"/>
            </w:tcBorders>
            <w:gridSpan w:val="2"/>
          </w:tcPr>
          <w:p>
            <w:pPr>
              <w:ind w:left="200"/>
              <w:spacing w:after="0"/>
              <w:rPr>
                <w:sz w:val="20"/>
                <w:szCs w:val="20"/>
                <w:color w:val="auto"/>
              </w:rPr>
            </w:pPr>
            <w:r>
              <w:rPr>
                <w:rFonts w:ascii="Arial" w:cs="Arial" w:eastAsia="Arial" w:hAnsi="Arial"/>
                <w:sz w:val="14"/>
                <w:szCs w:val="14"/>
                <w:color w:val="auto"/>
              </w:rPr>
              <w:t>Other expenses, net</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DBDBDB"/>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00"/>
        </w:trPr>
        <w:tc>
          <w:tcPr>
            <w:tcW w:w="20" w:type="dxa"/>
            <w:vAlign w:val="bottom"/>
            <w:shd w:val="clear" w:color="auto" w:fill="DBDBDB"/>
          </w:tcPr>
          <w:p>
            <w:pPr>
              <w:spacing w:after="0"/>
              <w:rPr>
                <w:sz w:val="17"/>
                <w:szCs w:val="17"/>
                <w:color w:val="auto"/>
              </w:rPr>
            </w:pPr>
          </w:p>
        </w:tc>
        <w:tc>
          <w:tcPr>
            <w:tcW w:w="7580" w:type="dxa"/>
            <w:vAlign w:val="bottom"/>
            <w:gridSpan w:val="2"/>
            <w:shd w:val="clear" w:color="auto" w:fill="DBDBDB"/>
          </w:tcPr>
          <w:p>
            <w:pPr>
              <w:spacing w:after="0"/>
              <w:rPr>
                <w:sz w:val="20"/>
                <w:szCs w:val="20"/>
                <w:color w:val="auto"/>
              </w:rPr>
            </w:pPr>
            <w:r>
              <w:rPr>
                <w:rFonts w:ascii="Arial" w:cs="Arial" w:eastAsia="Arial" w:hAnsi="Arial"/>
                <w:sz w:val="14"/>
                <w:szCs w:val="14"/>
                <w:b w:val="1"/>
                <w:bCs w:val="1"/>
                <w:color w:val="auto"/>
              </w:rPr>
              <w:t>Total Costs and Expenses</w:t>
            </w:r>
          </w:p>
        </w:tc>
        <w:tc>
          <w:tcPr>
            <w:tcW w:w="420" w:type="dxa"/>
            <w:vAlign w:val="bottom"/>
            <w:tcBorders>
              <w:bottom w:val="single" w:sz="8" w:color="auto"/>
            </w:tcBorders>
            <w:shd w:val="clear" w:color="auto" w:fill="DBDBDB"/>
          </w:tcPr>
          <w:p>
            <w:pPr>
              <w:spacing w:after="0"/>
              <w:rPr>
                <w:sz w:val="17"/>
                <w:szCs w:val="17"/>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1,757</w:t>
            </w:r>
          </w:p>
        </w:tc>
        <w:tc>
          <w:tcPr>
            <w:tcW w:w="120" w:type="dxa"/>
            <w:vAlign w:val="bottom"/>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1,657</w:t>
            </w:r>
          </w:p>
        </w:tc>
      </w:tr>
      <w:tr>
        <w:trPr>
          <w:trHeight w:val="195"/>
        </w:trPr>
        <w:tc>
          <w:tcPr>
            <w:tcW w:w="20" w:type="dxa"/>
            <w:vAlign w:val="bottom"/>
          </w:tcPr>
          <w:p>
            <w:pPr>
              <w:spacing w:after="0"/>
              <w:rPr>
                <w:sz w:val="16"/>
                <w:szCs w:val="16"/>
                <w:color w:val="auto"/>
              </w:rPr>
            </w:pPr>
          </w:p>
        </w:tc>
        <w:tc>
          <w:tcPr>
            <w:tcW w:w="7580" w:type="dxa"/>
            <w:vAlign w:val="bottom"/>
            <w:gridSpan w:val="2"/>
          </w:tcPr>
          <w:p>
            <w:pPr>
              <w:spacing w:after="0"/>
              <w:rPr>
                <w:sz w:val="20"/>
                <w:szCs w:val="20"/>
                <w:color w:val="auto"/>
              </w:rPr>
            </w:pPr>
            <w:r>
              <w:rPr>
                <w:rFonts w:ascii="Arial" w:cs="Arial" w:eastAsia="Arial" w:hAnsi="Arial"/>
                <w:sz w:val="14"/>
                <w:szCs w:val="14"/>
                <w:b w:val="1"/>
                <w:bCs w:val="1"/>
                <w:color w:val="auto"/>
              </w:rPr>
              <w:t>(Loss) Income before Income Taxes and Equity Income</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04"/>
        </w:trPr>
        <w:tc>
          <w:tcPr>
            <w:tcW w:w="20" w:type="dxa"/>
            <w:vAlign w:val="bottom"/>
            <w:shd w:val="clear" w:color="auto" w:fill="DBDBDB"/>
          </w:tcPr>
          <w:p>
            <w:pPr>
              <w:spacing w:after="0"/>
              <w:rPr>
                <w:sz w:val="17"/>
                <w:szCs w:val="17"/>
                <w:color w:val="auto"/>
              </w:rPr>
            </w:pPr>
          </w:p>
        </w:tc>
        <w:tc>
          <w:tcPr>
            <w:tcW w:w="7580" w:type="dxa"/>
            <w:vAlign w:val="bottom"/>
            <w:gridSpan w:val="2"/>
            <w:shd w:val="clear" w:color="auto" w:fill="DBDBDB"/>
          </w:tcPr>
          <w:p>
            <w:pPr>
              <w:ind w:left="200"/>
              <w:spacing w:after="0"/>
              <w:rPr>
                <w:sz w:val="20"/>
                <w:szCs w:val="20"/>
                <w:color w:val="auto"/>
              </w:rPr>
            </w:pPr>
            <w:r>
              <w:rPr>
                <w:rFonts w:ascii="Arial" w:cs="Arial" w:eastAsia="Arial" w:hAnsi="Arial"/>
                <w:sz w:val="14"/>
                <w:szCs w:val="14"/>
                <w:color w:val="auto"/>
              </w:rPr>
              <w:t>Income tax (benefit) expense</w:t>
            </w:r>
          </w:p>
        </w:tc>
        <w:tc>
          <w:tcPr>
            <w:tcW w:w="42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w:t>
            </w:r>
          </w:p>
        </w:tc>
      </w:tr>
      <w:tr>
        <w:trPr>
          <w:trHeight w:val="198"/>
        </w:trPr>
        <w:tc>
          <w:tcPr>
            <w:tcW w:w="20" w:type="dxa"/>
            <w:vAlign w:val="bottom"/>
            <w:tcBorders>
              <w:bottom w:val="single" w:sz="8" w:color="DBDBDB"/>
            </w:tcBorders>
          </w:tcPr>
          <w:p>
            <w:pPr>
              <w:spacing w:after="0"/>
              <w:rPr>
                <w:sz w:val="17"/>
                <w:szCs w:val="17"/>
                <w:color w:val="auto"/>
              </w:rPr>
            </w:pPr>
          </w:p>
        </w:tc>
        <w:tc>
          <w:tcPr>
            <w:tcW w:w="7580" w:type="dxa"/>
            <w:vAlign w:val="bottom"/>
            <w:tcBorders>
              <w:bottom w:val="single" w:sz="8" w:color="DBDBDB"/>
            </w:tcBorders>
            <w:gridSpan w:val="2"/>
          </w:tcPr>
          <w:p>
            <w:pPr>
              <w:ind w:left="200"/>
              <w:spacing w:after="0"/>
              <w:rPr>
                <w:sz w:val="20"/>
                <w:szCs w:val="20"/>
                <w:color w:val="auto"/>
              </w:rPr>
            </w:pPr>
            <w:r>
              <w:rPr>
                <w:rFonts w:ascii="Arial" w:cs="Arial" w:eastAsia="Arial" w:hAnsi="Arial"/>
                <w:sz w:val="14"/>
                <w:szCs w:val="14"/>
                <w:color w:val="auto"/>
              </w:rPr>
              <w:t>Equity in net income of unconsolidated affiliates</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DBDBDB"/>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20" w:type="dxa"/>
            <w:vAlign w:val="bottom"/>
            <w:shd w:val="clear" w:color="auto" w:fill="DBDBDB"/>
          </w:tcPr>
          <w:p>
            <w:pPr>
              <w:spacing w:after="0"/>
              <w:rPr>
                <w:sz w:val="17"/>
                <w:szCs w:val="17"/>
                <w:color w:val="auto"/>
              </w:rPr>
            </w:pPr>
          </w:p>
        </w:tc>
        <w:tc>
          <w:tcPr>
            <w:tcW w:w="7580" w:type="dxa"/>
            <w:vAlign w:val="bottom"/>
            <w:gridSpan w:val="2"/>
            <w:shd w:val="clear" w:color="auto" w:fill="DBDBDB"/>
          </w:tcPr>
          <w:p>
            <w:pPr>
              <w:spacing w:after="0"/>
              <w:rPr>
                <w:sz w:val="20"/>
                <w:szCs w:val="20"/>
                <w:color w:val="auto"/>
              </w:rPr>
            </w:pPr>
            <w:r>
              <w:rPr>
                <w:rFonts w:ascii="Arial" w:cs="Arial" w:eastAsia="Arial" w:hAnsi="Arial"/>
                <w:sz w:val="14"/>
                <w:szCs w:val="14"/>
                <w:b w:val="1"/>
                <w:bCs w:val="1"/>
                <w:color w:val="auto"/>
              </w:rPr>
              <w:t>Net (Loss) Income</w:t>
            </w:r>
          </w:p>
        </w:tc>
        <w:tc>
          <w:tcPr>
            <w:tcW w:w="42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39</w:t>
            </w:r>
          </w:p>
        </w:tc>
      </w:tr>
      <w:tr>
        <w:trPr>
          <w:trHeight w:val="198"/>
        </w:trPr>
        <w:tc>
          <w:tcPr>
            <w:tcW w:w="20" w:type="dxa"/>
            <w:vAlign w:val="bottom"/>
            <w:tcBorders>
              <w:bottom w:val="single" w:sz="8" w:color="DBDBDB"/>
            </w:tcBorders>
          </w:tcPr>
          <w:p>
            <w:pPr>
              <w:spacing w:after="0"/>
              <w:rPr>
                <w:sz w:val="17"/>
                <w:szCs w:val="17"/>
                <w:color w:val="auto"/>
              </w:rPr>
            </w:pPr>
          </w:p>
        </w:tc>
        <w:tc>
          <w:tcPr>
            <w:tcW w:w="7580" w:type="dxa"/>
            <w:vAlign w:val="bottom"/>
            <w:tcBorders>
              <w:bottom w:val="single" w:sz="8" w:color="DBDBDB"/>
            </w:tcBorders>
            <w:gridSpan w:val="2"/>
          </w:tcPr>
          <w:p>
            <w:pPr>
              <w:ind w:left="200"/>
              <w:spacing w:after="0"/>
              <w:rPr>
                <w:sz w:val="20"/>
                <w:szCs w:val="20"/>
                <w:color w:val="auto"/>
              </w:rPr>
            </w:pPr>
            <w:r>
              <w:rPr>
                <w:rFonts w:ascii="Arial" w:cs="Arial" w:eastAsia="Arial" w:hAnsi="Arial"/>
                <w:sz w:val="14"/>
                <w:szCs w:val="14"/>
                <w:color w:val="auto"/>
              </w:rPr>
              <w:t>Less: Net loss attributable to noncontrolling interests</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DBDBDB"/>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20" w:type="dxa"/>
            <w:vAlign w:val="bottom"/>
            <w:tcBorders>
              <w:bottom w:val="single" w:sz="8" w:color="DBDBDB"/>
            </w:tcBorders>
            <w:shd w:val="clear" w:color="auto" w:fill="DBDBDB"/>
          </w:tcPr>
          <w:p>
            <w:pPr>
              <w:spacing w:after="0"/>
              <w:rPr>
                <w:sz w:val="19"/>
                <w:szCs w:val="19"/>
                <w:color w:val="auto"/>
              </w:rPr>
            </w:pPr>
          </w:p>
        </w:tc>
        <w:tc>
          <w:tcPr>
            <w:tcW w:w="758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4"/>
                <w:szCs w:val="14"/>
                <w:b w:val="1"/>
                <w:bCs w:val="1"/>
                <w:color w:val="auto"/>
              </w:rPr>
              <w:t>Net (Loss) Income Attributable to Xerox Holdings</w:t>
            </w:r>
          </w:p>
        </w:tc>
        <w:tc>
          <w:tcPr>
            <w:tcW w:w="420" w:type="dxa"/>
            <w:vAlign w:val="bottom"/>
            <w:tcBorders>
              <w:bottom w:val="single" w:sz="8" w:color="auto"/>
            </w:tcBorders>
            <w:shd w:val="clear" w:color="auto" w:fill="DBDBDB"/>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DBDBDB"/>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ind w:right="5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39</w:t>
            </w:r>
          </w:p>
        </w:tc>
      </w:tr>
      <w:tr>
        <w:trPr>
          <w:trHeight w:val="20"/>
        </w:trPr>
        <w:tc>
          <w:tcPr>
            <w:tcW w:w="20" w:type="dxa"/>
            <w:vAlign w:val="bottom"/>
            <w:tcBorders>
              <w:top w:val="single" w:sz="8" w:color="DBDBDB"/>
            </w:tcBorders>
          </w:tcPr>
          <w:p>
            <w:pPr>
              <w:spacing w:after="0" w:line="20" w:lineRule="exact"/>
              <w:rPr>
                <w:sz w:val="1"/>
                <w:szCs w:val="1"/>
                <w:color w:val="auto"/>
              </w:rPr>
            </w:pPr>
          </w:p>
        </w:tc>
        <w:tc>
          <w:tcPr>
            <w:tcW w:w="1940" w:type="dxa"/>
            <w:vAlign w:val="bottom"/>
            <w:tcBorders>
              <w:top w:val="single" w:sz="8" w:color="DBDBDB"/>
            </w:tcBorders>
          </w:tcPr>
          <w:p>
            <w:pPr>
              <w:spacing w:after="0" w:line="20" w:lineRule="exact"/>
              <w:rPr>
                <w:sz w:val="1"/>
                <w:szCs w:val="1"/>
                <w:color w:val="auto"/>
              </w:rPr>
            </w:pPr>
          </w:p>
        </w:tc>
        <w:tc>
          <w:tcPr>
            <w:tcW w:w="564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3"/>
        </w:trPr>
        <w:tc>
          <w:tcPr>
            <w:tcW w:w="20" w:type="dxa"/>
            <w:vAlign w:val="bottom"/>
            <w:shd w:val="clear" w:color="auto" w:fill="DBDBDB"/>
          </w:tcPr>
          <w:p>
            <w:pPr>
              <w:spacing w:after="0"/>
              <w:rPr>
                <w:sz w:val="17"/>
                <w:szCs w:val="17"/>
                <w:color w:val="auto"/>
              </w:rPr>
            </w:pPr>
          </w:p>
        </w:tc>
        <w:tc>
          <w:tcPr>
            <w:tcW w:w="7580" w:type="dxa"/>
            <w:vAlign w:val="bottom"/>
            <w:gridSpan w:val="2"/>
            <w:shd w:val="clear" w:color="auto" w:fill="DBDBDB"/>
          </w:tcPr>
          <w:p>
            <w:pPr>
              <w:spacing w:after="0"/>
              <w:rPr>
                <w:sz w:val="20"/>
                <w:szCs w:val="20"/>
                <w:color w:val="auto"/>
              </w:rPr>
            </w:pPr>
            <w:r>
              <w:rPr>
                <w:rFonts w:ascii="Arial" w:cs="Arial" w:eastAsia="Arial" w:hAnsi="Arial"/>
                <w:sz w:val="14"/>
                <w:szCs w:val="14"/>
                <w:b w:val="1"/>
                <w:bCs w:val="1"/>
                <w:color w:val="auto"/>
              </w:rPr>
              <w:t>Basic (Loss) Earnings per Share</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(0.38)</w:t>
            </w:r>
          </w:p>
        </w:tc>
        <w:tc>
          <w:tcPr>
            <w:tcW w:w="120" w:type="dxa"/>
            <w:vAlign w:val="bottom"/>
            <w:shd w:val="clear" w:color="auto" w:fill="DBDBDB"/>
          </w:tcPr>
          <w:p>
            <w:pPr>
              <w:spacing w:after="0"/>
              <w:rPr>
                <w:sz w:val="17"/>
                <w:szCs w:val="17"/>
                <w:color w:val="auto"/>
              </w:rPr>
            </w:pPr>
          </w:p>
        </w:tc>
        <w:tc>
          <w:tcPr>
            <w:tcW w:w="660" w:type="dxa"/>
            <w:vAlign w:val="bottom"/>
            <w:shd w:val="clear" w:color="auto" w:fill="DBDBDB"/>
          </w:tcPr>
          <w:p>
            <w:pPr>
              <w:jc w:val="right"/>
              <w:ind w:right="50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0.18</w:t>
            </w:r>
          </w:p>
        </w:tc>
      </w:tr>
      <w:tr>
        <w:trPr>
          <w:trHeight w:val="200"/>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b w:val="1"/>
                <w:bCs w:val="1"/>
                <w:color w:val="auto"/>
              </w:rPr>
              <w:t>Diluted (Loss) Earnings per Share</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(0.38)</w:t>
            </w:r>
          </w:p>
        </w:tc>
        <w:tc>
          <w:tcPr>
            <w:tcW w:w="120" w:type="dxa"/>
            <w:vAlign w:val="bottom"/>
          </w:tcPr>
          <w:p>
            <w:pPr>
              <w:spacing w:after="0"/>
              <w:rPr>
                <w:sz w:val="17"/>
                <w:szCs w:val="17"/>
                <w:color w:val="auto"/>
              </w:rPr>
            </w:pP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DA2031"/>
        </w:rPr>
        <w:t>XEROX HOLDINGS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STATEMENTS OF COMPREHENSIVE (LOSS) INCOME (UNAUDITED)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110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color w:val="auto"/>
              </w:rPr>
              <w:t>March 31,</w:t>
            </w:r>
          </w:p>
        </w:tc>
        <w:tc>
          <w:tcPr>
            <w:tcW w:w="110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758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420" w:type="dxa"/>
            <w:vAlign w:val="bottom"/>
          </w:tcPr>
          <w:p>
            <w:pPr>
              <w:spacing w:after="0"/>
              <w:rPr>
                <w:sz w:val="13"/>
                <w:szCs w:val="13"/>
                <w:color w:val="auto"/>
              </w:rPr>
            </w:pPr>
          </w:p>
        </w:tc>
        <w:tc>
          <w:tcPr>
            <w:tcW w:w="1340" w:type="dxa"/>
            <w:vAlign w:val="bottom"/>
          </w:tcPr>
          <w:p>
            <w:pPr>
              <w:jc w:val="right"/>
              <w:ind w:right="648"/>
              <w:spacing w:after="0" w:line="155"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jc w:val="right"/>
              <w:ind w:right="648"/>
              <w:spacing w:after="0" w:line="155" w:lineRule="exact"/>
              <w:rPr>
                <w:sz w:val="20"/>
                <w:szCs w:val="20"/>
                <w:color w:val="auto"/>
              </w:rPr>
            </w:pPr>
            <w:r>
              <w:rPr>
                <w:rFonts w:ascii="Arial" w:cs="Arial" w:eastAsia="Arial" w:hAnsi="Arial"/>
                <w:sz w:val="14"/>
                <w:szCs w:val="14"/>
                <w:color w:val="auto"/>
              </w:rPr>
              <w:t>2021</w:t>
            </w:r>
          </w:p>
        </w:tc>
      </w:tr>
      <w:tr>
        <w:trPr>
          <w:trHeight w:val="21"/>
        </w:trPr>
        <w:tc>
          <w:tcPr>
            <w:tcW w:w="20" w:type="dxa"/>
            <w:vAlign w:val="bottom"/>
            <w:tcBorders>
              <w:bottom w:val="single" w:sz="8" w:color="E5E5E5"/>
            </w:tcBorders>
          </w:tcPr>
          <w:p>
            <w:pPr>
              <w:spacing w:after="0" w:line="20" w:lineRule="exact"/>
              <w:rPr>
                <w:sz w:val="1"/>
                <w:szCs w:val="1"/>
                <w:color w:val="auto"/>
              </w:rPr>
            </w:pPr>
          </w:p>
        </w:tc>
        <w:tc>
          <w:tcPr>
            <w:tcW w:w="640" w:type="dxa"/>
            <w:vAlign w:val="bottom"/>
            <w:tcBorders>
              <w:top w:val="single" w:sz="8" w:color="auto"/>
              <w:bottom w:val="single" w:sz="8" w:color="E5E5E5"/>
            </w:tcBorders>
          </w:tcPr>
          <w:p>
            <w:pPr>
              <w:spacing w:after="0" w:line="20" w:lineRule="exact"/>
              <w:rPr>
                <w:sz w:val="1"/>
                <w:szCs w:val="1"/>
                <w:color w:val="auto"/>
              </w:rPr>
            </w:pPr>
          </w:p>
        </w:tc>
        <w:tc>
          <w:tcPr>
            <w:tcW w:w="6940" w:type="dxa"/>
            <w:vAlign w:val="bottom"/>
            <w:tcBorders>
              <w:bottom w:val="single" w:sz="8" w:color="E5E5E5"/>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Net (Loss) Income</w:t>
            </w:r>
          </w:p>
        </w:tc>
        <w:tc>
          <w:tcPr>
            <w:tcW w:w="42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jc w:val="right"/>
              <w:ind w:right="50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39</w:t>
            </w:r>
          </w:p>
        </w:tc>
      </w:tr>
      <w:tr>
        <w:trPr>
          <w:trHeight w:val="198"/>
        </w:trPr>
        <w:tc>
          <w:tcPr>
            <w:tcW w:w="20" w:type="dxa"/>
            <w:vAlign w:val="bottom"/>
            <w:tcBorders>
              <w:bottom w:val="single" w:sz="8" w:color="E5E5E5"/>
            </w:tcBorders>
          </w:tcPr>
          <w:p>
            <w:pPr>
              <w:spacing w:after="0"/>
              <w:rPr>
                <w:sz w:val="17"/>
                <w:szCs w:val="17"/>
                <w:color w:val="auto"/>
              </w:rPr>
            </w:pPr>
          </w:p>
        </w:tc>
        <w:tc>
          <w:tcPr>
            <w:tcW w:w="7580" w:type="dxa"/>
            <w:vAlign w:val="bottom"/>
            <w:tcBorders>
              <w:bottom w:val="single" w:sz="8" w:color="E5E5E5"/>
            </w:tcBorders>
            <w:gridSpan w:val="2"/>
          </w:tcPr>
          <w:p>
            <w:pPr>
              <w:ind w:left="200"/>
              <w:spacing w:after="0"/>
              <w:rPr>
                <w:sz w:val="20"/>
                <w:szCs w:val="20"/>
                <w:color w:val="auto"/>
              </w:rPr>
            </w:pPr>
            <w:r>
              <w:rPr>
                <w:rFonts w:ascii="Arial" w:cs="Arial" w:eastAsia="Arial" w:hAnsi="Arial"/>
                <w:sz w:val="14"/>
                <w:szCs w:val="14"/>
                <w:color w:val="auto"/>
              </w:rPr>
              <w:t>Less: Net loss attributable to noncontrolling interests</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E5E5E5"/>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Net (Loss) Income Attributable to Xerox Holdings</w:t>
            </w:r>
          </w:p>
        </w:tc>
        <w:tc>
          <w:tcPr>
            <w:tcW w:w="420" w:type="dxa"/>
            <w:vAlign w:val="bottom"/>
            <w:tcBorders>
              <w:bottom w:val="single" w:sz="8" w:color="auto"/>
            </w:tcBorders>
            <w:shd w:val="clear" w:color="auto" w:fill="E5E5E5"/>
          </w:tcPr>
          <w:p>
            <w:pPr>
              <w:spacing w:after="0"/>
              <w:rPr>
                <w:sz w:val="17"/>
                <w:szCs w:val="17"/>
                <w:color w:val="auto"/>
              </w:rPr>
            </w:pP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E5E5E5"/>
          </w:tcPr>
          <w:p>
            <w:pPr>
              <w:spacing w:after="0"/>
              <w:rPr>
                <w:sz w:val="17"/>
                <w:szCs w:val="17"/>
                <w:color w:val="auto"/>
              </w:rPr>
            </w:pPr>
          </w:p>
        </w:tc>
        <w:tc>
          <w:tcPr>
            <w:tcW w:w="660" w:type="dxa"/>
            <w:vAlign w:val="bottom"/>
            <w:tcBorders>
              <w:bottom w:val="single" w:sz="8" w:color="auto"/>
            </w:tcBorders>
            <w:shd w:val="clear" w:color="auto" w:fill="E5E5E5"/>
          </w:tcPr>
          <w:p>
            <w:pPr>
              <w:spacing w:after="0"/>
              <w:rPr>
                <w:sz w:val="17"/>
                <w:szCs w:val="17"/>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39</w:t>
            </w:r>
          </w:p>
        </w:tc>
      </w:tr>
      <w:tr>
        <w:trPr>
          <w:trHeight w:val="197"/>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line="202" w:lineRule="exact"/>
              <w:rPr>
                <w:sz w:val="20"/>
                <w:szCs w:val="20"/>
                <w:color w:val="auto"/>
              </w:rPr>
            </w:pPr>
            <w:r>
              <w:rPr>
                <w:rFonts w:ascii="Arial" w:cs="Arial" w:eastAsia="Arial" w:hAnsi="Arial"/>
                <w:sz w:val="14"/>
                <w:szCs w:val="14"/>
                <w:b w:val="1"/>
                <w:bCs w:val="1"/>
                <w:color w:val="auto"/>
              </w:rPr>
              <w:t>Other Comprehensive (Loss) Income, Net</w:t>
            </w:r>
            <w:r>
              <w:rPr>
                <w:rFonts w:ascii="Arial" w:cs="Arial" w:eastAsia="Arial" w:hAnsi="Arial"/>
                <w:sz w:val="18"/>
                <w:szCs w:val="18"/>
                <w:b w:val="1"/>
                <w:bCs w:val="1"/>
                <w:color w:val="auto"/>
                <w:vertAlign w:val="superscript"/>
              </w:rPr>
              <w:t>(1)</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7580" w:type="dxa"/>
            <w:vAlign w:val="bottom"/>
            <w:gridSpan w:val="2"/>
          </w:tcPr>
          <w:p>
            <w:pPr>
              <w:ind w:left="200"/>
              <w:spacing w:after="0"/>
              <w:rPr>
                <w:sz w:val="20"/>
                <w:szCs w:val="20"/>
                <w:color w:val="auto"/>
              </w:rPr>
            </w:pPr>
            <w:r>
              <w:rPr>
                <w:rFonts w:ascii="Arial" w:cs="Arial" w:eastAsia="Arial" w:hAnsi="Arial"/>
                <w:sz w:val="14"/>
                <w:szCs w:val="14"/>
                <w:color w:val="auto"/>
              </w:rPr>
              <w:t>Translation adjustments, net</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06"/>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200"/>
              <w:spacing w:after="0"/>
              <w:rPr>
                <w:sz w:val="20"/>
                <w:szCs w:val="20"/>
                <w:color w:val="auto"/>
              </w:rPr>
            </w:pPr>
            <w:r>
              <w:rPr>
                <w:rFonts w:ascii="Arial" w:cs="Arial" w:eastAsia="Arial" w:hAnsi="Arial"/>
                <w:sz w:val="14"/>
                <w:szCs w:val="14"/>
                <w:color w:val="auto"/>
              </w:rPr>
              <w:t>Unrealized losses, net</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w:t>
            </w:r>
          </w:p>
        </w:tc>
      </w:tr>
      <w:tr>
        <w:trPr>
          <w:trHeight w:val="199"/>
        </w:trPr>
        <w:tc>
          <w:tcPr>
            <w:tcW w:w="20" w:type="dxa"/>
            <w:vAlign w:val="bottom"/>
            <w:tcBorders>
              <w:bottom w:val="single" w:sz="8" w:color="E5E5E5"/>
            </w:tcBorders>
          </w:tcPr>
          <w:p>
            <w:pPr>
              <w:spacing w:after="0"/>
              <w:rPr>
                <w:sz w:val="17"/>
                <w:szCs w:val="17"/>
                <w:color w:val="auto"/>
              </w:rPr>
            </w:pPr>
          </w:p>
        </w:tc>
        <w:tc>
          <w:tcPr>
            <w:tcW w:w="7580" w:type="dxa"/>
            <w:vAlign w:val="bottom"/>
            <w:tcBorders>
              <w:bottom w:val="single" w:sz="8" w:color="E5E5E5"/>
            </w:tcBorders>
            <w:gridSpan w:val="2"/>
          </w:tcPr>
          <w:p>
            <w:pPr>
              <w:ind w:left="200"/>
              <w:spacing w:after="0"/>
              <w:rPr>
                <w:sz w:val="20"/>
                <w:szCs w:val="20"/>
                <w:color w:val="auto"/>
              </w:rPr>
            </w:pPr>
            <w:r>
              <w:rPr>
                <w:rFonts w:ascii="Arial" w:cs="Arial" w:eastAsia="Arial" w:hAnsi="Arial"/>
                <w:sz w:val="14"/>
                <w:szCs w:val="14"/>
                <w:color w:val="auto"/>
              </w:rPr>
              <w:t>Changes in defined benefit plans, net</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E5E5E5"/>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r>
      <w:tr>
        <w:trPr>
          <w:trHeight w:val="199"/>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Other Comprehensive Loss, Net Attributable to Xerox Holdings</w:t>
            </w:r>
          </w:p>
        </w:tc>
        <w:tc>
          <w:tcPr>
            <w:tcW w:w="420" w:type="dxa"/>
            <w:vAlign w:val="bottom"/>
            <w:tcBorders>
              <w:bottom w:val="single" w:sz="8" w:color="auto"/>
            </w:tcBorders>
            <w:shd w:val="clear" w:color="auto" w:fill="E5E5E5"/>
          </w:tcPr>
          <w:p>
            <w:pPr>
              <w:spacing w:after="0"/>
              <w:rPr>
                <w:sz w:val="17"/>
                <w:szCs w:val="17"/>
                <w:color w:val="auto"/>
              </w:rPr>
            </w:pP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E5E5E5"/>
          </w:tcPr>
          <w:p>
            <w:pPr>
              <w:spacing w:after="0"/>
              <w:rPr>
                <w:sz w:val="17"/>
                <w:szCs w:val="17"/>
                <w:color w:val="auto"/>
              </w:rPr>
            </w:pPr>
          </w:p>
        </w:tc>
        <w:tc>
          <w:tcPr>
            <w:tcW w:w="660" w:type="dxa"/>
            <w:vAlign w:val="bottom"/>
            <w:tcBorders>
              <w:bottom w:val="single" w:sz="8" w:color="auto"/>
            </w:tcBorders>
            <w:shd w:val="clear" w:color="auto" w:fill="E5E5E5"/>
          </w:tcPr>
          <w:p>
            <w:pPr>
              <w:spacing w:after="0"/>
              <w:rPr>
                <w:sz w:val="17"/>
                <w:szCs w:val="17"/>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w:t>
            </w:r>
          </w:p>
        </w:tc>
      </w:tr>
      <w:tr>
        <w:trPr>
          <w:trHeight w:val="197"/>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Comprehensive (Loss) Income, Net</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36</w:t>
            </w:r>
          </w:p>
        </w:tc>
      </w:tr>
      <w:tr>
        <w:trPr>
          <w:trHeight w:val="198"/>
        </w:trPr>
        <w:tc>
          <w:tcPr>
            <w:tcW w:w="20" w:type="dxa"/>
            <w:vAlign w:val="bottom"/>
            <w:tcBorders>
              <w:bottom w:val="single" w:sz="8" w:color="E5E5E5"/>
            </w:tcBorders>
          </w:tcPr>
          <w:p>
            <w:pPr>
              <w:spacing w:after="0"/>
              <w:rPr>
                <w:sz w:val="17"/>
                <w:szCs w:val="17"/>
                <w:color w:val="auto"/>
              </w:rPr>
            </w:pPr>
          </w:p>
        </w:tc>
        <w:tc>
          <w:tcPr>
            <w:tcW w:w="7580" w:type="dxa"/>
            <w:vAlign w:val="bottom"/>
            <w:tcBorders>
              <w:bottom w:val="single" w:sz="8" w:color="E5E5E5"/>
            </w:tcBorders>
            <w:gridSpan w:val="2"/>
          </w:tcPr>
          <w:p>
            <w:pPr>
              <w:ind w:left="200"/>
              <w:spacing w:after="0"/>
              <w:rPr>
                <w:sz w:val="20"/>
                <w:szCs w:val="20"/>
                <w:color w:val="auto"/>
              </w:rPr>
            </w:pPr>
            <w:r>
              <w:rPr>
                <w:rFonts w:ascii="Arial" w:cs="Arial" w:eastAsia="Arial" w:hAnsi="Arial"/>
                <w:sz w:val="14"/>
                <w:szCs w:val="14"/>
                <w:color w:val="auto"/>
              </w:rPr>
              <w:t>Less: Comprehensive loss, net attributable to noncontrolling interests</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E5E5E5"/>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20" w:type="dxa"/>
            <w:vAlign w:val="bottom"/>
            <w:tcBorders>
              <w:bottom w:val="single" w:sz="8" w:color="E5E5E5"/>
            </w:tcBorders>
            <w:shd w:val="clear" w:color="auto" w:fill="E5E5E5"/>
          </w:tcPr>
          <w:p>
            <w:pPr>
              <w:spacing w:after="0"/>
              <w:rPr>
                <w:sz w:val="19"/>
                <w:szCs w:val="19"/>
                <w:color w:val="auto"/>
              </w:rPr>
            </w:pPr>
          </w:p>
        </w:tc>
        <w:tc>
          <w:tcPr>
            <w:tcW w:w="758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4"/>
                <w:szCs w:val="14"/>
                <w:b w:val="1"/>
                <w:bCs w:val="1"/>
                <w:color w:val="auto"/>
              </w:rPr>
              <w:t>Comprehensive (Loss) Income, Net Attributable to Xerox Holdings</w:t>
            </w:r>
          </w:p>
        </w:tc>
        <w:tc>
          <w:tcPr>
            <w:tcW w:w="420" w:type="dxa"/>
            <w:vAlign w:val="bottom"/>
            <w:tcBorders>
              <w:bottom w:val="single" w:sz="8" w:color="auto"/>
            </w:tcBorders>
            <w:shd w:val="clear" w:color="auto" w:fill="E5E5E5"/>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E5E5E5"/>
            </w:tcBorders>
            <w:shd w:val="clear" w:color="auto" w:fill="E5E5E5"/>
          </w:tcPr>
          <w:p>
            <w:pPr>
              <w:spacing w:after="0"/>
              <w:rPr>
                <w:sz w:val="19"/>
                <w:szCs w:val="19"/>
                <w:color w:val="auto"/>
              </w:rPr>
            </w:pPr>
          </w:p>
        </w:tc>
        <w:tc>
          <w:tcPr>
            <w:tcW w:w="660" w:type="dxa"/>
            <w:vAlign w:val="bottom"/>
            <w:tcBorders>
              <w:bottom w:val="single" w:sz="8" w:color="auto"/>
            </w:tcBorders>
            <w:shd w:val="clear" w:color="auto" w:fill="E5E5E5"/>
          </w:tcPr>
          <w:p>
            <w:pPr>
              <w:jc w:val="right"/>
              <w:ind w:right="5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36</w:t>
            </w:r>
          </w:p>
        </w:tc>
      </w:tr>
      <w:tr>
        <w:trPr>
          <w:trHeight w:val="20"/>
        </w:trPr>
        <w:tc>
          <w:tcPr>
            <w:tcW w:w="20" w:type="dxa"/>
            <w:vAlign w:val="bottom"/>
            <w:tcBorders>
              <w:top w:val="single" w:sz="8" w:color="E5E5E5"/>
            </w:tcBorders>
          </w:tcPr>
          <w:p>
            <w:pPr>
              <w:spacing w:after="0" w:line="20" w:lineRule="exact"/>
              <w:rPr>
                <w:sz w:val="1"/>
                <w:szCs w:val="1"/>
                <w:color w:val="auto"/>
              </w:rPr>
            </w:pPr>
          </w:p>
        </w:tc>
        <w:tc>
          <w:tcPr>
            <w:tcW w:w="640" w:type="dxa"/>
            <w:vAlign w:val="bottom"/>
            <w:tcBorders>
              <w:top w:val="single" w:sz="8" w:color="E5E5E5"/>
            </w:tcBorders>
          </w:tcPr>
          <w:p>
            <w:pPr>
              <w:spacing w:after="0" w:line="20" w:lineRule="exact"/>
              <w:rPr>
                <w:sz w:val="1"/>
                <w:szCs w:val="1"/>
                <w:color w:val="auto"/>
              </w:rPr>
            </w:pPr>
          </w:p>
        </w:tc>
        <w:tc>
          <w:tcPr>
            <w:tcW w:w="6940" w:type="dxa"/>
            <w:vAlign w:val="bottom"/>
            <w:tcBorders>
              <w:top w:val="single" w:sz="8" w:color="E5E5E5"/>
            </w:tcBorders>
          </w:tcPr>
          <w:p>
            <w:pPr>
              <w:spacing w:after="0" w:line="20" w:lineRule="exact"/>
              <w:rPr>
                <w:sz w:val="1"/>
                <w:szCs w:val="1"/>
                <w:color w:val="auto"/>
              </w:rPr>
            </w:pPr>
          </w:p>
        </w:tc>
        <w:tc>
          <w:tcPr>
            <w:tcW w:w="420" w:type="dxa"/>
            <w:vAlign w:val="bottom"/>
            <w:tcBorders>
              <w:top w:val="single" w:sz="8" w:color="E5E5E5"/>
              <w:bottom w:val="single" w:sz="8" w:color="auto"/>
            </w:tcBorders>
          </w:tcPr>
          <w:p>
            <w:pPr>
              <w:spacing w:after="0" w:line="20" w:lineRule="exact"/>
              <w:rPr>
                <w:sz w:val="1"/>
                <w:szCs w:val="1"/>
                <w:color w:val="auto"/>
              </w:rPr>
            </w:pPr>
          </w:p>
        </w:tc>
        <w:tc>
          <w:tcPr>
            <w:tcW w:w="134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66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55" w:lineRule="exact"/>
        <w:rPr>
          <w:sz w:val="20"/>
          <w:szCs w:val="20"/>
          <w:color w:val="auto"/>
        </w:rPr>
      </w:pPr>
    </w:p>
    <w:p>
      <w:pPr>
        <w:ind w:left="260" w:right="420" w:hanging="252"/>
        <w:spacing w:after="0" w:line="302" w:lineRule="auto"/>
        <w:tabs>
          <w:tab w:leader="none" w:pos="233"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Refer to Note 19 - Other Comprehensive (Loss) Income for gross components of Other comprehensive loss, net, reclassification adjustments out of Accumulated other comprehensive loss and related tax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DA2031"/>
        </w:rPr>
        <w:t>XEROX HOLDINGS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BALANCE SHEETS (UNAUDITED)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2"/>
          </w:tcPr>
          <w:p>
            <w:pPr>
              <w:ind w:left="220"/>
              <w:spacing w:after="0"/>
              <w:rPr>
                <w:sz w:val="20"/>
                <w:szCs w:val="20"/>
                <w:color w:val="auto"/>
              </w:rPr>
            </w:pPr>
            <w:r>
              <w:rPr>
                <w:rFonts w:ascii="Arial" w:cs="Arial" w:eastAsia="Arial" w:hAnsi="Arial"/>
                <w:sz w:val="14"/>
                <w:szCs w:val="14"/>
                <w:color w:val="auto"/>
              </w:rPr>
              <w:t>March 31,</w:t>
            </w:r>
          </w:p>
        </w:tc>
        <w:tc>
          <w:tcPr>
            <w:tcW w:w="26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December 31,</w:t>
            </w:r>
          </w:p>
        </w:tc>
      </w:tr>
      <w:tr>
        <w:trPr>
          <w:trHeight w:val="144"/>
        </w:trPr>
        <w:tc>
          <w:tcPr>
            <w:tcW w:w="20" w:type="dxa"/>
            <w:vAlign w:val="bottom"/>
          </w:tcPr>
          <w:p>
            <w:pPr>
              <w:spacing w:after="0"/>
              <w:rPr>
                <w:sz w:val="12"/>
                <w:szCs w:val="12"/>
                <w:color w:val="auto"/>
              </w:rPr>
            </w:pPr>
          </w:p>
        </w:tc>
        <w:tc>
          <w:tcPr>
            <w:tcW w:w="7580" w:type="dxa"/>
            <w:vAlign w:val="bottom"/>
            <w:gridSpan w:val="2"/>
          </w:tcPr>
          <w:p>
            <w:pPr>
              <w:spacing w:after="0" w:line="124" w:lineRule="exact"/>
              <w:rPr>
                <w:sz w:val="20"/>
                <w:szCs w:val="20"/>
                <w:color w:val="auto"/>
              </w:rPr>
            </w:pPr>
            <w:r>
              <w:rPr>
                <w:rFonts w:ascii="Arial" w:cs="Arial" w:eastAsia="Arial" w:hAnsi="Arial"/>
                <w:sz w:val="13"/>
                <w:szCs w:val="13"/>
                <w:color w:val="auto"/>
              </w:rPr>
              <w:t>(in millions, except share data in thousands)</w:t>
            </w:r>
          </w:p>
        </w:tc>
        <w:tc>
          <w:tcPr>
            <w:tcW w:w="340" w:type="dxa"/>
            <w:vAlign w:val="bottom"/>
          </w:tcPr>
          <w:p>
            <w:pPr>
              <w:spacing w:after="0"/>
              <w:rPr>
                <w:sz w:val="12"/>
                <w:szCs w:val="12"/>
                <w:color w:val="auto"/>
              </w:rPr>
            </w:pPr>
          </w:p>
        </w:tc>
        <w:tc>
          <w:tcPr>
            <w:tcW w:w="1420" w:type="dxa"/>
            <w:vAlign w:val="bottom"/>
          </w:tcPr>
          <w:p>
            <w:pPr>
              <w:jc w:val="right"/>
              <w:ind w:right="648"/>
              <w:spacing w:after="0" w:line="125"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right"/>
              <w:ind w:right="648"/>
              <w:spacing w:after="0" w:line="125" w:lineRule="exact"/>
              <w:rPr>
                <w:sz w:val="20"/>
                <w:szCs w:val="20"/>
                <w:color w:val="auto"/>
              </w:rPr>
            </w:pPr>
            <w:r>
              <w:rPr>
                <w:rFonts w:ascii="Arial" w:cs="Arial" w:eastAsia="Arial" w:hAnsi="Arial"/>
                <w:sz w:val="14"/>
                <w:szCs w:val="14"/>
                <w:color w:val="auto"/>
              </w:rPr>
              <w:t>2021</w:t>
            </w:r>
          </w:p>
        </w:tc>
      </w:tr>
      <w:tr>
        <w:trPr>
          <w:trHeight w:val="21"/>
        </w:trPr>
        <w:tc>
          <w:tcPr>
            <w:tcW w:w="20" w:type="dxa"/>
            <w:vAlign w:val="bottom"/>
            <w:tcBorders>
              <w:bottom w:val="single" w:sz="8" w:color="E5E5E5"/>
            </w:tcBorders>
          </w:tcPr>
          <w:p>
            <w:pPr>
              <w:spacing w:after="0" w:line="20" w:lineRule="exact"/>
              <w:rPr>
                <w:sz w:val="1"/>
                <w:szCs w:val="1"/>
                <w:color w:val="auto"/>
              </w:rPr>
            </w:pPr>
          </w:p>
        </w:tc>
        <w:tc>
          <w:tcPr>
            <w:tcW w:w="2460" w:type="dxa"/>
            <w:vAlign w:val="bottom"/>
            <w:tcBorders>
              <w:top w:val="single" w:sz="8" w:color="auto"/>
              <w:bottom w:val="single" w:sz="8" w:color="E5E5E5"/>
            </w:tcBorders>
          </w:tcPr>
          <w:p>
            <w:pPr>
              <w:spacing w:after="0" w:line="20" w:lineRule="exact"/>
              <w:rPr>
                <w:sz w:val="1"/>
                <w:szCs w:val="1"/>
                <w:color w:val="auto"/>
              </w:rPr>
            </w:pPr>
          </w:p>
        </w:tc>
        <w:tc>
          <w:tcPr>
            <w:tcW w:w="5120" w:type="dxa"/>
            <w:vAlign w:val="bottom"/>
            <w:tcBorders>
              <w:bottom w:val="single" w:sz="8" w:color="E5E5E5"/>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E5E5E5"/>
          </w:tcPr>
          <w:p>
            <w:pPr>
              <w:spacing w:after="0"/>
              <w:rPr>
                <w:sz w:val="15"/>
                <w:szCs w:val="15"/>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E5E5E5"/>
          </w:tcPr>
          <w:p>
            <w:pPr>
              <w:spacing w:after="0"/>
              <w:rPr>
                <w:sz w:val="15"/>
                <w:szCs w:val="15"/>
                <w:color w:val="auto"/>
              </w:rPr>
            </w:pPr>
          </w:p>
        </w:tc>
        <w:tc>
          <w:tcPr>
            <w:tcW w:w="14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1500" w:type="dxa"/>
            <w:vAlign w:val="bottom"/>
            <w:shd w:val="clear" w:color="auto" w:fill="E5E5E5"/>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1,681</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1,840</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Accounts receivable (net of allowance of $63 and $58, respectively)</w:t>
            </w:r>
          </w:p>
        </w:tc>
        <w:tc>
          <w:tcPr>
            <w:tcW w:w="340" w:type="dxa"/>
            <w:vAlign w:val="bottom"/>
            <w:shd w:val="clear" w:color="auto" w:fill="E5E5E5"/>
          </w:tcPr>
          <w:p>
            <w:pPr>
              <w:spacing w:after="0"/>
              <w:rPr>
                <w:sz w:val="17"/>
                <w:szCs w:val="17"/>
                <w:color w:val="auto"/>
              </w:rPr>
            </w:pPr>
          </w:p>
        </w:tc>
        <w:tc>
          <w:tcPr>
            <w:tcW w:w="1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807</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818</w:t>
            </w:r>
          </w:p>
        </w:tc>
      </w:tr>
      <w:tr>
        <w:trPr>
          <w:trHeight w:val="198"/>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Billed portion of finance receivables (net of allowance of $3 and $4, respectively)</w:t>
            </w:r>
          </w:p>
        </w:tc>
        <w:tc>
          <w:tcPr>
            <w:tcW w:w="3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Finance receivables, net</w:t>
            </w:r>
          </w:p>
        </w:tc>
        <w:tc>
          <w:tcPr>
            <w:tcW w:w="340" w:type="dxa"/>
            <w:vAlign w:val="bottom"/>
            <w:shd w:val="clear" w:color="auto" w:fill="E5E5E5"/>
          </w:tcPr>
          <w:p>
            <w:pPr>
              <w:spacing w:after="0"/>
              <w:rPr>
                <w:sz w:val="17"/>
                <w:szCs w:val="17"/>
                <w:color w:val="auto"/>
              </w:rPr>
            </w:pPr>
          </w:p>
        </w:tc>
        <w:tc>
          <w:tcPr>
            <w:tcW w:w="1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1,023</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1,042</w:t>
            </w:r>
          </w:p>
        </w:tc>
      </w:tr>
      <w:tr>
        <w:trPr>
          <w:trHeight w:val="198"/>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3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732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696</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Other current assets</w:t>
            </w:r>
          </w:p>
        </w:tc>
        <w:tc>
          <w:tcPr>
            <w:tcW w:w="340" w:type="dxa"/>
            <w:vAlign w:val="bottom"/>
            <w:tcBorders>
              <w:bottom w:val="single" w:sz="8" w:color="auto"/>
            </w:tcBorders>
            <w:shd w:val="clear" w:color="auto" w:fill="E5E5E5"/>
          </w:tcPr>
          <w:p>
            <w:pPr>
              <w:spacing w:after="0"/>
              <w:rPr>
                <w:sz w:val="17"/>
                <w:szCs w:val="17"/>
                <w:color w:val="auto"/>
              </w:rPr>
            </w:pPr>
          </w:p>
        </w:tc>
        <w:tc>
          <w:tcPr>
            <w:tcW w:w="1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1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211</w:t>
            </w:r>
          </w:p>
        </w:tc>
      </w:tr>
      <w:tr>
        <w:trPr>
          <w:trHeight w:val="192"/>
        </w:trPr>
        <w:tc>
          <w:tcPr>
            <w:tcW w:w="20" w:type="dxa"/>
            <w:vAlign w:val="bottom"/>
          </w:tcPr>
          <w:p>
            <w:pPr>
              <w:spacing w:after="0"/>
              <w:rPr>
                <w:sz w:val="16"/>
                <w:szCs w:val="16"/>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4,566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4,701</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Finance receivables due after one year (net of allowance of $117 and $114, respectively)</w:t>
            </w:r>
          </w:p>
        </w:tc>
        <w:tc>
          <w:tcPr>
            <w:tcW w:w="340" w:type="dxa"/>
            <w:vAlign w:val="bottom"/>
            <w:shd w:val="clear" w:color="auto" w:fill="E5E5E5"/>
          </w:tcPr>
          <w:p>
            <w:pPr>
              <w:spacing w:after="0"/>
              <w:rPr>
                <w:sz w:val="17"/>
                <w:szCs w:val="17"/>
                <w:color w:val="auto"/>
              </w:rPr>
            </w:pPr>
          </w:p>
        </w:tc>
        <w:tc>
          <w:tcPr>
            <w:tcW w:w="1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1,893</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1,934</w:t>
            </w:r>
          </w:p>
        </w:tc>
      </w:tr>
      <w:tr>
        <w:trPr>
          <w:trHeight w:val="198"/>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Equipment on operating leases, net</w:t>
            </w:r>
          </w:p>
        </w:tc>
        <w:tc>
          <w:tcPr>
            <w:tcW w:w="3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253</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Land, buildings and equipment, net</w:t>
            </w:r>
          </w:p>
        </w:tc>
        <w:tc>
          <w:tcPr>
            <w:tcW w:w="340" w:type="dxa"/>
            <w:vAlign w:val="bottom"/>
            <w:shd w:val="clear" w:color="auto" w:fill="E5E5E5"/>
          </w:tcPr>
          <w:p>
            <w:pPr>
              <w:spacing w:after="0"/>
              <w:rPr>
                <w:sz w:val="17"/>
                <w:szCs w:val="17"/>
                <w:color w:val="auto"/>
              </w:rPr>
            </w:pPr>
          </w:p>
        </w:tc>
        <w:tc>
          <w:tcPr>
            <w:tcW w:w="1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358</w:t>
            </w:r>
          </w:p>
        </w:tc>
      </w:tr>
      <w:tr>
        <w:trPr>
          <w:trHeight w:val="198"/>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Intangible assets, net</w:t>
            </w:r>
          </w:p>
        </w:tc>
        <w:tc>
          <w:tcPr>
            <w:tcW w:w="3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211</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Goodwill</w:t>
            </w:r>
          </w:p>
        </w:tc>
        <w:tc>
          <w:tcPr>
            <w:tcW w:w="340" w:type="dxa"/>
            <w:vAlign w:val="bottom"/>
            <w:shd w:val="clear" w:color="auto" w:fill="E5E5E5"/>
          </w:tcPr>
          <w:p>
            <w:pPr>
              <w:spacing w:after="0"/>
              <w:rPr>
                <w:sz w:val="17"/>
                <w:szCs w:val="17"/>
                <w:color w:val="auto"/>
              </w:rPr>
            </w:pPr>
          </w:p>
        </w:tc>
        <w:tc>
          <w:tcPr>
            <w:tcW w:w="1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3,300</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3,287</w:t>
            </w:r>
          </w:p>
        </w:tc>
      </w:tr>
      <w:tr>
        <w:trPr>
          <w:trHeight w:val="198"/>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Deferred tax assets</w:t>
            </w:r>
          </w:p>
        </w:tc>
        <w:tc>
          <w:tcPr>
            <w:tcW w:w="3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528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519</w:t>
            </w:r>
          </w:p>
        </w:tc>
      </w:tr>
      <w:tr>
        <w:trPr>
          <w:trHeight w:val="203"/>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Other long-term assets</w:t>
            </w:r>
          </w:p>
        </w:tc>
        <w:tc>
          <w:tcPr>
            <w:tcW w:w="340" w:type="dxa"/>
            <w:vAlign w:val="bottom"/>
            <w:tcBorders>
              <w:bottom w:val="single" w:sz="8" w:color="auto"/>
            </w:tcBorders>
            <w:shd w:val="clear" w:color="auto" w:fill="E5E5E5"/>
          </w:tcPr>
          <w:p>
            <w:pPr>
              <w:spacing w:after="0"/>
              <w:rPr>
                <w:sz w:val="17"/>
                <w:szCs w:val="17"/>
                <w:color w:val="auto"/>
              </w:rPr>
            </w:pPr>
          </w:p>
        </w:tc>
        <w:tc>
          <w:tcPr>
            <w:tcW w:w="1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1,951</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1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1,960</w:t>
            </w:r>
          </w:p>
        </w:tc>
      </w:tr>
      <w:tr>
        <w:trPr>
          <w:trHeight w:val="200"/>
        </w:trPr>
        <w:tc>
          <w:tcPr>
            <w:tcW w:w="2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Assets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13,082</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13,223</w:t>
            </w:r>
          </w:p>
        </w:tc>
      </w:tr>
      <w:tr>
        <w:trPr>
          <w:trHeight w:val="20"/>
        </w:trPr>
        <w:tc>
          <w:tcPr>
            <w:tcW w:w="20" w:type="dxa"/>
            <w:vAlign w:val="bottom"/>
            <w:tcBorders>
              <w:bottom w:val="single" w:sz="8" w:color="E5E5E5"/>
            </w:tcBorders>
          </w:tcPr>
          <w:p>
            <w:pPr>
              <w:spacing w:after="0" w:line="20" w:lineRule="exact"/>
              <w:rPr>
                <w:sz w:val="1"/>
                <w:szCs w:val="1"/>
                <w:color w:val="auto"/>
              </w:rPr>
            </w:pPr>
          </w:p>
        </w:tc>
        <w:tc>
          <w:tcPr>
            <w:tcW w:w="2460" w:type="dxa"/>
            <w:vAlign w:val="bottom"/>
            <w:tcBorders>
              <w:bottom w:val="single" w:sz="8" w:color="E5E5E5"/>
            </w:tcBorders>
          </w:tcPr>
          <w:p>
            <w:pPr>
              <w:spacing w:after="0" w:line="20" w:lineRule="exact"/>
              <w:rPr>
                <w:sz w:val="1"/>
                <w:szCs w:val="1"/>
                <w:color w:val="auto"/>
              </w:rPr>
            </w:pPr>
          </w:p>
        </w:tc>
        <w:tc>
          <w:tcPr>
            <w:tcW w:w="5120" w:type="dxa"/>
            <w:vAlign w:val="bottom"/>
            <w:tcBorders>
              <w:bottom w:val="single" w:sz="8" w:color="E5E5E5"/>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E5E5E5"/>
          </w:tcPr>
          <w:p>
            <w:pPr>
              <w:spacing w:after="0"/>
              <w:rPr>
                <w:sz w:val="14"/>
                <w:szCs w:val="14"/>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Liabilities and Equity</w:t>
            </w:r>
          </w:p>
        </w:tc>
        <w:tc>
          <w:tcPr>
            <w:tcW w:w="340" w:type="dxa"/>
            <w:vAlign w:val="bottom"/>
            <w:shd w:val="clear" w:color="auto" w:fill="E5E5E5"/>
          </w:tcPr>
          <w:p>
            <w:pPr>
              <w:spacing w:after="0"/>
              <w:rPr>
                <w:sz w:val="14"/>
                <w:szCs w:val="14"/>
                <w:color w:val="auto"/>
              </w:rPr>
            </w:pPr>
          </w:p>
        </w:tc>
        <w:tc>
          <w:tcPr>
            <w:tcW w:w="14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1500" w:type="dxa"/>
            <w:vAlign w:val="bottom"/>
            <w:shd w:val="clear" w:color="auto" w:fill="E5E5E5"/>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Short-term debt and current portion of long-term debt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1,450</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650</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E5E5E5"/>
          </w:tcPr>
          <w:p>
            <w:pPr>
              <w:spacing w:after="0"/>
              <w:rPr>
                <w:sz w:val="17"/>
                <w:szCs w:val="17"/>
                <w:color w:val="auto"/>
              </w:rPr>
            </w:pPr>
          </w:p>
        </w:tc>
        <w:tc>
          <w:tcPr>
            <w:tcW w:w="1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1,183</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1,069</w:t>
            </w:r>
          </w:p>
        </w:tc>
      </w:tr>
      <w:tr>
        <w:trPr>
          <w:trHeight w:val="198"/>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Accrued compensation and benefits costs</w:t>
            </w:r>
          </w:p>
        </w:tc>
        <w:tc>
          <w:tcPr>
            <w:tcW w:w="3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239</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Accrued expenses and other current liabilities</w:t>
            </w:r>
          </w:p>
        </w:tc>
        <w:tc>
          <w:tcPr>
            <w:tcW w:w="340" w:type="dxa"/>
            <w:vAlign w:val="bottom"/>
            <w:tcBorders>
              <w:bottom w:val="single" w:sz="8" w:color="auto"/>
            </w:tcBorders>
            <w:shd w:val="clear" w:color="auto" w:fill="E5E5E5"/>
          </w:tcPr>
          <w:p>
            <w:pPr>
              <w:spacing w:after="0"/>
              <w:rPr>
                <w:sz w:val="17"/>
                <w:szCs w:val="17"/>
                <w:color w:val="auto"/>
              </w:rPr>
            </w:pPr>
          </w:p>
        </w:tc>
        <w:tc>
          <w:tcPr>
            <w:tcW w:w="1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878</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1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871</w:t>
            </w:r>
          </w:p>
        </w:tc>
      </w:tr>
      <w:tr>
        <w:trPr>
          <w:trHeight w:val="192"/>
        </w:trPr>
        <w:tc>
          <w:tcPr>
            <w:tcW w:w="20" w:type="dxa"/>
            <w:vAlign w:val="bottom"/>
          </w:tcPr>
          <w:p>
            <w:pPr>
              <w:spacing w:after="0"/>
              <w:rPr>
                <w:sz w:val="16"/>
                <w:szCs w:val="16"/>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Total current liabilities</w:t>
            </w:r>
          </w:p>
        </w:tc>
        <w:tc>
          <w:tcPr>
            <w:tcW w:w="3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3,769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2,829</w:t>
            </w:r>
          </w:p>
        </w:tc>
      </w:tr>
      <w:tr>
        <w:trPr>
          <w:trHeight w:val="206"/>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Long-term debt</w:t>
            </w:r>
          </w:p>
        </w:tc>
        <w:tc>
          <w:tcPr>
            <w:tcW w:w="340" w:type="dxa"/>
            <w:vAlign w:val="bottom"/>
            <w:shd w:val="clear" w:color="auto" w:fill="E5E5E5"/>
          </w:tcPr>
          <w:p>
            <w:pPr>
              <w:spacing w:after="0"/>
              <w:rPr>
                <w:sz w:val="17"/>
                <w:szCs w:val="17"/>
                <w:color w:val="auto"/>
              </w:rPr>
            </w:pPr>
          </w:p>
        </w:tc>
        <w:tc>
          <w:tcPr>
            <w:tcW w:w="1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2,821</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3,596</w:t>
            </w:r>
          </w:p>
        </w:tc>
      </w:tr>
      <w:tr>
        <w:trPr>
          <w:trHeight w:val="198"/>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Pension and other benefit liabilities</w:t>
            </w:r>
          </w:p>
        </w:tc>
        <w:tc>
          <w:tcPr>
            <w:tcW w:w="3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1,359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1,373</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Post-retirement medical benefits</w:t>
            </w:r>
          </w:p>
        </w:tc>
        <w:tc>
          <w:tcPr>
            <w:tcW w:w="340" w:type="dxa"/>
            <w:vAlign w:val="bottom"/>
            <w:shd w:val="clear" w:color="auto" w:fill="E5E5E5"/>
          </w:tcPr>
          <w:p>
            <w:pPr>
              <w:spacing w:after="0"/>
              <w:rPr>
                <w:sz w:val="17"/>
                <w:szCs w:val="17"/>
                <w:color w:val="auto"/>
              </w:rPr>
            </w:pPr>
          </w:p>
        </w:tc>
        <w:tc>
          <w:tcPr>
            <w:tcW w:w="1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277</w:t>
            </w:r>
          </w:p>
        </w:tc>
      </w:tr>
      <w:tr>
        <w:trPr>
          <w:trHeight w:val="198"/>
        </w:trPr>
        <w:tc>
          <w:tcPr>
            <w:tcW w:w="20" w:type="dxa"/>
            <w:vAlign w:val="bottom"/>
            <w:tcBorders>
              <w:bottom w:val="single" w:sz="8" w:color="E5E5E5"/>
            </w:tcBorders>
          </w:tcPr>
          <w:p>
            <w:pPr>
              <w:spacing w:after="0"/>
              <w:rPr>
                <w:sz w:val="17"/>
                <w:szCs w:val="17"/>
                <w:color w:val="auto"/>
              </w:rPr>
            </w:pPr>
          </w:p>
        </w:tc>
        <w:tc>
          <w:tcPr>
            <w:tcW w:w="7580" w:type="dxa"/>
            <w:vAlign w:val="bottom"/>
            <w:tcBorders>
              <w:bottom w:val="single" w:sz="8" w:color="E5E5E5"/>
            </w:tcBorders>
            <w:gridSpan w:val="2"/>
          </w:tcPr>
          <w:p>
            <w:pPr>
              <w:spacing w:after="0"/>
              <w:rPr>
                <w:sz w:val="20"/>
                <w:szCs w:val="20"/>
                <w:color w:val="auto"/>
              </w:rPr>
            </w:pPr>
            <w:r>
              <w:rPr>
                <w:rFonts w:ascii="Arial" w:cs="Arial" w:eastAsia="Arial" w:hAnsi="Arial"/>
                <w:sz w:val="14"/>
                <w:szCs w:val="14"/>
                <w:color w:val="auto"/>
              </w:rPr>
              <w:t>Other long-term liabilities</w:t>
            </w: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w:t>
            </w:r>
          </w:p>
        </w:tc>
      </w:tr>
      <w:tr>
        <w:trPr>
          <w:trHeight w:val="199"/>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b w:val="1"/>
                <w:bCs w:val="1"/>
                <w:color w:val="auto"/>
              </w:rPr>
              <w:t>Total Liabilities</w:t>
            </w:r>
          </w:p>
        </w:tc>
        <w:tc>
          <w:tcPr>
            <w:tcW w:w="340" w:type="dxa"/>
            <w:vAlign w:val="bottom"/>
            <w:tcBorders>
              <w:bottom w:val="single" w:sz="8" w:color="auto"/>
            </w:tcBorders>
            <w:shd w:val="clear" w:color="auto" w:fill="E5E5E5"/>
          </w:tcPr>
          <w:p>
            <w:pPr>
              <w:spacing w:after="0"/>
              <w:rPr>
                <w:sz w:val="17"/>
                <w:szCs w:val="17"/>
                <w:color w:val="auto"/>
              </w:rPr>
            </w:pPr>
          </w:p>
        </w:tc>
        <w:tc>
          <w:tcPr>
            <w:tcW w:w="1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8,669</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1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8,556</w:t>
            </w:r>
          </w:p>
        </w:tc>
      </w:tr>
      <w:tr>
        <w:trPr>
          <w:trHeight w:val="19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Commitments and Contingencies (See Note 21)</w:t>
            </w:r>
          </w:p>
        </w:tc>
        <w:tc>
          <w:tcPr>
            <w:tcW w:w="340" w:type="dxa"/>
            <w:vAlign w:val="bottom"/>
            <w:shd w:val="clear" w:color="auto" w:fill="E5E5E5"/>
          </w:tcPr>
          <w:p>
            <w:pPr>
              <w:spacing w:after="0"/>
              <w:rPr>
                <w:sz w:val="17"/>
                <w:szCs w:val="17"/>
                <w:color w:val="auto"/>
              </w:rPr>
            </w:pPr>
          </w:p>
        </w:tc>
        <w:tc>
          <w:tcPr>
            <w:tcW w:w="14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500" w:type="dxa"/>
            <w:vAlign w:val="bottom"/>
            <w:shd w:val="clear" w:color="auto" w:fill="E5E5E5"/>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02"/>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Noncontrolling Interests</w:t>
            </w:r>
          </w:p>
        </w:tc>
        <w:tc>
          <w:tcPr>
            <w:tcW w:w="340" w:type="dxa"/>
            <w:vAlign w:val="bottom"/>
            <w:tcBorders>
              <w:bottom w:val="single" w:sz="8" w:color="auto"/>
            </w:tcBorders>
            <w:shd w:val="clear" w:color="auto" w:fill="E5E5E5"/>
          </w:tcPr>
          <w:p>
            <w:pPr>
              <w:spacing w:after="0"/>
              <w:rPr>
                <w:sz w:val="17"/>
                <w:szCs w:val="17"/>
                <w:color w:val="auto"/>
              </w:rPr>
            </w:pPr>
          </w:p>
        </w:tc>
        <w:tc>
          <w:tcPr>
            <w:tcW w:w="1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1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w:t>
            </w:r>
          </w:p>
        </w:tc>
      </w:tr>
      <w:tr>
        <w:trPr>
          <w:trHeight w:val="19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2"/>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Convertible Preferred Stock</w:t>
            </w:r>
          </w:p>
        </w:tc>
        <w:tc>
          <w:tcPr>
            <w:tcW w:w="340" w:type="dxa"/>
            <w:vAlign w:val="bottom"/>
            <w:tcBorders>
              <w:bottom w:val="single" w:sz="8" w:color="auto"/>
            </w:tcBorders>
            <w:shd w:val="clear" w:color="auto" w:fill="E5E5E5"/>
          </w:tcPr>
          <w:p>
            <w:pPr>
              <w:spacing w:after="0"/>
              <w:rPr>
                <w:sz w:val="17"/>
                <w:szCs w:val="17"/>
                <w:color w:val="auto"/>
              </w:rPr>
            </w:pPr>
          </w:p>
        </w:tc>
        <w:tc>
          <w:tcPr>
            <w:tcW w:w="1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1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214</w:t>
            </w:r>
          </w:p>
        </w:tc>
      </w:tr>
      <w:tr>
        <w:trPr>
          <w:trHeight w:val="19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Common stock</w:t>
            </w:r>
          </w:p>
        </w:tc>
        <w:tc>
          <w:tcPr>
            <w:tcW w:w="340" w:type="dxa"/>
            <w:vAlign w:val="bottom"/>
            <w:shd w:val="clear" w:color="auto" w:fill="E5E5E5"/>
          </w:tcPr>
          <w:p>
            <w:pPr>
              <w:spacing w:after="0"/>
              <w:rPr>
                <w:sz w:val="17"/>
                <w:szCs w:val="17"/>
                <w:color w:val="auto"/>
              </w:rPr>
            </w:pPr>
          </w:p>
        </w:tc>
        <w:tc>
          <w:tcPr>
            <w:tcW w:w="1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168</w:t>
            </w:r>
          </w:p>
        </w:tc>
      </w:tr>
      <w:tr>
        <w:trPr>
          <w:trHeight w:val="198"/>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Additional paid-in capital</w:t>
            </w:r>
          </w:p>
        </w:tc>
        <w:tc>
          <w:tcPr>
            <w:tcW w:w="3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1,560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1,802</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Treasury stock, at cost</w:t>
            </w:r>
          </w:p>
        </w:tc>
        <w:tc>
          <w:tcPr>
            <w:tcW w:w="340" w:type="dxa"/>
            <w:vAlign w:val="bottom"/>
            <w:shd w:val="clear" w:color="auto" w:fill="E5E5E5"/>
          </w:tcPr>
          <w:p>
            <w:pPr>
              <w:spacing w:after="0"/>
              <w:rPr>
                <w:sz w:val="17"/>
                <w:szCs w:val="17"/>
                <w:color w:val="auto"/>
              </w:rPr>
            </w:pPr>
          </w:p>
        </w:tc>
        <w:tc>
          <w:tcPr>
            <w:tcW w:w="1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(177)</w:t>
            </w:r>
          </w:p>
        </w:tc>
      </w:tr>
      <w:tr>
        <w:trPr>
          <w:trHeight w:val="198"/>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Retained earnings</w:t>
            </w:r>
          </w:p>
        </w:tc>
        <w:tc>
          <w:tcPr>
            <w:tcW w:w="3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5,532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5,631</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Accumulated other comprehensive loss</w:t>
            </w:r>
          </w:p>
        </w:tc>
        <w:tc>
          <w:tcPr>
            <w:tcW w:w="340" w:type="dxa"/>
            <w:vAlign w:val="bottom"/>
            <w:tcBorders>
              <w:bottom w:val="single" w:sz="8" w:color="auto"/>
            </w:tcBorders>
            <w:shd w:val="clear" w:color="auto" w:fill="E5E5E5"/>
          </w:tcPr>
          <w:p>
            <w:pPr>
              <w:spacing w:after="0"/>
              <w:rPr>
                <w:sz w:val="17"/>
                <w:szCs w:val="17"/>
                <w:color w:val="auto"/>
              </w:rPr>
            </w:pPr>
          </w:p>
        </w:tc>
        <w:tc>
          <w:tcPr>
            <w:tcW w:w="1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(3,032)</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1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(2,988)</w:t>
            </w:r>
          </w:p>
        </w:tc>
      </w:tr>
      <w:tr>
        <w:trPr>
          <w:trHeight w:val="192"/>
        </w:trPr>
        <w:tc>
          <w:tcPr>
            <w:tcW w:w="20" w:type="dxa"/>
            <w:vAlign w:val="bottom"/>
          </w:tcPr>
          <w:p>
            <w:pPr>
              <w:spacing w:after="0"/>
              <w:rPr>
                <w:sz w:val="16"/>
                <w:szCs w:val="16"/>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Xerox Holdings shareholders’ equity</w:t>
            </w:r>
          </w:p>
        </w:tc>
        <w:tc>
          <w:tcPr>
            <w:tcW w:w="3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4,184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4,436</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Noncontrolling interests</w:t>
            </w:r>
          </w:p>
        </w:tc>
        <w:tc>
          <w:tcPr>
            <w:tcW w:w="340" w:type="dxa"/>
            <w:vAlign w:val="bottom"/>
            <w:tcBorders>
              <w:bottom w:val="single" w:sz="8" w:color="auto"/>
            </w:tcBorders>
            <w:shd w:val="clear" w:color="auto" w:fill="E5E5E5"/>
          </w:tcPr>
          <w:p>
            <w:pPr>
              <w:spacing w:after="0"/>
              <w:rPr>
                <w:sz w:val="17"/>
                <w:szCs w:val="17"/>
                <w:color w:val="auto"/>
              </w:rPr>
            </w:pPr>
          </w:p>
        </w:tc>
        <w:tc>
          <w:tcPr>
            <w:tcW w:w="1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1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w:t>
            </w:r>
          </w:p>
        </w:tc>
      </w:tr>
      <w:tr>
        <w:trPr>
          <w:trHeight w:val="195"/>
        </w:trPr>
        <w:tc>
          <w:tcPr>
            <w:tcW w:w="20" w:type="dxa"/>
            <w:vAlign w:val="bottom"/>
            <w:tcBorders>
              <w:bottom w:val="single" w:sz="8" w:color="E5E5E5"/>
            </w:tcBorders>
          </w:tcPr>
          <w:p>
            <w:pPr>
              <w:spacing w:after="0"/>
              <w:rPr>
                <w:sz w:val="16"/>
                <w:szCs w:val="16"/>
                <w:color w:val="auto"/>
              </w:rPr>
            </w:pPr>
          </w:p>
        </w:tc>
        <w:tc>
          <w:tcPr>
            <w:tcW w:w="7580" w:type="dxa"/>
            <w:vAlign w:val="bottom"/>
            <w:tcBorders>
              <w:bottom w:val="single" w:sz="8" w:color="E5E5E5"/>
            </w:tcBorders>
            <w:gridSpan w:val="2"/>
          </w:tcPr>
          <w:p>
            <w:pPr>
              <w:ind w:left="340"/>
              <w:spacing w:after="0"/>
              <w:rPr>
                <w:sz w:val="20"/>
                <w:szCs w:val="20"/>
                <w:color w:val="auto"/>
              </w:rPr>
            </w:pPr>
            <w:r>
              <w:rPr>
                <w:rFonts w:ascii="Arial" w:cs="Arial" w:eastAsia="Arial" w:hAnsi="Arial"/>
                <w:sz w:val="14"/>
                <w:szCs w:val="14"/>
                <w:b w:val="1"/>
                <w:bCs w:val="1"/>
                <w:color w:val="auto"/>
              </w:rPr>
              <w:t>Total Equity</w:t>
            </w: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4,189</w:t>
            </w:r>
          </w:p>
        </w:tc>
        <w:tc>
          <w:tcPr>
            <w:tcW w:w="12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4,443</w:t>
            </w:r>
          </w:p>
        </w:tc>
      </w:tr>
      <w:tr>
        <w:trPr>
          <w:trHeight w:val="222"/>
        </w:trPr>
        <w:tc>
          <w:tcPr>
            <w:tcW w:w="20" w:type="dxa"/>
            <w:vAlign w:val="bottom"/>
            <w:tcBorders>
              <w:bottom w:val="single" w:sz="8" w:color="E5E5E5"/>
            </w:tcBorders>
            <w:shd w:val="clear" w:color="auto" w:fill="E5E5E5"/>
          </w:tcPr>
          <w:p>
            <w:pPr>
              <w:spacing w:after="0"/>
              <w:rPr>
                <w:sz w:val="18"/>
                <w:szCs w:val="18"/>
                <w:color w:val="auto"/>
              </w:rPr>
            </w:pPr>
          </w:p>
        </w:tc>
        <w:tc>
          <w:tcPr>
            <w:tcW w:w="7580" w:type="dxa"/>
            <w:vAlign w:val="bottom"/>
            <w:tcBorders>
              <w:bottom w:val="single" w:sz="8" w:color="E5E5E5"/>
            </w:tcBorders>
            <w:gridSpan w:val="2"/>
            <w:shd w:val="clear" w:color="auto" w:fill="E5E5E5"/>
          </w:tcPr>
          <w:p>
            <w:pPr>
              <w:ind w:left="340"/>
              <w:spacing w:after="0"/>
              <w:rPr>
                <w:sz w:val="20"/>
                <w:szCs w:val="20"/>
                <w:color w:val="auto"/>
              </w:rPr>
            </w:pPr>
            <w:r>
              <w:rPr>
                <w:rFonts w:ascii="Arial" w:cs="Arial" w:eastAsia="Arial" w:hAnsi="Arial"/>
                <w:sz w:val="14"/>
                <w:szCs w:val="14"/>
                <w:b w:val="1"/>
                <w:bCs w:val="1"/>
                <w:color w:val="auto"/>
              </w:rPr>
              <w:t>Total Liabilities and Equity</w:t>
            </w:r>
          </w:p>
        </w:tc>
        <w:tc>
          <w:tcPr>
            <w:tcW w:w="340" w:type="dxa"/>
            <w:vAlign w:val="bottom"/>
            <w:tcBorders>
              <w:bottom w:val="single" w:sz="8" w:color="auto"/>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13,082</w:t>
            </w:r>
          </w:p>
        </w:tc>
        <w:tc>
          <w:tcPr>
            <w:tcW w:w="120" w:type="dxa"/>
            <w:vAlign w:val="bottom"/>
            <w:tcBorders>
              <w:bottom w:val="single" w:sz="8" w:color="E5E5E5"/>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13,223</w:t>
            </w:r>
          </w:p>
        </w:tc>
      </w:tr>
      <w:tr>
        <w:trPr>
          <w:trHeight w:val="20"/>
        </w:trPr>
        <w:tc>
          <w:tcPr>
            <w:tcW w:w="20" w:type="dxa"/>
            <w:vAlign w:val="bottom"/>
            <w:tcBorders>
              <w:top w:val="single" w:sz="8" w:color="E5E5E5"/>
            </w:tcBorders>
          </w:tcPr>
          <w:p>
            <w:pPr>
              <w:spacing w:after="0" w:line="20" w:lineRule="exact"/>
              <w:rPr>
                <w:sz w:val="1"/>
                <w:szCs w:val="1"/>
                <w:color w:val="auto"/>
              </w:rPr>
            </w:pPr>
          </w:p>
        </w:tc>
        <w:tc>
          <w:tcPr>
            <w:tcW w:w="2460" w:type="dxa"/>
            <w:vAlign w:val="bottom"/>
            <w:tcBorders>
              <w:top w:val="single" w:sz="8" w:color="E5E5E5"/>
            </w:tcBorders>
          </w:tcPr>
          <w:p>
            <w:pPr>
              <w:spacing w:after="0" w:line="20" w:lineRule="exact"/>
              <w:rPr>
                <w:sz w:val="1"/>
                <w:szCs w:val="1"/>
                <w:color w:val="auto"/>
              </w:rPr>
            </w:pPr>
          </w:p>
        </w:tc>
        <w:tc>
          <w:tcPr>
            <w:tcW w:w="5120" w:type="dxa"/>
            <w:vAlign w:val="bottom"/>
            <w:tcBorders>
              <w:top w:val="single" w:sz="8" w:color="E5E5E5"/>
            </w:tcBorders>
          </w:tcPr>
          <w:p>
            <w:pPr>
              <w:spacing w:after="0" w:line="20" w:lineRule="exact"/>
              <w:rPr>
                <w:sz w:val="1"/>
                <w:szCs w:val="1"/>
                <w:color w:val="auto"/>
              </w:rPr>
            </w:pPr>
          </w:p>
        </w:tc>
        <w:tc>
          <w:tcPr>
            <w:tcW w:w="340" w:type="dxa"/>
            <w:vAlign w:val="bottom"/>
            <w:tcBorders>
              <w:top w:val="single" w:sz="8" w:color="E5E5E5"/>
              <w:bottom w:val="single" w:sz="8" w:color="auto"/>
            </w:tcBorders>
          </w:tcPr>
          <w:p>
            <w:pPr>
              <w:spacing w:after="0" w:line="20" w:lineRule="exact"/>
              <w:rPr>
                <w:sz w:val="1"/>
                <w:szCs w:val="1"/>
                <w:color w:val="auto"/>
              </w:rPr>
            </w:pPr>
          </w:p>
        </w:tc>
        <w:tc>
          <w:tcPr>
            <w:tcW w:w="142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1500" w:type="dxa"/>
            <w:vAlign w:val="bottom"/>
            <w:tcBorders>
              <w:top w:val="single" w:sz="8" w:color="E5E5E5"/>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03"/>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Shares of common stock issued</w:t>
            </w:r>
          </w:p>
        </w:tc>
        <w:tc>
          <w:tcPr>
            <w:tcW w:w="340" w:type="dxa"/>
            <w:vAlign w:val="bottom"/>
            <w:shd w:val="clear" w:color="auto" w:fill="E5E5E5"/>
          </w:tcPr>
          <w:p>
            <w:pPr>
              <w:spacing w:after="0"/>
              <w:rPr>
                <w:sz w:val="17"/>
                <w:szCs w:val="17"/>
                <w:color w:val="auto"/>
              </w:rPr>
            </w:pPr>
          </w:p>
        </w:tc>
        <w:tc>
          <w:tcPr>
            <w:tcW w:w="1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156,358</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168,069</w:t>
            </w:r>
          </w:p>
        </w:tc>
      </w:tr>
      <w:tr>
        <w:trPr>
          <w:trHeight w:val="198"/>
        </w:trPr>
        <w:tc>
          <w:tcPr>
            <w:tcW w:w="20" w:type="dxa"/>
            <w:vAlign w:val="bottom"/>
            <w:tcBorders>
              <w:bottom w:val="single" w:sz="8" w:color="E5E5E5"/>
            </w:tcBorders>
          </w:tcPr>
          <w:p>
            <w:pPr>
              <w:spacing w:after="0"/>
              <w:rPr>
                <w:sz w:val="17"/>
                <w:szCs w:val="17"/>
                <w:color w:val="auto"/>
              </w:rPr>
            </w:pPr>
          </w:p>
        </w:tc>
        <w:tc>
          <w:tcPr>
            <w:tcW w:w="7580" w:type="dxa"/>
            <w:vAlign w:val="bottom"/>
            <w:tcBorders>
              <w:bottom w:val="single" w:sz="8" w:color="E5E5E5"/>
            </w:tcBorders>
            <w:gridSpan w:val="2"/>
          </w:tcPr>
          <w:p>
            <w:pPr>
              <w:spacing w:after="0"/>
              <w:rPr>
                <w:sz w:val="20"/>
                <w:szCs w:val="20"/>
                <w:color w:val="auto"/>
              </w:rPr>
            </w:pPr>
            <w:r>
              <w:rPr>
                <w:rFonts w:ascii="Arial" w:cs="Arial" w:eastAsia="Arial" w:hAnsi="Arial"/>
                <w:sz w:val="14"/>
                <w:szCs w:val="14"/>
                <w:color w:val="auto"/>
              </w:rPr>
              <w:t>Treasury stock</w:t>
            </w: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(1,508)</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(8,675)</w:t>
            </w:r>
          </w:p>
        </w:tc>
      </w:tr>
      <w:tr>
        <w:trPr>
          <w:trHeight w:val="225"/>
        </w:trPr>
        <w:tc>
          <w:tcPr>
            <w:tcW w:w="20" w:type="dxa"/>
            <w:vAlign w:val="bottom"/>
            <w:tcBorders>
              <w:bottom w:val="single" w:sz="8" w:color="E5E5E5"/>
            </w:tcBorders>
            <w:shd w:val="clear" w:color="auto" w:fill="E5E5E5"/>
          </w:tcPr>
          <w:p>
            <w:pPr>
              <w:spacing w:after="0"/>
              <w:rPr>
                <w:sz w:val="19"/>
                <w:szCs w:val="19"/>
                <w:color w:val="auto"/>
              </w:rPr>
            </w:pPr>
          </w:p>
        </w:tc>
        <w:tc>
          <w:tcPr>
            <w:tcW w:w="758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4"/>
                <w:szCs w:val="14"/>
                <w:b w:val="1"/>
                <w:bCs w:val="1"/>
                <w:color w:val="auto"/>
              </w:rPr>
              <w:t>Shares of Common Stock Outstanding</w:t>
            </w:r>
          </w:p>
        </w:tc>
        <w:tc>
          <w:tcPr>
            <w:tcW w:w="340" w:type="dxa"/>
            <w:vAlign w:val="bottom"/>
            <w:tcBorders>
              <w:bottom w:val="single" w:sz="8" w:color="auto"/>
            </w:tcBorders>
            <w:shd w:val="clear" w:color="auto" w:fill="E5E5E5"/>
          </w:tcPr>
          <w:p>
            <w:pPr>
              <w:spacing w:after="0"/>
              <w:rPr>
                <w:sz w:val="19"/>
                <w:szCs w:val="19"/>
                <w:color w:val="auto"/>
              </w:rPr>
            </w:pPr>
          </w:p>
        </w:tc>
        <w:tc>
          <w:tcPr>
            <w:tcW w:w="1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154,850</w:t>
            </w:r>
          </w:p>
        </w:tc>
        <w:tc>
          <w:tcPr>
            <w:tcW w:w="120" w:type="dxa"/>
            <w:vAlign w:val="bottom"/>
            <w:tcBorders>
              <w:bottom w:val="single" w:sz="8" w:color="E5E5E5"/>
            </w:tcBorders>
            <w:shd w:val="clear" w:color="auto" w:fill="E5E5E5"/>
          </w:tcPr>
          <w:p>
            <w:pPr>
              <w:spacing w:after="0"/>
              <w:rPr>
                <w:sz w:val="19"/>
                <w:szCs w:val="19"/>
                <w:color w:val="auto"/>
              </w:rPr>
            </w:pPr>
          </w:p>
        </w:tc>
        <w:tc>
          <w:tcPr>
            <w:tcW w:w="260" w:type="dxa"/>
            <w:vAlign w:val="bottom"/>
            <w:tcBorders>
              <w:bottom w:val="single" w:sz="8" w:color="auto"/>
            </w:tcBorders>
            <w:shd w:val="clear" w:color="auto" w:fill="E5E5E5"/>
          </w:tcPr>
          <w:p>
            <w:pPr>
              <w:spacing w:after="0"/>
              <w:rPr>
                <w:sz w:val="19"/>
                <w:szCs w:val="19"/>
                <w:color w:val="auto"/>
              </w:rPr>
            </w:pPr>
          </w:p>
        </w:tc>
        <w:tc>
          <w:tcPr>
            <w:tcW w:w="1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159,394</w:t>
            </w:r>
          </w:p>
        </w:tc>
      </w:tr>
      <w:tr>
        <w:trPr>
          <w:trHeight w:val="20"/>
        </w:trPr>
        <w:tc>
          <w:tcPr>
            <w:tcW w:w="20" w:type="dxa"/>
            <w:vAlign w:val="bottom"/>
            <w:tcBorders>
              <w:top w:val="single" w:sz="8" w:color="E5E5E5"/>
            </w:tcBorders>
          </w:tcPr>
          <w:p>
            <w:pPr>
              <w:spacing w:after="0" w:line="20" w:lineRule="exact"/>
              <w:rPr>
                <w:sz w:val="1"/>
                <w:szCs w:val="1"/>
                <w:color w:val="auto"/>
              </w:rPr>
            </w:pPr>
          </w:p>
        </w:tc>
        <w:tc>
          <w:tcPr>
            <w:tcW w:w="2460" w:type="dxa"/>
            <w:vAlign w:val="bottom"/>
            <w:tcBorders>
              <w:top w:val="single" w:sz="8" w:color="E5E5E5"/>
            </w:tcBorders>
          </w:tcPr>
          <w:p>
            <w:pPr>
              <w:spacing w:after="0" w:line="20" w:lineRule="exact"/>
              <w:rPr>
                <w:sz w:val="1"/>
                <w:szCs w:val="1"/>
                <w:color w:val="auto"/>
              </w:rPr>
            </w:pPr>
          </w:p>
        </w:tc>
        <w:tc>
          <w:tcPr>
            <w:tcW w:w="5120" w:type="dxa"/>
            <w:vAlign w:val="bottom"/>
            <w:tcBorders>
              <w:top w:val="single" w:sz="8" w:color="E5E5E5"/>
            </w:tcBorders>
          </w:tcPr>
          <w:p>
            <w:pPr>
              <w:spacing w:after="0" w:line="20" w:lineRule="exact"/>
              <w:rPr>
                <w:sz w:val="1"/>
                <w:szCs w:val="1"/>
                <w:color w:val="auto"/>
              </w:rPr>
            </w:pPr>
          </w:p>
        </w:tc>
        <w:tc>
          <w:tcPr>
            <w:tcW w:w="340" w:type="dxa"/>
            <w:vAlign w:val="bottom"/>
            <w:tcBorders>
              <w:top w:val="single" w:sz="8" w:color="E5E5E5"/>
              <w:bottom w:val="single" w:sz="8" w:color="auto"/>
            </w:tcBorders>
          </w:tcPr>
          <w:p>
            <w:pPr>
              <w:spacing w:after="0" w:line="20" w:lineRule="exact"/>
              <w:rPr>
                <w:sz w:val="1"/>
                <w:szCs w:val="1"/>
                <w:color w:val="auto"/>
              </w:rPr>
            </w:pPr>
          </w:p>
        </w:tc>
        <w:tc>
          <w:tcPr>
            <w:tcW w:w="142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1500" w:type="dxa"/>
            <w:vAlign w:val="bottom"/>
            <w:tcBorders>
              <w:top w:val="single" w:sz="8" w:color="E5E5E5"/>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DA2031"/>
        </w:rPr>
        <w:t>XEROX HOLDINGS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STATEMENTS OF CASH FLOWS (UNAUDITED)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110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color w:val="auto"/>
              </w:rPr>
              <w:t>March 31,</w:t>
            </w:r>
          </w:p>
        </w:tc>
        <w:tc>
          <w:tcPr>
            <w:tcW w:w="110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758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420" w:type="dxa"/>
            <w:vAlign w:val="bottom"/>
          </w:tcPr>
          <w:p>
            <w:pPr>
              <w:spacing w:after="0"/>
              <w:rPr>
                <w:sz w:val="13"/>
                <w:szCs w:val="13"/>
                <w:color w:val="auto"/>
              </w:rPr>
            </w:pPr>
          </w:p>
        </w:tc>
        <w:tc>
          <w:tcPr>
            <w:tcW w:w="1340" w:type="dxa"/>
            <w:vAlign w:val="bottom"/>
          </w:tcPr>
          <w:p>
            <w:pPr>
              <w:jc w:val="right"/>
              <w:ind w:right="648"/>
              <w:spacing w:after="0" w:line="155"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jc w:val="right"/>
              <w:ind w:right="648"/>
              <w:spacing w:after="0" w:line="155" w:lineRule="exact"/>
              <w:rPr>
                <w:sz w:val="20"/>
                <w:szCs w:val="20"/>
                <w:color w:val="auto"/>
              </w:rPr>
            </w:pPr>
            <w:r>
              <w:rPr>
                <w:rFonts w:ascii="Arial" w:cs="Arial" w:eastAsia="Arial" w:hAnsi="Arial"/>
                <w:sz w:val="14"/>
                <w:szCs w:val="14"/>
                <w:color w:val="auto"/>
              </w:rPr>
              <w:t>2021</w:t>
            </w:r>
          </w:p>
        </w:tc>
      </w:tr>
      <w:tr>
        <w:trPr>
          <w:trHeight w:val="20"/>
        </w:trPr>
        <w:tc>
          <w:tcPr>
            <w:tcW w:w="20" w:type="dxa"/>
            <w:vAlign w:val="bottom"/>
            <w:tcBorders>
              <w:bottom w:val="single" w:sz="8" w:color="E5E5E5"/>
            </w:tcBorders>
          </w:tcPr>
          <w:p>
            <w:pPr>
              <w:spacing w:after="0" w:line="20" w:lineRule="exact"/>
              <w:rPr>
                <w:sz w:val="1"/>
                <w:szCs w:val="1"/>
                <w:color w:val="auto"/>
              </w:rPr>
            </w:pPr>
          </w:p>
        </w:tc>
        <w:tc>
          <w:tcPr>
            <w:tcW w:w="640" w:type="dxa"/>
            <w:vAlign w:val="bottom"/>
            <w:tcBorders>
              <w:top w:val="single" w:sz="8" w:color="auto"/>
              <w:bottom w:val="single" w:sz="8" w:color="E5E5E5"/>
            </w:tcBorders>
          </w:tcPr>
          <w:p>
            <w:pPr>
              <w:spacing w:after="0" w:line="20" w:lineRule="exact"/>
              <w:rPr>
                <w:sz w:val="1"/>
                <w:szCs w:val="1"/>
                <w:color w:val="auto"/>
              </w:rPr>
            </w:pPr>
          </w:p>
        </w:tc>
        <w:tc>
          <w:tcPr>
            <w:tcW w:w="6940" w:type="dxa"/>
            <w:vAlign w:val="bottom"/>
            <w:tcBorders>
              <w:bottom w:val="single" w:sz="8" w:color="E5E5E5"/>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E5E5E5"/>
          </w:tcPr>
          <w:p>
            <w:pPr>
              <w:spacing w:after="0"/>
              <w:rPr>
                <w:sz w:val="15"/>
                <w:szCs w:val="15"/>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420" w:type="dxa"/>
            <w:vAlign w:val="bottom"/>
            <w:shd w:val="clear" w:color="auto" w:fill="E5E5E5"/>
          </w:tcPr>
          <w:p>
            <w:pPr>
              <w:spacing w:after="0"/>
              <w:rPr>
                <w:sz w:val="15"/>
                <w:szCs w:val="15"/>
                <w:color w:val="auto"/>
              </w:rPr>
            </w:pPr>
          </w:p>
        </w:tc>
        <w:tc>
          <w:tcPr>
            <w:tcW w:w="13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6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Net (Loss) Income</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Adjustments required to reconcile Net (loss) income to Cash flows from operating activities</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Depreciation and amortization</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Provisions</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w:t>
            </w:r>
          </w:p>
        </w:tc>
      </w:tr>
      <w:tr>
        <w:trPr>
          <w:trHeight w:val="198"/>
        </w:trPr>
        <w:tc>
          <w:tcPr>
            <w:tcW w:w="2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Stock-based compensation</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Restructuring and asset impairment charges</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w:t>
            </w:r>
          </w:p>
        </w:tc>
      </w:tr>
      <w:tr>
        <w:trPr>
          <w:trHeight w:val="198"/>
        </w:trPr>
        <w:tc>
          <w:tcPr>
            <w:tcW w:w="2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Payments for restructuring</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Non-service retirement-related costs</w:t>
            </w:r>
            <w:r>
              <w:rPr>
                <w:rFonts w:ascii="Arial" w:cs="Arial" w:eastAsia="Arial" w:hAnsi="Arial"/>
                <w:sz w:val="18"/>
                <w:szCs w:val="18"/>
                <w:color w:val="auto"/>
                <w:vertAlign w:val="superscript"/>
              </w:rPr>
              <w:t>(1)</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w:t>
            </w:r>
          </w:p>
        </w:tc>
      </w:tr>
      <w:tr>
        <w:trPr>
          <w:trHeight w:val="203"/>
        </w:trPr>
        <w:tc>
          <w:tcPr>
            <w:tcW w:w="20" w:type="dxa"/>
            <w:vAlign w:val="bottom"/>
          </w:tcPr>
          <w:p>
            <w:pPr>
              <w:spacing w:after="0"/>
              <w:rPr>
                <w:sz w:val="17"/>
                <w:szCs w:val="17"/>
                <w:color w:val="auto"/>
              </w:rPr>
            </w:pPr>
          </w:p>
        </w:tc>
        <w:tc>
          <w:tcPr>
            <w:tcW w:w="7580" w:type="dxa"/>
            <w:vAlign w:val="bottom"/>
            <w:gridSpan w:val="2"/>
          </w:tcPr>
          <w:p>
            <w:pPr>
              <w:ind w:left="340"/>
              <w:spacing w:after="0" w:line="202" w:lineRule="exact"/>
              <w:rPr>
                <w:sz w:val="20"/>
                <w:szCs w:val="20"/>
                <w:color w:val="auto"/>
              </w:rPr>
            </w:pPr>
            <w:r>
              <w:rPr>
                <w:rFonts w:ascii="Arial" w:cs="Arial" w:eastAsia="Arial" w:hAnsi="Arial"/>
                <w:sz w:val="14"/>
                <w:szCs w:val="14"/>
                <w:color w:val="auto"/>
              </w:rPr>
              <w:t>Contributions to retirement plans</w:t>
            </w:r>
            <w:r>
              <w:rPr>
                <w:rFonts w:ascii="Arial" w:cs="Arial" w:eastAsia="Arial" w:hAnsi="Arial"/>
                <w:sz w:val="18"/>
                <w:szCs w:val="18"/>
                <w:color w:val="auto"/>
                <w:vertAlign w:val="superscript"/>
              </w:rPr>
              <w:t>(1)</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03"/>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Decrease in accounts receivable and billed portion of finance receivables</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92</w:t>
            </w:r>
          </w:p>
        </w:tc>
      </w:tr>
      <w:tr>
        <w:trPr>
          <w:trHeight w:val="198"/>
        </w:trPr>
        <w:tc>
          <w:tcPr>
            <w:tcW w:w="2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Increase in inventories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Increase in equipment on operating leases</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(28)</w:t>
            </w:r>
          </w:p>
        </w:tc>
      </w:tr>
      <w:tr>
        <w:trPr>
          <w:trHeight w:val="198"/>
        </w:trPr>
        <w:tc>
          <w:tcPr>
            <w:tcW w:w="2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Decrease in finance receivables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(Increase) decrease in other current and long-term assets</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w:t>
            </w:r>
          </w:p>
        </w:tc>
      </w:tr>
      <w:tr>
        <w:trPr>
          <w:trHeight w:val="198"/>
        </w:trPr>
        <w:tc>
          <w:tcPr>
            <w:tcW w:w="2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Increase (decrease) in accounts payable</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Increase (decrease) in accrued compensation</w:t>
            </w:r>
            <w:r>
              <w:rPr>
                <w:rFonts w:ascii="Arial" w:cs="Arial" w:eastAsia="Arial" w:hAnsi="Arial"/>
                <w:sz w:val="18"/>
                <w:szCs w:val="18"/>
                <w:color w:val="auto"/>
                <w:vertAlign w:val="superscript"/>
              </w:rPr>
              <w:t>(1)</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w:t>
            </w:r>
          </w:p>
        </w:tc>
      </w:tr>
      <w:tr>
        <w:trPr>
          <w:trHeight w:val="198"/>
        </w:trPr>
        <w:tc>
          <w:tcPr>
            <w:tcW w:w="2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Decrease in other current and long-term liabilities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Net change in income tax assets and liabilities</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w:t>
            </w:r>
          </w:p>
        </w:tc>
      </w:tr>
      <w:tr>
        <w:trPr>
          <w:trHeight w:val="198"/>
        </w:trPr>
        <w:tc>
          <w:tcPr>
            <w:tcW w:w="2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Net change in derivative assets and liabilities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Other operating, net</w:t>
            </w:r>
          </w:p>
        </w:tc>
        <w:tc>
          <w:tcPr>
            <w:tcW w:w="420" w:type="dxa"/>
            <w:vAlign w:val="bottom"/>
            <w:tcBorders>
              <w:bottom w:val="single" w:sz="8" w:color="auto"/>
            </w:tcBorders>
            <w:shd w:val="clear" w:color="auto" w:fill="E5E5E5"/>
          </w:tcPr>
          <w:p>
            <w:pPr>
              <w:spacing w:after="0"/>
              <w:rPr>
                <w:sz w:val="17"/>
                <w:szCs w:val="17"/>
                <w:color w:val="auto"/>
              </w:rPr>
            </w:pP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E5E5E5"/>
          </w:tcPr>
          <w:p>
            <w:pPr>
              <w:spacing w:after="0"/>
              <w:rPr>
                <w:sz w:val="17"/>
                <w:szCs w:val="17"/>
                <w:color w:val="auto"/>
              </w:rPr>
            </w:pPr>
          </w:p>
        </w:tc>
        <w:tc>
          <w:tcPr>
            <w:tcW w:w="660" w:type="dxa"/>
            <w:vAlign w:val="bottom"/>
            <w:tcBorders>
              <w:bottom w:val="single" w:sz="8" w:color="auto"/>
            </w:tcBorders>
            <w:shd w:val="clear" w:color="auto" w:fill="E5E5E5"/>
          </w:tcPr>
          <w:p>
            <w:pPr>
              <w:spacing w:after="0"/>
              <w:rPr>
                <w:sz w:val="17"/>
                <w:szCs w:val="17"/>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(11)</w:t>
            </w:r>
          </w:p>
        </w:tc>
      </w:tr>
      <w:tr>
        <w:trPr>
          <w:trHeight w:val="192"/>
        </w:trPr>
        <w:tc>
          <w:tcPr>
            <w:tcW w:w="20" w:type="dxa"/>
            <w:vAlign w:val="bottom"/>
            <w:tcBorders>
              <w:bottom w:val="single" w:sz="8" w:color="E5E5E5"/>
            </w:tcBorders>
          </w:tcPr>
          <w:p>
            <w:pPr>
              <w:spacing w:after="0"/>
              <w:rPr>
                <w:sz w:val="16"/>
                <w:szCs w:val="16"/>
                <w:color w:val="auto"/>
              </w:rPr>
            </w:pPr>
          </w:p>
        </w:tc>
        <w:tc>
          <w:tcPr>
            <w:tcW w:w="7580" w:type="dxa"/>
            <w:vAlign w:val="bottom"/>
            <w:tcBorders>
              <w:bottom w:val="single" w:sz="8" w:color="E5E5E5"/>
            </w:tcBorders>
            <w:gridSpan w:val="2"/>
          </w:tcPr>
          <w:p>
            <w:pPr>
              <w:ind w:left="540"/>
              <w:spacing w:after="0"/>
              <w:rPr>
                <w:sz w:val="20"/>
                <w:szCs w:val="20"/>
                <w:color w:val="auto"/>
              </w:rPr>
            </w:pPr>
            <w:r>
              <w:rPr>
                <w:rFonts w:ascii="Arial" w:cs="Arial" w:eastAsia="Arial" w:hAnsi="Arial"/>
                <w:sz w:val="14"/>
                <w:szCs w:val="14"/>
                <w:color w:val="auto"/>
              </w:rPr>
              <w:t>Net cash provided by operating activities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E5E5E5"/>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r>
      <w:tr>
        <w:trPr>
          <w:trHeight w:val="187"/>
        </w:trPr>
        <w:tc>
          <w:tcPr>
            <w:tcW w:w="20" w:type="dxa"/>
            <w:vAlign w:val="bottom"/>
            <w:shd w:val="clear" w:color="auto" w:fill="E5E5E5"/>
          </w:tcPr>
          <w:p>
            <w:pPr>
              <w:spacing w:after="0"/>
              <w:rPr>
                <w:sz w:val="16"/>
                <w:szCs w:val="16"/>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420" w:type="dxa"/>
            <w:vAlign w:val="bottom"/>
            <w:shd w:val="clear" w:color="auto" w:fill="E5E5E5"/>
          </w:tcPr>
          <w:p>
            <w:pPr>
              <w:spacing w:after="0"/>
              <w:rPr>
                <w:sz w:val="16"/>
                <w:szCs w:val="16"/>
                <w:color w:val="auto"/>
              </w:rPr>
            </w:pPr>
          </w:p>
        </w:tc>
        <w:tc>
          <w:tcPr>
            <w:tcW w:w="13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Cost of additions to land, buildings, equipment and software</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Acquisitions, net of cash acquired</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Borders>
              <w:bottom w:val="single" w:sz="8" w:color="E5E5E5"/>
            </w:tcBorders>
          </w:tcPr>
          <w:p>
            <w:pPr>
              <w:spacing w:after="0"/>
              <w:rPr>
                <w:sz w:val="17"/>
                <w:szCs w:val="17"/>
                <w:color w:val="auto"/>
              </w:rPr>
            </w:pPr>
          </w:p>
        </w:tc>
        <w:tc>
          <w:tcPr>
            <w:tcW w:w="7580" w:type="dxa"/>
            <w:vAlign w:val="bottom"/>
            <w:tcBorders>
              <w:bottom w:val="single" w:sz="8" w:color="E5E5E5"/>
            </w:tcBorders>
            <w:gridSpan w:val="2"/>
          </w:tcPr>
          <w:p>
            <w:pPr>
              <w:ind w:left="340"/>
              <w:spacing w:after="0"/>
              <w:rPr>
                <w:sz w:val="20"/>
                <w:szCs w:val="20"/>
                <w:color w:val="auto"/>
              </w:rPr>
            </w:pPr>
            <w:r>
              <w:rPr>
                <w:rFonts w:ascii="Arial" w:cs="Arial" w:eastAsia="Arial" w:hAnsi="Arial"/>
                <w:sz w:val="14"/>
                <w:szCs w:val="14"/>
                <w:color w:val="auto"/>
              </w:rPr>
              <w:t>Other investing, net</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E5E5E5"/>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540"/>
              <w:spacing w:after="0"/>
              <w:rPr>
                <w:sz w:val="20"/>
                <w:szCs w:val="20"/>
                <w:color w:val="auto"/>
              </w:rPr>
            </w:pPr>
            <w:r>
              <w:rPr>
                <w:rFonts w:ascii="Arial" w:cs="Arial" w:eastAsia="Arial" w:hAnsi="Arial"/>
                <w:sz w:val="14"/>
                <w:szCs w:val="14"/>
                <w:color w:val="auto"/>
              </w:rPr>
              <w:t>Net cash used in investing activities</w:t>
            </w:r>
          </w:p>
        </w:tc>
        <w:tc>
          <w:tcPr>
            <w:tcW w:w="420" w:type="dxa"/>
            <w:vAlign w:val="bottom"/>
            <w:tcBorders>
              <w:bottom w:val="single" w:sz="8" w:color="auto"/>
            </w:tcBorders>
            <w:shd w:val="clear" w:color="auto" w:fill="E5E5E5"/>
          </w:tcPr>
          <w:p>
            <w:pPr>
              <w:spacing w:after="0"/>
              <w:rPr>
                <w:sz w:val="17"/>
                <w:szCs w:val="17"/>
                <w:color w:val="auto"/>
              </w:rPr>
            </w:pP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E5E5E5"/>
          </w:tcPr>
          <w:p>
            <w:pPr>
              <w:spacing w:after="0"/>
              <w:rPr>
                <w:sz w:val="17"/>
                <w:szCs w:val="17"/>
                <w:color w:val="auto"/>
              </w:rPr>
            </w:pPr>
          </w:p>
        </w:tc>
        <w:tc>
          <w:tcPr>
            <w:tcW w:w="660" w:type="dxa"/>
            <w:vAlign w:val="bottom"/>
            <w:tcBorders>
              <w:bottom w:val="single" w:sz="8" w:color="auto"/>
            </w:tcBorders>
            <w:shd w:val="clear" w:color="auto" w:fill="E5E5E5"/>
          </w:tcPr>
          <w:p>
            <w:pPr>
              <w:spacing w:after="0"/>
              <w:rPr>
                <w:sz w:val="17"/>
                <w:szCs w:val="17"/>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(17)</w:t>
            </w:r>
          </w:p>
        </w:tc>
      </w:tr>
      <w:tr>
        <w:trPr>
          <w:trHeight w:val="182"/>
        </w:trPr>
        <w:tc>
          <w:tcPr>
            <w:tcW w:w="20" w:type="dxa"/>
            <w:vAlign w:val="bottom"/>
          </w:tcPr>
          <w:p>
            <w:pPr>
              <w:spacing w:after="0"/>
              <w:rPr>
                <w:sz w:val="15"/>
                <w:szCs w:val="15"/>
                <w:color w:val="auto"/>
              </w:rPr>
            </w:pPr>
          </w:p>
        </w:tc>
        <w:tc>
          <w:tcPr>
            <w:tcW w:w="758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Proceeds from issuance of long-term debt</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668</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Payments on long-term debt</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(646)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Dividends</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(54)</w:t>
            </w:r>
          </w:p>
        </w:tc>
      </w:tr>
      <w:tr>
        <w:trPr>
          <w:trHeight w:val="198"/>
        </w:trPr>
        <w:tc>
          <w:tcPr>
            <w:tcW w:w="2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Payments to acquire treasury stock, including fees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Other financing, net</w:t>
            </w:r>
          </w:p>
        </w:tc>
        <w:tc>
          <w:tcPr>
            <w:tcW w:w="420" w:type="dxa"/>
            <w:vAlign w:val="bottom"/>
            <w:tcBorders>
              <w:bottom w:val="single" w:sz="8" w:color="auto"/>
            </w:tcBorders>
            <w:shd w:val="clear" w:color="auto" w:fill="E5E5E5"/>
          </w:tcPr>
          <w:p>
            <w:pPr>
              <w:spacing w:after="0"/>
              <w:rPr>
                <w:sz w:val="17"/>
                <w:szCs w:val="17"/>
                <w:color w:val="auto"/>
              </w:rPr>
            </w:pP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E5E5E5"/>
          </w:tcPr>
          <w:p>
            <w:pPr>
              <w:spacing w:after="0"/>
              <w:rPr>
                <w:sz w:val="17"/>
                <w:szCs w:val="17"/>
                <w:color w:val="auto"/>
              </w:rPr>
            </w:pPr>
          </w:p>
        </w:tc>
        <w:tc>
          <w:tcPr>
            <w:tcW w:w="660" w:type="dxa"/>
            <w:vAlign w:val="bottom"/>
            <w:tcBorders>
              <w:bottom w:val="single" w:sz="8" w:color="auto"/>
            </w:tcBorders>
            <w:shd w:val="clear" w:color="auto" w:fill="E5E5E5"/>
          </w:tcPr>
          <w:p>
            <w:pPr>
              <w:spacing w:after="0"/>
              <w:rPr>
                <w:sz w:val="17"/>
                <w:szCs w:val="17"/>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w:t>
            </w:r>
          </w:p>
        </w:tc>
      </w:tr>
      <w:tr>
        <w:trPr>
          <w:trHeight w:val="192"/>
        </w:trPr>
        <w:tc>
          <w:tcPr>
            <w:tcW w:w="20" w:type="dxa"/>
            <w:vAlign w:val="bottom"/>
            <w:tcBorders>
              <w:bottom w:val="single" w:sz="8" w:color="E5E5E5"/>
            </w:tcBorders>
          </w:tcPr>
          <w:p>
            <w:pPr>
              <w:spacing w:after="0"/>
              <w:rPr>
                <w:sz w:val="16"/>
                <w:szCs w:val="16"/>
                <w:color w:val="auto"/>
              </w:rPr>
            </w:pPr>
          </w:p>
        </w:tc>
        <w:tc>
          <w:tcPr>
            <w:tcW w:w="7580" w:type="dxa"/>
            <w:vAlign w:val="bottom"/>
            <w:tcBorders>
              <w:bottom w:val="single" w:sz="8" w:color="E5E5E5"/>
            </w:tcBorders>
            <w:gridSpan w:val="2"/>
          </w:tcPr>
          <w:p>
            <w:pPr>
              <w:ind w:left="540"/>
              <w:spacing w:after="0"/>
              <w:rPr>
                <w:sz w:val="20"/>
                <w:szCs w:val="20"/>
                <w:color w:val="auto"/>
              </w:rPr>
            </w:pPr>
            <w:r>
              <w:rPr>
                <w:rFonts w:ascii="Arial" w:cs="Arial" w:eastAsia="Arial" w:hAnsi="Arial"/>
                <w:sz w:val="14"/>
                <w:szCs w:val="14"/>
                <w:color w:val="auto"/>
              </w:rPr>
              <w:t>Net cash used in financing activities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Borders>
              <w:bottom w:val="single" w:sz="8" w:color="E5E5E5"/>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w:t>
            </w:r>
          </w:p>
        </w:tc>
      </w:tr>
      <w:tr>
        <w:trPr>
          <w:trHeight w:val="200"/>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420" w:type="dxa"/>
            <w:vAlign w:val="bottom"/>
            <w:tcBorders>
              <w:bottom w:val="single" w:sz="8" w:color="auto"/>
            </w:tcBorders>
            <w:shd w:val="clear" w:color="auto" w:fill="E5E5E5"/>
          </w:tcPr>
          <w:p>
            <w:pPr>
              <w:spacing w:after="0"/>
              <w:rPr>
                <w:sz w:val="17"/>
                <w:szCs w:val="17"/>
                <w:color w:val="auto"/>
              </w:rPr>
            </w:pP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E5E5E5"/>
          </w:tcPr>
          <w:p>
            <w:pPr>
              <w:spacing w:after="0"/>
              <w:rPr>
                <w:sz w:val="17"/>
                <w:szCs w:val="17"/>
                <w:color w:val="auto"/>
              </w:rPr>
            </w:pPr>
          </w:p>
        </w:tc>
        <w:tc>
          <w:tcPr>
            <w:tcW w:w="660" w:type="dxa"/>
            <w:vAlign w:val="bottom"/>
            <w:tcBorders>
              <w:bottom w:val="single" w:sz="8" w:color="auto"/>
            </w:tcBorders>
            <w:shd w:val="clear" w:color="auto" w:fill="E5E5E5"/>
          </w:tcPr>
          <w:p>
            <w:pPr>
              <w:spacing w:after="0"/>
              <w:rPr>
                <w:sz w:val="17"/>
                <w:szCs w:val="17"/>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(12)</w:t>
            </w:r>
          </w:p>
        </w:tc>
      </w:tr>
      <w:tr>
        <w:trPr>
          <w:trHeight w:val="192"/>
        </w:trPr>
        <w:tc>
          <w:tcPr>
            <w:tcW w:w="20" w:type="dxa"/>
            <w:vAlign w:val="bottom"/>
          </w:tcPr>
          <w:p>
            <w:pPr>
              <w:spacing w:after="0"/>
              <w:rPr>
                <w:sz w:val="16"/>
                <w:szCs w:val="16"/>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Decrease in cash, cash equivalents and restricted cash</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(230)</w:t>
            </w:r>
          </w:p>
        </w:tc>
      </w:tr>
      <w:tr>
        <w:trPr>
          <w:trHeight w:val="203"/>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420" w:type="dxa"/>
            <w:vAlign w:val="bottom"/>
            <w:tcBorders>
              <w:bottom w:val="single" w:sz="8" w:color="auto"/>
            </w:tcBorders>
            <w:shd w:val="clear" w:color="auto" w:fill="E5E5E5"/>
          </w:tcPr>
          <w:p>
            <w:pPr>
              <w:spacing w:after="0"/>
              <w:rPr>
                <w:sz w:val="17"/>
                <w:szCs w:val="17"/>
                <w:color w:val="auto"/>
              </w:rPr>
            </w:pP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1,909</w:t>
            </w:r>
          </w:p>
        </w:tc>
        <w:tc>
          <w:tcPr>
            <w:tcW w:w="120" w:type="dxa"/>
            <w:vAlign w:val="bottom"/>
            <w:shd w:val="clear" w:color="auto" w:fill="E5E5E5"/>
          </w:tcPr>
          <w:p>
            <w:pPr>
              <w:spacing w:after="0"/>
              <w:rPr>
                <w:sz w:val="17"/>
                <w:szCs w:val="17"/>
                <w:color w:val="auto"/>
              </w:rPr>
            </w:pPr>
          </w:p>
        </w:tc>
        <w:tc>
          <w:tcPr>
            <w:tcW w:w="660" w:type="dxa"/>
            <w:vAlign w:val="bottom"/>
            <w:tcBorders>
              <w:bottom w:val="single" w:sz="8" w:color="auto"/>
            </w:tcBorders>
            <w:shd w:val="clear" w:color="auto" w:fill="E5E5E5"/>
          </w:tcPr>
          <w:p>
            <w:pPr>
              <w:spacing w:after="0"/>
              <w:rPr>
                <w:sz w:val="17"/>
                <w:szCs w:val="17"/>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2,691</w:t>
            </w:r>
          </w:p>
        </w:tc>
      </w:tr>
      <w:tr>
        <w:trPr>
          <w:trHeight w:val="200"/>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1,761</w:t>
            </w:r>
          </w:p>
        </w:tc>
        <w:tc>
          <w:tcPr>
            <w:tcW w:w="120" w:type="dxa"/>
            <w:vAlign w:val="bottom"/>
          </w:tcPr>
          <w:p>
            <w:pPr>
              <w:spacing w:after="0"/>
              <w:rPr>
                <w:sz w:val="17"/>
                <w:szCs w:val="17"/>
                <w:color w:val="auto"/>
              </w:rPr>
            </w:pPr>
          </w:p>
        </w:tc>
        <w:tc>
          <w:tcPr>
            <w:tcW w:w="6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2,461</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55" w:lineRule="exact"/>
        <w:rPr>
          <w:sz w:val="20"/>
          <w:szCs w:val="20"/>
          <w:color w:val="auto"/>
        </w:rPr>
      </w:pPr>
    </w:p>
    <w:p>
      <w:pPr>
        <w:jc w:val="both"/>
        <w:ind w:left="340" w:right="240" w:hanging="332"/>
        <w:spacing w:after="0" w:line="281" w:lineRule="auto"/>
        <w:tabs>
          <w:tab w:leader="none" w:pos="327"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Captions were changed in 2022 to reflect the inclusion of expense and contributions for our Retiree Health plans, which were previously reported as part of the Increase (decrease) in accrued compensation. There was no change to Net cash provided by operating activities as a result of the reclassification. Prior year amounts have been revised to conform to this presentation. Refer to Note 16 - Employee Benefit Plans for additional information.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DA2031"/>
        </w:rPr>
        <w:t>XEROX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STATEMENTS OF (LOSS) INCOME (UNAUDITED)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110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color w:val="auto"/>
              </w:rPr>
              <w:t>March 31,</w:t>
            </w:r>
          </w:p>
        </w:tc>
        <w:tc>
          <w:tcPr>
            <w:tcW w:w="110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758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420" w:type="dxa"/>
            <w:vAlign w:val="bottom"/>
          </w:tcPr>
          <w:p>
            <w:pPr>
              <w:spacing w:after="0"/>
              <w:rPr>
                <w:sz w:val="13"/>
                <w:szCs w:val="13"/>
                <w:color w:val="auto"/>
              </w:rPr>
            </w:pPr>
          </w:p>
        </w:tc>
        <w:tc>
          <w:tcPr>
            <w:tcW w:w="1340" w:type="dxa"/>
            <w:vAlign w:val="bottom"/>
          </w:tcPr>
          <w:p>
            <w:pPr>
              <w:jc w:val="right"/>
              <w:ind w:right="648"/>
              <w:spacing w:after="0" w:line="155"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jc w:val="right"/>
              <w:ind w:right="648"/>
              <w:spacing w:after="0" w:line="155" w:lineRule="exact"/>
              <w:rPr>
                <w:sz w:val="20"/>
                <w:szCs w:val="20"/>
                <w:color w:val="auto"/>
              </w:rPr>
            </w:pPr>
            <w:r>
              <w:rPr>
                <w:rFonts w:ascii="Arial" w:cs="Arial" w:eastAsia="Arial" w:hAnsi="Arial"/>
                <w:sz w:val="14"/>
                <w:szCs w:val="14"/>
                <w:color w:val="auto"/>
              </w:rPr>
              <w:t>2021</w:t>
            </w:r>
          </w:p>
        </w:tc>
      </w:tr>
      <w:tr>
        <w:trPr>
          <w:trHeight w:val="21"/>
        </w:trPr>
        <w:tc>
          <w:tcPr>
            <w:tcW w:w="20" w:type="dxa"/>
            <w:vAlign w:val="bottom"/>
            <w:tcBorders>
              <w:bottom w:val="single" w:sz="8" w:color="DBDBDB"/>
            </w:tcBorders>
          </w:tcPr>
          <w:p>
            <w:pPr>
              <w:spacing w:after="0" w:line="20" w:lineRule="exact"/>
              <w:rPr>
                <w:sz w:val="1"/>
                <w:szCs w:val="1"/>
                <w:color w:val="auto"/>
              </w:rPr>
            </w:pPr>
          </w:p>
        </w:tc>
        <w:tc>
          <w:tcPr>
            <w:tcW w:w="640" w:type="dxa"/>
            <w:vAlign w:val="bottom"/>
            <w:tcBorders>
              <w:top w:val="single" w:sz="8" w:color="auto"/>
              <w:bottom w:val="single" w:sz="8" w:color="DBDBDB"/>
            </w:tcBorders>
          </w:tcPr>
          <w:p>
            <w:pPr>
              <w:spacing w:after="0" w:line="20" w:lineRule="exact"/>
              <w:rPr>
                <w:sz w:val="1"/>
                <w:szCs w:val="1"/>
                <w:color w:val="auto"/>
              </w:rPr>
            </w:pPr>
          </w:p>
        </w:tc>
        <w:tc>
          <w:tcPr>
            <w:tcW w:w="694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DBDBDB"/>
          </w:tcPr>
          <w:p>
            <w:pPr>
              <w:spacing w:after="0"/>
              <w:rPr>
                <w:sz w:val="15"/>
                <w:szCs w:val="15"/>
                <w:color w:val="auto"/>
              </w:rPr>
            </w:pPr>
          </w:p>
        </w:tc>
        <w:tc>
          <w:tcPr>
            <w:tcW w:w="7580" w:type="dxa"/>
            <w:vAlign w:val="bottom"/>
            <w:gridSpan w:val="2"/>
            <w:shd w:val="clear" w:color="auto" w:fill="DBDBDB"/>
          </w:tcPr>
          <w:p>
            <w:pPr>
              <w:spacing w:after="0"/>
              <w:rPr>
                <w:sz w:val="20"/>
                <w:szCs w:val="20"/>
                <w:color w:val="auto"/>
              </w:rPr>
            </w:pPr>
            <w:r>
              <w:rPr>
                <w:rFonts w:ascii="Arial" w:cs="Arial" w:eastAsia="Arial" w:hAnsi="Arial"/>
                <w:sz w:val="14"/>
                <w:szCs w:val="14"/>
                <w:b w:val="1"/>
                <w:bCs w:val="1"/>
                <w:color w:val="auto"/>
              </w:rPr>
              <w:t>Revenues</w:t>
            </w:r>
          </w:p>
        </w:tc>
        <w:tc>
          <w:tcPr>
            <w:tcW w:w="42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7580" w:type="dxa"/>
            <w:vAlign w:val="bottom"/>
            <w:gridSpan w:val="2"/>
          </w:tcPr>
          <w:p>
            <w:pPr>
              <w:ind w:left="200"/>
              <w:spacing w:after="0"/>
              <w:rPr>
                <w:sz w:val="20"/>
                <w:szCs w:val="20"/>
                <w:color w:val="auto"/>
              </w:rPr>
            </w:pPr>
            <w:r>
              <w:rPr>
                <w:rFonts w:ascii="Arial" w:cs="Arial" w:eastAsia="Arial" w:hAnsi="Arial"/>
                <w:sz w:val="14"/>
                <w:szCs w:val="14"/>
                <w:color w:val="auto"/>
              </w:rPr>
              <w:t>Sales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17"/>
                <w:szCs w:val="17"/>
                <w:color w:val="auto"/>
              </w:rPr>
            </w:pP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602</w:t>
            </w:r>
          </w:p>
        </w:tc>
      </w:tr>
      <w:tr>
        <w:trPr>
          <w:trHeight w:val="207"/>
        </w:trPr>
        <w:tc>
          <w:tcPr>
            <w:tcW w:w="20" w:type="dxa"/>
            <w:vAlign w:val="bottom"/>
            <w:shd w:val="clear" w:color="auto" w:fill="DBDBDB"/>
          </w:tcPr>
          <w:p>
            <w:pPr>
              <w:spacing w:after="0"/>
              <w:rPr>
                <w:sz w:val="17"/>
                <w:szCs w:val="17"/>
                <w:color w:val="auto"/>
              </w:rPr>
            </w:pPr>
          </w:p>
        </w:tc>
        <w:tc>
          <w:tcPr>
            <w:tcW w:w="7580" w:type="dxa"/>
            <w:vAlign w:val="bottom"/>
            <w:gridSpan w:val="2"/>
            <w:shd w:val="clear" w:color="auto" w:fill="DBDBDB"/>
          </w:tcPr>
          <w:p>
            <w:pPr>
              <w:ind w:left="200"/>
              <w:spacing w:after="0"/>
              <w:rPr>
                <w:sz w:val="20"/>
                <w:szCs w:val="20"/>
                <w:color w:val="auto"/>
              </w:rPr>
            </w:pPr>
            <w:r>
              <w:rPr>
                <w:rFonts w:ascii="Arial" w:cs="Arial" w:eastAsia="Arial" w:hAnsi="Arial"/>
                <w:sz w:val="14"/>
                <w:szCs w:val="14"/>
                <w:color w:val="auto"/>
              </w:rPr>
              <w:t>Services, maintenance and rentals</w:t>
            </w:r>
          </w:p>
        </w:tc>
        <w:tc>
          <w:tcPr>
            <w:tcW w:w="42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1,023</w:t>
            </w:r>
          </w:p>
        </w:tc>
        <w:tc>
          <w:tcPr>
            <w:tcW w:w="12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1,053</w:t>
            </w:r>
          </w:p>
        </w:tc>
      </w:tr>
      <w:tr>
        <w:trPr>
          <w:trHeight w:val="198"/>
        </w:trPr>
        <w:tc>
          <w:tcPr>
            <w:tcW w:w="20" w:type="dxa"/>
            <w:vAlign w:val="bottom"/>
            <w:tcBorders>
              <w:bottom w:val="single" w:sz="8" w:color="DBDBDB"/>
            </w:tcBorders>
          </w:tcPr>
          <w:p>
            <w:pPr>
              <w:spacing w:after="0"/>
              <w:rPr>
                <w:sz w:val="17"/>
                <w:szCs w:val="17"/>
                <w:color w:val="auto"/>
              </w:rPr>
            </w:pPr>
          </w:p>
        </w:tc>
        <w:tc>
          <w:tcPr>
            <w:tcW w:w="7580" w:type="dxa"/>
            <w:vAlign w:val="bottom"/>
            <w:tcBorders>
              <w:bottom w:val="single" w:sz="8" w:color="DBDBDB"/>
            </w:tcBorders>
            <w:gridSpan w:val="2"/>
          </w:tcPr>
          <w:p>
            <w:pPr>
              <w:ind w:left="200"/>
              <w:spacing w:after="0"/>
              <w:rPr>
                <w:sz w:val="20"/>
                <w:szCs w:val="20"/>
                <w:color w:val="auto"/>
              </w:rPr>
            </w:pPr>
            <w:r>
              <w:rPr>
                <w:rFonts w:ascii="Arial" w:cs="Arial" w:eastAsia="Arial" w:hAnsi="Arial"/>
                <w:sz w:val="14"/>
                <w:szCs w:val="14"/>
                <w:color w:val="auto"/>
              </w:rPr>
              <w:t>Financing</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DBDBDB"/>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r>
      <w:tr>
        <w:trPr>
          <w:trHeight w:val="200"/>
        </w:trPr>
        <w:tc>
          <w:tcPr>
            <w:tcW w:w="20" w:type="dxa"/>
            <w:vAlign w:val="bottom"/>
            <w:shd w:val="clear" w:color="auto" w:fill="DBDBDB"/>
          </w:tcPr>
          <w:p>
            <w:pPr>
              <w:spacing w:after="0"/>
              <w:rPr>
                <w:sz w:val="17"/>
                <w:szCs w:val="17"/>
                <w:color w:val="auto"/>
              </w:rPr>
            </w:pPr>
          </w:p>
        </w:tc>
        <w:tc>
          <w:tcPr>
            <w:tcW w:w="7580" w:type="dxa"/>
            <w:vAlign w:val="bottom"/>
            <w:gridSpan w:val="2"/>
            <w:shd w:val="clear" w:color="auto" w:fill="DBDBDB"/>
          </w:tcPr>
          <w:p>
            <w:pPr>
              <w:spacing w:after="0"/>
              <w:rPr>
                <w:sz w:val="20"/>
                <w:szCs w:val="20"/>
                <w:color w:val="auto"/>
              </w:rPr>
            </w:pPr>
            <w:r>
              <w:rPr>
                <w:rFonts w:ascii="Arial" w:cs="Arial" w:eastAsia="Arial" w:hAnsi="Arial"/>
                <w:sz w:val="14"/>
                <w:szCs w:val="14"/>
                <w:b w:val="1"/>
                <w:bCs w:val="1"/>
                <w:color w:val="auto"/>
              </w:rPr>
              <w:t>Total Revenues</w:t>
            </w:r>
          </w:p>
        </w:tc>
        <w:tc>
          <w:tcPr>
            <w:tcW w:w="420" w:type="dxa"/>
            <w:vAlign w:val="bottom"/>
            <w:tcBorders>
              <w:bottom w:val="single" w:sz="8" w:color="auto"/>
            </w:tcBorders>
            <w:shd w:val="clear" w:color="auto" w:fill="DBDBDB"/>
          </w:tcPr>
          <w:p>
            <w:pPr>
              <w:spacing w:after="0"/>
              <w:rPr>
                <w:sz w:val="17"/>
                <w:szCs w:val="17"/>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1,668</w:t>
            </w:r>
          </w:p>
        </w:tc>
        <w:tc>
          <w:tcPr>
            <w:tcW w:w="120" w:type="dxa"/>
            <w:vAlign w:val="bottom"/>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1,710</w:t>
            </w:r>
          </w:p>
        </w:tc>
      </w:tr>
      <w:tr>
        <w:trPr>
          <w:trHeight w:val="181"/>
        </w:trPr>
        <w:tc>
          <w:tcPr>
            <w:tcW w:w="20" w:type="dxa"/>
            <w:vAlign w:val="bottom"/>
          </w:tcPr>
          <w:p>
            <w:pPr>
              <w:spacing w:after="0"/>
              <w:rPr>
                <w:sz w:val="15"/>
                <w:szCs w:val="15"/>
                <w:color w:val="auto"/>
              </w:rPr>
            </w:pPr>
          </w:p>
        </w:tc>
        <w:tc>
          <w:tcPr>
            <w:tcW w:w="75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4"/>
        </w:trPr>
        <w:tc>
          <w:tcPr>
            <w:tcW w:w="20" w:type="dxa"/>
            <w:vAlign w:val="bottom"/>
            <w:shd w:val="clear" w:color="auto" w:fill="DBDBDB"/>
          </w:tcPr>
          <w:p>
            <w:pPr>
              <w:spacing w:after="0"/>
              <w:rPr>
                <w:sz w:val="17"/>
                <w:szCs w:val="17"/>
                <w:color w:val="auto"/>
              </w:rPr>
            </w:pPr>
          </w:p>
        </w:tc>
        <w:tc>
          <w:tcPr>
            <w:tcW w:w="7580" w:type="dxa"/>
            <w:vAlign w:val="bottom"/>
            <w:gridSpan w:val="2"/>
            <w:shd w:val="clear" w:color="auto" w:fill="DBDBDB"/>
          </w:tcPr>
          <w:p>
            <w:pPr>
              <w:ind w:left="200"/>
              <w:spacing w:after="0"/>
              <w:rPr>
                <w:sz w:val="20"/>
                <w:szCs w:val="20"/>
                <w:color w:val="auto"/>
              </w:rPr>
            </w:pPr>
            <w:r>
              <w:rPr>
                <w:rFonts w:ascii="Arial" w:cs="Arial" w:eastAsia="Arial" w:hAnsi="Arial"/>
                <w:sz w:val="14"/>
                <w:szCs w:val="14"/>
                <w:color w:val="auto"/>
              </w:rPr>
              <w:t>Cost of sales</w:t>
            </w:r>
          </w:p>
        </w:tc>
        <w:tc>
          <w:tcPr>
            <w:tcW w:w="42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435</w:t>
            </w:r>
          </w:p>
        </w:tc>
        <w:tc>
          <w:tcPr>
            <w:tcW w:w="12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420</w:t>
            </w:r>
          </w:p>
        </w:tc>
      </w:tr>
      <w:tr>
        <w:trPr>
          <w:trHeight w:val="198"/>
        </w:trPr>
        <w:tc>
          <w:tcPr>
            <w:tcW w:w="20" w:type="dxa"/>
            <w:vAlign w:val="bottom"/>
          </w:tcPr>
          <w:p>
            <w:pPr>
              <w:spacing w:after="0"/>
              <w:rPr>
                <w:sz w:val="17"/>
                <w:szCs w:val="17"/>
                <w:color w:val="auto"/>
              </w:rPr>
            </w:pPr>
          </w:p>
        </w:tc>
        <w:tc>
          <w:tcPr>
            <w:tcW w:w="7580" w:type="dxa"/>
            <w:vAlign w:val="bottom"/>
            <w:gridSpan w:val="2"/>
          </w:tcPr>
          <w:p>
            <w:pPr>
              <w:ind w:left="200"/>
              <w:spacing w:after="0"/>
              <w:rPr>
                <w:sz w:val="20"/>
                <w:szCs w:val="20"/>
                <w:color w:val="auto"/>
              </w:rPr>
            </w:pPr>
            <w:r>
              <w:rPr>
                <w:rFonts w:ascii="Arial" w:cs="Arial" w:eastAsia="Arial" w:hAnsi="Arial"/>
                <w:sz w:val="14"/>
                <w:szCs w:val="14"/>
                <w:color w:val="auto"/>
              </w:rPr>
              <w:t>Cost of services, maintenance and rentals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679</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651</w:t>
            </w:r>
          </w:p>
        </w:tc>
      </w:tr>
      <w:tr>
        <w:trPr>
          <w:trHeight w:val="207"/>
        </w:trPr>
        <w:tc>
          <w:tcPr>
            <w:tcW w:w="20" w:type="dxa"/>
            <w:vAlign w:val="bottom"/>
            <w:shd w:val="clear" w:color="auto" w:fill="DBDBDB"/>
          </w:tcPr>
          <w:p>
            <w:pPr>
              <w:spacing w:after="0"/>
              <w:rPr>
                <w:sz w:val="17"/>
                <w:szCs w:val="17"/>
                <w:color w:val="auto"/>
              </w:rPr>
            </w:pPr>
          </w:p>
        </w:tc>
        <w:tc>
          <w:tcPr>
            <w:tcW w:w="7580" w:type="dxa"/>
            <w:vAlign w:val="bottom"/>
            <w:gridSpan w:val="2"/>
            <w:shd w:val="clear" w:color="auto" w:fill="DBDBDB"/>
          </w:tcPr>
          <w:p>
            <w:pPr>
              <w:ind w:left="200"/>
              <w:spacing w:after="0"/>
              <w:rPr>
                <w:sz w:val="20"/>
                <w:szCs w:val="20"/>
                <w:color w:val="auto"/>
              </w:rPr>
            </w:pPr>
            <w:r>
              <w:rPr>
                <w:rFonts w:ascii="Arial" w:cs="Arial" w:eastAsia="Arial" w:hAnsi="Arial"/>
                <w:sz w:val="14"/>
                <w:szCs w:val="14"/>
                <w:color w:val="auto"/>
              </w:rPr>
              <w:t>Cost of financing</w:t>
            </w:r>
          </w:p>
        </w:tc>
        <w:tc>
          <w:tcPr>
            <w:tcW w:w="42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28</w:t>
            </w:r>
          </w:p>
        </w:tc>
      </w:tr>
      <w:tr>
        <w:trPr>
          <w:trHeight w:val="198"/>
        </w:trPr>
        <w:tc>
          <w:tcPr>
            <w:tcW w:w="20" w:type="dxa"/>
            <w:vAlign w:val="bottom"/>
          </w:tcPr>
          <w:p>
            <w:pPr>
              <w:spacing w:after="0"/>
              <w:rPr>
                <w:sz w:val="17"/>
                <w:szCs w:val="17"/>
                <w:color w:val="auto"/>
              </w:rPr>
            </w:pPr>
          </w:p>
        </w:tc>
        <w:tc>
          <w:tcPr>
            <w:tcW w:w="7580" w:type="dxa"/>
            <w:vAlign w:val="bottom"/>
            <w:gridSpan w:val="2"/>
          </w:tcPr>
          <w:p>
            <w:pPr>
              <w:ind w:left="200"/>
              <w:spacing w:after="0"/>
              <w:rPr>
                <w:sz w:val="20"/>
                <w:szCs w:val="20"/>
                <w:color w:val="auto"/>
              </w:rPr>
            </w:pPr>
            <w:r>
              <w:rPr>
                <w:rFonts w:ascii="Arial" w:cs="Arial" w:eastAsia="Arial" w:hAnsi="Arial"/>
                <w:sz w:val="14"/>
                <w:szCs w:val="14"/>
                <w:color w:val="auto"/>
              </w:rPr>
              <w:t>Research, development and engineering expenses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207"/>
        </w:trPr>
        <w:tc>
          <w:tcPr>
            <w:tcW w:w="20" w:type="dxa"/>
            <w:vAlign w:val="bottom"/>
            <w:shd w:val="clear" w:color="auto" w:fill="DBDBDB"/>
          </w:tcPr>
          <w:p>
            <w:pPr>
              <w:spacing w:after="0"/>
              <w:rPr>
                <w:sz w:val="17"/>
                <w:szCs w:val="17"/>
                <w:color w:val="auto"/>
              </w:rPr>
            </w:pPr>
          </w:p>
        </w:tc>
        <w:tc>
          <w:tcPr>
            <w:tcW w:w="7580" w:type="dxa"/>
            <w:vAlign w:val="bottom"/>
            <w:gridSpan w:val="2"/>
            <w:shd w:val="clear" w:color="auto" w:fill="DBDBDB"/>
          </w:tcPr>
          <w:p>
            <w:pPr>
              <w:ind w:left="200"/>
              <w:spacing w:after="0"/>
              <w:rPr>
                <w:sz w:val="20"/>
                <w:szCs w:val="20"/>
                <w:color w:val="auto"/>
              </w:rPr>
            </w:pPr>
            <w:r>
              <w:rPr>
                <w:rFonts w:ascii="Arial" w:cs="Arial" w:eastAsia="Arial" w:hAnsi="Arial"/>
                <w:sz w:val="14"/>
                <w:szCs w:val="14"/>
                <w:color w:val="auto"/>
              </w:rPr>
              <w:t>Selling, administrative and general expenses</w:t>
            </w:r>
          </w:p>
        </w:tc>
        <w:tc>
          <w:tcPr>
            <w:tcW w:w="42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455</w:t>
            </w:r>
          </w:p>
        </w:tc>
        <w:tc>
          <w:tcPr>
            <w:tcW w:w="12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448</w:t>
            </w:r>
          </w:p>
        </w:tc>
      </w:tr>
      <w:tr>
        <w:trPr>
          <w:trHeight w:val="198"/>
        </w:trPr>
        <w:tc>
          <w:tcPr>
            <w:tcW w:w="20" w:type="dxa"/>
            <w:vAlign w:val="bottom"/>
          </w:tcPr>
          <w:p>
            <w:pPr>
              <w:spacing w:after="0"/>
              <w:rPr>
                <w:sz w:val="17"/>
                <w:szCs w:val="17"/>
                <w:color w:val="auto"/>
              </w:rPr>
            </w:pPr>
          </w:p>
        </w:tc>
        <w:tc>
          <w:tcPr>
            <w:tcW w:w="7580" w:type="dxa"/>
            <w:vAlign w:val="bottom"/>
            <w:gridSpan w:val="2"/>
          </w:tcPr>
          <w:p>
            <w:pPr>
              <w:ind w:left="200"/>
              <w:spacing w:after="0"/>
              <w:rPr>
                <w:sz w:val="20"/>
                <w:szCs w:val="20"/>
                <w:color w:val="auto"/>
              </w:rPr>
            </w:pPr>
            <w:r>
              <w:rPr>
                <w:rFonts w:ascii="Arial" w:cs="Arial" w:eastAsia="Arial" w:hAnsi="Arial"/>
                <w:sz w:val="14"/>
                <w:szCs w:val="14"/>
                <w:color w:val="auto"/>
              </w:rPr>
              <w:t>Restructuring and related costs, net</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7"/>
        </w:trPr>
        <w:tc>
          <w:tcPr>
            <w:tcW w:w="20" w:type="dxa"/>
            <w:vAlign w:val="bottom"/>
            <w:shd w:val="clear" w:color="auto" w:fill="DBDBDB"/>
          </w:tcPr>
          <w:p>
            <w:pPr>
              <w:spacing w:after="0"/>
              <w:rPr>
                <w:sz w:val="17"/>
                <w:szCs w:val="17"/>
                <w:color w:val="auto"/>
              </w:rPr>
            </w:pPr>
          </w:p>
        </w:tc>
        <w:tc>
          <w:tcPr>
            <w:tcW w:w="7580" w:type="dxa"/>
            <w:vAlign w:val="bottom"/>
            <w:gridSpan w:val="2"/>
            <w:shd w:val="clear" w:color="auto" w:fill="DBDBDB"/>
          </w:tcPr>
          <w:p>
            <w:pPr>
              <w:ind w:left="200"/>
              <w:spacing w:after="0"/>
              <w:rPr>
                <w:sz w:val="20"/>
                <w:szCs w:val="20"/>
                <w:color w:val="auto"/>
              </w:rPr>
            </w:pPr>
            <w:r>
              <w:rPr>
                <w:rFonts w:ascii="Arial" w:cs="Arial" w:eastAsia="Arial" w:hAnsi="Arial"/>
                <w:sz w:val="14"/>
                <w:szCs w:val="14"/>
                <w:color w:val="auto"/>
              </w:rPr>
              <w:t>Amortization of intangible assets</w:t>
            </w:r>
          </w:p>
        </w:tc>
        <w:tc>
          <w:tcPr>
            <w:tcW w:w="42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w:t>
            </w:r>
          </w:p>
        </w:tc>
      </w:tr>
      <w:tr>
        <w:trPr>
          <w:trHeight w:val="198"/>
        </w:trPr>
        <w:tc>
          <w:tcPr>
            <w:tcW w:w="20" w:type="dxa"/>
            <w:vAlign w:val="bottom"/>
            <w:tcBorders>
              <w:bottom w:val="single" w:sz="8" w:color="DBDBDB"/>
            </w:tcBorders>
          </w:tcPr>
          <w:p>
            <w:pPr>
              <w:spacing w:after="0"/>
              <w:rPr>
                <w:sz w:val="17"/>
                <w:szCs w:val="17"/>
                <w:color w:val="auto"/>
              </w:rPr>
            </w:pPr>
          </w:p>
        </w:tc>
        <w:tc>
          <w:tcPr>
            <w:tcW w:w="7580" w:type="dxa"/>
            <w:vAlign w:val="bottom"/>
            <w:tcBorders>
              <w:bottom w:val="single" w:sz="8" w:color="DBDBDB"/>
            </w:tcBorders>
            <w:gridSpan w:val="2"/>
          </w:tcPr>
          <w:p>
            <w:pPr>
              <w:ind w:left="200"/>
              <w:spacing w:after="0"/>
              <w:rPr>
                <w:sz w:val="20"/>
                <w:szCs w:val="20"/>
                <w:color w:val="auto"/>
              </w:rPr>
            </w:pPr>
            <w:r>
              <w:rPr>
                <w:rFonts w:ascii="Arial" w:cs="Arial" w:eastAsia="Arial" w:hAnsi="Arial"/>
                <w:sz w:val="14"/>
                <w:szCs w:val="14"/>
                <w:color w:val="auto"/>
              </w:rPr>
              <w:t>Other expenses, net</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DBDBDB"/>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00"/>
        </w:trPr>
        <w:tc>
          <w:tcPr>
            <w:tcW w:w="20" w:type="dxa"/>
            <w:vAlign w:val="bottom"/>
            <w:shd w:val="clear" w:color="auto" w:fill="DBDBDB"/>
          </w:tcPr>
          <w:p>
            <w:pPr>
              <w:spacing w:after="0"/>
              <w:rPr>
                <w:sz w:val="17"/>
                <w:szCs w:val="17"/>
                <w:color w:val="auto"/>
              </w:rPr>
            </w:pPr>
          </w:p>
        </w:tc>
        <w:tc>
          <w:tcPr>
            <w:tcW w:w="7580" w:type="dxa"/>
            <w:vAlign w:val="bottom"/>
            <w:gridSpan w:val="2"/>
            <w:shd w:val="clear" w:color="auto" w:fill="DBDBDB"/>
          </w:tcPr>
          <w:p>
            <w:pPr>
              <w:spacing w:after="0"/>
              <w:rPr>
                <w:sz w:val="20"/>
                <w:szCs w:val="20"/>
                <w:color w:val="auto"/>
              </w:rPr>
            </w:pPr>
            <w:r>
              <w:rPr>
                <w:rFonts w:ascii="Arial" w:cs="Arial" w:eastAsia="Arial" w:hAnsi="Arial"/>
                <w:sz w:val="14"/>
                <w:szCs w:val="14"/>
                <w:b w:val="1"/>
                <w:bCs w:val="1"/>
                <w:color w:val="auto"/>
              </w:rPr>
              <w:t>Total Costs and Expenses</w:t>
            </w:r>
          </w:p>
        </w:tc>
        <w:tc>
          <w:tcPr>
            <w:tcW w:w="420" w:type="dxa"/>
            <w:vAlign w:val="bottom"/>
            <w:tcBorders>
              <w:bottom w:val="single" w:sz="8" w:color="auto"/>
            </w:tcBorders>
            <w:shd w:val="clear" w:color="auto" w:fill="DBDBDB"/>
          </w:tcPr>
          <w:p>
            <w:pPr>
              <w:spacing w:after="0"/>
              <w:rPr>
                <w:sz w:val="17"/>
                <w:szCs w:val="17"/>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1,757</w:t>
            </w:r>
          </w:p>
        </w:tc>
        <w:tc>
          <w:tcPr>
            <w:tcW w:w="120" w:type="dxa"/>
            <w:vAlign w:val="bottom"/>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1,657</w:t>
            </w:r>
          </w:p>
        </w:tc>
      </w:tr>
      <w:tr>
        <w:trPr>
          <w:trHeight w:val="195"/>
        </w:trPr>
        <w:tc>
          <w:tcPr>
            <w:tcW w:w="20" w:type="dxa"/>
            <w:vAlign w:val="bottom"/>
          </w:tcPr>
          <w:p>
            <w:pPr>
              <w:spacing w:after="0"/>
              <w:rPr>
                <w:sz w:val="16"/>
                <w:szCs w:val="16"/>
                <w:color w:val="auto"/>
              </w:rPr>
            </w:pPr>
          </w:p>
        </w:tc>
        <w:tc>
          <w:tcPr>
            <w:tcW w:w="7580" w:type="dxa"/>
            <w:vAlign w:val="bottom"/>
            <w:gridSpan w:val="2"/>
          </w:tcPr>
          <w:p>
            <w:pPr>
              <w:spacing w:after="0"/>
              <w:rPr>
                <w:sz w:val="20"/>
                <w:szCs w:val="20"/>
                <w:color w:val="auto"/>
              </w:rPr>
            </w:pPr>
            <w:r>
              <w:rPr>
                <w:rFonts w:ascii="Arial" w:cs="Arial" w:eastAsia="Arial" w:hAnsi="Arial"/>
                <w:sz w:val="14"/>
                <w:szCs w:val="14"/>
                <w:b w:val="1"/>
                <w:bCs w:val="1"/>
                <w:color w:val="auto"/>
              </w:rPr>
              <w:t>(Loss) Income before Income Taxes and Equity Income</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04"/>
        </w:trPr>
        <w:tc>
          <w:tcPr>
            <w:tcW w:w="20" w:type="dxa"/>
            <w:vAlign w:val="bottom"/>
            <w:shd w:val="clear" w:color="auto" w:fill="DBDBDB"/>
          </w:tcPr>
          <w:p>
            <w:pPr>
              <w:spacing w:after="0"/>
              <w:rPr>
                <w:sz w:val="17"/>
                <w:szCs w:val="17"/>
                <w:color w:val="auto"/>
              </w:rPr>
            </w:pPr>
          </w:p>
        </w:tc>
        <w:tc>
          <w:tcPr>
            <w:tcW w:w="7580" w:type="dxa"/>
            <w:vAlign w:val="bottom"/>
            <w:gridSpan w:val="2"/>
            <w:shd w:val="clear" w:color="auto" w:fill="DBDBDB"/>
          </w:tcPr>
          <w:p>
            <w:pPr>
              <w:ind w:left="200"/>
              <w:spacing w:after="0"/>
              <w:rPr>
                <w:sz w:val="20"/>
                <w:szCs w:val="20"/>
                <w:color w:val="auto"/>
              </w:rPr>
            </w:pPr>
            <w:r>
              <w:rPr>
                <w:rFonts w:ascii="Arial" w:cs="Arial" w:eastAsia="Arial" w:hAnsi="Arial"/>
                <w:sz w:val="14"/>
                <w:szCs w:val="14"/>
                <w:color w:val="auto"/>
              </w:rPr>
              <w:t>Income tax (benefit) expense</w:t>
            </w:r>
          </w:p>
        </w:tc>
        <w:tc>
          <w:tcPr>
            <w:tcW w:w="42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w:t>
            </w:r>
          </w:p>
        </w:tc>
      </w:tr>
      <w:tr>
        <w:trPr>
          <w:trHeight w:val="198"/>
        </w:trPr>
        <w:tc>
          <w:tcPr>
            <w:tcW w:w="20" w:type="dxa"/>
            <w:vAlign w:val="bottom"/>
            <w:tcBorders>
              <w:bottom w:val="single" w:sz="8" w:color="DBDBDB"/>
            </w:tcBorders>
          </w:tcPr>
          <w:p>
            <w:pPr>
              <w:spacing w:after="0"/>
              <w:rPr>
                <w:sz w:val="17"/>
                <w:szCs w:val="17"/>
                <w:color w:val="auto"/>
              </w:rPr>
            </w:pPr>
          </w:p>
        </w:tc>
        <w:tc>
          <w:tcPr>
            <w:tcW w:w="7580" w:type="dxa"/>
            <w:vAlign w:val="bottom"/>
            <w:tcBorders>
              <w:bottom w:val="single" w:sz="8" w:color="DBDBDB"/>
            </w:tcBorders>
            <w:gridSpan w:val="2"/>
          </w:tcPr>
          <w:p>
            <w:pPr>
              <w:ind w:left="200"/>
              <w:spacing w:after="0"/>
              <w:rPr>
                <w:sz w:val="20"/>
                <w:szCs w:val="20"/>
                <w:color w:val="auto"/>
              </w:rPr>
            </w:pPr>
            <w:r>
              <w:rPr>
                <w:rFonts w:ascii="Arial" w:cs="Arial" w:eastAsia="Arial" w:hAnsi="Arial"/>
                <w:sz w:val="14"/>
                <w:szCs w:val="14"/>
                <w:color w:val="auto"/>
              </w:rPr>
              <w:t>Equity in net income of unconsolidated affiliates</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DBDBDB"/>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20" w:type="dxa"/>
            <w:vAlign w:val="bottom"/>
            <w:shd w:val="clear" w:color="auto" w:fill="DBDBDB"/>
          </w:tcPr>
          <w:p>
            <w:pPr>
              <w:spacing w:after="0"/>
              <w:rPr>
                <w:sz w:val="17"/>
                <w:szCs w:val="17"/>
                <w:color w:val="auto"/>
              </w:rPr>
            </w:pPr>
          </w:p>
        </w:tc>
        <w:tc>
          <w:tcPr>
            <w:tcW w:w="7580" w:type="dxa"/>
            <w:vAlign w:val="bottom"/>
            <w:gridSpan w:val="2"/>
            <w:shd w:val="clear" w:color="auto" w:fill="DBDBDB"/>
          </w:tcPr>
          <w:p>
            <w:pPr>
              <w:spacing w:after="0"/>
              <w:rPr>
                <w:sz w:val="20"/>
                <w:szCs w:val="20"/>
                <w:color w:val="auto"/>
              </w:rPr>
            </w:pPr>
            <w:r>
              <w:rPr>
                <w:rFonts w:ascii="Arial" w:cs="Arial" w:eastAsia="Arial" w:hAnsi="Arial"/>
                <w:sz w:val="14"/>
                <w:szCs w:val="14"/>
                <w:b w:val="1"/>
                <w:bCs w:val="1"/>
                <w:color w:val="auto"/>
              </w:rPr>
              <w:t>Net (Loss) Income</w:t>
            </w:r>
          </w:p>
        </w:tc>
        <w:tc>
          <w:tcPr>
            <w:tcW w:w="42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39</w:t>
            </w:r>
          </w:p>
        </w:tc>
      </w:tr>
      <w:tr>
        <w:trPr>
          <w:trHeight w:val="198"/>
        </w:trPr>
        <w:tc>
          <w:tcPr>
            <w:tcW w:w="20" w:type="dxa"/>
            <w:vAlign w:val="bottom"/>
            <w:tcBorders>
              <w:bottom w:val="single" w:sz="8" w:color="DBDBDB"/>
            </w:tcBorders>
          </w:tcPr>
          <w:p>
            <w:pPr>
              <w:spacing w:after="0"/>
              <w:rPr>
                <w:sz w:val="17"/>
                <w:szCs w:val="17"/>
                <w:color w:val="auto"/>
              </w:rPr>
            </w:pPr>
          </w:p>
        </w:tc>
        <w:tc>
          <w:tcPr>
            <w:tcW w:w="7580" w:type="dxa"/>
            <w:vAlign w:val="bottom"/>
            <w:tcBorders>
              <w:bottom w:val="single" w:sz="8" w:color="DBDBDB"/>
            </w:tcBorders>
            <w:gridSpan w:val="2"/>
          </w:tcPr>
          <w:p>
            <w:pPr>
              <w:ind w:left="200"/>
              <w:spacing w:after="0"/>
              <w:rPr>
                <w:sz w:val="20"/>
                <w:szCs w:val="20"/>
                <w:color w:val="auto"/>
              </w:rPr>
            </w:pPr>
            <w:r>
              <w:rPr>
                <w:rFonts w:ascii="Arial" w:cs="Arial" w:eastAsia="Arial" w:hAnsi="Arial"/>
                <w:sz w:val="14"/>
                <w:szCs w:val="14"/>
                <w:color w:val="auto"/>
              </w:rPr>
              <w:t>Less: Net loss attributable to noncontrolling interests</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DBDBDB"/>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20" w:type="dxa"/>
            <w:vAlign w:val="bottom"/>
            <w:tcBorders>
              <w:bottom w:val="single" w:sz="8" w:color="DBDBDB"/>
            </w:tcBorders>
            <w:shd w:val="clear" w:color="auto" w:fill="DBDBDB"/>
          </w:tcPr>
          <w:p>
            <w:pPr>
              <w:spacing w:after="0"/>
              <w:rPr>
                <w:sz w:val="19"/>
                <w:szCs w:val="19"/>
                <w:color w:val="auto"/>
              </w:rPr>
            </w:pPr>
          </w:p>
        </w:tc>
        <w:tc>
          <w:tcPr>
            <w:tcW w:w="758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4"/>
                <w:szCs w:val="14"/>
                <w:b w:val="1"/>
                <w:bCs w:val="1"/>
                <w:color w:val="auto"/>
              </w:rPr>
              <w:t>Net (Loss) Income Attributable to Xerox</w:t>
            </w:r>
          </w:p>
        </w:tc>
        <w:tc>
          <w:tcPr>
            <w:tcW w:w="420" w:type="dxa"/>
            <w:vAlign w:val="bottom"/>
            <w:tcBorders>
              <w:bottom w:val="single" w:sz="8" w:color="auto"/>
            </w:tcBorders>
            <w:shd w:val="clear" w:color="auto" w:fill="DBDBDB"/>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DBDBDB"/>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ind w:right="5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39</w:t>
            </w:r>
          </w:p>
        </w:tc>
      </w:tr>
      <w:tr>
        <w:trPr>
          <w:trHeight w:val="20"/>
        </w:trPr>
        <w:tc>
          <w:tcPr>
            <w:tcW w:w="20" w:type="dxa"/>
            <w:vAlign w:val="bottom"/>
            <w:tcBorders>
              <w:top w:val="single" w:sz="8" w:color="DBDBDB"/>
            </w:tcBorders>
          </w:tcPr>
          <w:p>
            <w:pPr>
              <w:spacing w:after="0" w:line="20" w:lineRule="exact"/>
              <w:rPr>
                <w:sz w:val="1"/>
                <w:szCs w:val="1"/>
                <w:color w:val="auto"/>
              </w:rPr>
            </w:pPr>
          </w:p>
        </w:tc>
        <w:tc>
          <w:tcPr>
            <w:tcW w:w="640" w:type="dxa"/>
            <w:vAlign w:val="bottom"/>
            <w:tcBorders>
              <w:top w:val="single" w:sz="8" w:color="DBDBDB"/>
            </w:tcBorders>
          </w:tcPr>
          <w:p>
            <w:pPr>
              <w:spacing w:after="0" w:line="20" w:lineRule="exact"/>
              <w:rPr>
                <w:sz w:val="1"/>
                <w:szCs w:val="1"/>
                <w:color w:val="auto"/>
              </w:rPr>
            </w:pPr>
          </w:p>
        </w:tc>
        <w:tc>
          <w:tcPr>
            <w:tcW w:w="694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DA2031"/>
        </w:rPr>
        <w:t>XEROX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STATEMENTS OF COMPREHENSIVE (LOSS) INCOME (UNAUDITED)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110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color w:val="auto"/>
              </w:rPr>
              <w:t>March 31,</w:t>
            </w:r>
          </w:p>
        </w:tc>
        <w:tc>
          <w:tcPr>
            <w:tcW w:w="110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758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420" w:type="dxa"/>
            <w:vAlign w:val="bottom"/>
          </w:tcPr>
          <w:p>
            <w:pPr>
              <w:spacing w:after="0"/>
              <w:rPr>
                <w:sz w:val="13"/>
                <w:szCs w:val="13"/>
                <w:color w:val="auto"/>
              </w:rPr>
            </w:pPr>
          </w:p>
        </w:tc>
        <w:tc>
          <w:tcPr>
            <w:tcW w:w="1340" w:type="dxa"/>
            <w:vAlign w:val="bottom"/>
          </w:tcPr>
          <w:p>
            <w:pPr>
              <w:jc w:val="right"/>
              <w:ind w:right="648"/>
              <w:spacing w:after="0" w:line="155"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jc w:val="right"/>
              <w:ind w:right="648"/>
              <w:spacing w:after="0" w:line="155" w:lineRule="exact"/>
              <w:rPr>
                <w:sz w:val="20"/>
                <w:szCs w:val="20"/>
                <w:color w:val="auto"/>
              </w:rPr>
            </w:pPr>
            <w:r>
              <w:rPr>
                <w:rFonts w:ascii="Arial" w:cs="Arial" w:eastAsia="Arial" w:hAnsi="Arial"/>
                <w:sz w:val="14"/>
                <w:szCs w:val="14"/>
                <w:color w:val="auto"/>
              </w:rPr>
              <w:t>2021</w:t>
            </w:r>
          </w:p>
        </w:tc>
      </w:tr>
      <w:tr>
        <w:trPr>
          <w:trHeight w:val="20"/>
        </w:trPr>
        <w:tc>
          <w:tcPr>
            <w:tcW w:w="20" w:type="dxa"/>
            <w:vAlign w:val="bottom"/>
            <w:tcBorders>
              <w:bottom w:val="single" w:sz="8" w:color="E5E5E5"/>
            </w:tcBorders>
          </w:tcPr>
          <w:p>
            <w:pPr>
              <w:spacing w:after="0" w:line="20" w:lineRule="exact"/>
              <w:rPr>
                <w:sz w:val="1"/>
                <w:szCs w:val="1"/>
                <w:color w:val="auto"/>
              </w:rPr>
            </w:pPr>
          </w:p>
        </w:tc>
        <w:tc>
          <w:tcPr>
            <w:tcW w:w="640" w:type="dxa"/>
            <w:vAlign w:val="bottom"/>
            <w:tcBorders>
              <w:top w:val="single" w:sz="8" w:color="auto"/>
              <w:bottom w:val="single" w:sz="8" w:color="E5E5E5"/>
            </w:tcBorders>
          </w:tcPr>
          <w:p>
            <w:pPr>
              <w:spacing w:after="0" w:line="20" w:lineRule="exact"/>
              <w:rPr>
                <w:sz w:val="1"/>
                <w:szCs w:val="1"/>
                <w:color w:val="auto"/>
              </w:rPr>
            </w:pPr>
          </w:p>
        </w:tc>
        <w:tc>
          <w:tcPr>
            <w:tcW w:w="6940" w:type="dxa"/>
            <w:vAlign w:val="bottom"/>
            <w:tcBorders>
              <w:bottom w:val="single" w:sz="8" w:color="E5E5E5"/>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Net (Loss) Income</w:t>
            </w:r>
          </w:p>
        </w:tc>
        <w:tc>
          <w:tcPr>
            <w:tcW w:w="42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jc w:val="right"/>
              <w:ind w:right="50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39</w:t>
            </w:r>
          </w:p>
        </w:tc>
      </w:tr>
      <w:tr>
        <w:trPr>
          <w:trHeight w:val="199"/>
        </w:trPr>
        <w:tc>
          <w:tcPr>
            <w:tcW w:w="20" w:type="dxa"/>
            <w:vAlign w:val="bottom"/>
            <w:tcBorders>
              <w:bottom w:val="single" w:sz="8" w:color="E5E5E5"/>
            </w:tcBorders>
          </w:tcPr>
          <w:p>
            <w:pPr>
              <w:spacing w:after="0"/>
              <w:rPr>
                <w:sz w:val="17"/>
                <w:szCs w:val="17"/>
                <w:color w:val="auto"/>
              </w:rPr>
            </w:pPr>
          </w:p>
        </w:tc>
        <w:tc>
          <w:tcPr>
            <w:tcW w:w="7580" w:type="dxa"/>
            <w:vAlign w:val="bottom"/>
            <w:tcBorders>
              <w:bottom w:val="single" w:sz="8" w:color="E5E5E5"/>
            </w:tcBorders>
            <w:gridSpan w:val="2"/>
          </w:tcPr>
          <w:p>
            <w:pPr>
              <w:ind w:left="200"/>
              <w:spacing w:after="0"/>
              <w:rPr>
                <w:sz w:val="20"/>
                <w:szCs w:val="20"/>
                <w:color w:val="auto"/>
              </w:rPr>
            </w:pPr>
            <w:r>
              <w:rPr>
                <w:rFonts w:ascii="Arial" w:cs="Arial" w:eastAsia="Arial" w:hAnsi="Arial"/>
                <w:sz w:val="14"/>
                <w:szCs w:val="14"/>
                <w:color w:val="auto"/>
              </w:rPr>
              <w:t>Less: Net loss attributable to noncontrolling interests</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E5E5E5"/>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Net (Loss) Income Attributable to Xerox</w:t>
            </w:r>
          </w:p>
        </w:tc>
        <w:tc>
          <w:tcPr>
            <w:tcW w:w="420" w:type="dxa"/>
            <w:vAlign w:val="bottom"/>
            <w:tcBorders>
              <w:bottom w:val="single" w:sz="8" w:color="auto"/>
            </w:tcBorders>
            <w:shd w:val="clear" w:color="auto" w:fill="E5E5E5"/>
          </w:tcPr>
          <w:p>
            <w:pPr>
              <w:spacing w:after="0"/>
              <w:rPr>
                <w:sz w:val="17"/>
                <w:szCs w:val="17"/>
                <w:color w:val="auto"/>
              </w:rPr>
            </w:pP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E5E5E5"/>
          </w:tcPr>
          <w:p>
            <w:pPr>
              <w:spacing w:after="0"/>
              <w:rPr>
                <w:sz w:val="17"/>
                <w:szCs w:val="17"/>
                <w:color w:val="auto"/>
              </w:rPr>
            </w:pPr>
          </w:p>
        </w:tc>
        <w:tc>
          <w:tcPr>
            <w:tcW w:w="660" w:type="dxa"/>
            <w:vAlign w:val="bottom"/>
            <w:tcBorders>
              <w:bottom w:val="single" w:sz="8" w:color="auto"/>
            </w:tcBorders>
            <w:shd w:val="clear" w:color="auto" w:fill="E5E5E5"/>
          </w:tcPr>
          <w:p>
            <w:pPr>
              <w:spacing w:after="0"/>
              <w:rPr>
                <w:sz w:val="17"/>
                <w:szCs w:val="17"/>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39</w:t>
            </w:r>
          </w:p>
        </w:tc>
      </w:tr>
      <w:tr>
        <w:trPr>
          <w:trHeight w:val="197"/>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line="202" w:lineRule="exact"/>
              <w:rPr>
                <w:sz w:val="20"/>
                <w:szCs w:val="20"/>
                <w:color w:val="auto"/>
              </w:rPr>
            </w:pPr>
            <w:r>
              <w:rPr>
                <w:rFonts w:ascii="Arial" w:cs="Arial" w:eastAsia="Arial" w:hAnsi="Arial"/>
                <w:sz w:val="14"/>
                <w:szCs w:val="14"/>
                <w:b w:val="1"/>
                <w:bCs w:val="1"/>
                <w:color w:val="auto"/>
              </w:rPr>
              <w:t>Other Comprehensive (Loss) Income, Net</w:t>
            </w:r>
            <w:r>
              <w:rPr>
                <w:rFonts w:ascii="Arial" w:cs="Arial" w:eastAsia="Arial" w:hAnsi="Arial"/>
                <w:sz w:val="18"/>
                <w:szCs w:val="18"/>
                <w:b w:val="1"/>
                <w:bCs w:val="1"/>
                <w:color w:val="auto"/>
                <w:vertAlign w:val="superscript"/>
              </w:rPr>
              <w:t>(1)</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7580" w:type="dxa"/>
            <w:vAlign w:val="bottom"/>
            <w:gridSpan w:val="2"/>
          </w:tcPr>
          <w:p>
            <w:pPr>
              <w:ind w:left="200"/>
              <w:spacing w:after="0"/>
              <w:rPr>
                <w:sz w:val="20"/>
                <w:szCs w:val="20"/>
                <w:color w:val="auto"/>
              </w:rPr>
            </w:pPr>
            <w:r>
              <w:rPr>
                <w:rFonts w:ascii="Arial" w:cs="Arial" w:eastAsia="Arial" w:hAnsi="Arial"/>
                <w:sz w:val="14"/>
                <w:szCs w:val="14"/>
                <w:color w:val="auto"/>
              </w:rPr>
              <w:t>Translation adjustments, net</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200"/>
              <w:spacing w:after="0"/>
              <w:rPr>
                <w:sz w:val="20"/>
                <w:szCs w:val="20"/>
                <w:color w:val="auto"/>
              </w:rPr>
            </w:pPr>
            <w:r>
              <w:rPr>
                <w:rFonts w:ascii="Arial" w:cs="Arial" w:eastAsia="Arial" w:hAnsi="Arial"/>
                <w:sz w:val="14"/>
                <w:szCs w:val="14"/>
                <w:color w:val="auto"/>
              </w:rPr>
              <w:t>Unrealized losses, net</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w:t>
            </w:r>
          </w:p>
        </w:tc>
      </w:tr>
      <w:tr>
        <w:trPr>
          <w:trHeight w:val="198"/>
        </w:trPr>
        <w:tc>
          <w:tcPr>
            <w:tcW w:w="20" w:type="dxa"/>
            <w:vAlign w:val="bottom"/>
            <w:tcBorders>
              <w:bottom w:val="single" w:sz="8" w:color="E5E5E5"/>
            </w:tcBorders>
          </w:tcPr>
          <w:p>
            <w:pPr>
              <w:spacing w:after="0"/>
              <w:rPr>
                <w:sz w:val="17"/>
                <w:szCs w:val="17"/>
                <w:color w:val="auto"/>
              </w:rPr>
            </w:pPr>
          </w:p>
        </w:tc>
        <w:tc>
          <w:tcPr>
            <w:tcW w:w="7580" w:type="dxa"/>
            <w:vAlign w:val="bottom"/>
            <w:tcBorders>
              <w:bottom w:val="single" w:sz="8" w:color="E5E5E5"/>
            </w:tcBorders>
            <w:gridSpan w:val="2"/>
          </w:tcPr>
          <w:p>
            <w:pPr>
              <w:ind w:left="200"/>
              <w:spacing w:after="0"/>
              <w:rPr>
                <w:sz w:val="20"/>
                <w:szCs w:val="20"/>
                <w:color w:val="auto"/>
              </w:rPr>
            </w:pPr>
            <w:r>
              <w:rPr>
                <w:rFonts w:ascii="Arial" w:cs="Arial" w:eastAsia="Arial" w:hAnsi="Arial"/>
                <w:sz w:val="14"/>
                <w:szCs w:val="14"/>
                <w:color w:val="auto"/>
              </w:rPr>
              <w:t>Changes in defined benefit plans, net</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E5E5E5"/>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r>
      <w:tr>
        <w:trPr>
          <w:trHeight w:val="199"/>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Other Comprehensive Loss, Net Attributable to Xerox</w:t>
            </w:r>
          </w:p>
        </w:tc>
        <w:tc>
          <w:tcPr>
            <w:tcW w:w="420" w:type="dxa"/>
            <w:vAlign w:val="bottom"/>
            <w:tcBorders>
              <w:bottom w:val="single" w:sz="8" w:color="auto"/>
            </w:tcBorders>
            <w:shd w:val="clear" w:color="auto" w:fill="E5E5E5"/>
          </w:tcPr>
          <w:p>
            <w:pPr>
              <w:spacing w:after="0"/>
              <w:rPr>
                <w:sz w:val="17"/>
                <w:szCs w:val="17"/>
                <w:color w:val="auto"/>
              </w:rPr>
            </w:pP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E5E5E5"/>
          </w:tcPr>
          <w:p>
            <w:pPr>
              <w:spacing w:after="0"/>
              <w:rPr>
                <w:sz w:val="17"/>
                <w:szCs w:val="17"/>
                <w:color w:val="auto"/>
              </w:rPr>
            </w:pPr>
          </w:p>
        </w:tc>
        <w:tc>
          <w:tcPr>
            <w:tcW w:w="660" w:type="dxa"/>
            <w:vAlign w:val="bottom"/>
            <w:tcBorders>
              <w:bottom w:val="single" w:sz="8" w:color="auto"/>
            </w:tcBorders>
            <w:shd w:val="clear" w:color="auto" w:fill="E5E5E5"/>
          </w:tcPr>
          <w:p>
            <w:pPr>
              <w:spacing w:after="0"/>
              <w:rPr>
                <w:sz w:val="17"/>
                <w:szCs w:val="17"/>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w:t>
            </w:r>
          </w:p>
        </w:tc>
      </w:tr>
      <w:tr>
        <w:trPr>
          <w:trHeight w:val="197"/>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Comprehensive (Loss) Income, Net</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36</w:t>
            </w:r>
          </w:p>
        </w:tc>
      </w:tr>
      <w:tr>
        <w:trPr>
          <w:trHeight w:val="198"/>
        </w:trPr>
        <w:tc>
          <w:tcPr>
            <w:tcW w:w="20" w:type="dxa"/>
            <w:vAlign w:val="bottom"/>
            <w:tcBorders>
              <w:bottom w:val="single" w:sz="8" w:color="E5E5E5"/>
            </w:tcBorders>
          </w:tcPr>
          <w:p>
            <w:pPr>
              <w:spacing w:after="0"/>
              <w:rPr>
                <w:sz w:val="17"/>
                <w:szCs w:val="17"/>
                <w:color w:val="auto"/>
              </w:rPr>
            </w:pPr>
          </w:p>
        </w:tc>
        <w:tc>
          <w:tcPr>
            <w:tcW w:w="7580" w:type="dxa"/>
            <w:vAlign w:val="bottom"/>
            <w:tcBorders>
              <w:bottom w:val="single" w:sz="8" w:color="E5E5E5"/>
            </w:tcBorders>
            <w:gridSpan w:val="2"/>
          </w:tcPr>
          <w:p>
            <w:pPr>
              <w:ind w:left="200"/>
              <w:spacing w:after="0"/>
              <w:rPr>
                <w:sz w:val="20"/>
                <w:szCs w:val="20"/>
                <w:color w:val="auto"/>
              </w:rPr>
            </w:pPr>
            <w:r>
              <w:rPr>
                <w:rFonts w:ascii="Arial" w:cs="Arial" w:eastAsia="Arial" w:hAnsi="Arial"/>
                <w:sz w:val="14"/>
                <w:szCs w:val="14"/>
                <w:color w:val="auto"/>
              </w:rPr>
              <w:t>Less: Comprehensive loss, net attributable to noncontrolling interests</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E5E5E5"/>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20" w:type="dxa"/>
            <w:vAlign w:val="bottom"/>
            <w:tcBorders>
              <w:bottom w:val="single" w:sz="8" w:color="E5E5E5"/>
            </w:tcBorders>
            <w:shd w:val="clear" w:color="auto" w:fill="E5E5E5"/>
          </w:tcPr>
          <w:p>
            <w:pPr>
              <w:spacing w:after="0"/>
              <w:rPr>
                <w:sz w:val="19"/>
                <w:szCs w:val="19"/>
                <w:color w:val="auto"/>
              </w:rPr>
            </w:pPr>
          </w:p>
        </w:tc>
        <w:tc>
          <w:tcPr>
            <w:tcW w:w="758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4"/>
                <w:szCs w:val="14"/>
                <w:b w:val="1"/>
                <w:bCs w:val="1"/>
                <w:color w:val="auto"/>
              </w:rPr>
              <w:t>Comprehensive (Loss) Income, Net Attributable to Xerox</w:t>
            </w:r>
          </w:p>
        </w:tc>
        <w:tc>
          <w:tcPr>
            <w:tcW w:w="420" w:type="dxa"/>
            <w:vAlign w:val="bottom"/>
            <w:tcBorders>
              <w:bottom w:val="single" w:sz="8" w:color="auto"/>
            </w:tcBorders>
            <w:shd w:val="clear" w:color="auto" w:fill="E5E5E5"/>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E5E5E5"/>
            </w:tcBorders>
            <w:shd w:val="clear" w:color="auto" w:fill="E5E5E5"/>
          </w:tcPr>
          <w:p>
            <w:pPr>
              <w:spacing w:after="0"/>
              <w:rPr>
                <w:sz w:val="19"/>
                <w:szCs w:val="19"/>
                <w:color w:val="auto"/>
              </w:rPr>
            </w:pPr>
          </w:p>
        </w:tc>
        <w:tc>
          <w:tcPr>
            <w:tcW w:w="660" w:type="dxa"/>
            <w:vAlign w:val="bottom"/>
            <w:tcBorders>
              <w:bottom w:val="single" w:sz="8" w:color="auto"/>
            </w:tcBorders>
            <w:shd w:val="clear" w:color="auto" w:fill="E5E5E5"/>
          </w:tcPr>
          <w:p>
            <w:pPr>
              <w:jc w:val="right"/>
              <w:ind w:right="5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36</w:t>
            </w:r>
          </w:p>
        </w:tc>
      </w:tr>
      <w:tr>
        <w:trPr>
          <w:trHeight w:val="20"/>
        </w:trPr>
        <w:tc>
          <w:tcPr>
            <w:tcW w:w="20" w:type="dxa"/>
            <w:vAlign w:val="bottom"/>
            <w:tcBorders>
              <w:top w:val="single" w:sz="8" w:color="E5E5E5"/>
            </w:tcBorders>
          </w:tcPr>
          <w:p>
            <w:pPr>
              <w:spacing w:after="0" w:line="20" w:lineRule="exact"/>
              <w:rPr>
                <w:sz w:val="1"/>
                <w:szCs w:val="1"/>
                <w:color w:val="auto"/>
              </w:rPr>
            </w:pPr>
          </w:p>
        </w:tc>
        <w:tc>
          <w:tcPr>
            <w:tcW w:w="640" w:type="dxa"/>
            <w:vAlign w:val="bottom"/>
            <w:tcBorders>
              <w:top w:val="single" w:sz="8" w:color="E5E5E5"/>
            </w:tcBorders>
          </w:tcPr>
          <w:p>
            <w:pPr>
              <w:spacing w:after="0" w:line="20" w:lineRule="exact"/>
              <w:rPr>
                <w:sz w:val="1"/>
                <w:szCs w:val="1"/>
                <w:color w:val="auto"/>
              </w:rPr>
            </w:pPr>
          </w:p>
        </w:tc>
        <w:tc>
          <w:tcPr>
            <w:tcW w:w="6940" w:type="dxa"/>
            <w:vAlign w:val="bottom"/>
            <w:tcBorders>
              <w:top w:val="single" w:sz="8" w:color="E5E5E5"/>
            </w:tcBorders>
          </w:tcPr>
          <w:p>
            <w:pPr>
              <w:spacing w:after="0" w:line="20" w:lineRule="exact"/>
              <w:rPr>
                <w:sz w:val="1"/>
                <w:szCs w:val="1"/>
                <w:color w:val="auto"/>
              </w:rPr>
            </w:pPr>
          </w:p>
        </w:tc>
        <w:tc>
          <w:tcPr>
            <w:tcW w:w="420" w:type="dxa"/>
            <w:vAlign w:val="bottom"/>
            <w:tcBorders>
              <w:top w:val="single" w:sz="8" w:color="E5E5E5"/>
              <w:bottom w:val="single" w:sz="8" w:color="auto"/>
            </w:tcBorders>
          </w:tcPr>
          <w:p>
            <w:pPr>
              <w:spacing w:after="0" w:line="20" w:lineRule="exact"/>
              <w:rPr>
                <w:sz w:val="1"/>
                <w:szCs w:val="1"/>
                <w:color w:val="auto"/>
              </w:rPr>
            </w:pPr>
          </w:p>
        </w:tc>
        <w:tc>
          <w:tcPr>
            <w:tcW w:w="134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66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55" w:lineRule="exact"/>
        <w:rPr>
          <w:sz w:val="20"/>
          <w:szCs w:val="20"/>
          <w:color w:val="auto"/>
        </w:rPr>
      </w:pPr>
    </w:p>
    <w:p>
      <w:pPr>
        <w:ind w:left="260" w:right="420" w:hanging="252"/>
        <w:spacing w:after="0" w:line="302" w:lineRule="auto"/>
        <w:tabs>
          <w:tab w:leader="none" w:pos="233"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Refer to Note 19 - Other Comprehensive (Loss) Income for gross components of Other comprehensive loss, net, reclassification adjustments out of Accumulated other comprehensive loss and related tax effects.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DA2031"/>
        </w:rPr>
        <w:t>XEROX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BALANCE SHEETS (UNAUDITED)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March 31,</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December 31,</w:t>
            </w:r>
          </w:p>
        </w:tc>
      </w:tr>
      <w:tr>
        <w:trPr>
          <w:trHeight w:val="144"/>
        </w:trPr>
        <w:tc>
          <w:tcPr>
            <w:tcW w:w="20" w:type="dxa"/>
            <w:vAlign w:val="bottom"/>
          </w:tcPr>
          <w:p>
            <w:pPr>
              <w:spacing w:after="0"/>
              <w:rPr>
                <w:sz w:val="12"/>
                <w:szCs w:val="12"/>
                <w:color w:val="auto"/>
              </w:rPr>
            </w:pPr>
          </w:p>
        </w:tc>
        <w:tc>
          <w:tcPr>
            <w:tcW w:w="7580" w:type="dxa"/>
            <w:vAlign w:val="bottom"/>
            <w:gridSpan w:val="2"/>
          </w:tcPr>
          <w:p>
            <w:pPr>
              <w:spacing w:after="0" w:line="124" w:lineRule="exact"/>
              <w:rPr>
                <w:sz w:val="20"/>
                <w:szCs w:val="20"/>
                <w:color w:val="auto"/>
              </w:rPr>
            </w:pPr>
            <w:r>
              <w:rPr>
                <w:rFonts w:ascii="Arial" w:cs="Arial" w:eastAsia="Arial" w:hAnsi="Arial"/>
                <w:sz w:val="13"/>
                <w:szCs w:val="13"/>
                <w:color w:val="auto"/>
              </w:rPr>
              <w:t>(in millions)</w:t>
            </w:r>
          </w:p>
        </w:tc>
        <w:tc>
          <w:tcPr>
            <w:tcW w:w="1240" w:type="dxa"/>
            <w:vAlign w:val="bottom"/>
          </w:tcPr>
          <w:p>
            <w:pPr>
              <w:jc w:val="right"/>
              <w:ind w:right="128"/>
              <w:spacing w:after="0" w:line="125" w:lineRule="exact"/>
              <w:rPr>
                <w:sz w:val="20"/>
                <w:szCs w:val="20"/>
                <w:color w:val="auto"/>
              </w:rPr>
            </w:pPr>
            <w:r>
              <w:rPr>
                <w:rFonts w:ascii="Arial" w:cs="Arial" w:eastAsia="Arial" w:hAnsi="Arial"/>
                <w:sz w:val="14"/>
                <w:szCs w:val="14"/>
                <w:color w:val="auto"/>
              </w:rPr>
              <w:t>2022</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right"/>
              <w:ind w:right="648"/>
              <w:spacing w:after="0" w:line="125" w:lineRule="exact"/>
              <w:rPr>
                <w:sz w:val="20"/>
                <w:szCs w:val="20"/>
                <w:color w:val="auto"/>
              </w:rPr>
            </w:pPr>
            <w:r>
              <w:rPr>
                <w:rFonts w:ascii="Arial" w:cs="Arial" w:eastAsia="Arial" w:hAnsi="Arial"/>
                <w:sz w:val="14"/>
                <w:szCs w:val="14"/>
                <w:color w:val="auto"/>
              </w:rPr>
              <w:t>2021</w:t>
            </w:r>
          </w:p>
        </w:tc>
      </w:tr>
      <w:tr>
        <w:trPr>
          <w:trHeight w:val="21"/>
        </w:trPr>
        <w:tc>
          <w:tcPr>
            <w:tcW w:w="20" w:type="dxa"/>
            <w:vAlign w:val="bottom"/>
            <w:tcBorders>
              <w:bottom w:val="single" w:sz="8" w:color="DDDDDD"/>
            </w:tcBorders>
          </w:tcPr>
          <w:p>
            <w:pPr>
              <w:spacing w:after="0" w:line="20" w:lineRule="exact"/>
              <w:rPr>
                <w:sz w:val="1"/>
                <w:szCs w:val="1"/>
                <w:color w:val="auto"/>
              </w:rPr>
            </w:pPr>
          </w:p>
        </w:tc>
        <w:tc>
          <w:tcPr>
            <w:tcW w:w="640" w:type="dxa"/>
            <w:vAlign w:val="bottom"/>
            <w:tcBorders>
              <w:top w:val="single" w:sz="8" w:color="auto"/>
              <w:bottom w:val="single" w:sz="8" w:color="DDDDDD"/>
            </w:tcBorders>
          </w:tcPr>
          <w:p>
            <w:pPr>
              <w:spacing w:after="0" w:line="20" w:lineRule="exact"/>
              <w:rPr>
                <w:sz w:val="1"/>
                <w:szCs w:val="1"/>
                <w:color w:val="auto"/>
              </w:rPr>
            </w:pPr>
          </w:p>
        </w:tc>
        <w:tc>
          <w:tcPr>
            <w:tcW w:w="6940" w:type="dxa"/>
            <w:vAlign w:val="bottom"/>
            <w:tcBorders>
              <w:bottom w:val="single" w:sz="8" w:color="DDDDDD"/>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DDDDDD"/>
          </w:tcPr>
          <w:p>
            <w:pPr>
              <w:spacing w:after="0"/>
              <w:rPr>
                <w:sz w:val="15"/>
                <w:szCs w:val="15"/>
                <w:color w:val="auto"/>
              </w:rPr>
            </w:pPr>
          </w:p>
        </w:tc>
        <w:tc>
          <w:tcPr>
            <w:tcW w:w="7580" w:type="dxa"/>
            <w:vAlign w:val="bottom"/>
            <w:gridSpan w:val="2"/>
            <w:shd w:val="clear" w:color="auto" w:fill="DDDDDD"/>
          </w:tcPr>
          <w:p>
            <w:pPr>
              <w:spacing w:after="0"/>
              <w:rPr>
                <w:sz w:val="20"/>
                <w:szCs w:val="20"/>
                <w:color w:val="auto"/>
              </w:rPr>
            </w:pPr>
            <w:r>
              <w:rPr>
                <w:rFonts w:ascii="Arial" w:cs="Arial" w:eastAsia="Arial" w:hAnsi="Arial"/>
                <w:sz w:val="14"/>
                <w:szCs w:val="14"/>
                <w:b w:val="1"/>
                <w:bCs w:val="1"/>
                <w:color w:val="auto"/>
              </w:rPr>
              <w:t>Assets</w:t>
            </w:r>
          </w:p>
        </w:tc>
        <w:tc>
          <w:tcPr>
            <w:tcW w:w="1240" w:type="dxa"/>
            <w:vAlign w:val="bottom"/>
            <w:shd w:val="clear" w:color="auto" w:fill="DDDDDD"/>
          </w:tcPr>
          <w:p>
            <w:pPr>
              <w:spacing w:after="0"/>
              <w:rPr>
                <w:sz w:val="15"/>
                <w:szCs w:val="15"/>
                <w:color w:val="auto"/>
              </w:rPr>
            </w:pPr>
          </w:p>
        </w:tc>
        <w:tc>
          <w:tcPr>
            <w:tcW w:w="52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1500" w:type="dxa"/>
            <w:vAlign w:val="bottom"/>
            <w:shd w:val="clear" w:color="auto" w:fill="DDDDDD"/>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1,681</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1,840</w:t>
            </w:r>
          </w:p>
        </w:tc>
      </w:tr>
      <w:tr>
        <w:trPr>
          <w:trHeight w:val="207"/>
        </w:trPr>
        <w:tc>
          <w:tcPr>
            <w:tcW w:w="20" w:type="dxa"/>
            <w:vAlign w:val="bottom"/>
            <w:shd w:val="clear" w:color="auto" w:fill="DDDDDD"/>
          </w:tcPr>
          <w:p>
            <w:pPr>
              <w:spacing w:after="0"/>
              <w:rPr>
                <w:sz w:val="17"/>
                <w:szCs w:val="17"/>
                <w:color w:val="auto"/>
              </w:rPr>
            </w:pPr>
          </w:p>
        </w:tc>
        <w:tc>
          <w:tcPr>
            <w:tcW w:w="758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Accounts receivable (net of allowance of $63 and $58, respectively)</w:t>
            </w:r>
          </w:p>
        </w:tc>
        <w:tc>
          <w:tcPr>
            <w:tcW w:w="1240" w:type="dxa"/>
            <w:vAlign w:val="bottom"/>
            <w:shd w:val="clear" w:color="auto" w:fill="DDDDDD"/>
          </w:tcPr>
          <w:p>
            <w:pPr>
              <w:spacing w:after="0"/>
              <w:rPr>
                <w:sz w:val="17"/>
                <w:szCs w:val="17"/>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807</w:t>
            </w:r>
          </w:p>
        </w:tc>
        <w:tc>
          <w:tcPr>
            <w:tcW w:w="12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818</w:t>
            </w:r>
          </w:p>
        </w:tc>
      </w:tr>
      <w:tr>
        <w:trPr>
          <w:trHeight w:val="198"/>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Billed portion of finance receivables (net of allowance of $3 and $4, respectively)</w:t>
            </w:r>
          </w:p>
        </w:tc>
        <w:tc>
          <w:tcPr>
            <w:tcW w:w="1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07"/>
        </w:trPr>
        <w:tc>
          <w:tcPr>
            <w:tcW w:w="20" w:type="dxa"/>
            <w:vAlign w:val="bottom"/>
            <w:shd w:val="clear" w:color="auto" w:fill="DDDDDD"/>
          </w:tcPr>
          <w:p>
            <w:pPr>
              <w:spacing w:after="0"/>
              <w:rPr>
                <w:sz w:val="17"/>
                <w:szCs w:val="17"/>
                <w:color w:val="auto"/>
              </w:rPr>
            </w:pPr>
          </w:p>
        </w:tc>
        <w:tc>
          <w:tcPr>
            <w:tcW w:w="758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Finance receivables, net</w:t>
            </w:r>
          </w:p>
        </w:tc>
        <w:tc>
          <w:tcPr>
            <w:tcW w:w="1240" w:type="dxa"/>
            <w:vAlign w:val="bottom"/>
            <w:shd w:val="clear" w:color="auto" w:fill="DDDDDD"/>
          </w:tcPr>
          <w:p>
            <w:pPr>
              <w:spacing w:after="0"/>
              <w:rPr>
                <w:sz w:val="17"/>
                <w:szCs w:val="17"/>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1,023</w:t>
            </w:r>
          </w:p>
        </w:tc>
        <w:tc>
          <w:tcPr>
            <w:tcW w:w="12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1,042</w:t>
            </w:r>
          </w:p>
        </w:tc>
      </w:tr>
      <w:tr>
        <w:trPr>
          <w:trHeight w:val="198"/>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1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732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696</w:t>
            </w:r>
          </w:p>
        </w:tc>
      </w:tr>
      <w:tr>
        <w:trPr>
          <w:trHeight w:val="207"/>
        </w:trPr>
        <w:tc>
          <w:tcPr>
            <w:tcW w:w="20" w:type="dxa"/>
            <w:vAlign w:val="bottom"/>
            <w:shd w:val="clear" w:color="auto" w:fill="DDDDDD"/>
          </w:tcPr>
          <w:p>
            <w:pPr>
              <w:spacing w:after="0"/>
              <w:rPr>
                <w:sz w:val="17"/>
                <w:szCs w:val="17"/>
                <w:color w:val="auto"/>
              </w:rPr>
            </w:pPr>
          </w:p>
        </w:tc>
        <w:tc>
          <w:tcPr>
            <w:tcW w:w="758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Other current assets</w:t>
            </w:r>
          </w:p>
        </w:tc>
        <w:tc>
          <w:tcPr>
            <w:tcW w:w="1240" w:type="dxa"/>
            <w:vAlign w:val="bottom"/>
            <w:tcBorders>
              <w:bottom w:val="single" w:sz="8" w:color="auto"/>
            </w:tcBorders>
            <w:shd w:val="clear" w:color="auto" w:fill="DDDDDD"/>
          </w:tcPr>
          <w:p>
            <w:pPr>
              <w:spacing w:after="0"/>
              <w:rPr>
                <w:sz w:val="17"/>
                <w:szCs w:val="17"/>
                <w:color w:val="auto"/>
              </w:rPr>
            </w:pPr>
          </w:p>
        </w:tc>
        <w:tc>
          <w:tcPr>
            <w:tcW w:w="5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DDDDDD"/>
          </w:tcPr>
          <w:p>
            <w:pPr>
              <w:spacing w:after="0"/>
              <w:rPr>
                <w:sz w:val="17"/>
                <w:szCs w:val="17"/>
                <w:color w:val="auto"/>
              </w:rPr>
            </w:pPr>
          </w:p>
        </w:tc>
        <w:tc>
          <w:tcPr>
            <w:tcW w:w="260" w:type="dxa"/>
            <w:vAlign w:val="bottom"/>
            <w:tcBorders>
              <w:bottom w:val="single" w:sz="8" w:color="auto"/>
            </w:tcBorders>
            <w:shd w:val="clear" w:color="auto" w:fill="DDDDDD"/>
          </w:tcPr>
          <w:p>
            <w:pPr>
              <w:spacing w:after="0"/>
              <w:rPr>
                <w:sz w:val="17"/>
                <w:szCs w:val="17"/>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211</w:t>
            </w:r>
          </w:p>
        </w:tc>
      </w:tr>
      <w:tr>
        <w:trPr>
          <w:trHeight w:val="192"/>
        </w:trPr>
        <w:tc>
          <w:tcPr>
            <w:tcW w:w="20" w:type="dxa"/>
            <w:vAlign w:val="bottom"/>
          </w:tcPr>
          <w:p>
            <w:pPr>
              <w:spacing w:after="0"/>
              <w:rPr>
                <w:sz w:val="16"/>
                <w:szCs w:val="16"/>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Total current assets</w:t>
            </w:r>
          </w:p>
        </w:tc>
        <w:tc>
          <w:tcPr>
            <w:tcW w:w="12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4,566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4,701</w:t>
            </w:r>
          </w:p>
        </w:tc>
      </w:tr>
      <w:tr>
        <w:trPr>
          <w:trHeight w:val="207"/>
        </w:trPr>
        <w:tc>
          <w:tcPr>
            <w:tcW w:w="20" w:type="dxa"/>
            <w:vAlign w:val="bottom"/>
            <w:shd w:val="clear" w:color="auto" w:fill="DDDDDD"/>
          </w:tcPr>
          <w:p>
            <w:pPr>
              <w:spacing w:after="0"/>
              <w:rPr>
                <w:sz w:val="17"/>
                <w:szCs w:val="17"/>
                <w:color w:val="auto"/>
              </w:rPr>
            </w:pPr>
          </w:p>
        </w:tc>
        <w:tc>
          <w:tcPr>
            <w:tcW w:w="758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Finance receivables due after one year (net of allowance of $117 and $114, respectively)</w:t>
            </w:r>
          </w:p>
        </w:tc>
        <w:tc>
          <w:tcPr>
            <w:tcW w:w="1240" w:type="dxa"/>
            <w:vAlign w:val="bottom"/>
            <w:shd w:val="clear" w:color="auto" w:fill="DDDDDD"/>
          </w:tcPr>
          <w:p>
            <w:pPr>
              <w:spacing w:after="0"/>
              <w:rPr>
                <w:sz w:val="17"/>
                <w:szCs w:val="17"/>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1,893</w:t>
            </w:r>
          </w:p>
        </w:tc>
        <w:tc>
          <w:tcPr>
            <w:tcW w:w="12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1,934</w:t>
            </w:r>
          </w:p>
        </w:tc>
      </w:tr>
      <w:tr>
        <w:trPr>
          <w:trHeight w:val="198"/>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Equipment on operating leases, net</w:t>
            </w:r>
          </w:p>
        </w:tc>
        <w:tc>
          <w:tcPr>
            <w:tcW w:w="1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253</w:t>
            </w:r>
          </w:p>
        </w:tc>
      </w:tr>
      <w:tr>
        <w:trPr>
          <w:trHeight w:val="207"/>
        </w:trPr>
        <w:tc>
          <w:tcPr>
            <w:tcW w:w="20" w:type="dxa"/>
            <w:vAlign w:val="bottom"/>
            <w:shd w:val="clear" w:color="auto" w:fill="DDDDDD"/>
          </w:tcPr>
          <w:p>
            <w:pPr>
              <w:spacing w:after="0"/>
              <w:rPr>
                <w:sz w:val="17"/>
                <w:szCs w:val="17"/>
                <w:color w:val="auto"/>
              </w:rPr>
            </w:pPr>
          </w:p>
        </w:tc>
        <w:tc>
          <w:tcPr>
            <w:tcW w:w="758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Land, buildings and equipment, net</w:t>
            </w:r>
          </w:p>
        </w:tc>
        <w:tc>
          <w:tcPr>
            <w:tcW w:w="1240" w:type="dxa"/>
            <w:vAlign w:val="bottom"/>
            <w:shd w:val="clear" w:color="auto" w:fill="DDDDDD"/>
          </w:tcPr>
          <w:p>
            <w:pPr>
              <w:spacing w:after="0"/>
              <w:rPr>
                <w:sz w:val="17"/>
                <w:szCs w:val="17"/>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358</w:t>
            </w:r>
          </w:p>
        </w:tc>
      </w:tr>
      <w:tr>
        <w:trPr>
          <w:trHeight w:val="198"/>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Intangible assets, net</w:t>
            </w:r>
          </w:p>
        </w:tc>
        <w:tc>
          <w:tcPr>
            <w:tcW w:w="1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211</w:t>
            </w:r>
          </w:p>
        </w:tc>
      </w:tr>
      <w:tr>
        <w:trPr>
          <w:trHeight w:val="207"/>
        </w:trPr>
        <w:tc>
          <w:tcPr>
            <w:tcW w:w="20" w:type="dxa"/>
            <w:vAlign w:val="bottom"/>
            <w:shd w:val="clear" w:color="auto" w:fill="DDDDDD"/>
          </w:tcPr>
          <w:p>
            <w:pPr>
              <w:spacing w:after="0"/>
              <w:rPr>
                <w:sz w:val="17"/>
                <w:szCs w:val="17"/>
                <w:color w:val="auto"/>
              </w:rPr>
            </w:pPr>
          </w:p>
        </w:tc>
        <w:tc>
          <w:tcPr>
            <w:tcW w:w="758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Goodwill</w:t>
            </w:r>
          </w:p>
        </w:tc>
        <w:tc>
          <w:tcPr>
            <w:tcW w:w="1240" w:type="dxa"/>
            <w:vAlign w:val="bottom"/>
            <w:shd w:val="clear" w:color="auto" w:fill="DDDDDD"/>
          </w:tcPr>
          <w:p>
            <w:pPr>
              <w:spacing w:after="0"/>
              <w:rPr>
                <w:sz w:val="17"/>
                <w:szCs w:val="17"/>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3,300</w:t>
            </w:r>
          </w:p>
        </w:tc>
        <w:tc>
          <w:tcPr>
            <w:tcW w:w="12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3,287</w:t>
            </w:r>
          </w:p>
        </w:tc>
      </w:tr>
      <w:tr>
        <w:trPr>
          <w:trHeight w:val="198"/>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Deferred tax assets</w:t>
            </w:r>
          </w:p>
        </w:tc>
        <w:tc>
          <w:tcPr>
            <w:tcW w:w="1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528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519</w:t>
            </w:r>
          </w:p>
        </w:tc>
      </w:tr>
      <w:tr>
        <w:trPr>
          <w:trHeight w:val="203"/>
        </w:trPr>
        <w:tc>
          <w:tcPr>
            <w:tcW w:w="20" w:type="dxa"/>
            <w:vAlign w:val="bottom"/>
            <w:shd w:val="clear" w:color="auto" w:fill="DDDDDD"/>
          </w:tcPr>
          <w:p>
            <w:pPr>
              <w:spacing w:after="0"/>
              <w:rPr>
                <w:sz w:val="17"/>
                <w:szCs w:val="17"/>
                <w:color w:val="auto"/>
              </w:rPr>
            </w:pPr>
          </w:p>
        </w:tc>
        <w:tc>
          <w:tcPr>
            <w:tcW w:w="758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Other long-term assets</w:t>
            </w:r>
          </w:p>
        </w:tc>
        <w:tc>
          <w:tcPr>
            <w:tcW w:w="1240" w:type="dxa"/>
            <w:vAlign w:val="bottom"/>
            <w:tcBorders>
              <w:bottom w:val="single" w:sz="8" w:color="auto"/>
            </w:tcBorders>
            <w:shd w:val="clear" w:color="auto" w:fill="DDDDDD"/>
          </w:tcPr>
          <w:p>
            <w:pPr>
              <w:spacing w:after="0"/>
              <w:rPr>
                <w:sz w:val="17"/>
                <w:szCs w:val="17"/>
                <w:color w:val="auto"/>
              </w:rPr>
            </w:pPr>
          </w:p>
        </w:tc>
        <w:tc>
          <w:tcPr>
            <w:tcW w:w="5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1,939</w:t>
            </w:r>
          </w:p>
        </w:tc>
        <w:tc>
          <w:tcPr>
            <w:tcW w:w="120" w:type="dxa"/>
            <w:vAlign w:val="bottom"/>
            <w:shd w:val="clear" w:color="auto" w:fill="DDDDDD"/>
          </w:tcPr>
          <w:p>
            <w:pPr>
              <w:spacing w:after="0"/>
              <w:rPr>
                <w:sz w:val="17"/>
                <w:szCs w:val="17"/>
                <w:color w:val="auto"/>
              </w:rPr>
            </w:pPr>
          </w:p>
        </w:tc>
        <w:tc>
          <w:tcPr>
            <w:tcW w:w="260" w:type="dxa"/>
            <w:vAlign w:val="bottom"/>
            <w:tcBorders>
              <w:bottom w:val="single" w:sz="8" w:color="auto"/>
            </w:tcBorders>
            <w:shd w:val="clear" w:color="auto" w:fill="DDDDDD"/>
          </w:tcPr>
          <w:p>
            <w:pPr>
              <w:spacing w:after="0"/>
              <w:rPr>
                <w:sz w:val="17"/>
                <w:szCs w:val="17"/>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1,952</w:t>
            </w:r>
          </w:p>
        </w:tc>
      </w:tr>
      <w:tr>
        <w:trPr>
          <w:trHeight w:val="200"/>
        </w:trPr>
        <w:tc>
          <w:tcPr>
            <w:tcW w:w="2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Assets</w:t>
            </w:r>
          </w:p>
        </w:tc>
        <w:tc>
          <w:tcPr>
            <w:tcW w:w="12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13,070</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13,215</w:t>
            </w:r>
          </w:p>
        </w:tc>
      </w:tr>
      <w:tr>
        <w:trPr>
          <w:trHeight w:val="20"/>
        </w:trPr>
        <w:tc>
          <w:tcPr>
            <w:tcW w:w="20" w:type="dxa"/>
            <w:vAlign w:val="bottom"/>
            <w:tcBorders>
              <w:bottom w:val="single" w:sz="8" w:color="DDDDDD"/>
            </w:tcBorders>
          </w:tcPr>
          <w:p>
            <w:pPr>
              <w:spacing w:after="0" w:line="20" w:lineRule="exact"/>
              <w:rPr>
                <w:sz w:val="1"/>
                <w:szCs w:val="1"/>
                <w:color w:val="auto"/>
              </w:rPr>
            </w:pPr>
          </w:p>
        </w:tc>
        <w:tc>
          <w:tcPr>
            <w:tcW w:w="640" w:type="dxa"/>
            <w:vAlign w:val="bottom"/>
            <w:tcBorders>
              <w:bottom w:val="single" w:sz="8" w:color="DDDDDD"/>
            </w:tcBorders>
          </w:tcPr>
          <w:p>
            <w:pPr>
              <w:spacing w:after="0" w:line="20" w:lineRule="exact"/>
              <w:rPr>
                <w:sz w:val="1"/>
                <w:szCs w:val="1"/>
                <w:color w:val="auto"/>
              </w:rPr>
            </w:pPr>
          </w:p>
        </w:tc>
        <w:tc>
          <w:tcPr>
            <w:tcW w:w="6940" w:type="dxa"/>
            <w:vAlign w:val="bottom"/>
            <w:tcBorders>
              <w:bottom w:val="single" w:sz="8" w:color="DDDDDD"/>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DDDDDD"/>
          </w:tcPr>
          <w:p>
            <w:pPr>
              <w:spacing w:after="0"/>
              <w:rPr>
                <w:sz w:val="14"/>
                <w:szCs w:val="14"/>
                <w:color w:val="auto"/>
              </w:rPr>
            </w:pPr>
          </w:p>
        </w:tc>
        <w:tc>
          <w:tcPr>
            <w:tcW w:w="7580" w:type="dxa"/>
            <w:vAlign w:val="bottom"/>
            <w:gridSpan w:val="2"/>
            <w:shd w:val="clear" w:color="auto" w:fill="DDDDDD"/>
          </w:tcPr>
          <w:p>
            <w:pPr>
              <w:spacing w:after="0"/>
              <w:rPr>
                <w:sz w:val="20"/>
                <w:szCs w:val="20"/>
                <w:color w:val="auto"/>
              </w:rPr>
            </w:pPr>
            <w:r>
              <w:rPr>
                <w:rFonts w:ascii="Arial" w:cs="Arial" w:eastAsia="Arial" w:hAnsi="Arial"/>
                <w:sz w:val="14"/>
                <w:szCs w:val="14"/>
                <w:b w:val="1"/>
                <w:bCs w:val="1"/>
                <w:color w:val="auto"/>
              </w:rPr>
              <w:t>Liabilities and Equity</w:t>
            </w:r>
          </w:p>
        </w:tc>
        <w:tc>
          <w:tcPr>
            <w:tcW w:w="1240" w:type="dxa"/>
            <w:vAlign w:val="bottom"/>
            <w:shd w:val="clear" w:color="auto" w:fill="DDDDDD"/>
          </w:tcPr>
          <w:p>
            <w:pPr>
              <w:spacing w:after="0"/>
              <w:rPr>
                <w:sz w:val="14"/>
                <w:szCs w:val="14"/>
                <w:color w:val="auto"/>
              </w:rPr>
            </w:pPr>
          </w:p>
        </w:tc>
        <w:tc>
          <w:tcPr>
            <w:tcW w:w="52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1500" w:type="dxa"/>
            <w:vAlign w:val="bottom"/>
            <w:shd w:val="clear" w:color="auto" w:fill="DDDDDD"/>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Short-term debt and current portion of long-term debt</w:t>
            </w: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1,450</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650</w:t>
            </w:r>
          </w:p>
        </w:tc>
      </w:tr>
      <w:tr>
        <w:trPr>
          <w:trHeight w:val="207"/>
        </w:trPr>
        <w:tc>
          <w:tcPr>
            <w:tcW w:w="20" w:type="dxa"/>
            <w:vAlign w:val="bottom"/>
            <w:shd w:val="clear" w:color="auto" w:fill="DDDDDD"/>
          </w:tcPr>
          <w:p>
            <w:pPr>
              <w:spacing w:after="0"/>
              <w:rPr>
                <w:sz w:val="17"/>
                <w:szCs w:val="17"/>
                <w:color w:val="auto"/>
              </w:rPr>
            </w:pPr>
          </w:p>
        </w:tc>
        <w:tc>
          <w:tcPr>
            <w:tcW w:w="758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Accounts payable</w:t>
            </w:r>
          </w:p>
        </w:tc>
        <w:tc>
          <w:tcPr>
            <w:tcW w:w="1240" w:type="dxa"/>
            <w:vAlign w:val="bottom"/>
            <w:shd w:val="clear" w:color="auto" w:fill="DDDDDD"/>
          </w:tcPr>
          <w:p>
            <w:pPr>
              <w:spacing w:after="0"/>
              <w:rPr>
                <w:sz w:val="17"/>
                <w:szCs w:val="17"/>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1,183</w:t>
            </w:r>
          </w:p>
        </w:tc>
        <w:tc>
          <w:tcPr>
            <w:tcW w:w="12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1,069</w:t>
            </w:r>
          </w:p>
        </w:tc>
      </w:tr>
      <w:tr>
        <w:trPr>
          <w:trHeight w:val="198"/>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Accrued compensation and benefits costs</w:t>
            </w:r>
          </w:p>
        </w:tc>
        <w:tc>
          <w:tcPr>
            <w:tcW w:w="1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239</w:t>
            </w:r>
          </w:p>
        </w:tc>
      </w:tr>
      <w:tr>
        <w:trPr>
          <w:trHeight w:val="207"/>
        </w:trPr>
        <w:tc>
          <w:tcPr>
            <w:tcW w:w="20" w:type="dxa"/>
            <w:vAlign w:val="bottom"/>
            <w:shd w:val="clear" w:color="auto" w:fill="DDDDDD"/>
          </w:tcPr>
          <w:p>
            <w:pPr>
              <w:spacing w:after="0"/>
              <w:rPr>
                <w:sz w:val="17"/>
                <w:szCs w:val="17"/>
                <w:color w:val="auto"/>
              </w:rPr>
            </w:pPr>
          </w:p>
        </w:tc>
        <w:tc>
          <w:tcPr>
            <w:tcW w:w="758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Accrued expenses and other current liabilities</w:t>
            </w:r>
          </w:p>
        </w:tc>
        <w:tc>
          <w:tcPr>
            <w:tcW w:w="1240" w:type="dxa"/>
            <w:vAlign w:val="bottom"/>
            <w:tcBorders>
              <w:bottom w:val="single" w:sz="8" w:color="auto"/>
            </w:tcBorders>
            <w:shd w:val="clear" w:color="auto" w:fill="DDDDDD"/>
          </w:tcPr>
          <w:p>
            <w:pPr>
              <w:spacing w:after="0"/>
              <w:rPr>
                <w:sz w:val="17"/>
                <w:szCs w:val="17"/>
                <w:color w:val="auto"/>
              </w:rPr>
            </w:pPr>
          </w:p>
        </w:tc>
        <w:tc>
          <w:tcPr>
            <w:tcW w:w="5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833</w:t>
            </w:r>
          </w:p>
        </w:tc>
        <w:tc>
          <w:tcPr>
            <w:tcW w:w="120" w:type="dxa"/>
            <w:vAlign w:val="bottom"/>
            <w:shd w:val="clear" w:color="auto" w:fill="DDDDDD"/>
          </w:tcPr>
          <w:p>
            <w:pPr>
              <w:spacing w:after="0"/>
              <w:rPr>
                <w:sz w:val="17"/>
                <w:szCs w:val="17"/>
                <w:color w:val="auto"/>
              </w:rPr>
            </w:pPr>
          </w:p>
        </w:tc>
        <w:tc>
          <w:tcPr>
            <w:tcW w:w="260" w:type="dxa"/>
            <w:vAlign w:val="bottom"/>
            <w:tcBorders>
              <w:bottom w:val="single" w:sz="8" w:color="auto"/>
            </w:tcBorders>
            <w:shd w:val="clear" w:color="auto" w:fill="DDDDDD"/>
          </w:tcPr>
          <w:p>
            <w:pPr>
              <w:spacing w:after="0"/>
              <w:rPr>
                <w:sz w:val="17"/>
                <w:szCs w:val="17"/>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823</w:t>
            </w:r>
          </w:p>
        </w:tc>
      </w:tr>
      <w:tr>
        <w:trPr>
          <w:trHeight w:val="192"/>
        </w:trPr>
        <w:tc>
          <w:tcPr>
            <w:tcW w:w="20" w:type="dxa"/>
            <w:vAlign w:val="bottom"/>
          </w:tcPr>
          <w:p>
            <w:pPr>
              <w:spacing w:after="0"/>
              <w:rPr>
                <w:sz w:val="16"/>
                <w:szCs w:val="16"/>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Total current liabilities</w:t>
            </w:r>
          </w:p>
        </w:tc>
        <w:tc>
          <w:tcPr>
            <w:tcW w:w="12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3,724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2,781</w:t>
            </w:r>
          </w:p>
        </w:tc>
      </w:tr>
      <w:tr>
        <w:trPr>
          <w:trHeight w:val="206"/>
        </w:trPr>
        <w:tc>
          <w:tcPr>
            <w:tcW w:w="20" w:type="dxa"/>
            <w:vAlign w:val="bottom"/>
            <w:shd w:val="clear" w:color="auto" w:fill="DDDDDD"/>
          </w:tcPr>
          <w:p>
            <w:pPr>
              <w:spacing w:after="0"/>
              <w:rPr>
                <w:sz w:val="17"/>
                <w:szCs w:val="17"/>
                <w:color w:val="auto"/>
              </w:rPr>
            </w:pPr>
          </w:p>
        </w:tc>
        <w:tc>
          <w:tcPr>
            <w:tcW w:w="758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Long-term debt</w:t>
            </w:r>
          </w:p>
        </w:tc>
        <w:tc>
          <w:tcPr>
            <w:tcW w:w="1240" w:type="dxa"/>
            <w:vAlign w:val="bottom"/>
            <w:shd w:val="clear" w:color="auto" w:fill="DDDDDD"/>
          </w:tcPr>
          <w:p>
            <w:pPr>
              <w:spacing w:after="0"/>
              <w:rPr>
                <w:sz w:val="17"/>
                <w:szCs w:val="17"/>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1,326</w:t>
            </w:r>
          </w:p>
        </w:tc>
        <w:tc>
          <w:tcPr>
            <w:tcW w:w="12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2,102</w:t>
            </w:r>
          </w:p>
        </w:tc>
      </w:tr>
      <w:tr>
        <w:trPr>
          <w:trHeight w:val="199"/>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Related party debt</w:t>
            </w:r>
          </w:p>
        </w:tc>
        <w:tc>
          <w:tcPr>
            <w:tcW w:w="1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1,495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1,494</w:t>
            </w:r>
          </w:p>
        </w:tc>
      </w:tr>
      <w:tr>
        <w:trPr>
          <w:trHeight w:val="206"/>
        </w:trPr>
        <w:tc>
          <w:tcPr>
            <w:tcW w:w="20" w:type="dxa"/>
            <w:vAlign w:val="bottom"/>
            <w:shd w:val="clear" w:color="auto" w:fill="DDDDDD"/>
          </w:tcPr>
          <w:p>
            <w:pPr>
              <w:spacing w:after="0"/>
              <w:rPr>
                <w:sz w:val="17"/>
                <w:szCs w:val="17"/>
                <w:color w:val="auto"/>
              </w:rPr>
            </w:pPr>
          </w:p>
        </w:tc>
        <w:tc>
          <w:tcPr>
            <w:tcW w:w="758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Pension and other benefit liabilities</w:t>
            </w:r>
          </w:p>
        </w:tc>
        <w:tc>
          <w:tcPr>
            <w:tcW w:w="1240" w:type="dxa"/>
            <w:vAlign w:val="bottom"/>
            <w:shd w:val="clear" w:color="auto" w:fill="DDDDDD"/>
          </w:tcPr>
          <w:p>
            <w:pPr>
              <w:spacing w:after="0"/>
              <w:rPr>
                <w:sz w:val="17"/>
                <w:szCs w:val="17"/>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1,359</w:t>
            </w:r>
          </w:p>
        </w:tc>
        <w:tc>
          <w:tcPr>
            <w:tcW w:w="12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1,373</w:t>
            </w:r>
          </w:p>
        </w:tc>
      </w:tr>
      <w:tr>
        <w:trPr>
          <w:trHeight w:val="198"/>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Post-retirement medical benefits</w:t>
            </w:r>
          </w:p>
        </w:tc>
        <w:tc>
          <w:tcPr>
            <w:tcW w:w="1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277</w:t>
            </w:r>
          </w:p>
        </w:tc>
      </w:tr>
      <w:tr>
        <w:trPr>
          <w:trHeight w:val="207"/>
        </w:trPr>
        <w:tc>
          <w:tcPr>
            <w:tcW w:w="20" w:type="dxa"/>
            <w:vAlign w:val="bottom"/>
            <w:shd w:val="clear" w:color="auto" w:fill="DDDDDD"/>
          </w:tcPr>
          <w:p>
            <w:pPr>
              <w:spacing w:after="0"/>
              <w:rPr>
                <w:sz w:val="17"/>
                <w:szCs w:val="17"/>
                <w:color w:val="auto"/>
              </w:rPr>
            </w:pPr>
          </w:p>
        </w:tc>
        <w:tc>
          <w:tcPr>
            <w:tcW w:w="758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Other long-term liabilities</w:t>
            </w:r>
          </w:p>
        </w:tc>
        <w:tc>
          <w:tcPr>
            <w:tcW w:w="1240" w:type="dxa"/>
            <w:vAlign w:val="bottom"/>
            <w:tcBorders>
              <w:bottom w:val="single" w:sz="8" w:color="auto"/>
            </w:tcBorders>
            <w:shd w:val="clear" w:color="auto" w:fill="DDDDDD"/>
          </w:tcPr>
          <w:p>
            <w:pPr>
              <w:spacing w:after="0"/>
              <w:rPr>
                <w:sz w:val="17"/>
                <w:szCs w:val="17"/>
                <w:color w:val="auto"/>
              </w:rPr>
            </w:pPr>
          </w:p>
        </w:tc>
        <w:tc>
          <w:tcPr>
            <w:tcW w:w="5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473</w:t>
            </w:r>
          </w:p>
        </w:tc>
        <w:tc>
          <w:tcPr>
            <w:tcW w:w="120" w:type="dxa"/>
            <w:vAlign w:val="bottom"/>
            <w:shd w:val="clear" w:color="auto" w:fill="DDDDDD"/>
          </w:tcPr>
          <w:p>
            <w:pPr>
              <w:spacing w:after="0"/>
              <w:rPr>
                <w:sz w:val="17"/>
                <w:szCs w:val="17"/>
                <w:color w:val="auto"/>
              </w:rPr>
            </w:pPr>
          </w:p>
        </w:tc>
        <w:tc>
          <w:tcPr>
            <w:tcW w:w="260" w:type="dxa"/>
            <w:vAlign w:val="bottom"/>
            <w:tcBorders>
              <w:bottom w:val="single" w:sz="8" w:color="auto"/>
            </w:tcBorders>
            <w:shd w:val="clear" w:color="auto" w:fill="DDDDDD"/>
          </w:tcPr>
          <w:p>
            <w:pPr>
              <w:spacing w:after="0"/>
              <w:rPr>
                <w:sz w:val="17"/>
                <w:szCs w:val="17"/>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481</w:t>
            </w:r>
          </w:p>
        </w:tc>
      </w:tr>
      <w:tr>
        <w:trPr>
          <w:trHeight w:val="195"/>
        </w:trPr>
        <w:tc>
          <w:tcPr>
            <w:tcW w:w="20" w:type="dxa"/>
            <w:vAlign w:val="bottom"/>
            <w:tcBorders>
              <w:bottom w:val="single" w:sz="8" w:color="DDDDDD"/>
            </w:tcBorders>
          </w:tcPr>
          <w:p>
            <w:pPr>
              <w:spacing w:after="0"/>
              <w:rPr>
                <w:sz w:val="16"/>
                <w:szCs w:val="16"/>
                <w:color w:val="auto"/>
              </w:rPr>
            </w:pPr>
          </w:p>
        </w:tc>
        <w:tc>
          <w:tcPr>
            <w:tcW w:w="7580" w:type="dxa"/>
            <w:vAlign w:val="bottom"/>
            <w:tcBorders>
              <w:bottom w:val="single" w:sz="8" w:color="DDDDDD"/>
            </w:tcBorders>
            <w:gridSpan w:val="2"/>
          </w:tcPr>
          <w:p>
            <w:pPr>
              <w:ind w:left="340"/>
              <w:spacing w:after="0"/>
              <w:rPr>
                <w:sz w:val="20"/>
                <w:szCs w:val="20"/>
                <w:color w:val="auto"/>
              </w:rPr>
            </w:pPr>
            <w:r>
              <w:rPr>
                <w:rFonts w:ascii="Arial" w:cs="Arial" w:eastAsia="Arial" w:hAnsi="Arial"/>
                <w:sz w:val="14"/>
                <w:szCs w:val="14"/>
                <w:b w:val="1"/>
                <w:bCs w:val="1"/>
                <w:color w:val="auto"/>
              </w:rPr>
              <w:t>Total Liabilities</w:t>
            </w:r>
          </w:p>
        </w:tc>
        <w:tc>
          <w:tcPr>
            <w:tcW w:w="1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8,624</w:t>
            </w:r>
          </w:p>
        </w:tc>
        <w:tc>
          <w:tcPr>
            <w:tcW w:w="120" w:type="dxa"/>
            <w:vAlign w:val="bottom"/>
            <w:tcBorders>
              <w:bottom w:val="single" w:sz="8" w:color="DDDDDD"/>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8,508</w:t>
            </w:r>
          </w:p>
        </w:tc>
      </w:tr>
      <w:tr>
        <w:trPr>
          <w:trHeight w:val="197"/>
        </w:trPr>
        <w:tc>
          <w:tcPr>
            <w:tcW w:w="20" w:type="dxa"/>
            <w:vAlign w:val="bottom"/>
            <w:shd w:val="clear" w:color="auto" w:fill="DDDDDD"/>
          </w:tcPr>
          <w:p>
            <w:pPr>
              <w:spacing w:after="0"/>
              <w:rPr>
                <w:sz w:val="17"/>
                <w:szCs w:val="17"/>
                <w:color w:val="auto"/>
              </w:rPr>
            </w:pPr>
          </w:p>
        </w:tc>
        <w:tc>
          <w:tcPr>
            <w:tcW w:w="640" w:type="dxa"/>
            <w:vAlign w:val="bottom"/>
            <w:shd w:val="clear" w:color="auto" w:fill="DDDDDD"/>
          </w:tcPr>
          <w:p>
            <w:pPr>
              <w:spacing w:after="0"/>
              <w:rPr>
                <w:sz w:val="17"/>
                <w:szCs w:val="17"/>
                <w:color w:val="auto"/>
              </w:rPr>
            </w:pPr>
          </w:p>
        </w:tc>
        <w:tc>
          <w:tcPr>
            <w:tcW w:w="6940" w:type="dxa"/>
            <w:vAlign w:val="bottom"/>
            <w:shd w:val="clear" w:color="auto" w:fill="DDDDDD"/>
          </w:tcPr>
          <w:p>
            <w:pPr>
              <w:spacing w:after="0"/>
              <w:rPr>
                <w:sz w:val="17"/>
                <w:szCs w:val="17"/>
                <w:color w:val="auto"/>
              </w:rPr>
            </w:pPr>
          </w:p>
        </w:tc>
        <w:tc>
          <w:tcPr>
            <w:tcW w:w="1240" w:type="dxa"/>
            <w:vAlign w:val="bottom"/>
            <w:shd w:val="clear" w:color="auto" w:fill="DDDDDD"/>
          </w:tcPr>
          <w:p>
            <w:pPr>
              <w:spacing w:after="0"/>
              <w:rPr>
                <w:sz w:val="17"/>
                <w:szCs w:val="17"/>
                <w:color w:val="auto"/>
              </w:rPr>
            </w:pPr>
          </w:p>
        </w:tc>
        <w:tc>
          <w:tcPr>
            <w:tcW w:w="5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1500" w:type="dxa"/>
            <w:vAlign w:val="bottom"/>
            <w:shd w:val="clear" w:color="auto" w:fill="DDDDDD"/>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b w:val="1"/>
                <w:bCs w:val="1"/>
                <w:color w:val="auto"/>
              </w:rPr>
              <w:t>Commitments and Contingencies (See Note 21)</w:t>
            </w: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7"/>
        </w:trPr>
        <w:tc>
          <w:tcPr>
            <w:tcW w:w="20" w:type="dxa"/>
            <w:vAlign w:val="bottom"/>
            <w:shd w:val="clear" w:color="auto" w:fill="DDDDDD"/>
          </w:tcPr>
          <w:p>
            <w:pPr>
              <w:spacing w:after="0"/>
              <w:rPr>
                <w:sz w:val="18"/>
                <w:szCs w:val="18"/>
                <w:color w:val="auto"/>
              </w:rPr>
            </w:pPr>
          </w:p>
        </w:tc>
        <w:tc>
          <w:tcPr>
            <w:tcW w:w="640" w:type="dxa"/>
            <w:vAlign w:val="bottom"/>
            <w:shd w:val="clear" w:color="auto" w:fill="DDDDDD"/>
          </w:tcPr>
          <w:p>
            <w:pPr>
              <w:spacing w:after="0"/>
              <w:rPr>
                <w:sz w:val="18"/>
                <w:szCs w:val="18"/>
                <w:color w:val="auto"/>
              </w:rPr>
            </w:pPr>
          </w:p>
        </w:tc>
        <w:tc>
          <w:tcPr>
            <w:tcW w:w="6940" w:type="dxa"/>
            <w:vAlign w:val="bottom"/>
            <w:shd w:val="clear" w:color="auto" w:fill="DDDDDD"/>
          </w:tcPr>
          <w:p>
            <w:pPr>
              <w:spacing w:after="0"/>
              <w:rPr>
                <w:sz w:val="18"/>
                <w:szCs w:val="18"/>
                <w:color w:val="auto"/>
              </w:rPr>
            </w:pPr>
          </w:p>
        </w:tc>
        <w:tc>
          <w:tcPr>
            <w:tcW w:w="1240" w:type="dxa"/>
            <w:vAlign w:val="bottom"/>
            <w:shd w:val="clear" w:color="auto" w:fill="DDDDDD"/>
          </w:tcPr>
          <w:p>
            <w:pPr>
              <w:spacing w:after="0"/>
              <w:rPr>
                <w:sz w:val="18"/>
                <w:szCs w:val="18"/>
                <w:color w:val="auto"/>
              </w:rPr>
            </w:pPr>
          </w:p>
        </w:tc>
        <w:tc>
          <w:tcPr>
            <w:tcW w:w="5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1500" w:type="dxa"/>
            <w:vAlign w:val="bottom"/>
            <w:shd w:val="clear" w:color="auto" w:fill="DDDDDD"/>
          </w:tcPr>
          <w:p>
            <w:pPr>
              <w:spacing w:after="0"/>
              <w:rPr>
                <w:sz w:val="18"/>
                <w:szCs w:val="18"/>
                <w:color w:val="auto"/>
              </w:rPr>
            </w:pPr>
          </w:p>
        </w:tc>
      </w:tr>
      <w:tr>
        <w:trPr>
          <w:trHeight w:val="202"/>
        </w:trPr>
        <w:tc>
          <w:tcPr>
            <w:tcW w:w="20" w:type="dxa"/>
            <w:vAlign w:val="bottom"/>
            <w:tcBorders>
              <w:bottom w:val="single" w:sz="8" w:color="DDDDDD"/>
            </w:tcBorders>
          </w:tcPr>
          <w:p>
            <w:pPr>
              <w:spacing w:after="0"/>
              <w:rPr>
                <w:sz w:val="17"/>
                <w:szCs w:val="17"/>
                <w:color w:val="auto"/>
              </w:rPr>
            </w:pPr>
          </w:p>
        </w:tc>
        <w:tc>
          <w:tcPr>
            <w:tcW w:w="7580" w:type="dxa"/>
            <w:vAlign w:val="bottom"/>
            <w:tcBorders>
              <w:bottom w:val="single" w:sz="8" w:color="DDDDDD"/>
            </w:tcBorders>
            <w:gridSpan w:val="2"/>
          </w:tcPr>
          <w:p>
            <w:pPr>
              <w:spacing w:after="0"/>
              <w:rPr>
                <w:sz w:val="20"/>
                <w:szCs w:val="20"/>
                <w:color w:val="auto"/>
              </w:rPr>
            </w:pPr>
            <w:r>
              <w:rPr>
                <w:rFonts w:ascii="Arial" w:cs="Arial" w:eastAsia="Arial" w:hAnsi="Arial"/>
                <w:sz w:val="14"/>
                <w:szCs w:val="14"/>
                <w:b w:val="1"/>
                <w:bCs w:val="1"/>
                <w:color w:val="auto"/>
              </w:rPr>
              <w:t>Noncontrolling Interests</w:t>
            </w:r>
          </w:p>
        </w:tc>
        <w:tc>
          <w:tcPr>
            <w:tcW w:w="1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DDDDD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197"/>
        </w:trPr>
        <w:tc>
          <w:tcPr>
            <w:tcW w:w="20" w:type="dxa"/>
            <w:vAlign w:val="bottom"/>
            <w:shd w:val="clear" w:color="auto" w:fill="DDDDDD"/>
          </w:tcPr>
          <w:p>
            <w:pPr>
              <w:spacing w:after="0"/>
              <w:rPr>
                <w:sz w:val="17"/>
                <w:szCs w:val="17"/>
                <w:color w:val="auto"/>
              </w:rPr>
            </w:pPr>
          </w:p>
        </w:tc>
        <w:tc>
          <w:tcPr>
            <w:tcW w:w="640" w:type="dxa"/>
            <w:vAlign w:val="bottom"/>
            <w:shd w:val="clear" w:color="auto" w:fill="DDDDDD"/>
          </w:tcPr>
          <w:p>
            <w:pPr>
              <w:spacing w:after="0"/>
              <w:rPr>
                <w:sz w:val="17"/>
                <w:szCs w:val="17"/>
                <w:color w:val="auto"/>
              </w:rPr>
            </w:pPr>
          </w:p>
        </w:tc>
        <w:tc>
          <w:tcPr>
            <w:tcW w:w="6940" w:type="dxa"/>
            <w:vAlign w:val="bottom"/>
            <w:shd w:val="clear" w:color="auto" w:fill="DDDDDD"/>
          </w:tcPr>
          <w:p>
            <w:pPr>
              <w:spacing w:after="0"/>
              <w:rPr>
                <w:sz w:val="17"/>
                <w:szCs w:val="17"/>
                <w:color w:val="auto"/>
              </w:rPr>
            </w:pPr>
          </w:p>
        </w:tc>
        <w:tc>
          <w:tcPr>
            <w:tcW w:w="1240" w:type="dxa"/>
            <w:vAlign w:val="bottom"/>
            <w:shd w:val="clear" w:color="auto" w:fill="DDDDDD"/>
          </w:tcPr>
          <w:p>
            <w:pPr>
              <w:spacing w:after="0"/>
              <w:rPr>
                <w:sz w:val="17"/>
                <w:szCs w:val="17"/>
                <w:color w:val="auto"/>
              </w:rPr>
            </w:pPr>
          </w:p>
        </w:tc>
        <w:tc>
          <w:tcPr>
            <w:tcW w:w="5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1500" w:type="dxa"/>
            <w:vAlign w:val="bottom"/>
            <w:shd w:val="clear" w:color="auto" w:fill="DDDDDD"/>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Additional paid-in capital</w:t>
            </w:r>
          </w:p>
        </w:tc>
        <w:tc>
          <w:tcPr>
            <w:tcW w:w="1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3,592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3,202</w:t>
            </w:r>
          </w:p>
        </w:tc>
      </w:tr>
      <w:tr>
        <w:trPr>
          <w:trHeight w:val="207"/>
        </w:trPr>
        <w:tc>
          <w:tcPr>
            <w:tcW w:w="20" w:type="dxa"/>
            <w:vAlign w:val="bottom"/>
            <w:shd w:val="clear" w:color="auto" w:fill="DDDDDD"/>
          </w:tcPr>
          <w:p>
            <w:pPr>
              <w:spacing w:after="0"/>
              <w:rPr>
                <w:sz w:val="17"/>
                <w:szCs w:val="17"/>
                <w:color w:val="auto"/>
              </w:rPr>
            </w:pPr>
          </w:p>
        </w:tc>
        <w:tc>
          <w:tcPr>
            <w:tcW w:w="758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Retained earnings</w:t>
            </w:r>
          </w:p>
        </w:tc>
        <w:tc>
          <w:tcPr>
            <w:tcW w:w="1240" w:type="dxa"/>
            <w:vAlign w:val="bottom"/>
            <w:shd w:val="clear" w:color="auto" w:fill="DDDDDD"/>
          </w:tcPr>
          <w:p>
            <w:pPr>
              <w:spacing w:after="0"/>
              <w:rPr>
                <w:sz w:val="17"/>
                <w:szCs w:val="17"/>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3,871</w:t>
            </w:r>
          </w:p>
        </w:tc>
        <w:tc>
          <w:tcPr>
            <w:tcW w:w="12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4,476</w:t>
            </w:r>
          </w:p>
        </w:tc>
      </w:tr>
      <w:tr>
        <w:trPr>
          <w:trHeight w:val="198"/>
        </w:trPr>
        <w:tc>
          <w:tcPr>
            <w:tcW w:w="20" w:type="dxa"/>
            <w:vAlign w:val="bottom"/>
            <w:tcBorders>
              <w:bottom w:val="single" w:sz="8" w:color="DDDDDD"/>
            </w:tcBorders>
          </w:tcPr>
          <w:p>
            <w:pPr>
              <w:spacing w:after="0"/>
              <w:rPr>
                <w:sz w:val="17"/>
                <w:szCs w:val="17"/>
                <w:color w:val="auto"/>
              </w:rPr>
            </w:pPr>
          </w:p>
        </w:tc>
        <w:tc>
          <w:tcPr>
            <w:tcW w:w="7580" w:type="dxa"/>
            <w:vAlign w:val="bottom"/>
            <w:tcBorders>
              <w:bottom w:val="single" w:sz="8" w:color="DDDDDD"/>
            </w:tcBorders>
            <w:gridSpan w:val="2"/>
          </w:tcPr>
          <w:p>
            <w:pPr>
              <w:spacing w:after="0"/>
              <w:rPr>
                <w:sz w:val="20"/>
                <w:szCs w:val="20"/>
                <w:color w:val="auto"/>
              </w:rPr>
            </w:pPr>
            <w:r>
              <w:rPr>
                <w:rFonts w:ascii="Arial" w:cs="Arial" w:eastAsia="Arial" w:hAnsi="Arial"/>
                <w:sz w:val="14"/>
                <w:szCs w:val="14"/>
                <w:color w:val="auto"/>
              </w:rPr>
              <w:t>Accumulated other comprehensive loss</w:t>
            </w:r>
          </w:p>
        </w:tc>
        <w:tc>
          <w:tcPr>
            <w:tcW w:w="1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(3,032)</w:t>
            </w:r>
          </w:p>
        </w:tc>
        <w:tc>
          <w:tcPr>
            <w:tcW w:w="120" w:type="dxa"/>
            <w:vAlign w:val="bottom"/>
            <w:tcBorders>
              <w:bottom w:val="single" w:sz="8" w:color="DDDDD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(2,988)</w:t>
            </w:r>
          </w:p>
        </w:tc>
      </w:tr>
      <w:tr>
        <w:trPr>
          <w:trHeight w:val="200"/>
        </w:trPr>
        <w:tc>
          <w:tcPr>
            <w:tcW w:w="20" w:type="dxa"/>
            <w:vAlign w:val="bottom"/>
            <w:shd w:val="clear" w:color="auto" w:fill="DDDDDD"/>
          </w:tcPr>
          <w:p>
            <w:pPr>
              <w:spacing w:after="0"/>
              <w:rPr>
                <w:sz w:val="17"/>
                <w:szCs w:val="17"/>
                <w:color w:val="auto"/>
              </w:rPr>
            </w:pPr>
          </w:p>
        </w:tc>
        <w:tc>
          <w:tcPr>
            <w:tcW w:w="7580" w:type="dxa"/>
            <w:vAlign w:val="bottom"/>
            <w:gridSpan w:val="2"/>
            <w:shd w:val="clear" w:color="auto" w:fill="DDDDDD"/>
          </w:tcPr>
          <w:p>
            <w:pPr>
              <w:ind w:left="340"/>
              <w:spacing w:after="0"/>
              <w:rPr>
                <w:sz w:val="20"/>
                <w:szCs w:val="20"/>
                <w:color w:val="auto"/>
              </w:rPr>
            </w:pPr>
            <w:r>
              <w:rPr>
                <w:rFonts w:ascii="Arial" w:cs="Arial" w:eastAsia="Arial" w:hAnsi="Arial"/>
                <w:sz w:val="14"/>
                <w:szCs w:val="14"/>
                <w:color w:val="auto"/>
              </w:rPr>
              <w:t>Xerox shareholder's equity</w:t>
            </w:r>
          </w:p>
        </w:tc>
        <w:tc>
          <w:tcPr>
            <w:tcW w:w="1240" w:type="dxa"/>
            <w:vAlign w:val="bottom"/>
            <w:shd w:val="clear" w:color="auto" w:fill="DDDDDD"/>
          </w:tcPr>
          <w:p>
            <w:pPr>
              <w:spacing w:after="0"/>
              <w:rPr>
                <w:sz w:val="17"/>
                <w:szCs w:val="17"/>
                <w:color w:val="auto"/>
              </w:rPr>
            </w:pPr>
          </w:p>
        </w:tc>
        <w:tc>
          <w:tcPr>
            <w:tcW w:w="5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4,431</w:t>
            </w:r>
          </w:p>
        </w:tc>
        <w:tc>
          <w:tcPr>
            <w:tcW w:w="12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4,690</w:t>
            </w:r>
          </w:p>
        </w:tc>
      </w:tr>
      <w:tr>
        <w:trPr>
          <w:trHeight w:val="198"/>
        </w:trPr>
        <w:tc>
          <w:tcPr>
            <w:tcW w:w="20" w:type="dxa"/>
            <w:vAlign w:val="bottom"/>
            <w:tcBorders>
              <w:bottom w:val="single" w:sz="8" w:color="DDDDDD"/>
            </w:tcBorders>
          </w:tcPr>
          <w:p>
            <w:pPr>
              <w:spacing w:after="0"/>
              <w:rPr>
                <w:sz w:val="17"/>
                <w:szCs w:val="17"/>
                <w:color w:val="auto"/>
              </w:rPr>
            </w:pPr>
          </w:p>
        </w:tc>
        <w:tc>
          <w:tcPr>
            <w:tcW w:w="7580" w:type="dxa"/>
            <w:vAlign w:val="bottom"/>
            <w:tcBorders>
              <w:bottom w:val="single" w:sz="8" w:color="DDDDDD"/>
            </w:tcBorders>
            <w:gridSpan w:val="2"/>
          </w:tcPr>
          <w:p>
            <w:pPr>
              <w:spacing w:after="0"/>
              <w:rPr>
                <w:sz w:val="20"/>
                <w:szCs w:val="20"/>
                <w:color w:val="auto"/>
              </w:rPr>
            </w:pPr>
            <w:r>
              <w:rPr>
                <w:rFonts w:ascii="Arial" w:cs="Arial" w:eastAsia="Arial" w:hAnsi="Arial"/>
                <w:sz w:val="14"/>
                <w:szCs w:val="14"/>
                <w:color w:val="auto"/>
              </w:rPr>
              <w:t>Noncontrolling interests</w:t>
            </w:r>
          </w:p>
        </w:tc>
        <w:tc>
          <w:tcPr>
            <w:tcW w:w="1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DDDDD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199"/>
        </w:trPr>
        <w:tc>
          <w:tcPr>
            <w:tcW w:w="20" w:type="dxa"/>
            <w:vAlign w:val="bottom"/>
            <w:shd w:val="clear" w:color="auto" w:fill="DDDDDD"/>
          </w:tcPr>
          <w:p>
            <w:pPr>
              <w:spacing w:after="0"/>
              <w:rPr>
                <w:sz w:val="17"/>
                <w:szCs w:val="17"/>
                <w:color w:val="auto"/>
              </w:rPr>
            </w:pPr>
          </w:p>
        </w:tc>
        <w:tc>
          <w:tcPr>
            <w:tcW w:w="7580" w:type="dxa"/>
            <w:vAlign w:val="bottom"/>
            <w:gridSpan w:val="2"/>
            <w:shd w:val="clear" w:color="auto" w:fill="DDDDDD"/>
          </w:tcPr>
          <w:p>
            <w:pPr>
              <w:ind w:left="340"/>
              <w:spacing w:after="0"/>
              <w:rPr>
                <w:sz w:val="20"/>
                <w:szCs w:val="20"/>
                <w:color w:val="auto"/>
              </w:rPr>
            </w:pPr>
            <w:r>
              <w:rPr>
                <w:rFonts w:ascii="Arial" w:cs="Arial" w:eastAsia="Arial" w:hAnsi="Arial"/>
                <w:sz w:val="14"/>
                <w:szCs w:val="14"/>
                <w:b w:val="1"/>
                <w:bCs w:val="1"/>
                <w:color w:val="auto"/>
              </w:rPr>
              <w:t>Total Equity</w:t>
            </w:r>
          </w:p>
        </w:tc>
        <w:tc>
          <w:tcPr>
            <w:tcW w:w="1240" w:type="dxa"/>
            <w:vAlign w:val="bottom"/>
            <w:tcBorders>
              <w:bottom w:val="single" w:sz="8" w:color="auto"/>
            </w:tcBorders>
            <w:shd w:val="clear" w:color="auto" w:fill="DDDDDD"/>
          </w:tcPr>
          <w:p>
            <w:pPr>
              <w:spacing w:after="0"/>
              <w:rPr>
                <w:sz w:val="17"/>
                <w:szCs w:val="17"/>
                <w:color w:val="auto"/>
              </w:rPr>
            </w:pPr>
          </w:p>
        </w:tc>
        <w:tc>
          <w:tcPr>
            <w:tcW w:w="5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4,436</w:t>
            </w:r>
          </w:p>
        </w:tc>
        <w:tc>
          <w:tcPr>
            <w:tcW w:w="120" w:type="dxa"/>
            <w:vAlign w:val="bottom"/>
            <w:shd w:val="clear" w:color="auto" w:fill="DDDDDD"/>
          </w:tcPr>
          <w:p>
            <w:pPr>
              <w:spacing w:after="0"/>
              <w:rPr>
                <w:sz w:val="17"/>
                <w:szCs w:val="17"/>
                <w:color w:val="auto"/>
              </w:rPr>
            </w:pPr>
          </w:p>
        </w:tc>
        <w:tc>
          <w:tcPr>
            <w:tcW w:w="260" w:type="dxa"/>
            <w:vAlign w:val="bottom"/>
            <w:tcBorders>
              <w:bottom w:val="single" w:sz="8" w:color="auto"/>
            </w:tcBorders>
            <w:shd w:val="clear" w:color="auto" w:fill="DDDDDD"/>
          </w:tcPr>
          <w:p>
            <w:pPr>
              <w:spacing w:after="0"/>
              <w:rPr>
                <w:sz w:val="17"/>
                <w:szCs w:val="17"/>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4,697</w:t>
            </w:r>
          </w:p>
        </w:tc>
      </w:tr>
      <w:tr>
        <w:trPr>
          <w:trHeight w:val="197"/>
        </w:trPr>
        <w:tc>
          <w:tcPr>
            <w:tcW w:w="2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Liabilities and Equity</w:t>
            </w:r>
          </w:p>
        </w:tc>
        <w:tc>
          <w:tcPr>
            <w:tcW w:w="12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13,070</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13,215</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DA2031"/>
        </w:rPr>
        <w:t>XEROX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STATEMENTS OF CASH FLOWS (UNAUDITED)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110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color w:val="auto"/>
              </w:rPr>
              <w:t>March 31,</w:t>
            </w:r>
          </w:p>
        </w:tc>
        <w:tc>
          <w:tcPr>
            <w:tcW w:w="110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758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420" w:type="dxa"/>
            <w:vAlign w:val="bottom"/>
          </w:tcPr>
          <w:p>
            <w:pPr>
              <w:spacing w:after="0"/>
              <w:rPr>
                <w:sz w:val="13"/>
                <w:szCs w:val="13"/>
                <w:color w:val="auto"/>
              </w:rPr>
            </w:pPr>
          </w:p>
        </w:tc>
        <w:tc>
          <w:tcPr>
            <w:tcW w:w="1340" w:type="dxa"/>
            <w:vAlign w:val="bottom"/>
          </w:tcPr>
          <w:p>
            <w:pPr>
              <w:jc w:val="right"/>
              <w:ind w:right="648"/>
              <w:spacing w:after="0" w:line="155"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jc w:val="right"/>
              <w:ind w:right="648"/>
              <w:spacing w:after="0" w:line="155" w:lineRule="exact"/>
              <w:rPr>
                <w:sz w:val="20"/>
                <w:szCs w:val="20"/>
                <w:color w:val="auto"/>
              </w:rPr>
            </w:pPr>
            <w:r>
              <w:rPr>
                <w:rFonts w:ascii="Arial" w:cs="Arial" w:eastAsia="Arial" w:hAnsi="Arial"/>
                <w:sz w:val="14"/>
                <w:szCs w:val="14"/>
                <w:color w:val="auto"/>
              </w:rPr>
              <w:t>2021</w:t>
            </w:r>
          </w:p>
        </w:tc>
      </w:tr>
      <w:tr>
        <w:trPr>
          <w:trHeight w:val="21"/>
        </w:trPr>
        <w:tc>
          <w:tcPr>
            <w:tcW w:w="20" w:type="dxa"/>
            <w:vAlign w:val="bottom"/>
            <w:tcBorders>
              <w:bottom w:val="single" w:sz="8" w:color="E5E5E5"/>
            </w:tcBorders>
          </w:tcPr>
          <w:p>
            <w:pPr>
              <w:spacing w:after="0" w:line="20" w:lineRule="exact"/>
              <w:rPr>
                <w:sz w:val="1"/>
                <w:szCs w:val="1"/>
                <w:color w:val="auto"/>
              </w:rPr>
            </w:pPr>
          </w:p>
        </w:tc>
        <w:tc>
          <w:tcPr>
            <w:tcW w:w="640" w:type="dxa"/>
            <w:vAlign w:val="bottom"/>
            <w:tcBorders>
              <w:top w:val="single" w:sz="8" w:color="auto"/>
              <w:bottom w:val="single" w:sz="8" w:color="E5E5E5"/>
            </w:tcBorders>
          </w:tcPr>
          <w:p>
            <w:pPr>
              <w:spacing w:after="0" w:line="20" w:lineRule="exact"/>
              <w:rPr>
                <w:sz w:val="1"/>
                <w:szCs w:val="1"/>
                <w:color w:val="auto"/>
              </w:rPr>
            </w:pPr>
          </w:p>
        </w:tc>
        <w:tc>
          <w:tcPr>
            <w:tcW w:w="6940" w:type="dxa"/>
            <w:vAlign w:val="bottom"/>
            <w:tcBorders>
              <w:bottom w:val="single" w:sz="8" w:color="E5E5E5"/>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E5E5E5"/>
          </w:tcPr>
          <w:p>
            <w:pPr>
              <w:spacing w:after="0"/>
              <w:rPr>
                <w:sz w:val="15"/>
                <w:szCs w:val="15"/>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420" w:type="dxa"/>
            <w:vAlign w:val="bottom"/>
            <w:shd w:val="clear" w:color="auto" w:fill="E5E5E5"/>
          </w:tcPr>
          <w:p>
            <w:pPr>
              <w:spacing w:after="0"/>
              <w:rPr>
                <w:sz w:val="15"/>
                <w:szCs w:val="15"/>
                <w:color w:val="auto"/>
              </w:rPr>
            </w:pPr>
          </w:p>
        </w:tc>
        <w:tc>
          <w:tcPr>
            <w:tcW w:w="13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66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Net (Loss) Income</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Adjustments required to reconcile Net (loss) income to Cash flows from operating activities</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Depreciation and amortization</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06"/>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Provisions</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w:t>
            </w:r>
          </w:p>
        </w:tc>
      </w:tr>
      <w:tr>
        <w:trPr>
          <w:trHeight w:val="199"/>
        </w:trPr>
        <w:tc>
          <w:tcPr>
            <w:tcW w:w="2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Stock-based compensation</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6"/>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Restructuring and asset impairment charges</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w:t>
            </w:r>
          </w:p>
        </w:tc>
      </w:tr>
      <w:tr>
        <w:trPr>
          <w:trHeight w:val="199"/>
        </w:trPr>
        <w:tc>
          <w:tcPr>
            <w:tcW w:w="2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Payments for restructurings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06"/>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Non-service retirement-related costs</w:t>
            </w:r>
            <w:r>
              <w:rPr>
                <w:rFonts w:ascii="Arial" w:cs="Arial" w:eastAsia="Arial" w:hAnsi="Arial"/>
                <w:sz w:val="18"/>
                <w:szCs w:val="18"/>
                <w:color w:val="auto"/>
                <w:vertAlign w:val="superscript"/>
              </w:rPr>
              <w:t>(1)</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w:t>
            </w:r>
          </w:p>
        </w:tc>
      </w:tr>
      <w:tr>
        <w:trPr>
          <w:trHeight w:val="203"/>
        </w:trPr>
        <w:tc>
          <w:tcPr>
            <w:tcW w:w="20" w:type="dxa"/>
            <w:vAlign w:val="bottom"/>
          </w:tcPr>
          <w:p>
            <w:pPr>
              <w:spacing w:after="0"/>
              <w:rPr>
                <w:sz w:val="17"/>
                <w:szCs w:val="17"/>
                <w:color w:val="auto"/>
              </w:rPr>
            </w:pPr>
          </w:p>
        </w:tc>
        <w:tc>
          <w:tcPr>
            <w:tcW w:w="7580" w:type="dxa"/>
            <w:vAlign w:val="bottom"/>
            <w:gridSpan w:val="2"/>
          </w:tcPr>
          <w:p>
            <w:pPr>
              <w:ind w:left="340"/>
              <w:spacing w:after="0" w:line="202" w:lineRule="exact"/>
              <w:rPr>
                <w:sz w:val="20"/>
                <w:szCs w:val="20"/>
                <w:color w:val="auto"/>
              </w:rPr>
            </w:pPr>
            <w:r>
              <w:rPr>
                <w:rFonts w:ascii="Arial" w:cs="Arial" w:eastAsia="Arial" w:hAnsi="Arial"/>
                <w:sz w:val="14"/>
                <w:szCs w:val="14"/>
                <w:color w:val="auto"/>
              </w:rPr>
              <w:t>Contributions to retirement plans</w:t>
            </w:r>
            <w:r>
              <w:rPr>
                <w:rFonts w:ascii="Arial" w:cs="Arial" w:eastAsia="Arial" w:hAnsi="Arial"/>
                <w:sz w:val="18"/>
                <w:szCs w:val="18"/>
                <w:color w:val="auto"/>
                <w:vertAlign w:val="superscript"/>
              </w:rPr>
              <w:t>(1)</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03"/>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Decrease in accounts receivable and billed portion of finance receivables</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92</w:t>
            </w:r>
          </w:p>
        </w:tc>
      </w:tr>
      <w:tr>
        <w:trPr>
          <w:trHeight w:val="199"/>
        </w:trPr>
        <w:tc>
          <w:tcPr>
            <w:tcW w:w="2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Increase in inventories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6"/>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Increase in equipment on operating leases</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(28)</w:t>
            </w:r>
          </w:p>
        </w:tc>
      </w:tr>
      <w:tr>
        <w:trPr>
          <w:trHeight w:val="199"/>
        </w:trPr>
        <w:tc>
          <w:tcPr>
            <w:tcW w:w="2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Decrease in finance receivables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06"/>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(Increase) decrease in other current and long-term assets</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w:t>
            </w:r>
          </w:p>
        </w:tc>
      </w:tr>
      <w:tr>
        <w:trPr>
          <w:trHeight w:val="198"/>
        </w:trPr>
        <w:tc>
          <w:tcPr>
            <w:tcW w:w="2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Increase (decrease) in accounts payable</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Increase (decrease) in accrued compensation</w:t>
            </w:r>
            <w:r>
              <w:rPr>
                <w:rFonts w:ascii="Arial" w:cs="Arial" w:eastAsia="Arial" w:hAnsi="Arial"/>
                <w:sz w:val="18"/>
                <w:szCs w:val="18"/>
                <w:color w:val="auto"/>
                <w:vertAlign w:val="superscript"/>
              </w:rPr>
              <w:t>(1)</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w:t>
            </w:r>
          </w:p>
        </w:tc>
      </w:tr>
      <w:tr>
        <w:trPr>
          <w:trHeight w:val="198"/>
        </w:trPr>
        <w:tc>
          <w:tcPr>
            <w:tcW w:w="2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Decrease in other current and long-term liabilities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Net change in income tax assets and liabilities</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w:t>
            </w:r>
          </w:p>
        </w:tc>
      </w:tr>
      <w:tr>
        <w:trPr>
          <w:trHeight w:val="198"/>
        </w:trPr>
        <w:tc>
          <w:tcPr>
            <w:tcW w:w="2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Net change in derivative assets and liabilities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Other operating, net</w:t>
            </w:r>
          </w:p>
        </w:tc>
        <w:tc>
          <w:tcPr>
            <w:tcW w:w="420" w:type="dxa"/>
            <w:vAlign w:val="bottom"/>
            <w:tcBorders>
              <w:bottom w:val="single" w:sz="8" w:color="auto"/>
            </w:tcBorders>
            <w:shd w:val="clear" w:color="auto" w:fill="E5E5E5"/>
          </w:tcPr>
          <w:p>
            <w:pPr>
              <w:spacing w:after="0"/>
              <w:rPr>
                <w:sz w:val="17"/>
                <w:szCs w:val="17"/>
                <w:color w:val="auto"/>
              </w:rPr>
            </w:pP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E5E5E5"/>
          </w:tcPr>
          <w:p>
            <w:pPr>
              <w:spacing w:after="0"/>
              <w:rPr>
                <w:sz w:val="17"/>
                <w:szCs w:val="17"/>
                <w:color w:val="auto"/>
              </w:rPr>
            </w:pPr>
          </w:p>
        </w:tc>
        <w:tc>
          <w:tcPr>
            <w:tcW w:w="660" w:type="dxa"/>
            <w:vAlign w:val="bottom"/>
            <w:tcBorders>
              <w:bottom w:val="single" w:sz="8" w:color="auto"/>
            </w:tcBorders>
            <w:shd w:val="clear" w:color="auto" w:fill="E5E5E5"/>
          </w:tcPr>
          <w:p>
            <w:pPr>
              <w:spacing w:after="0"/>
              <w:rPr>
                <w:sz w:val="17"/>
                <w:szCs w:val="17"/>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(11)</w:t>
            </w:r>
          </w:p>
        </w:tc>
      </w:tr>
      <w:tr>
        <w:trPr>
          <w:trHeight w:val="192"/>
        </w:trPr>
        <w:tc>
          <w:tcPr>
            <w:tcW w:w="20" w:type="dxa"/>
            <w:vAlign w:val="bottom"/>
            <w:tcBorders>
              <w:bottom w:val="single" w:sz="8" w:color="E5E5E5"/>
            </w:tcBorders>
          </w:tcPr>
          <w:p>
            <w:pPr>
              <w:spacing w:after="0"/>
              <w:rPr>
                <w:sz w:val="16"/>
                <w:szCs w:val="16"/>
                <w:color w:val="auto"/>
              </w:rPr>
            </w:pPr>
          </w:p>
        </w:tc>
        <w:tc>
          <w:tcPr>
            <w:tcW w:w="7580" w:type="dxa"/>
            <w:vAlign w:val="bottom"/>
            <w:tcBorders>
              <w:bottom w:val="single" w:sz="8" w:color="E5E5E5"/>
            </w:tcBorders>
            <w:gridSpan w:val="2"/>
          </w:tcPr>
          <w:p>
            <w:pPr>
              <w:ind w:left="540"/>
              <w:spacing w:after="0"/>
              <w:rPr>
                <w:sz w:val="20"/>
                <w:szCs w:val="20"/>
                <w:color w:val="auto"/>
              </w:rPr>
            </w:pPr>
            <w:r>
              <w:rPr>
                <w:rFonts w:ascii="Arial" w:cs="Arial" w:eastAsia="Arial" w:hAnsi="Arial"/>
                <w:sz w:val="14"/>
                <w:szCs w:val="14"/>
                <w:color w:val="auto"/>
              </w:rPr>
              <w:t>Net cash provided by operating activities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E5E5E5"/>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r>
      <w:tr>
        <w:trPr>
          <w:trHeight w:val="187"/>
        </w:trPr>
        <w:tc>
          <w:tcPr>
            <w:tcW w:w="20" w:type="dxa"/>
            <w:vAlign w:val="bottom"/>
            <w:shd w:val="clear" w:color="auto" w:fill="E5E5E5"/>
          </w:tcPr>
          <w:p>
            <w:pPr>
              <w:spacing w:after="0"/>
              <w:rPr>
                <w:sz w:val="16"/>
                <w:szCs w:val="16"/>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420" w:type="dxa"/>
            <w:vAlign w:val="bottom"/>
            <w:shd w:val="clear" w:color="auto" w:fill="E5E5E5"/>
          </w:tcPr>
          <w:p>
            <w:pPr>
              <w:spacing w:after="0"/>
              <w:rPr>
                <w:sz w:val="16"/>
                <w:szCs w:val="16"/>
                <w:color w:val="auto"/>
              </w:rPr>
            </w:pPr>
          </w:p>
        </w:tc>
        <w:tc>
          <w:tcPr>
            <w:tcW w:w="13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Cost of additions to land, buildings, equipment and software</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Acquisitions, net of cash acquired</w:t>
            </w:r>
          </w:p>
        </w:tc>
        <w:tc>
          <w:tcPr>
            <w:tcW w:w="420" w:type="dxa"/>
            <w:vAlign w:val="bottom"/>
            <w:tcBorders>
              <w:bottom w:val="single" w:sz="8" w:color="auto"/>
            </w:tcBorders>
            <w:shd w:val="clear" w:color="auto" w:fill="E5E5E5"/>
          </w:tcPr>
          <w:p>
            <w:pPr>
              <w:spacing w:after="0"/>
              <w:rPr>
                <w:sz w:val="17"/>
                <w:szCs w:val="17"/>
                <w:color w:val="auto"/>
              </w:rPr>
            </w:pP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E5E5E5"/>
          </w:tcPr>
          <w:p>
            <w:pPr>
              <w:spacing w:after="0"/>
              <w:rPr>
                <w:sz w:val="17"/>
                <w:szCs w:val="17"/>
                <w:color w:val="auto"/>
              </w:rPr>
            </w:pPr>
          </w:p>
        </w:tc>
        <w:tc>
          <w:tcPr>
            <w:tcW w:w="660" w:type="dxa"/>
            <w:vAlign w:val="bottom"/>
            <w:tcBorders>
              <w:bottom w:val="single" w:sz="8" w:color="auto"/>
            </w:tcBorders>
            <w:shd w:val="clear" w:color="auto" w:fill="E5E5E5"/>
          </w:tcPr>
          <w:p>
            <w:pPr>
              <w:spacing w:after="0"/>
              <w:rPr>
                <w:sz w:val="17"/>
                <w:szCs w:val="17"/>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20" w:type="dxa"/>
            <w:vAlign w:val="bottom"/>
            <w:tcBorders>
              <w:bottom w:val="single" w:sz="8" w:color="E5E5E5"/>
            </w:tcBorders>
          </w:tcPr>
          <w:p>
            <w:pPr>
              <w:spacing w:after="0"/>
              <w:rPr>
                <w:sz w:val="16"/>
                <w:szCs w:val="16"/>
                <w:color w:val="auto"/>
              </w:rPr>
            </w:pPr>
          </w:p>
        </w:tc>
        <w:tc>
          <w:tcPr>
            <w:tcW w:w="7580" w:type="dxa"/>
            <w:vAlign w:val="bottom"/>
            <w:tcBorders>
              <w:bottom w:val="single" w:sz="8" w:color="E5E5E5"/>
            </w:tcBorders>
            <w:gridSpan w:val="2"/>
          </w:tcPr>
          <w:p>
            <w:pPr>
              <w:ind w:left="540"/>
              <w:spacing w:after="0"/>
              <w:rPr>
                <w:sz w:val="20"/>
                <w:szCs w:val="20"/>
                <w:color w:val="auto"/>
              </w:rPr>
            </w:pPr>
            <w:r>
              <w:rPr>
                <w:rFonts w:ascii="Arial" w:cs="Arial" w:eastAsia="Arial" w:hAnsi="Arial"/>
                <w:sz w:val="14"/>
                <w:szCs w:val="14"/>
                <w:color w:val="auto"/>
              </w:rPr>
              <w:t>Net cash used in investing activities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20" w:type="dxa"/>
            <w:vAlign w:val="bottom"/>
            <w:tcBorders>
              <w:bottom w:val="single" w:sz="8" w:color="E5E5E5"/>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187"/>
        </w:trPr>
        <w:tc>
          <w:tcPr>
            <w:tcW w:w="20" w:type="dxa"/>
            <w:vAlign w:val="bottom"/>
            <w:shd w:val="clear" w:color="auto" w:fill="E5E5E5"/>
          </w:tcPr>
          <w:p>
            <w:pPr>
              <w:spacing w:after="0"/>
              <w:rPr>
                <w:sz w:val="16"/>
                <w:szCs w:val="16"/>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420" w:type="dxa"/>
            <w:vAlign w:val="bottom"/>
            <w:shd w:val="clear" w:color="auto" w:fill="E5E5E5"/>
          </w:tcPr>
          <w:p>
            <w:pPr>
              <w:spacing w:after="0"/>
              <w:rPr>
                <w:sz w:val="16"/>
                <w:szCs w:val="16"/>
                <w:color w:val="auto"/>
              </w:rPr>
            </w:pPr>
          </w:p>
        </w:tc>
        <w:tc>
          <w:tcPr>
            <w:tcW w:w="13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Proceeds from issuance of long-term debt</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668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Payments on long-term debt</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(646)</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(95)</w:t>
            </w:r>
          </w:p>
        </w:tc>
      </w:tr>
      <w:tr>
        <w:trPr>
          <w:trHeight w:val="198"/>
        </w:trPr>
        <w:tc>
          <w:tcPr>
            <w:tcW w:w="2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Arial" w:cs="Arial" w:eastAsia="Arial" w:hAnsi="Arial"/>
                <w:sz w:val="14"/>
                <w:szCs w:val="14"/>
                <w:color w:val="auto"/>
              </w:rPr>
              <w:t>Distributions to parent</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207"/>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Other financing, net</w:t>
            </w:r>
          </w:p>
        </w:tc>
        <w:tc>
          <w:tcPr>
            <w:tcW w:w="420" w:type="dxa"/>
            <w:vAlign w:val="bottom"/>
            <w:tcBorders>
              <w:bottom w:val="single" w:sz="8" w:color="auto"/>
            </w:tcBorders>
            <w:shd w:val="clear" w:color="auto" w:fill="E5E5E5"/>
          </w:tcPr>
          <w:p>
            <w:pPr>
              <w:spacing w:after="0"/>
              <w:rPr>
                <w:sz w:val="17"/>
                <w:szCs w:val="17"/>
                <w:color w:val="auto"/>
              </w:rPr>
            </w:pP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E5E5E5"/>
          </w:tcPr>
          <w:p>
            <w:pPr>
              <w:spacing w:after="0"/>
              <w:rPr>
                <w:sz w:val="17"/>
                <w:szCs w:val="17"/>
                <w:color w:val="auto"/>
              </w:rPr>
            </w:pPr>
          </w:p>
        </w:tc>
        <w:tc>
          <w:tcPr>
            <w:tcW w:w="660" w:type="dxa"/>
            <w:vAlign w:val="bottom"/>
            <w:tcBorders>
              <w:bottom w:val="single" w:sz="8" w:color="auto"/>
            </w:tcBorders>
            <w:shd w:val="clear" w:color="auto" w:fill="E5E5E5"/>
          </w:tcPr>
          <w:p>
            <w:pPr>
              <w:spacing w:after="0"/>
              <w:rPr>
                <w:sz w:val="17"/>
                <w:szCs w:val="17"/>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w:t>
            </w:r>
          </w:p>
        </w:tc>
      </w:tr>
      <w:tr>
        <w:trPr>
          <w:trHeight w:val="192"/>
        </w:trPr>
        <w:tc>
          <w:tcPr>
            <w:tcW w:w="20" w:type="dxa"/>
            <w:vAlign w:val="bottom"/>
            <w:tcBorders>
              <w:bottom w:val="single" w:sz="8" w:color="E5E5E5"/>
            </w:tcBorders>
          </w:tcPr>
          <w:p>
            <w:pPr>
              <w:spacing w:after="0"/>
              <w:rPr>
                <w:sz w:val="16"/>
                <w:szCs w:val="16"/>
                <w:color w:val="auto"/>
              </w:rPr>
            </w:pPr>
          </w:p>
        </w:tc>
        <w:tc>
          <w:tcPr>
            <w:tcW w:w="7580" w:type="dxa"/>
            <w:vAlign w:val="bottom"/>
            <w:tcBorders>
              <w:bottom w:val="single" w:sz="8" w:color="E5E5E5"/>
            </w:tcBorders>
            <w:gridSpan w:val="2"/>
          </w:tcPr>
          <w:p>
            <w:pPr>
              <w:ind w:left="540"/>
              <w:spacing w:after="0"/>
              <w:rPr>
                <w:sz w:val="20"/>
                <w:szCs w:val="20"/>
                <w:color w:val="auto"/>
              </w:rPr>
            </w:pPr>
            <w:r>
              <w:rPr>
                <w:rFonts w:ascii="Arial" w:cs="Arial" w:eastAsia="Arial" w:hAnsi="Arial"/>
                <w:sz w:val="14"/>
                <w:szCs w:val="14"/>
                <w:color w:val="auto"/>
              </w:rPr>
              <w:t>Net cash used in financing activities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Borders>
              <w:bottom w:val="single" w:sz="8" w:color="E5E5E5"/>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w:t>
            </w:r>
          </w:p>
        </w:tc>
      </w:tr>
      <w:tr>
        <w:trPr>
          <w:trHeight w:val="200"/>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420" w:type="dxa"/>
            <w:vAlign w:val="bottom"/>
            <w:tcBorders>
              <w:bottom w:val="single" w:sz="8" w:color="auto"/>
            </w:tcBorders>
            <w:shd w:val="clear" w:color="auto" w:fill="E5E5E5"/>
          </w:tcPr>
          <w:p>
            <w:pPr>
              <w:spacing w:after="0"/>
              <w:rPr>
                <w:sz w:val="17"/>
                <w:szCs w:val="17"/>
                <w:color w:val="auto"/>
              </w:rPr>
            </w:pP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E5E5E5"/>
          </w:tcPr>
          <w:p>
            <w:pPr>
              <w:spacing w:after="0"/>
              <w:rPr>
                <w:sz w:val="17"/>
                <w:szCs w:val="17"/>
                <w:color w:val="auto"/>
              </w:rPr>
            </w:pPr>
          </w:p>
        </w:tc>
        <w:tc>
          <w:tcPr>
            <w:tcW w:w="660" w:type="dxa"/>
            <w:vAlign w:val="bottom"/>
            <w:tcBorders>
              <w:bottom w:val="single" w:sz="8" w:color="auto"/>
            </w:tcBorders>
            <w:shd w:val="clear" w:color="auto" w:fill="E5E5E5"/>
          </w:tcPr>
          <w:p>
            <w:pPr>
              <w:spacing w:after="0"/>
              <w:rPr>
                <w:sz w:val="17"/>
                <w:szCs w:val="17"/>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(12)</w:t>
            </w:r>
          </w:p>
        </w:tc>
      </w:tr>
      <w:tr>
        <w:trPr>
          <w:trHeight w:val="192"/>
        </w:trPr>
        <w:tc>
          <w:tcPr>
            <w:tcW w:w="20" w:type="dxa"/>
            <w:vAlign w:val="bottom"/>
          </w:tcPr>
          <w:p>
            <w:pPr>
              <w:spacing w:after="0"/>
              <w:rPr>
                <w:sz w:val="16"/>
                <w:szCs w:val="16"/>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Decrease in cash, cash equivalents and restricted cash</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(230)</w:t>
            </w:r>
          </w:p>
        </w:tc>
      </w:tr>
      <w:tr>
        <w:trPr>
          <w:trHeight w:val="203"/>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420" w:type="dxa"/>
            <w:vAlign w:val="bottom"/>
            <w:tcBorders>
              <w:bottom w:val="single" w:sz="8" w:color="auto"/>
            </w:tcBorders>
            <w:shd w:val="clear" w:color="auto" w:fill="E5E5E5"/>
          </w:tcPr>
          <w:p>
            <w:pPr>
              <w:spacing w:after="0"/>
              <w:rPr>
                <w:sz w:val="17"/>
                <w:szCs w:val="17"/>
                <w:color w:val="auto"/>
              </w:rPr>
            </w:pP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1,909</w:t>
            </w:r>
          </w:p>
        </w:tc>
        <w:tc>
          <w:tcPr>
            <w:tcW w:w="120" w:type="dxa"/>
            <w:vAlign w:val="bottom"/>
            <w:shd w:val="clear" w:color="auto" w:fill="E5E5E5"/>
          </w:tcPr>
          <w:p>
            <w:pPr>
              <w:spacing w:after="0"/>
              <w:rPr>
                <w:sz w:val="17"/>
                <w:szCs w:val="17"/>
                <w:color w:val="auto"/>
              </w:rPr>
            </w:pPr>
          </w:p>
        </w:tc>
        <w:tc>
          <w:tcPr>
            <w:tcW w:w="660" w:type="dxa"/>
            <w:vAlign w:val="bottom"/>
            <w:tcBorders>
              <w:bottom w:val="single" w:sz="8" w:color="auto"/>
            </w:tcBorders>
            <w:shd w:val="clear" w:color="auto" w:fill="E5E5E5"/>
          </w:tcPr>
          <w:p>
            <w:pPr>
              <w:spacing w:after="0"/>
              <w:rPr>
                <w:sz w:val="17"/>
                <w:szCs w:val="17"/>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2,691</w:t>
            </w:r>
          </w:p>
        </w:tc>
      </w:tr>
      <w:tr>
        <w:trPr>
          <w:trHeight w:val="200"/>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1,761</w:t>
            </w:r>
          </w:p>
        </w:tc>
        <w:tc>
          <w:tcPr>
            <w:tcW w:w="120" w:type="dxa"/>
            <w:vAlign w:val="bottom"/>
          </w:tcPr>
          <w:p>
            <w:pPr>
              <w:spacing w:after="0"/>
              <w:rPr>
                <w:sz w:val="17"/>
                <w:szCs w:val="17"/>
                <w:color w:val="auto"/>
              </w:rPr>
            </w:pPr>
          </w:p>
        </w:tc>
        <w:tc>
          <w:tcPr>
            <w:tcW w:w="6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2,461</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55" w:lineRule="exact"/>
        <w:rPr>
          <w:sz w:val="20"/>
          <w:szCs w:val="20"/>
          <w:color w:val="auto"/>
        </w:rPr>
      </w:pPr>
    </w:p>
    <w:p>
      <w:pPr>
        <w:jc w:val="both"/>
        <w:ind w:left="340" w:right="240" w:hanging="332"/>
        <w:spacing w:after="0" w:line="281" w:lineRule="auto"/>
        <w:tabs>
          <w:tab w:leader="none" w:pos="327"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Captions were changed in 2022 to reflect the inclusion of expense and contributions for our Retiree Health plans, which were previously reported as part of the Increase (decrease) in accrued compensation. There was no change to Net cash provided by operating activities as a result of the reclassification. Prior year amounts have been revised to conform to this presentation. Refer to Note 16 - Employee Benefit Plans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DA2031"/>
        </w:rPr>
        <w:t>XEROX HOLDINGS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XEROX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NOTES TO CONDENSED CONSOLIDATED FINANCIAL STATEMENTS (UNAUDITED)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DA2031"/>
        </w:rPr>
        <w:t>(in millions, except per-share data and where otherwise noted)</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DA2031"/>
        </w:rPr>
        <w:t>Note 1 – Basis of Presentation</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References to “Xerox Holdings” refer to Xerox Holdings Corporation and its consolidated subsidiaries while references to “Xerox” refer to Xerox Corporation and its consolidated subsidiaries. References herein to “we,” “us,” “our,” the “Company” refer collectively to both Xerox Holdings and Xerox unless the context suggests otherwise. References to "Xerox Holdings Corporation" refer to the stand-alone parent company and do not include its subsidiaries. References to "Xerox Corporation" refer to the stand-alone company and do not include its subsidiaries.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accompanying unaudited Condensed Consolidated Financial Statements and footnotes represent the respective, consolidated results and financial results of Xerox Holdings and Xerox and all respective companies that each registrant directly or indirectly controls, either through majority ownership or otherwise. This is a combined report of Xerox Holdings and Xerox, which includes separate unaudited Condensed Consolidated Financial Statements for each registrant.</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of both Xerox Holdings and Xerox have been prepared in accordance with the accounting policies described in the Combined 2021 Annual Report on Form 10-K (2021 Annual Report), except as noted herein, and the interim reporting requirements of Form 10-Q. Accordingly, certain information and note disclosures normally included in our annual financial statements prepared in accordance with accounting principles generally accepted in the United States of America (GAAP) have been condensed or omitted. You should read these Condensed Consolidated Financial Statements in conjunction with the Consolidated Financial Statements included in the 2021 Annual Report.</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our opinion, all adjustments necessary for a fair statement of financial position, operating results and cash flows for the interim periods presented have been made. These adjustments consist of normal recurring items. Interim results of operations are not necessarily indicative of the results of the full year.</w:t>
      </w:r>
    </w:p>
    <w:p>
      <w:pPr>
        <w:spacing w:after="0" w:line="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convenience and ease of reference, we refer to the financial statement caption “(Loss) Income before Income Taxes and Equity Income” as “pre-tax (loss) income”.</w:t>
      </w:r>
    </w:p>
    <w:p>
      <w:pPr>
        <w:spacing w:after="0" w:line="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Notes to the Condensed Consolidated Financial Statements reflect the activity for both Xerox Holdings and Xerox for all periods presented, unless otherwise noted.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Segments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first quarter of 2022, the Company made a change to its reportable segments from one reportable segment to two reportable segments - Print and Other, and Financing (FITTLE) - to align with a change in how the Chief Operating Decision Maker (CODM), our Chief Executive Officer (CEO), allocates resources and assesses performance against the Company’s key growth strategies. As such, prior period reportable segment results and related disclosures have been conformed to reflect the Company’s current reportable segments.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 Segment Reporting for additional information regarding this change.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Goodwill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Interim Impairment Evaluation</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goodwill balance was $3.3 billion at March 31, 2022 and December 31, 2021, respectively. The balance at December 31, 2021 reflects a pre-tax impairment charge of $781 recorded in the fourth quarter 2021 after completion of our fourth quarter annual goodwill impairment assessment. We assess goodwill for impairment at least annually during the fourth quarter and whenever events or changes in circumstances indicate that the carrying value may not be recoverable.</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noted above, during the first quarter 2022, the Company made a change to its operating and reportable segments from one operating/reportable segment - Printing - to two operating/reportable segments - Print and Other, and Financing (FITTLE). As a result of the new operating and reportable segments, we also reassessed our reporting units for the evaluation of goodwill. Prior to this change, consistent with the determination that we had one operating/reportable segment, we determined that we had one reporting unit for goodwill assessment purposes. Our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2" w:name="page13"/>
    <w:bookmarkEnd w:id="12"/>
    <w:p>
      <w:pPr>
        <w:jc w:val="both"/>
        <w:spacing w:after="0" w:line="287" w:lineRule="auto"/>
        <w:rPr>
          <w:sz w:val="20"/>
          <w:szCs w:val="20"/>
          <w:color w:val="auto"/>
        </w:rPr>
      </w:pPr>
      <w:r>
        <w:rPr>
          <w:rFonts w:ascii="Arial" w:cs="Arial" w:eastAsia="Arial" w:hAnsi="Arial"/>
          <w:sz w:val="18"/>
          <w:szCs w:val="18"/>
          <w:color w:val="auto"/>
        </w:rPr>
        <w:t>reassessment during the first quarter of 2022 determined that likewise consistent with the determination that we had two operating/reportable segments, we now have two reporting units – Print and Other, and Financing (FITTLE).</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the change in reporting units, effective January 1, 2022, we estimated the fair value of our new reporting units and, based on an assessment of the relative fair values of our new reporting units after the change, we determined that no goodwill was allocable to the Financing (FITTLE) segment. This determination was largely based on the fact that at this stage in the stand-up of the Financing (FITTLE) business, its separate valuation is constrained and limited because the operation is significantly integrated with the Print and Other segment and is primarily an extension or enabler to facilitate the sale of the Company’s products. The change in reporting units was also considered a triggering event indicating a test for goodwill impairment was required as of January 1, 2022 before and after the change in reporting units. The Company performed those impairment tests, which did not result in the identification of an impairment loss as of January 1, 2022.</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2022, the Company encountered significant operational challenges and uncertainties, due to supply chain constraints, inflationary pressure on costs, geopolitical uncertainty in Europe and the threat of additional COVID-19 variants. Despite these uncertainties, the Company expects to maintain its full year 2022 financial outlook since at this stage in the year we do not have enough information or clarity (positive or negative) on these uncertainties to warrant an adjustment in our outlook. Accordingly, based on our interim assessment as of March 31, 2022, we determined that it was more-likely-than-not that the fair value of Print and Other reporting unit (the only reporting unit with goodwill) was still greater than its net book value and that we did not have a “triggering event” requiring a quantitative assessment of Goodwill. Despite indications that our excess fair value is likely reduced as compared to the impairment test as of January 1, 2022, the Company's projections for the full year 2022, reviewed as part of our quantitative analysis, are still within the range of our sensitivity analysis performed as part of our January 1, 2022 interim impairment assessment.</w:t>
      </w:r>
    </w:p>
    <w:p>
      <w:pPr>
        <w:spacing w:after="0" w:line="5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assumptions or estimates with respect to the Company's future performance vary from what is expected, including those assumptions relating to the supply chain constraints, inflationary pressure on costs, geopolitical uncertainty in Europe and the threat of additional COVID-19 variants, this may impact the impairment analysis and could reduce the underlying cash flows used to estimate fair values and result in a decline in fair value that may trigger future impairment charges.</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DA2031"/>
        </w:rPr>
        <w:t>Note 2 – Recent Accounting Pronouncements</w:t>
      </w:r>
    </w:p>
    <w:p>
      <w:pPr>
        <w:spacing w:after="0" w:line="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Xerox Holdings and Xerox consider the applicability and impact of all Accounting Standards Updates (ASUs) issued by the Financial Accounting Standards Board (FASB). The ASUs listed below apply to both registrants. ASUs not listed below were assessed and determined to be not applicable to the Condensed Consolidated Financial Statements of either registrant.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DA2031"/>
        </w:rPr>
        <w:t>Accounting Standard Updates to be Adopted: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Financial Instruments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2022, the FASB issued </w:t>
      </w:r>
      <w:r>
        <w:rPr>
          <w:rFonts w:ascii="Arial" w:cs="Arial" w:eastAsia="Arial" w:hAnsi="Arial"/>
          <w:sz w:val="18"/>
          <w:szCs w:val="18"/>
          <w:b w:val="1"/>
          <w:bCs w:val="1"/>
          <w:u w:val="single" w:color="auto"/>
          <w:color w:val="auto"/>
        </w:rPr>
        <w:t>ASU 2022-02</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 - Credit Losses (Topic 326), Troubled Debt Restructurings and Vintage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 Gross Write-offs. </w:t>
      </w:r>
      <w:r>
        <w:rPr>
          <w:rFonts w:ascii="Arial" w:cs="Arial" w:eastAsia="Arial" w:hAnsi="Arial"/>
          <w:sz w:val="18"/>
          <w:szCs w:val="18"/>
          <w:color w:val="auto"/>
        </w:rPr>
        <w:t>The amendments in this update eliminate the accounting guidance for Troubled Debt Restructurings (TDRs)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by creditors while enhancing disclosure requirements for certain loan refinancing and restructurings by creditors made to borrowers experiencing financial difficulty. The amendments also require disclosure of current-period gross write-offs by year of origination for financing receivables. The update is applicable for financing receivables and net investments in leases that are within the scope of </w:t>
      </w:r>
      <w:r>
        <w:rPr>
          <w:rFonts w:ascii="Arial" w:cs="Arial" w:eastAsia="Arial" w:hAnsi="Arial"/>
          <w:sz w:val="18"/>
          <w:szCs w:val="18"/>
          <w:b w:val="1"/>
          <w:bCs w:val="1"/>
          <w:u w:val="single" w:color="auto"/>
          <w:color w:val="auto"/>
        </w:rPr>
        <w:t>ASC 326-20</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 - Credit Losses - Measured at Amortized Cost</w:t>
      </w:r>
      <w:r>
        <w:rPr>
          <w:rFonts w:ascii="Arial" w:cs="Arial" w:eastAsia="Arial" w:hAnsi="Arial"/>
          <w:sz w:val="18"/>
          <w:szCs w:val="18"/>
          <w:color w:val="auto"/>
        </w:rPr>
        <w:t>. This update is effective for our fiscal year beginning on January 1,</w:t>
      </w:r>
      <w:r>
        <w:rPr>
          <w:rFonts w:ascii="Arial" w:cs="Arial" w:eastAsia="Arial" w:hAnsi="Arial"/>
          <w:sz w:val="18"/>
          <w:szCs w:val="18"/>
          <w:i w:val="1"/>
          <w:iCs w:val="1"/>
          <w:color w:val="auto"/>
        </w:rPr>
        <w:t xml:space="preserve"> </w:t>
      </w:r>
      <w:r>
        <w:rPr>
          <w:rFonts w:ascii="Arial" w:cs="Arial" w:eastAsia="Arial" w:hAnsi="Arial"/>
          <w:sz w:val="18"/>
          <w:szCs w:val="18"/>
          <w:color w:val="auto"/>
        </w:rPr>
        <w:t>2023, but early adoption is permitted. The provisions of this amendment are to be applied on a prospective basis. We are currently evaluating the impact of the adoption of this standard on the Company's consolidated financial statements and related disclosures.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Reference Rate Reform</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March 2020, the FASB issued </w:t>
      </w:r>
      <w:r>
        <w:rPr>
          <w:rFonts w:ascii="Arial" w:cs="Arial" w:eastAsia="Arial" w:hAnsi="Arial"/>
          <w:sz w:val="18"/>
          <w:szCs w:val="18"/>
          <w:b w:val="1"/>
          <w:bCs w:val="1"/>
          <w:u w:val="single" w:color="auto"/>
          <w:color w:val="auto"/>
        </w:rPr>
        <w:t>ASU 2020-04</w:t>
      </w:r>
      <w:r>
        <w:rPr>
          <w:rFonts w:ascii="Arial" w:cs="Arial" w:eastAsia="Arial" w:hAnsi="Arial"/>
          <w:sz w:val="18"/>
          <w:szCs w:val="18"/>
          <w:color w:val="auto"/>
        </w:rPr>
        <w:t xml:space="preserve">, </w:t>
      </w:r>
      <w:r>
        <w:rPr>
          <w:rFonts w:ascii="Arial" w:cs="Arial" w:eastAsia="Arial" w:hAnsi="Arial"/>
          <w:sz w:val="18"/>
          <w:szCs w:val="18"/>
          <w:i w:val="1"/>
          <w:iCs w:val="1"/>
          <w:color w:val="auto"/>
        </w:rPr>
        <w:t>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Reporting, </w:t>
      </w:r>
      <w:r>
        <w:rPr>
          <w:rFonts w:ascii="Arial" w:cs="Arial" w:eastAsia="Arial" w:hAnsi="Arial"/>
          <w:sz w:val="18"/>
          <w:szCs w:val="18"/>
          <w:color w:val="auto"/>
        </w:rPr>
        <w:t>which provides optional expedients and exceptions for applying U.S. GAAP to contracts, hedging relationships,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transactions affected by the discontinuation of the London Interbank Offered Rate (LIBOR) or by another reference rate expected to be discontinued. In January 2021, the FASB issued </w:t>
      </w:r>
      <w:r>
        <w:rPr>
          <w:rFonts w:ascii="Arial" w:cs="Arial" w:eastAsia="Arial" w:hAnsi="Arial"/>
          <w:sz w:val="18"/>
          <w:szCs w:val="18"/>
          <w:b w:val="1"/>
          <w:bCs w:val="1"/>
          <w:u w:val="single" w:color="auto"/>
          <w:color w:val="auto"/>
        </w:rPr>
        <w:t>ASU 2021-01</w:t>
      </w:r>
      <w:r>
        <w:rPr>
          <w:rFonts w:ascii="Arial" w:cs="Arial" w:eastAsia="Arial" w:hAnsi="Arial"/>
          <w:sz w:val="18"/>
          <w:szCs w:val="18"/>
          <w:color w:val="auto"/>
        </w:rPr>
        <w:t xml:space="preserve">, </w:t>
      </w:r>
      <w:r>
        <w:rPr>
          <w:rFonts w:ascii="Arial" w:cs="Arial" w:eastAsia="Arial" w:hAnsi="Arial"/>
          <w:sz w:val="18"/>
          <w:szCs w:val="18"/>
          <w:i w:val="1"/>
          <w:iCs w:val="1"/>
          <w:color w:val="auto"/>
        </w:rPr>
        <w:t>Reference Rate Reform (Topic 848): Scope</w:t>
      </w:r>
      <w:r>
        <w:rPr>
          <w:rFonts w:ascii="Arial" w:cs="Arial" w:eastAsia="Arial" w:hAnsi="Arial"/>
          <w:sz w:val="18"/>
          <w:szCs w:val="18"/>
          <w:color w:val="auto"/>
        </w:rPr>
        <w:t>, which provided clarification guidance to ASU 2020-04. These ASUs were effective commencing with our quarter ended March 31, 2020 through December 31, 2022. There has been no impact to date as a result of ASU 2020-04 or ASU 2021-01 and subsequent amendments on reference rate reform. However, we continue to evaluate potential future impacts that may result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3" w:name="page14"/>
    <w:bookmarkEnd w:id="13"/>
    <w:p>
      <w:pPr>
        <w:jc w:val="both"/>
        <w:spacing w:after="0" w:line="287" w:lineRule="auto"/>
        <w:rPr>
          <w:sz w:val="20"/>
          <w:szCs w:val="20"/>
          <w:color w:val="auto"/>
        </w:rPr>
      </w:pPr>
      <w:r>
        <w:rPr>
          <w:rFonts w:ascii="Arial" w:cs="Arial" w:eastAsia="Arial" w:hAnsi="Arial"/>
          <w:sz w:val="18"/>
          <w:szCs w:val="18"/>
          <w:color w:val="auto"/>
        </w:rPr>
        <w:t>from the discontinuation of LIBOR or other reference rates as well as the accounting provided in this update on our financial condition, results of operations, and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DA2031"/>
        </w:rPr>
        <w:t>Accounting Standard Updates Adopted in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Government Assistance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November 2021, the FASB issued </w:t>
      </w:r>
      <w:r>
        <w:rPr>
          <w:rFonts w:ascii="Arial" w:cs="Arial" w:eastAsia="Arial" w:hAnsi="Arial"/>
          <w:sz w:val="18"/>
          <w:szCs w:val="18"/>
          <w:b w:val="1"/>
          <w:bCs w:val="1"/>
          <w:u w:val="single" w:color="auto"/>
          <w:color w:val="auto"/>
        </w:rPr>
        <w:t>ASU 2021-10</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Assistance (Topic 832), Disclosures by Business Entities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Government Assistance. </w:t>
      </w:r>
      <w:r>
        <w:rPr>
          <w:rFonts w:ascii="Arial" w:cs="Arial" w:eastAsia="Arial" w:hAnsi="Arial"/>
          <w:sz w:val="18"/>
          <w:szCs w:val="18"/>
          <w:color w:val="auto"/>
        </w:rPr>
        <w:t>The update increases the transparency surrounding government assistance by requiring disclosure of 1) the types</w:t>
      </w:r>
      <w:r>
        <w:rPr>
          <w:rFonts w:ascii="Arial" w:cs="Arial" w:eastAsia="Arial" w:hAnsi="Arial"/>
          <w:sz w:val="18"/>
          <w:szCs w:val="18"/>
          <w:i w:val="1"/>
          <w:iCs w:val="1"/>
          <w:color w:val="auto"/>
        </w:rPr>
        <w:t xml:space="preserve"> </w:t>
      </w:r>
      <w:r>
        <w:rPr>
          <w:rFonts w:ascii="Arial" w:cs="Arial" w:eastAsia="Arial" w:hAnsi="Arial"/>
          <w:sz w:val="18"/>
          <w:szCs w:val="18"/>
          <w:color w:val="auto"/>
        </w:rPr>
        <w:t>of assistance received, 2) an entity’s accounting for the assistance, and 3) the effect of the assistance on the entity’s financial statements. We adopted this update effective for our fiscal year beginning January 1, 2022. The impact of adoption was not material to our Consolidated Financial Statements. Impacts on future periods will depend on the amounts of government assistance received. Prior to the COVID pandemic, the amounts of government assistance the Company received were not material and since the update is limited to increased disclosures, we do not expect the adoption to have a material impact on our financial condition, results of operations, and cash flows in future periods.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Business Combinations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October 2021, the FASB issued </w:t>
      </w:r>
      <w:r>
        <w:rPr>
          <w:rFonts w:ascii="Arial" w:cs="Arial" w:eastAsia="Arial" w:hAnsi="Arial"/>
          <w:sz w:val="18"/>
          <w:szCs w:val="18"/>
          <w:b w:val="1"/>
          <w:bCs w:val="1"/>
          <w:u w:val="single" w:color="auto"/>
          <w:color w:val="auto"/>
        </w:rPr>
        <w:t>ASU 2021-08</w:t>
      </w:r>
      <w:r>
        <w:rPr>
          <w:rFonts w:ascii="Arial" w:cs="Arial" w:eastAsia="Arial" w:hAnsi="Arial"/>
          <w:sz w:val="18"/>
          <w:szCs w:val="18"/>
          <w:i w:val="1"/>
          <w:iCs w:val="1"/>
          <w:color w:val="auto"/>
        </w:rPr>
        <w:t>, Business Combinations (Topic 805), Accounting for Contract Assets and Contract Liabilities</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r>
        <w:rPr>
          <w:rFonts w:ascii="Arial" w:cs="Arial" w:eastAsia="Arial" w:hAnsi="Arial"/>
          <w:sz w:val="18"/>
          <w:szCs w:val="18"/>
          <w:color w:val="auto"/>
        </w:rPr>
        <w:t>. The new guidance requires contract assets and contract liabilities acquired in a business combination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and measured by the acquirer on the acquisition date in accordance with ASC Topic 606, Revenue from Contracts with Customers, as if the acquirer had originated the contracts. This approach differs from the current requirement to measure contract assets and contract liabilities acquired in a business combination at fair value. We early adopted this update effective for our fiscal year beginning January 1, 2022. The impact of adopting the new standard will depend on the magnitude of future acquisitions. The standard will not impact contract assets or liabilities acquired in business combinations that occurred prior to the adoption date.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Debt</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August 2020, the FASB issued </w:t>
      </w:r>
      <w:r>
        <w:rPr>
          <w:rFonts w:ascii="Arial" w:cs="Arial" w:eastAsia="Arial" w:hAnsi="Arial"/>
          <w:sz w:val="18"/>
          <w:szCs w:val="18"/>
          <w:b w:val="1"/>
          <w:bCs w:val="1"/>
          <w:u w:val="single" w:color="auto"/>
          <w:color w:val="auto"/>
        </w:rPr>
        <w:t>ASU 2020-06</w:t>
      </w:r>
      <w:r>
        <w:rPr>
          <w:rFonts w:ascii="Arial" w:cs="Arial" w:eastAsia="Arial" w:hAnsi="Arial"/>
          <w:sz w:val="18"/>
          <w:szCs w:val="18"/>
          <w:color w:val="auto"/>
        </w:rPr>
        <w:t xml:space="preserve">, </w:t>
      </w:r>
      <w:r>
        <w:rPr>
          <w:rFonts w:ascii="Arial" w:cs="Arial" w:eastAsia="Arial" w:hAnsi="Arial"/>
          <w:sz w:val="18"/>
          <w:szCs w:val="18"/>
          <w:i w:val="1"/>
          <w:iCs w:val="1"/>
          <w:color w:val="auto"/>
        </w:rPr>
        <w:t>Debt - Debt with Conversion and Other Options (Subtopic 470-20)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 - Contracts in Entity's Own Equity (Subtopic 815-40). </w:t>
      </w:r>
      <w:r>
        <w:rPr>
          <w:rFonts w:ascii="Arial" w:cs="Arial" w:eastAsia="Arial" w:hAnsi="Arial"/>
          <w:sz w:val="18"/>
          <w:szCs w:val="18"/>
          <w:color w:val="auto"/>
        </w:rPr>
        <w:t>This update simplified the accounting for convertible instruments by reducing</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accounting models available for convertible debt instruments and convertible preferred stock. This update also amended the guidance for the derivatives scope exception for contracts in an entity's own equity to reduce form-over-substance-based accounting conclusions and required the application of the if-converted method for calculating diluted earnings per share. We adopted this update effective for our fiscal year beginning January 1, 2022. The adoption of this update did not have a material impact on the Company’s consolidated financial statements and related disclosures.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DA2031"/>
        </w:rPr>
        <w:t>Other Updates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2022 and 2021, the FASB also issued the following ASUs, which impact the Company but did not have, or are not expected to have, a material impact on our financial condition, results of operations or cash flows upon adoption. Those updates are as follows:</w:t>
      </w:r>
    </w:p>
    <w:p>
      <w:pPr>
        <w:spacing w:after="0" w:line="2" w:lineRule="exact"/>
        <w:rPr>
          <w:sz w:val="20"/>
          <w:szCs w:val="20"/>
          <w:color w:val="auto"/>
        </w:rPr>
      </w:pPr>
    </w:p>
    <w:p>
      <w:pPr>
        <w:ind w:left="660" w:right="20" w:hanging="328"/>
        <w:spacing w:after="0" w:line="273" w:lineRule="auto"/>
        <w:tabs>
          <w:tab w:leader="none" w:pos="655" w:val="left"/>
        </w:tabs>
        <w:numPr>
          <w:ilvl w:val="0"/>
          <w:numId w:val="7"/>
        </w:numPr>
        <w:rPr>
          <w:rFonts w:ascii="Arial" w:cs="Arial" w:eastAsia="Arial" w:hAnsi="Arial"/>
          <w:sz w:val="18"/>
          <w:szCs w:val="18"/>
          <w:b w:val="1"/>
          <w:bCs w:val="1"/>
          <w:i w:val="1"/>
          <w:iCs w:val="1"/>
          <w:color w:val="DA2031"/>
        </w:rPr>
      </w:pPr>
      <w:r>
        <w:rPr>
          <w:rFonts w:ascii="Arial" w:cs="Arial" w:eastAsia="Arial" w:hAnsi="Arial"/>
          <w:sz w:val="18"/>
          <w:szCs w:val="18"/>
          <w:b w:val="1"/>
          <w:bCs w:val="1"/>
          <w:i w:val="1"/>
          <w:iCs w:val="1"/>
          <w:u w:val="single" w:color="auto"/>
          <w:color w:val="DA2031"/>
        </w:rPr>
        <w:t>Derivatives and Hedging:</w:t>
      </w:r>
      <w:r>
        <w:rPr>
          <w:rFonts w:ascii="Arial" w:cs="Arial" w:eastAsia="Arial" w:hAnsi="Arial"/>
          <w:sz w:val="18"/>
          <w:szCs w:val="18"/>
          <w:b w:val="1"/>
          <w:bCs w:val="1"/>
          <w:i w:val="1"/>
          <w:iCs w:val="1"/>
          <w:color w:val="DA2031"/>
        </w:rPr>
        <w:t xml:space="preserve"> </w:t>
      </w:r>
      <w:r>
        <w:rPr>
          <w:rFonts w:ascii="Arial" w:cs="Arial" w:eastAsia="Arial" w:hAnsi="Arial"/>
          <w:sz w:val="18"/>
          <w:szCs w:val="18"/>
          <w:b w:val="1"/>
          <w:bCs w:val="1"/>
          <w:u w:val="single" w:color="auto"/>
          <w:color w:val="000000"/>
        </w:rPr>
        <w:t>ASU 2022-01</w:t>
      </w:r>
      <w:r>
        <w:rPr>
          <w:rFonts w:ascii="Arial" w:cs="Arial" w:eastAsia="Arial" w:hAnsi="Arial"/>
          <w:sz w:val="18"/>
          <w:szCs w:val="18"/>
          <w:i w:val="1"/>
          <w:iCs w:val="1"/>
          <w:color w:val="000000"/>
        </w:rPr>
        <w:t>, Derivatives and Hedging (Topic 815), Fair Value Hedging - Portfolio Layer Method.</w:t>
      </w:r>
      <w:r>
        <w:rPr>
          <w:rFonts w:ascii="Arial" w:cs="Arial" w:eastAsia="Arial" w:hAnsi="Arial"/>
          <w:sz w:val="18"/>
          <w:szCs w:val="18"/>
          <w:b w:val="1"/>
          <w:bCs w:val="1"/>
          <w:i w:val="1"/>
          <w:iCs w:val="1"/>
          <w:color w:val="DA2031"/>
        </w:rPr>
        <w:t xml:space="preserve"> </w:t>
      </w:r>
      <w:r>
        <w:rPr>
          <w:rFonts w:ascii="Arial" w:cs="Arial" w:eastAsia="Arial" w:hAnsi="Arial"/>
          <w:sz w:val="18"/>
          <w:szCs w:val="18"/>
          <w:color w:val="000000"/>
        </w:rPr>
        <w:t>This</w:t>
      </w:r>
      <w:r>
        <w:rPr>
          <w:rFonts w:ascii="Arial" w:cs="Arial" w:eastAsia="Arial" w:hAnsi="Arial"/>
          <w:sz w:val="18"/>
          <w:szCs w:val="18"/>
          <w:b w:val="1"/>
          <w:bCs w:val="1"/>
          <w:i w:val="1"/>
          <w:iCs w:val="1"/>
          <w:color w:val="DA2031"/>
        </w:rPr>
        <w:t xml:space="preserve"> </w:t>
      </w:r>
      <w:r>
        <w:rPr>
          <w:rFonts w:ascii="Arial" w:cs="Arial" w:eastAsia="Arial" w:hAnsi="Arial"/>
          <w:sz w:val="18"/>
          <w:szCs w:val="18"/>
          <w:color w:val="000000"/>
        </w:rPr>
        <w:t>update is effective for our fiscal year beginning January 1, 2023.</w:t>
      </w:r>
    </w:p>
    <w:p>
      <w:pPr>
        <w:spacing w:after="0" w:line="1" w:lineRule="exact"/>
        <w:rPr>
          <w:rFonts w:ascii="Arial" w:cs="Arial" w:eastAsia="Arial" w:hAnsi="Arial"/>
          <w:sz w:val="18"/>
          <w:szCs w:val="18"/>
          <w:b w:val="1"/>
          <w:bCs w:val="1"/>
          <w:i w:val="1"/>
          <w:iCs w:val="1"/>
          <w:color w:val="DA2031"/>
        </w:rPr>
      </w:pPr>
    </w:p>
    <w:p>
      <w:pPr>
        <w:jc w:val="both"/>
        <w:ind w:left="660" w:hanging="328"/>
        <w:spacing w:after="0" w:line="258" w:lineRule="auto"/>
        <w:tabs>
          <w:tab w:leader="none" w:pos="655" w:val="left"/>
        </w:tabs>
        <w:numPr>
          <w:ilvl w:val="0"/>
          <w:numId w:val="7"/>
        </w:numPr>
        <w:rPr>
          <w:rFonts w:ascii="Arial" w:cs="Arial" w:eastAsia="Arial" w:hAnsi="Arial"/>
          <w:sz w:val="18"/>
          <w:szCs w:val="18"/>
          <w:b w:val="1"/>
          <w:bCs w:val="1"/>
          <w:i w:val="1"/>
          <w:iCs w:val="1"/>
          <w:color w:val="DA2031"/>
        </w:rPr>
      </w:pPr>
      <w:r>
        <w:rPr>
          <w:rFonts w:ascii="Arial" w:cs="Arial" w:eastAsia="Arial" w:hAnsi="Arial"/>
          <w:sz w:val="18"/>
          <w:szCs w:val="18"/>
          <w:b w:val="1"/>
          <w:bCs w:val="1"/>
          <w:i w:val="1"/>
          <w:iCs w:val="1"/>
          <w:u w:val="single" w:color="auto"/>
          <w:color w:val="DA2031"/>
        </w:rPr>
        <w:t>Equity Instruments:</w:t>
      </w:r>
      <w:r>
        <w:rPr>
          <w:rFonts w:ascii="Arial" w:cs="Arial" w:eastAsia="Arial" w:hAnsi="Arial"/>
          <w:sz w:val="18"/>
          <w:szCs w:val="18"/>
          <w:b w:val="1"/>
          <w:bCs w:val="1"/>
          <w:i w:val="1"/>
          <w:iCs w:val="1"/>
          <w:color w:val="DA2031"/>
        </w:rPr>
        <w:t xml:space="preserve"> </w:t>
      </w:r>
      <w:r>
        <w:rPr>
          <w:rFonts w:ascii="Arial" w:cs="Arial" w:eastAsia="Arial" w:hAnsi="Arial"/>
          <w:sz w:val="18"/>
          <w:szCs w:val="18"/>
          <w:b w:val="1"/>
          <w:bCs w:val="1"/>
          <w:u w:val="single" w:color="auto"/>
          <w:color w:val="000000"/>
        </w:rPr>
        <w:t>ASU 2021-04</w:t>
      </w:r>
      <w:r>
        <w:rPr>
          <w:rFonts w:ascii="Arial" w:cs="Arial" w:eastAsia="Arial" w:hAnsi="Arial"/>
          <w:sz w:val="18"/>
          <w:szCs w:val="18"/>
          <w:i w:val="1"/>
          <w:iCs w:val="1"/>
          <w:color w:val="000000"/>
        </w:rPr>
        <w:t>, Earnings Per Share (Topic 260), Debt—Modifications and Extinguishments (Subtopic470-50),</w:t>
      </w:r>
      <w:r>
        <w:rPr>
          <w:rFonts w:ascii="Arial" w:cs="Arial" w:eastAsia="Arial" w:hAnsi="Arial"/>
          <w:sz w:val="18"/>
          <w:szCs w:val="18"/>
          <w:b w:val="1"/>
          <w:bCs w:val="1"/>
          <w:i w:val="1"/>
          <w:iCs w:val="1"/>
          <w:color w:val="DA2031"/>
        </w:rPr>
        <w:t xml:space="preserve"> </w:t>
      </w:r>
      <w:r>
        <w:rPr>
          <w:rFonts w:ascii="Arial" w:cs="Arial" w:eastAsia="Arial" w:hAnsi="Arial"/>
          <w:sz w:val="18"/>
          <w:szCs w:val="18"/>
          <w:i w:val="1"/>
          <w:iCs w:val="1"/>
          <w:color w:val="000000"/>
        </w:rPr>
        <w:t xml:space="preserve">Compensation—Stock Compensation (Topic 718), and Derivatives and Hedging—Contracts in Entity’s Own Equity (Subtopic 815-40) Issuer’s Accounting for Certain Modifications or Exchanges of Freestanding Equity-Classified Written Call Options). </w:t>
      </w:r>
      <w:r>
        <w:rPr>
          <w:rFonts w:ascii="Arial" w:cs="Arial" w:eastAsia="Arial" w:hAnsi="Arial"/>
          <w:sz w:val="18"/>
          <w:szCs w:val="18"/>
          <w:color w:val="000000"/>
        </w:rPr>
        <w:t>This update is</w:t>
      </w:r>
      <w:r>
        <w:rPr>
          <w:rFonts w:ascii="Arial" w:cs="Arial" w:eastAsia="Arial" w:hAnsi="Arial"/>
          <w:sz w:val="18"/>
          <w:szCs w:val="18"/>
          <w:i w:val="1"/>
          <w:iCs w:val="1"/>
          <w:color w:val="000000"/>
        </w:rPr>
        <w:t xml:space="preserve"> </w:t>
      </w:r>
      <w:r>
        <w:rPr>
          <w:rFonts w:ascii="Arial" w:cs="Arial" w:eastAsia="Arial" w:hAnsi="Arial"/>
          <w:sz w:val="18"/>
          <w:szCs w:val="18"/>
          <w:color w:val="000000"/>
        </w:rPr>
        <w:t>effective for our fiscal year beginning January 1, 2022.</w:t>
      </w:r>
    </w:p>
    <w:p>
      <w:pPr>
        <w:ind w:left="660" w:right="20" w:hanging="328"/>
        <w:spacing w:after="0" w:line="287" w:lineRule="auto"/>
        <w:tabs>
          <w:tab w:leader="none" w:pos="655" w:val="left"/>
        </w:tabs>
        <w:numPr>
          <w:ilvl w:val="0"/>
          <w:numId w:val="7"/>
        </w:numPr>
        <w:rPr>
          <w:rFonts w:ascii="Arial" w:cs="Arial" w:eastAsia="Arial" w:hAnsi="Arial"/>
          <w:sz w:val="18"/>
          <w:szCs w:val="18"/>
          <w:b w:val="1"/>
          <w:bCs w:val="1"/>
          <w:i w:val="1"/>
          <w:iCs w:val="1"/>
          <w:color w:val="DA2031"/>
        </w:rPr>
      </w:pPr>
      <w:r>
        <w:rPr>
          <w:rFonts w:ascii="Arial" w:cs="Arial" w:eastAsia="Arial" w:hAnsi="Arial"/>
          <w:sz w:val="18"/>
          <w:szCs w:val="18"/>
          <w:b w:val="1"/>
          <w:bCs w:val="1"/>
          <w:i w:val="1"/>
          <w:iCs w:val="1"/>
          <w:u w:val="single" w:color="auto"/>
          <w:color w:val="DA2031"/>
        </w:rPr>
        <w:t>Leases:</w:t>
      </w:r>
      <w:r>
        <w:rPr>
          <w:rFonts w:ascii="Arial" w:cs="Arial" w:eastAsia="Arial" w:hAnsi="Arial"/>
          <w:sz w:val="18"/>
          <w:szCs w:val="18"/>
          <w:b w:val="1"/>
          <w:bCs w:val="1"/>
          <w:i w:val="1"/>
          <w:iCs w:val="1"/>
          <w:color w:val="DA2031"/>
        </w:rPr>
        <w:t xml:space="preserve"> </w:t>
      </w:r>
      <w:r>
        <w:rPr>
          <w:rFonts w:ascii="Arial" w:cs="Arial" w:eastAsia="Arial" w:hAnsi="Arial"/>
          <w:sz w:val="18"/>
          <w:szCs w:val="18"/>
          <w:b w:val="1"/>
          <w:bCs w:val="1"/>
          <w:u w:val="single" w:color="auto"/>
          <w:color w:val="000000"/>
        </w:rPr>
        <w:t>ASU 2021-05</w:t>
      </w:r>
      <w:r>
        <w:rPr>
          <w:rFonts w:ascii="Arial" w:cs="Arial" w:eastAsia="Arial" w:hAnsi="Arial"/>
          <w:sz w:val="18"/>
          <w:szCs w:val="18"/>
          <w:i w:val="1"/>
          <w:iCs w:val="1"/>
          <w:color w:val="000000"/>
        </w:rPr>
        <w:t>, Leases - Certain Lease Payments with Variable Lease Payments (ASC 842).</w:t>
      </w:r>
      <w:r>
        <w:rPr>
          <w:rFonts w:ascii="Arial" w:cs="Arial" w:eastAsia="Arial" w:hAnsi="Arial"/>
          <w:sz w:val="18"/>
          <w:szCs w:val="18"/>
          <w:b w:val="1"/>
          <w:bCs w:val="1"/>
          <w:i w:val="1"/>
          <w:iCs w:val="1"/>
          <w:color w:val="DA2031"/>
        </w:rPr>
        <w:t xml:space="preserve"> </w:t>
      </w:r>
      <w:r>
        <w:rPr>
          <w:rFonts w:ascii="Arial" w:cs="Arial" w:eastAsia="Arial" w:hAnsi="Arial"/>
          <w:sz w:val="18"/>
          <w:szCs w:val="18"/>
          <w:color w:val="000000"/>
        </w:rPr>
        <w:t>This update is effective for our</w:t>
      </w:r>
      <w:r>
        <w:rPr>
          <w:rFonts w:ascii="Arial" w:cs="Arial" w:eastAsia="Arial" w:hAnsi="Arial"/>
          <w:sz w:val="18"/>
          <w:szCs w:val="18"/>
          <w:b w:val="1"/>
          <w:bCs w:val="1"/>
          <w:i w:val="1"/>
          <w:iCs w:val="1"/>
          <w:color w:val="DA2031"/>
        </w:rPr>
        <w:t xml:space="preserve"> </w:t>
      </w:r>
      <w:r>
        <w:rPr>
          <w:rFonts w:ascii="Arial" w:cs="Arial" w:eastAsia="Arial" w:hAnsi="Arial"/>
          <w:sz w:val="18"/>
          <w:szCs w:val="18"/>
          <w:color w:val="000000"/>
        </w:rPr>
        <w:t>fiscal year beginning January 1, 2022.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DA2031"/>
        </w:rPr>
        <w:t>Note 3 – Revenue</w:t>
      </w:r>
    </w:p>
    <w:p>
      <w:pPr>
        <w:spacing w:after="0" w:line="108" w:lineRule="exact"/>
        <w:rPr>
          <w:sz w:val="20"/>
          <w:szCs w:val="20"/>
          <w:color w:val="auto"/>
        </w:rPr>
      </w:pPr>
    </w:p>
    <w:p>
      <w:pPr>
        <w:spacing w:after="0"/>
        <w:tabs>
          <w:tab w:leader="none" w:pos="1000" w:val="left"/>
          <w:tab w:leader="none" w:pos="2360" w:val="left"/>
          <w:tab w:leader="none" w:pos="2760" w:val="left"/>
          <w:tab w:leader="none" w:pos="3560" w:val="left"/>
          <w:tab w:leader="none" w:pos="4660" w:val="left"/>
          <w:tab w:leader="none" w:pos="5560" w:val="left"/>
          <w:tab w:leader="none" w:pos="6220" w:val="left"/>
          <w:tab w:leader="none" w:pos="7040" w:val="left"/>
          <w:tab w:leader="none" w:pos="7660" w:val="left"/>
          <w:tab w:leader="none" w:pos="8180" w:val="left"/>
          <w:tab w:leader="none" w:pos="8800" w:val="left"/>
          <w:tab w:leader="none" w:pos="9740" w:val="left"/>
          <w:tab w:leader="none" w:pos="10220" w:val="left"/>
          <w:tab w:leader="none" w:pos="10620" w:val="left"/>
        </w:tabs>
        <w:rPr>
          <w:sz w:val="20"/>
          <w:szCs w:val="20"/>
          <w:color w:val="auto"/>
        </w:rPr>
      </w:pPr>
      <w:r>
        <w:rPr>
          <w:rFonts w:ascii="Arial" w:cs="Arial" w:eastAsia="Arial" w:hAnsi="Arial"/>
          <w:sz w:val="18"/>
          <w:szCs w:val="18"/>
          <w:color w:val="auto"/>
        </w:rPr>
        <w:t>Revenues</w:t>
        <w:tab/>
        <w:t>disaggregated</w:t>
        <w:tab/>
        <w:t>by</w:t>
        <w:tab/>
        <w:t>primary</w:t>
        <w:tab/>
        <w:t>geographic</w:t>
        <w:tab/>
        <w:t>markets,</w:t>
        <w:tab/>
        <w:t>major</w:t>
        <w:tab/>
        <w:t>product</w:t>
        <w:tab/>
        <w:t>lines,</w:t>
        <w:tab/>
        <w:t>and</w:t>
        <w:tab/>
        <w:t>sales</w:t>
        <w:tab/>
        <w:t>channels</w:t>
        <w:tab/>
        <w:t>are</w:t>
        <w:tab/>
        <w:t>as</w:t>
      </w:r>
      <w:r>
        <w:rPr>
          <w:sz w:val="20"/>
          <w:szCs w:val="20"/>
          <w:color w:val="auto"/>
        </w:rPr>
        <w:tab/>
      </w:r>
      <w:r>
        <w:rPr>
          <w:rFonts w:ascii="Arial" w:cs="Arial" w:eastAsia="Arial" w:hAnsi="Arial"/>
          <w:sz w:val="17"/>
          <w:szCs w:val="17"/>
          <w:color w:val="auto"/>
        </w:rPr>
        <w:t>follows:</w:t>
      </w:r>
    </w:p>
    <w:p>
      <w:pPr>
        <w:spacing w:after="0" w:line="59" w:lineRule="exact"/>
        <w:rPr>
          <w:sz w:val="20"/>
          <w:szCs w:val="20"/>
          <w:color w:val="auto"/>
        </w:rPr>
      </w:pPr>
    </w:p>
    <w:p>
      <w:pPr>
        <w:jc w:val="center"/>
        <w:ind w:left="758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jc w:val="center"/>
        <w:ind w:left="758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00" w:type="dxa"/>
            <w:vAlign w:val="bottom"/>
            <w:tcBorders>
              <w:bottom w:val="single" w:sz="8" w:color="E5E5E5"/>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E5E5E5"/>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2021</w:t>
            </w:r>
          </w:p>
        </w:tc>
      </w:tr>
      <w:tr>
        <w:trPr>
          <w:trHeight w:val="185"/>
        </w:trPr>
        <w:tc>
          <w:tcPr>
            <w:tcW w:w="7600" w:type="dxa"/>
            <w:vAlign w:val="bottom"/>
            <w:shd w:val="clear" w:color="auto" w:fill="E5E5E5"/>
          </w:tcPr>
          <w:p>
            <w:pPr>
              <w:ind w:left="20"/>
              <w:spacing w:after="0" w:line="185" w:lineRule="exact"/>
              <w:rPr>
                <w:sz w:val="20"/>
                <w:szCs w:val="20"/>
                <w:color w:val="auto"/>
              </w:rPr>
            </w:pPr>
            <w:r>
              <w:rPr>
                <w:rFonts w:ascii="Arial" w:cs="Arial" w:eastAsia="Arial" w:hAnsi="Arial"/>
                <w:sz w:val="14"/>
                <w:szCs w:val="14"/>
                <w:b w:val="1"/>
                <w:bCs w:val="1"/>
                <w:color w:val="auto"/>
              </w:rPr>
              <w:t>Primary geographical markets</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w:t>
            </w:r>
          </w:p>
        </w:tc>
        <w:tc>
          <w:tcPr>
            <w:tcW w:w="12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360" w:type="dxa"/>
            <w:vAlign w:val="bottom"/>
            <w:shd w:val="clear" w:color="auto" w:fill="E5E5E5"/>
          </w:tcPr>
          <w:p>
            <w:pPr>
              <w:spacing w:after="0"/>
              <w:rPr>
                <w:sz w:val="16"/>
                <w:szCs w:val="16"/>
                <w:color w:val="auto"/>
              </w:rPr>
            </w:pP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United States</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940</w:t>
            </w:r>
          </w:p>
        </w:tc>
        <w:tc>
          <w:tcPr>
            <w:tcW w:w="120" w:type="dxa"/>
            <w:vAlign w:val="bottom"/>
          </w:tcPr>
          <w:p>
            <w:pPr>
              <w:spacing w:after="0"/>
              <w:rPr>
                <w:sz w:val="17"/>
                <w:szCs w:val="17"/>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974</w:t>
            </w:r>
          </w:p>
        </w:tc>
      </w:tr>
      <w:tr>
        <w:trPr>
          <w:trHeight w:val="207"/>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Europe</w:t>
            </w:r>
          </w:p>
        </w:tc>
        <w:tc>
          <w:tcPr>
            <w:tcW w:w="120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466</w:t>
            </w: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499</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Canada</w:t>
            </w:r>
          </w:p>
        </w:tc>
        <w:tc>
          <w:tcPr>
            <w:tcW w:w="1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03"/>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Other</w:t>
            </w:r>
          </w:p>
        </w:tc>
        <w:tc>
          <w:tcPr>
            <w:tcW w:w="1200" w:type="dxa"/>
            <w:vAlign w:val="bottom"/>
            <w:tcBorders>
              <w:bottom w:val="single" w:sz="8" w:color="auto"/>
            </w:tcBorders>
            <w:shd w:val="clear" w:color="auto" w:fill="E5E5E5"/>
          </w:tcPr>
          <w:p>
            <w:pPr>
              <w:spacing w:after="0"/>
              <w:rPr>
                <w:sz w:val="17"/>
                <w:szCs w:val="17"/>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E5E5E5"/>
          </w:tcPr>
          <w:p>
            <w:pPr>
              <w:spacing w:after="0"/>
              <w:rPr>
                <w:sz w:val="17"/>
                <w:szCs w:val="17"/>
                <w:color w:val="auto"/>
              </w:rPr>
            </w:pPr>
          </w:p>
        </w:tc>
        <w:tc>
          <w:tcPr>
            <w:tcW w:w="400" w:type="dxa"/>
            <w:vAlign w:val="bottom"/>
            <w:tcBorders>
              <w:bottom w:val="single" w:sz="8" w:color="auto"/>
            </w:tcBorders>
            <w:shd w:val="clear" w:color="auto" w:fill="E5E5E5"/>
          </w:tcPr>
          <w:p>
            <w:pPr>
              <w:spacing w:after="0"/>
              <w:rPr>
                <w:sz w:val="17"/>
                <w:szCs w:val="17"/>
                <w:color w:val="auto"/>
              </w:rPr>
            </w:pPr>
          </w:p>
        </w:tc>
        <w:tc>
          <w:tcPr>
            <w:tcW w:w="1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144</w:t>
            </w:r>
          </w:p>
        </w:tc>
      </w:tr>
      <w:tr>
        <w:trPr>
          <w:trHeight w:val="200"/>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120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1,668</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1,710</w:t>
            </w:r>
          </w:p>
        </w:tc>
      </w:tr>
      <w:tr>
        <w:trPr>
          <w:trHeight w:val="20"/>
        </w:trPr>
        <w:tc>
          <w:tcPr>
            <w:tcW w:w="7600" w:type="dxa"/>
            <w:vAlign w:val="bottom"/>
            <w:tcBorders>
              <w:bottom w:val="single" w:sz="8" w:color="E5E5E5"/>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E5E5E5"/>
          </w:tcPr>
          <w:p>
            <w:pPr>
              <w:spacing w:after="0"/>
              <w:rPr>
                <w:sz w:val="15"/>
                <w:szCs w:val="15"/>
                <w:color w:val="auto"/>
              </w:rPr>
            </w:pPr>
          </w:p>
        </w:tc>
        <w:tc>
          <w:tcPr>
            <w:tcW w:w="1200" w:type="dxa"/>
            <w:vAlign w:val="bottom"/>
            <w:shd w:val="clear" w:color="auto" w:fill="E5E5E5"/>
          </w:tcPr>
          <w:p>
            <w:pPr>
              <w:spacing w:after="0"/>
              <w:rPr>
                <w:sz w:val="15"/>
                <w:szCs w:val="15"/>
                <w:color w:val="auto"/>
              </w:rPr>
            </w:pPr>
          </w:p>
        </w:tc>
        <w:tc>
          <w:tcPr>
            <w:tcW w:w="5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400" w:type="dxa"/>
            <w:vAlign w:val="bottom"/>
            <w:shd w:val="clear" w:color="auto" w:fill="E5E5E5"/>
          </w:tcPr>
          <w:p>
            <w:pPr>
              <w:spacing w:after="0"/>
              <w:rPr>
                <w:sz w:val="15"/>
                <w:szCs w:val="15"/>
                <w:color w:val="auto"/>
              </w:rPr>
            </w:pPr>
          </w:p>
        </w:tc>
        <w:tc>
          <w:tcPr>
            <w:tcW w:w="1360" w:type="dxa"/>
            <w:vAlign w:val="bottom"/>
            <w:shd w:val="clear" w:color="auto" w:fill="E5E5E5"/>
          </w:tcPr>
          <w:p>
            <w:pPr>
              <w:spacing w:after="0"/>
              <w:rPr>
                <w:sz w:val="15"/>
                <w:szCs w:val="15"/>
                <w:color w:val="auto"/>
              </w:rPr>
            </w:pPr>
          </w:p>
        </w:tc>
      </w:tr>
      <w:tr>
        <w:trPr>
          <w:trHeight w:val="201"/>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Major product and services lines:</w:t>
            </w: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4"/>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Equipment</w:t>
            </w:r>
          </w:p>
        </w:tc>
        <w:tc>
          <w:tcPr>
            <w:tcW w:w="1200" w:type="dxa"/>
            <w:vAlign w:val="bottom"/>
            <w:shd w:val="clear" w:color="auto" w:fill="E5E5E5"/>
          </w:tcPr>
          <w:p>
            <w:pPr>
              <w:jc w:val="right"/>
              <w:ind w:right="1028"/>
              <w:spacing w:after="0"/>
              <w:rPr>
                <w:sz w:val="20"/>
                <w:szCs w:val="20"/>
                <w:color w:val="auto"/>
              </w:rPr>
            </w:pPr>
            <w:r>
              <w:rPr>
                <w:rFonts w:ascii="Arial" w:cs="Arial" w:eastAsia="Arial" w:hAnsi="Arial"/>
                <w:sz w:val="14"/>
                <w:szCs w:val="14"/>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381</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Supplies, paper and other sales</w:t>
            </w:r>
          </w:p>
        </w:tc>
        <w:tc>
          <w:tcPr>
            <w:tcW w:w="1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221</w:t>
            </w:r>
          </w:p>
        </w:tc>
      </w:tr>
      <w:tr>
        <w:trPr>
          <w:trHeight w:val="207"/>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Maintenance agreements</w:t>
            </w:r>
            <w:r>
              <w:rPr>
                <w:rFonts w:ascii="Arial" w:cs="Arial" w:eastAsia="Arial" w:hAnsi="Arial"/>
                <w:sz w:val="18"/>
                <w:szCs w:val="18"/>
                <w:color w:val="auto"/>
                <w:vertAlign w:val="superscript"/>
              </w:rPr>
              <w:t>(2)</w:t>
            </w:r>
          </w:p>
        </w:tc>
        <w:tc>
          <w:tcPr>
            <w:tcW w:w="120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429</w:t>
            </w: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435</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4"/>
                <w:szCs w:val="14"/>
                <w:color w:val="auto"/>
              </w:rPr>
              <w:t>Service arrangements</w:t>
            </w:r>
            <w:r>
              <w:rPr>
                <w:rFonts w:ascii="Arial" w:cs="Arial" w:eastAsia="Arial" w:hAnsi="Arial"/>
                <w:sz w:val="18"/>
                <w:szCs w:val="18"/>
                <w:color w:val="auto"/>
                <w:vertAlign w:val="superscript"/>
              </w:rPr>
              <w:t>(3)</w:t>
            </w:r>
          </w:p>
        </w:tc>
        <w:tc>
          <w:tcPr>
            <w:tcW w:w="1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489</w:t>
            </w:r>
          </w:p>
        </w:tc>
      </w:tr>
      <w:tr>
        <w:trPr>
          <w:trHeight w:val="203"/>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Rental and other</w:t>
            </w:r>
          </w:p>
        </w:tc>
        <w:tc>
          <w:tcPr>
            <w:tcW w:w="120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129</w:t>
            </w:r>
          </w:p>
        </w:tc>
      </w:tr>
      <w:tr>
        <w:trPr>
          <w:trHeight w:val="198"/>
        </w:trPr>
        <w:tc>
          <w:tcPr>
            <w:tcW w:w="760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Financing</w:t>
            </w:r>
          </w:p>
        </w:tc>
        <w:tc>
          <w:tcPr>
            <w:tcW w:w="1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E5E5E5"/>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r>
      <w:tr>
        <w:trPr>
          <w:trHeight w:val="225"/>
        </w:trPr>
        <w:tc>
          <w:tcPr>
            <w:tcW w:w="760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Total Revenues</w:t>
            </w:r>
          </w:p>
        </w:tc>
        <w:tc>
          <w:tcPr>
            <w:tcW w:w="1200" w:type="dxa"/>
            <w:vAlign w:val="bottom"/>
            <w:tcBorders>
              <w:bottom w:val="single" w:sz="8" w:color="auto"/>
            </w:tcBorders>
            <w:shd w:val="clear" w:color="auto" w:fill="E5E5E5"/>
          </w:tcPr>
          <w:p>
            <w:pPr>
              <w:jc w:val="right"/>
              <w:ind w:right="10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1,668</w:t>
            </w:r>
          </w:p>
        </w:tc>
        <w:tc>
          <w:tcPr>
            <w:tcW w:w="120" w:type="dxa"/>
            <w:vAlign w:val="bottom"/>
            <w:tcBorders>
              <w:bottom w:val="single" w:sz="8" w:color="E5E5E5"/>
            </w:tcBorders>
            <w:shd w:val="clear" w:color="auto" w:fill="E5E5E5"/>
          </w:tcPr>
          <w:p>
            <w:pPr>
              <w:spacing w:after="0"/>
              <w:rPr>
                <w:sz w:val="19"/>
                <w:szCs w:val="19"/>
                <w:color w:val="auto"/>
              </w:rPr>
            </w:pPr>
          </w:p>
        </w:tc>
        <w:tc>
          <w:tcPr>
            <w:tcW w:w="400" w:type="dxa"/>
            <w:vAlign w:val="bottom"/>
            <w:tcBorders>
              <w:bottom w:val="single" w:sz="8" w:color="auto"/>
            </w:tcBorders>
            <w:shd w:val="clear" w:color="auto" w:fill="E5E5E5"/>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1,710</w:t>
            </w:r>
          </w:p>
        </w:tc>
      </w:tr>
      <w:tr>
        <w:trPr>
          <w:trHeight w:val="20"/>
        </w:trPr>
        <w:tc>
          <w:tcPr>
            <w:tcW w:w="7600" w:type="dxa"/>
            <w:vAlign w:val="bottom"/>
            <w:tcBorders>
              <w:top w:val="single" w:sz="8" w:color="E5E5E5"/>
            </w:tcBorders>
          </w:tcPr>
          <w:p>
            <w:pPr>
              <w:spacing w:after="0" w:line="20" w:lineRule="exact"/>
              <w:rPr>
                <w:sz w:val="1"/>
                <w:szCs w:val="1"/>
                <w:color w:val="auto"/>
              </w:rPr>
            </w:pPr>
          </w:p>
        </w:tc>
        <w:tc>
          <w:tcPr>
            <w:tcW w:w="1200" w:type="dxa"/>
            <w:vAlign w:val="bottom"/>
            <w:tcBorders>
              <w:top w:val="single" w:sz="8" w:color="E5E5E5"/>
              <w:bottom w:val="single" w:sz="8" w:color="auto"/>
            </w:tcBorders>
          </w:tcPr>
          <w:p>
            <w:pPr>
              <w:spacing w:after="0" w:line="20" w:lineRule="exact"/>
              <w:rPr>
                <w:sz w:val="1"/>
                <w:szCs w:val="1"/>
                <w:color w:val="auto"/>
              </w:rPr>
            </w:pPr>
          </w:p>
        </w:tc>
        <w:tc>
          <w:tcPr>
            <w:tcW w:w="56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400" w:type="dxa"/>
            <w:vAlign w:val="bottom"/>
            <w:tcBorders>
              <w:top w:val="single" w:sz="8" w:color="E5E5E5"/>
              <w:bottom w:val="single" w:sz="8" w:color="auto"/>
            </w:tcBorders>
          </w:tcPr>
          <w:p>
            <w:pPr>
              <w:spacing w:after="0" w:line="20" w:lineRule="exact"/>
              <w:rPr>
                <w:sz w:val="1"/>
                <w:szCs w:val="1"/>
                <w:color w:val="auto"/>
              </w:rPr>
            </w:pPr>
          </w:p>
        </w:tc>
        <w:tc>
          <w:tcPr>
            <w:tcW w:w="1360" w:type="dxa"/>
            <w:vAlign w:val="bottom"/>
            <w:tcBorders>
              <w:top w:val="single" w:sz="8" w:color="E5E5E5"/>
              <w:bottom w:val="single" w:sz="8" w:color="auto"/>
            </w:tcBorders>
          </w:tcPr>
          <w:p>
            <w:pPr>
              <w:spacing w:after="0" w:line="20" w:lineRule="exact"/>
              <w:rPr>
                <w:sz w:val="1"/>
                <w:szCs w:val="1"/>
                <w:color w:val="auto"/>
              </w:rPr>
            </w:pPr>
          </w:p>
        </w:tc>
      </w:tr>
      <w:tr>
        <w:trPr>
          <w:trHeight w:val="163"/>
        </w:trPr>
        <w:tc>
          <w:tcPr>
            <w:tcW w:w="7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3"/>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Sales channels:</w:t>
            </w:r>
          </w:p>
        </w:tc>
        <w:tc>
          <w:tcPr>
            <w:tcW w:w="120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360" w:type="dxa"/>
            <w:vAlign w:val="bottom"/>
            <w:shd w:val="clear" w:color="auto" w:fill="E5E5E5"/>
          </w:tcPr>
          <w:p>
            <w:pPr>
              <w:spacing w:after="0"/>
              <w:rPr>
                <w:sz w:val="17"/>
                <w:szCs w:val="17"/>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4"/>
                <w:szCs w:val="14"/>
                <w:color w:val="auto"/>
              </w:rPr>
              <w:t>Direct equipment lease</w:t>
            </w:r>
            <w:r>
              <w:rPr>
                <w:rFonts w:ascii="Arial" w:cs="Arial" w:eastAsia="Arial" w:hAnsi="Arial"/>
                <w:sz w:val="18"/>
                <w:szCs w:val="18"/>
                <w:color w:val="auto"/>
                <w:vertAlign w:val="superscript"/>
              </w:rPr>
              <w:t>(4)</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7"/>
                <w:szCs w:val="17"/>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203"/>
        </w:trPr>
        <w:tc>
          <w:tcPr>
            <w:tcW w:w="7600" w:type="dxa"/>
            <w:vAlign w:val="bottom"/>
            <w:shd w:val="clear" w:color="auto" w:fill="E5E5E5"/>
          </w:tcPr>
          <w:p>
            <w:pPr>
              <w:ind w:left="20"/>
              <w:spacing w:after="0" w:line="202" w:lineRule="exact"/>
              <w:rPr>
                <w:sz w:val="20"/>
                <w:szCs w:val="20"/>
                <w:color w:val="auto"/>
              </w:rPr>
            </w:pPr>
            <w:r>
              <w:rPr>
                <w:rFonts w:ascii="Arial" w:cs="Arial" w:eastAsia="Arial" w:hAnsi="Arial"/>
                <w:sz w:val="14"/>
                <w:szCs w:val="14"/>
                <w:color w:val="auto"/>
              </w:rPr>
              <w:t>Distributors &amp; resellers</w:t>
            </w:r>
            <w:r>
              <w:rPr>
                <w:rFonts w:ascii="Arial" w:cs="Arial" w:eastAsia="Arial" w:hAnsi="Arial"/>
                <w:sz w:val="18"/>
                <w:szCs w:val="18"/>
                <w:color w:val="auto"/>
                <w:vertAlign w:val="superscript"/>
              </w:rPr>
              <w:t>(5)</w:t>
            </w:r>
          </w:p>
        </w:tc>
        <w:tc>
          <w:tcPr>
            <w:tcW w:w="120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261</w:t>
            </w: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254</w:t>
            </w:r>
          </w:p>
        </w:tc>
      </w:tr>
      <w:tr>
        <w:trPr>
          <w:trHeight w:val="199"/>
        </w:trPr>
        <w:tc>
          <w:tcPr>
            <w:tcW w:w="760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Customer direct</w:t>
            </w:r>
          </w:p>
        </w:tc>
        <w:tc>
          <w:tcPr>
            <w:tcW w:w="1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Borders>
              <w:bottom w:val="single" w:sz="8" w:color="E5E5E5"/>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r>
      <w:tr>
        <w:trPr>
          <w:trHeight w:val="225"/>
        </w:trPr>
        <w:tc>
          <w:tcPr>
            <w:tcW w:w="760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Total Sales</w:t>
            </w:r>
          </w:p>
        </w:tc>
        <w:tc>
          <w:tcPr>
            <w:tcW w:w="1200" w:type="dxa"/>
            <w:vAlign w:val="bottom"/>
            <w:tcBorders>
              <w:bottom w:val="single" w:sz="8" w:color="auto"/>
            </w:tcBorders>
            <w:shd w:val="clear" w:color="auto" w:fill="E5E5E5"/>
          </w:tcPr>
          <w:p>
            <w:pPr>
              <w:jc w:val="right"/>
              <w:ind w:right="10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592</w:t>
            </w:r>
          </w:p>
        </w:tc>
        <w:tc>
          <w:tcPr>
            <w:tcW w:w="120" w:type="dxa"/>
            <w:vAlign w:val="bottom"/>
            <w:tcBorders>
              <w:bottom w:val="single" w:sz="8" w:color="E5E5E5"/>
            </w:tcBorders>
            <w:shd w:val="clear" w:color="auto" w:fill="E5E5E5"/>
          </w:tcPr>
          <w:p>
            <w:pPr>
              <w:spacing w:after="0"/>
              <w:rPr>
                <w:sz w:val="19"/>
                <w:szCs w:val="19"/>
                <w:color w:val="auto"/>
              </w:rPr>
            </w:pPr>
          </w:p>
        </w:tc>
        <w:tc>
          <w:tcPr>
            <w:tcW w:w="400" w:type="dxa"/>
            <w:vAlign w:val="bottom"/>
            <w:tcBorders>
              <w:bottom w:val="single" w:sz="8" w:color="auto"/>
            </w:tcBorders>
            <w:shd w:val="clear" w:color="auto" w:fill="E5E5E5"/>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602</w:t>
            </w:r>
          </w:p>
        </w:tc>
      </w:tr>
      <w:tr>
        <w:trPr>
          <w:trHeight w:val="20"/>
        </w:trPr>
        <w:tc>
          <w:tcPr>
            <w:tcW w:w="7600" w:type="dxa"/>
            <w:vAlign w:val="bottom"/>
            <w:tcBorders>
              <w:top w:val="single" w:sz="8" w:color="E5E5E5"/>
            </w:tcBorders>
          </w:tcPr>
          <w:p>
            <w:pPr>
              <w:spacing w:after="0" w:line="20" w:lineRule="exact"/>
              <w:rPr>
                <w:sz w:val="1"/>
                <w:szCs w:val="1"/>
                <w:color w:val="auto"/>
              </w:rPr>
            </w:pPr>
          </w:p>
        </w:tc>
        <w:tc>
          <w:tcPr>
            <w:tcW w:w="1200" w:type="dxa"/>
            <w:vAlign w:val="bottom"/>
            <w:tcBorders>
              <w:top w:val="single" w:sz="8" w:color="E5E5E5"/>
              <w:bottom w:val="single" w:sz="8" w:color="auto"/>
            </w:tcBorders>
          </w:tcPr>
          <w:p>
            <w:pPr>
              <w:spacing w:after="0" w:line="20" w:lineRule="exact"/>
              <w:rPr>
                <w:sz w:val="1"/>
                <w:szCs w:val="1"/>
                <w:color w:val="auto"/>
              </w:rPr>
            </w:pPr>
          </w:p>
        </w:tc>
        <w:tc>
          <w:tcPr>
            <w:tcW w:w="56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400" w:type="dxa"/>
            <w:vAlign w:val="bottom"/>
            <w:tcBorders>
              <w:top w:val="single" w:sz="8" w:color="E5E5E5"/>
              <w:bottom w:val="single" w:sz="8" w:color="auto"/>
            </w:tcBorders>
          </w:tcPr>
          <w:p>
            <w:pPr>
              <w:spacing w:after="0" w:line="20" w:lineRule="exact"/>
              <w:rPr>
                <w:sz w:val="1"/>
                <w:szCs w:val="1"/>
                <w:color w:val="auto"/>
              </w:rPr>
            </w:pPr>
          </w:p>
        </w:tc>
        <w:tc>
          <w:tcPr>
            <w:tcW w:w="1360" w:type="dxa"/>
            <w:vAlign w:val="bottom"/>
            <w:tcBorders>
              <w:top w:val="single" w:sz="8" w:color="E5E5E5"/>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69"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Geographic area data is based upon the location of the subsidiary reporting the revenue.</w:t>
      </w:r>
    </w:p>
    <w:p>
      <w:pPr>
        <w:spacing w:after="0" w:line="13" w:lineRule="exact"/>
        <w:rPr>
          <w:rFonts w:ascii="Arial" w:cs="Arial" w:eastAsia="Arial" w:hAnsi="Arial"/>
          <w:sz w:val="14"/>
          <w:szCs w:val="14"/>
          <w:i w:val="1"/>
          <w:iCs w:val="1"/>
          <w:color w:val="auto"/>
        </w:rPr>
      </w:pPr>
    </w:p>
    <w:p>
      <w:pPr>
        <w:ind w:left="340" w:right="120" w:hanging="332"/>
        <w:spacing w:after="0" w:line="261" w:lineRule="auto"/>
        <w:tabs>
          <w:tab w:leader="none" w:pos="327"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revenues from maintenance agreements on sold equipment as well as revenues associated with service agreements sold through our channel partners as Xerox Partner Print Services (XPPS).</w:t>
      </w:r>
    </w:p>
    <w:p>
      <w:pPr>
        <w:ind w:left="340" w:right="200" w:hanging="332"/>
        <w:spacing w:after="0" w:line="261" w:lineRule="auto"/>
        <w:tabs>
          <w:tab w:leader="none" w:pos="327"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Primarily includes revenues from our Managed Services arrangements. Also includes revenues from embedded operating leases in our Managed Service arrangements, which were not significant.</w:t>
      </w:r>
    </w:p>
    <w:p>
      <w:pPr>
        <w:ind w:left="320" w:hanging="312"/>
        <w:spacing w:after="0"/>
        <w:tabs>
          <w:tab w:leader="none" w:pos="3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Primarily reflects sales through bundled lease arrangements.</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Primarily reflects sales through our two-tier distribution channels.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DA2031"/>
        </w:rPr>
        <w:t xml:space="preserve">Contract Assets and Liabilities: </w:t>
      </w:r>
      <w:r>
        <w:rPr>
          <w:rFonts w:ascii="Arial" w:cs="Arial" w:eastAsia="Arial" w:hAnsi="Arial"/>
          <w:sz w:val="18"/>
          <w:szCs w:val="18"/>
          <w:color w:val="000000"/>
        </w:rPr>
        <w:t>We normally do not have contract assets, which are primarily unbilled accounts receivable that are</w:t>
      </w:r>
      <w:r>
        <w:rPr>
          <w:rFonts w:ascii="Arial" w:cs="Arial" w:eastAsia="Arial" w:hAnsi="Arial"/>
          <w:sz w:val="18"/>
          <w:szCs w:val="18"/>
          <w:b w:val="1"/>
          <w:bCs w:val="1"/>
          <w:color w:val="DA2031"/>
        </w:rPr>
        <w:t xml:space="preserve"> </w:t>
      </w:r>
      <w:r>
        <w:rPr>
          <w:rFonts w:ascii="Arial" w:cs="Arial" w:eastAsia="Arial" w:hAnsi="Arial"/>
          <w:sz w:val="18"/>
          <w:szCs w:val="18"/>
          <w:color w:val="000000"/>
        </w:rPr>
        <w:t>conditional on something other than the passage of time. Our contract liabilities, which represent billings in excess of revenue recognized, are primarily related to advance billings for maintenance and other services to be performed and were approximately $138 and $144 at March 31, 2022 and December 31, 2021, respectively. The majority of the balance at March 31, 2022 will be amortized to revenue over approximately the next 30 months.</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DA2031"/>
        </w:rPr>
        <w:t xml:space="preserve">Contract Costs: </w:t>
      </w:r>
      <w:r>
        <w:rPr>
          <w:rFonts w:ascii="Arial" w:cs="Arial" w:eastAsia="Arial" w:hAnsi="Arial"/>
          <w:sz w:val="18"/>
          <w:szCs w:val="18"/>
          <w:color w:val="000000"/>
        </w:rPr>
        <w:t>Incremental direct costs of obtaining a contract primarily include sales commissions paid to sales people and agents in</w:t>
      </w:r>
      <w:r>
        <w:rPr>
          <w:rFonts w:ascii="Arial" w:cs="Arial" w:eastAsia="Arial" w:hAnsi="Arial"/>
          <w:sz w:val="18"/>
          <w:szCs w:val="18"/>
          <w:b w:val="1"/>
          <w:bCs w:val="1"/>
          <w:color w:val="DA2031"/>
        </w:rPr>
        <w:t xml:space="preserve"> </w:t>
      </w:r>
      <w:r>
        <w:rPr>
          <w:rFonts w:ascii="Arial" w:cs="Arial" w:eastAsia="Arial" w:hAnsi="Arial"/>
          <w:sz w:val="18"/>
          <w:szCs w:val="18"/>
          <w:color w:val="000000"/>
        </w:rPr>
        <w:t>connection with the placement of equipment with associated post sale services arrangements. These costs are deferred and amortized on the straight-line basis over the estimated contract term, which is currently estimated to be approximately four years. We pay commensurate sales commissions upon customer renewals, therefore our amortization period is aligned to our initial contract term.</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Incremental direct costs are as follows:</w:t>
      </w:r>
    </w:p>
    <w:p>
      <w:pPr>
        <w:spacing w:after="0" w:line="140" w:lineRule="exact"/>
        <w:rPr>
          <w:sz w:val="20"/>
          <w:szCs w:val="20"/>
          <w:color w:val="auto"/>
        </w:rPr>
      </w:pPr>
    </w:p>
    <w:p>
      <w:pPr>
        <w:jc w:val="center"/>
        <w:ind w:left="758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jc w:val="center"/>
        <w:ind w:left="758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00" w:type="dxa"/>
            <w:vAlign w:val="bottom"/>
            <w:tcBorders>
              <w:bottom w:val="single" w:sz="8" w:color="E5E5E5"/>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2022</w:t>
            </w:r>
          </w:p>
        </w:tc>
        <w:tc>
          <w:tcPr>
            <w:tcW w:w="4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E5E5E5"/>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2021</w:t>
            </w:r>
          </w:p>
        </w:tc>
      </w:tr>
      <w:tr>
        <w:trPr>
          <w:trHeight w:val="199"/>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Incremental direct costs of obtaining a contract</w:t>
            </w:r>
          </w:p>
        </w:tc>
        <w:tc>
          <w:tcPr>
            <w:tcW w:w="1300" w:type="dxa"/>
            <w:vAlign w:val="bottom"/>
            <w:shd w:val="clear" w:color="auto" w:fill="E5E5E5"/>
          </w:tcPr>
          <w:p>
            <w:pPr>
              <w:jc w:val="right"/>
              <w:ind w:right="1128"/>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w:t>
            </w:r>
          </w:p>
        </w:tc>
      </w:tr>
      <w:tr>
        <w:trPr>
          <w:trHeight w:val="195"/>
        </w:trPr>
        <w:tc>
          <w:tcPr>
            <w:tcW w:w="7600" w:type="dxa"/>
            <w:vAlign w:val="bottom"/>
          </w:tcPr>
          <w:p>
            <w:pPr>
              <w:ind w:left="20"/>
              <w:spacing w:after="0"/>
              <w:rPr>
                <w:sz w:val="20"/>
                <w:szCs w:val="20"/>
                <w:color w:val="auto"/>
              </w:rPr>
            </w:pPr>
            <w:r>
              <w:rPr>
                <w:rFonts w:ascii="Arial" w:cs="Arial" w:eastAsia="Arial" w:hAnsi="Arial"/>
                <w:sz w:val="14"/>
                <w:szCs w:val="14"/>
                <w:color w:val="auto"/>
              </w:rPr>
              <w:t>Amortization of incremental direct costs</w:t>
            </w:r>
          </w:p>
        </w:tc>
        <w:tc>
          <w:tcPr>
            <w:tcW w:w="13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5" w:name="page16"/>
    <w:bookmarkEnd w:id="15"/>
    <w:p>
      <w:pPr>
        <w:jc w:val="both"/>
        <w:spacing w:after="0" w:line="268" w:lineRule="auto"/>
        <w:rPr>
          <w:sz w:val="20"/>
          <w:szCs w:val="20"/>
          <w:color w:val="auto"/>
        </w:rPr>
      </w:pPr>
      <w:r>
        <w:rPr>
          <w:rFonts w:ascii="Arial" w:cs="Arial" w:eastAsia="Arial" w:hAnsi="Arial"/>
          <w:sz w:val="18"/>
          <w:szCs w:val="18"/>
          <w:color w:val="auto"/>
        </w:rPr>
        <w:t>The balance of deferred incremental direct costs net of accumulated amortization at March 31, 2022 and December 31, 2021 was $128 and $132, respectively. This amount is expected to be amortized over its estimated period of benefit, which we currently estimate to be approximately four years.</w:t>
      </w:r>
    </w:p>
    <w:p>
      <w:pPr>
        <w:spacing w:after="0" w:line="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also incur costs associated with our services arrangements to generate or enhance resources and assets that will be used to satisfy our future performance obligations included in these arrangements. These costs are considered contract fulfillment costs and are amortized over the contractual service period of the arrangement to cost of services. In addition, we provide inducements to certain customers in various forms, including contractual credits, which are capitalized and amortized as a reduction of revenue over the term of the contract. As of March 31, 2022 and December 31, 2021, amounts deferred associated with contract fulfillment costs and inducements were $14 and $15, respectively, and the related amortization was $1 and $1 for the three months ended March 31, 2022 and 2021, respectively.</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Equipment and software used in the fulfillment of service arrangements, and where the Company retains control, are capitalized and depreciated over the shorter of their useful life or the term of the contract if an asset is contract specific.</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DA2031"/>
        </w:rPr>
        <w:t>Note 4 – Segment Reporting</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reportable segments are aligned with how we manage the business and view the markets we serve. During the first quarter of 2022, the Company changed to its reportable segments from one reportable segment to two reportable segments - Print and Other, and Financing (FITTLE) to align with a change in how the Chief Operating Decision Maker (CODM), our Chief Executive Officer (CEO), allocates resources and assesses performance against the Company’s key growth strategies. Our two reportable segments are based on the information reviewed by the CODM together with the Company’s management to evaluate performance of the business and allocate resources. As such, prior period reportable segment results and related disclosures have been conformed to reflect the Company’s current reportable segments.</w:t>
      </w:r>
    </w:p>
    <w:p>
      <w:pPr>
        <w:spacing w:after="0" w:line="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2021 we progressed with the standing up of three new businesses: Software (CareAR), Financing (FITTLE) and Innovation (PARC). As a result of this effort, during the first quarter of 2022, we reassessed our operating and reportable segments and determined that, based on the financial information reviewed by our CODM as well as the CEO’s management and assessment of the Company’s operations, we had two operating and reportable segments - Print and Other, and Financing.</w:t>
      </w:r>
    </w:p>
    <w:p>
      <w:pPr>
        <w:spacing w:after="0" w:line="14" w:lineRule="exact"/>
        <w:rPr>
          <w:sz w:val="20"/>
          <w:szCs w:val="20"/>
          <w:color w:val="auto"/>
        </w:rPr>
      </w:pPr>
    </w:p>
    <w:p>
      <w:pPr>
        <w:ind w:left="660" w:hanging="328"/>
        <w:spacing w:after="0" w:line="260" w:lineRule="auto"/>
        <w:tabs>
          <w:tab w:leader="none" w:pos="655" w:val="left"/>
        </w:tabs>
        <w:numPr>
          <w:ilvl w:val="0"/>
          <w:numId w:val="9"/>
        </w:numPr>
        <w:rPr>
          <w:rFonts w:ascii="Arial" w:cs="Arial" w:eastAsia="Arial" w:hAnsi="Arial"/>
          <w:sz w:val="18"/>
          <w:szCs w:val="18"/>
          <w:b w:val="1"/>
          <w:bCs w:val="1"/>
          <w:color w:val="DA2031"/>
        </w:rPr>
      </w:pPr>
      <w:r>
        <w:rPr>
          <w:rFonts w:ascii="Arial" w:cs="Arial" w:eastAsia="Arial" w:hAnsi="Arial"/>
          <w:sz w:val="18"/>
          <w:szCs w:val="18"/>
          <w:b w:val="1"/>
          <w:bCs w:val="1"/>
          <w:color w:val="DA2031"/>
        </w:rPr>
        <w:t xml:space="preserve">Print and Other </w:t>
      </w:r>
      <w:r>
        <w:rPr>
          <w:rFonts w:ascii="Arial" w:cs="Arial" w:eastAsia="Arial" w:hAnsi="Arial"/>
          <w:sz w:val="18"/>
          <w:szCs w:val="18"/>
          <w:color w:val="000000"/>
        </w:rPr>
        <w:t>- the design, development and sale of document management systems, solutions and services as well as</w:t>
      </w:r>
      <w:r>
        <w:rPr>
          <w:rFonts w:ascii="Arial" w:cs="Arial" w:eastAsia="Arial" w:hAnsi="Arial"/>
          <w:sz w:val="18"/>
          <w:szCs w:val="18"/>
          <w:b w:val="1"/>
          <w:bCs w:val="1"/>
          <w:color w:val="DA2031"/>
        </w:rPr>
        <w:t xml:space="preserve"> </w:t>
      </w:r>
      <w:r>
        <w:rPr>
          <w:rFonts w:ascii="Arial" w:cs="Arial" w:eastAsia="Arial" w:hAnsi="Arial"/>
          <w:sz w:val="18"/>
          <w:szCs w:val="18"/>
          <w:color w:val="000000"/>
        </w:rPr>
        <w:t>associated technology offerings including IT and software products and services.</w:t>
      </w:r>
    </w:p>
    <w:p>
      <w:pPr>
        <w:spacing w:after="0" w:line="1" w:lineRule="exact"/>
        <w:rPr>
          <w:rFonts w:ascii="Arial" w:cs="Arial" w:eastAsia="Arial" w:hAnsi="Arial"/>
          <w:sz w:val="18"/>
          <w:szCs w:val="18"/>
          <w:b w:val="1"/>
          <w:bCs w:val="1"/>
          <w:color w:val="DA2031"/>
        </w:rPr>
      </w:pPr>
    </w:p>
    <w:p>
      <w:pPr>
        <w:ind w:left="660" w:hanging="328"/>
        <w:spacing w:after="0"/>
        <w:tabs>
          <w:tab w:leader="none" w:pos="660" w:val="left"/>
        </w:tabs>
        <w:numPr>
          <w:ilvl w:val="0"/>
          <w:numId w:val="9"/>
        </w:numPr>
        <w:rPr>
          <w:rFonts w:ascii="Arial" w:cs="Arial" w:eastAsia="Arial" w:hAnsi="Arial"/>
          <w:sz w:val="18"/>
          <w:szCs w:val="18"/>
          <w:b w:val="1"/>
          <w:bCs w:val="1"/>
          <w:color w:val="DA2031"/>
        </w:rPr>
      </w:pPr>
      <w:r>
        <w:rPr>
          <w:rFonts w:ascii="Arial" w:cs="Arial" w:eastAsia="Arial" w:hAnsi="Arial"/>
          <w:sz w:val="18"/>
          <w:szCs w:val="18"/>
          <w:b w:val="1"/>
          <w:bCs w:val="1"/>
          <w:color w:val="DA2031"/>
        </w:rPr>
        <w:t xml:space="preserve">Financing (FITTLE) </w:t>
      </w:r>
      <w:r>
        <w:rPr>
          <w:rFonts w:ascii="Arial" w:cs="Arial" w:eastAsia="Arial" w:hAnsi="Arial"/>
          <w:sz w:val="18"/>
          <w:szCs w:val="18"/>
          <w:color w:val="000000"/>
        </w:rPr>
        <w:t>– primarily provides financing for the sales of Xerox equipment.</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determined that the other businesses – Software and Innovation - did not meet the requirements to be considered separate operating segments largely due to their continued management through the Print and Other Segment as well as their immateriality to our results at this stage. Accordingly, those groups will continue to be reported as part of the Print and Other Segment.</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DA2031"/>
        </w:rPr>
        <w:t>Print and Other</w:t>
      </w:r>
      <w:r>
        <w:rPr>
          <w:rFonts w:ascii="Arial" w:cs="Arial" w:eastAsia="Arial" w:hAnsi="Arial"/>
          <w:sz w:val="18"/>
          <w:szCs w:val="18"/>
          <w:color w:val="auto"/>
        </w:rPr>
        <w:t xml:space="preserve"> segment includes the sale of document systems, supplies and technical services and managed services. The segment also includes the delivery of managed services that involve a continuum of solutions and services that help our customers optimize their print and communications infrastructure, apply automation and simplification to maximize productivity, and ensure the highest levels of security. This segment also includes IT services and software. Our product groupings range from:</w:t>
      </w:r>
    </w:p>
    <w:p>
      <w:pPr>
        <w:spacing w:after="0" w:line="1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DA2031"/>
        </w:rPr>
      </w:pPr>
      <w:r>
        <w:rPr>
          <w:rFonts w:ascii="Arial" w:cs="Arial" w:eastAsia="Arial" w:hAnsi="Arial"/>
          <w:sz w:val="18"/>
          <w:szCs w:val="18"/>
          <w:b w:val="1"/>
          <w:bCs w:val="1"/>
          <w:color w:val="auto"/>
        </w:rPr>
        <w:t xml:space="preserve">“Entry,” </w:t>
      </w:r>
      <w:r>
        <w:rPr>
          <w:rFonts w:ascii="Arial" w:cs="Arial" w:eastAsia="Arial" w:hAnsi="Arial"/>
          <w:sz w:val="18"/>
          <w:szCs w:val="18"/>
          <w:color w:val="auto"/>
        </w:rPr>
        <w:t>which includes A4 devices and desktop printers; to</w:t>
      </w:r>
    </w:p>
    <w:p>
      <w:pPr>
        <w:spacing w:after="0" w:line="90" w:lineRule="exact"/>
        <w:rPr>
          <w:rFonts w:ascii="Arial" w:cs="Arial" w:eastAsia="Arial" w:hAnsi="Arial"/>
          <w:sz w:val="18"/>
          <w:szCs w:val="18"/>
          <w:b w:val="1"/>
          <w:bCs w:val="1"/>
          <w:color w:val="DA2031"/>
        </w:rPr>
      </w:pPr>
    </w:p>
    <w:p>
      <w:pPr>
        <w:jc w:val="both"/>
        <w:ind w:left="660" w:hanging="328"/>
        <w:spacing w:after="0" w:line="268" w:lineRule="auto"/>
        <w:tabs>
          <w:tab w:leader="none" w:pos="655" w:val="left"/>
        </w:tabs>
        <w:numPr>
          <w:ilvl w:val="0"/>
          <w:numId w:val="10"/>
        </w:numPr>
        <w:rPr>
          <w:rFonts w:ascii="Arial" w:cs="Arial" w:eastAsia="Arial" w:hAnsi="Arial"/>
          <w:sz w:val="18"/>
          <w:szCs w:val="18"/>
          <w:b w:val="1"/>
          <w:bCs w:val="1"/>
          <w:color w:val="DA2031"/>
        </w:rPr>
      </w:pPr>
      <w:r>
        <w:rPr>
          <w:rFonts w:ascii="Arial" w:cs="Arial" w:eastAsia="Arial" w:hAnsi="Arial"/>
          <w:sz w:val="18"/>
          <w:szCs w:val="18"/>
          <w:b w:val="1"/>
          <w:bCs w:val="1"/>
          <w:color w:val="auto"/>
        </w:rPr>
        <w:t xml:space="preserve">“Mid-range,” </w:t>
      </w:r>
      <w:r>
        <w:rPr>
          <w:rFonts w:ascii="Arial" w:cs="Arial" w:eastAsia="Arial" w:hAnsi="Arial"/>
          <w:sz w:val="18"/>
          <w:szCs w:val="18"/>
          <w:color w:val="auto"/>
        </w:rPr>
        <w:t>which includes A3 devices that generally serve workgroup environments in mid to large enterprises and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that fall into the following market categories: Color 41+ ppm priced at less than $100 thousand and Light Production 91+ ppm priced at less than $100 thousand; to</w:t>
      </w:r>
    </w:p>
    <w:p>
      <w:pPr>
        <w:spacing w:after="0" w:line="49" w:lineRule="exact"/>
        <w:rPr>
          <w:rFonts w:ascii="Arial" w:cs="Arial" w:eastAsia="Arial" w:hAnsi="Arial"/>
          <w:sz w:val="18"/>
          <w:szCs w:val="18"/>
          <w:b w:val="1"/>
          <w:bCs w:val="1"/>
          <w:color w:val="DA2031"/>
        </w:rPr>
      </w:pPr>
    </w:p>
    <w:p>
      <w:pPr>
        <w:ind w:left="660" w:hanging="328"/>
        <w:spacing w:after="0" w:line="287" w:lineRule="auto"/>
        <w:tabs>
          <w:tab w:leader="none" w:pos="655" w:val="left"/>
        </w:tabs>
        <w:numPr>
          <w:ilvl w:val="0"/>
          <w:numId w:val="10"/>
        </w:numPr>
        <w:rPr>
          <w:rFonts w:ascii="Arial" w:cs="Arial" w:eastAsia="Arial" w:hAnsi="Arial"/>
          <w:sz w:val="18"/>
          <w:szCs w:val="18"/>
          <w:b w:val="1"/>
          <w:bCs w:val="1"/>
          <w:color w:val="DA2031"/>
        </w:rPr>
      </w:pPr>
      <w:r>
        <w:rPr>
          <w:rFonts w:ascii="Arial" w:cs="Arial" w:eastAsia="Arial" w:hAnsi="Arial"/>
          <w:sz w:val="18"/>
          <w:szCs w:val="18"/>
          <w:color w:val="auto"/>
        </w:rPr>
        <w:t>“</w:t>
      </w:r>
      <w:r>
        <w:rPr>
          <w:rFonts w:ascii="Arial" w:cs="Arial" w:eastAsia="Arial" w:hAnsi="Arial"/>
          <w:sz w:val="18"/>
          <w:szCs w:val="18"/>
          <w:b w:val="1"/>
          <w:bCs w:val="1"/>
          <w:color w:val="auto"/>
        </w:rPr>
        <w:t>High-end,”</w:t>
      </w:r>
      <w:r>
        <w:rPr>
          <w:rFonts w:ascii="Arial" w:cs="Arial" w:eastAsia="Arial" w:hAnsi="Arial"/>
          <w:sz w:val="18"/>
          <w:szCs w:val="18"/>
          <w:color w:val="auto"/>
        </w:rPr>
        <w:t xml:space="preserve"> which includes production printing and publishing systems that generally serve the graphic communications marketplace and large enterprises.</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Customers range from small and mid-sized businesses to large enterprises. Customers also include graphic communication enterprises as well as channel partners including distributors and resellers. Segment revenues also include commissions and other payments from the Financing segment for the exclusive right to provide lease financing for Xerox products. These revenues are reported as part of Intersegment Revenues, which are eliminated in consolidated revenues.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DA2031"/>
        </w:rPr>
        <w:t>Financing (FITTLE)</w:t>
      </w:r>
      <w:r>
        <w:rPr>
          <w:rFonts w:ascii="Arial" w:cs="Arial" w:eastAsia="Arial" w:hAnsi="Arial"/>
          <w:sz w:val="18"/>
          <w:szCs w:val="18"/>
          <w:color w:val="auto"/>
        </w:rPr>
        <w:t xml:space="preserve"> segment provides leasing solutions through either bundled or unbundled lease agreements of Xerox products or direct purchases of equipment. These leasing solutions support a wide range of customers, from government to graphic communications and SMB to Enterprise as well as financing for direct channel customer purchases of both Xerox and non-Xerox equipment. Segment revenues primarily includes financing income on sales-type leases, operating lease income (including month to month rentals and extensions) and leasing fees.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Segment Policy</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derive the results of our business segments directly from our internal management reporting system. The accounting policies that the Company uses to derive its segment results are substantially the same as those used by the Company in preparing its consolidated financial statements. The segment results include a significant level of management estimates regarding the allocation of revenues such as finance income in bundled lease arrangements and other leasing revenues and operating lease revenues embedded in our managed services contracts as well as the allocation of expenses for shared selling and administrative services. Accordingly, the financial results for the Financing segment may not be indicative of the results the business would have as on a standalone basis or what might be presented for the business in stand-alone financial statements. The CODM measures the performance of each segment based on several metrics, including segment revenues and profit. The CODM uses these results, in part, to evaluate the performance of, and to allocate resources to each segment. The Financing (FITTLE) segment also includes interest expense associated with allocated debt of the Company in support of its Finance assets, while no interest expense is allocated to the Print and Other segment.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our reportable segments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color w:val="auto"/>
              </w:rPr>
              <w:t>Three Months Ended March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color w:val="auto"/>
              </w:rPr>
              <w:t>Print and Other</w:t>
            </w:r>
          </w:p>
        </w:tc>
        <w:tc>
          <w:tcPr>
            <w:tcW w:w="1440" w:type="dxa"/>
            <w:vAlign w:val="bottom"/>
            <w:gridSpan w:val="3"/>
          </w:tcPr>
          <w:p>
            <w:pPr>
              <w:ind w:left="60"/>
              <w:spacing w:after="0"/>
              <w:rPr>
                <w:sz w:val="20"/>
                <w:szCs w:val="20"/>
                <w:color w:val="auto"/>
              </w:rPr>
            </w:pPr>
            <w:r>
              <w:rPr>
                <w:rFonts w:ascii="Arial" w:cs="Arial" w:eastAsia="Arial" w:hAnsi="Arial"/>
                <w:sz w:val="14"/>
                <w:szCs w:val="14"/>
                <w:color w:val="auto"/>
              </w:rPr>
              <w:t>Financing (FITTLE)</w:t>
            </w:r>
          </w:p>
        </w:tc>
        <w:tc>
          <w:tcPr>
            <w:tcW w:w="240" w:type="dxa"/>
            <w:vAlign w:val="bottom"/>
          </w:tcPr>
          <w:p>
            <w:pPr>
              <w:spacing w:after="0"/>
              <w:rPr>
                <w:sz w:val="17"/>
                <w:szCs w:val="17"/>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color w:val="auto"/>
              </w:rPr>
              <w:t>Print and Other</w:t>
            </w:r>
          </w:p>
        </w:tc>
        <w:tc>
          <w:tcPr>
            <w:tcW w:w="1460" w:type="dxa"/>
            <w:vAlign w:val="bottom"/>
            <w:gridSpan w:val="3"/>
          </w:tcPr>
          <w:p>
            <w:pPr>
              <w:ind w:left="60"/>
              <w:spacing w:after="0"/>
              <w:rPr>
                <w:sz w:val="20"/>
                <w:szCs w:val="20"/>
                <w:color w:val="auto"/>
              </w:rPr>
            </w:pPr>
            <w:r>
              <w:rPr>
                <w:rFonts w:ascii="Arial" w:cs="Arial" w:eastAsia="Arial" w:hAnsi="Arial"/>
                <w:sz w:val="14"/>
                <w:szCs w:val="14"/>
                <w:color w:val="auto"/>
              </w:rPr>
              <w:t>Financing (FITTLE)</w:t>
            </w:r>
          </w:p>
        </w:tc>
        <w:tc>
          <w:tcPr>
            <w:tcW w:w="320" w:type="dxa"/>
            <w:vAlign w:val="bottom"/>
          </w:tcPr>
          <w:p>
            <w:pPr>
              <w:spacing w:after="0"/>
              <w:rPr>
                <w:sz w:val="17"/>
                <w:szCs w:val="17"/>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0"/>
        </w:trPr>
        <w:tc>
          <w:tcPr>
            <w:tcW w:w="27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External net revenue</w:t>
            </w: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1,513</w:t>
            </w:r>
          </w:p>
        </w:tc>
        <w:tc>
          <w:tcPr>
            <w:tcW w:w="100" w:type="dxa"/>
            <w:vAlign w:val="bottom"/>
            <w:tcBorders>
              <w:top w:val="single" w:sz="8" w:color="DBDBDB"/>
            </w:tcBorders>
            <w:shd w:val="clear" w:color="auto" w:fill="DBDBDB"/>
          </w:tcPr>
          <w:p>
            <w:pPr>
              <w:spacing w:after="0"/>
              <w:rPr>
                <w:sz w:val="17"/>
                <w:szCs w:val="17"/>
                <w:color w:val="auto"/>
              </w:rPr>
            </w:pPr>
          </w:p>
        </w:tc>
        <w:tc>
          <w:tcPr>
            <w:tcW w:w="300" w:type="dxa"/>
            <w:vAlign w:val="bottom"/>
            <w:tcBorders>
              <w:top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155</w:t>
            </w:r>
          </w:p>
        </w:tc>
        <w:tc>
          <w:tcPr>
            <w:tcW w:w="100" w:type="dxa"/>
            <w:vAlign w:val="bottom"/>
            <w:tcBorders>
              <w:top w:val="single" w:sz="8" w:color="DBDBDB"/>
            </w:tcBorders>
            <w:shd w:val="clear" w:color="auto" w:fill="DBDBDB"/>
          </w:tcPr>
          <w:p>
            <w:pPr>
              <w:spacing w:after="0"/>
              <w:rPr>
                <w:sz w:val="17"/>
                <w:szCs w:val="17"/>
                <w:color w:val="auto"/>
              </w:rPr>
            </w:pPr>
          </w:p>
        </w:tc>
        <w:tc>
          <w:tcPr>
            <w:tcW w:w="240" w:type="dxa"/>
            <w:vAlign w:val="bottom"/>
            <w:tcBorders>
              <w:top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1,668</w:t>
            </w:r>
          </w:p>
        </w:tc>
        <w:tc>
          <w:tcPr>
            <w:tcW w:w="10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1,533</w:t>
            </w:r>
          </w:p>
        </w:tc>
        <w:tc>
          <w:tcPr>
            <w:tcW w:w="80" w:type="dxa"/>
            <w:vAlign w:val="bottom"/>
            <w:tcBorders>
              <w:top w:val="single" w:sz="8" w:color="DBDBDB"/>
            </w:tcBorders>
            <w:shd w:val="clear" w:color="auto" w:fill="DBDBDB"/>
          </w:tcPr>
          <w:p>
            <w:pPr>
              <w:spacing w:after="0"/>
              <w:rPr>
                <w:sz w:val="17"/>
                <w:szCs w:val="17"/>
                <w:color w:val="auto"/>
              </w:rPr>
            </w:pPr>
          </w:p>
        </w:tc>
        <w:tc>
          <w:tcPr>
            <w:tcW w:w="320" w:type="dxa"/>
            <w:vAlign w:val="bottom"/>
            <w:tcBorders>
              <w:top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177</w:t>
            </w:r>
          </w:p>
        </w:tc>
        <w:tc>
          <w:tcPr>
            <w:tcW w:w="100" w:type="dxa"/>
            <w:vAlign w:val="bottom"/>
            <w:tcBorders>
              <w:top w:val="single" w:sz="8" w:color="DBDBDB"/>
            </w:tcBorders>
            <w:shd w:val="clear" w:color="auto" w:fill="DBDBDB"/>
          </w:tcPr>
          <w:p>
            <w:pPr>
              <w:spacing w:after="0"/>
              <w:rPr>
                <w:sz w:val="17"/>
                <w:szCs w:val="17"/>
                <w:color w:val="auto"/>
              </w:rPr>
            </w:pPr>
          </w:p>
        </w:tc>
        <w:tc>
          <w:tcPr>
            <w:tcW w:w="320" w:type="dxa"/>
            <w:vAlign w:val="bottom"/>
            <w:tcBorders>
              <w:top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1,710</w:t>
            </w:r>
          </w:p>
        </w:tc>
        <w:tc>
          <w:tcPr>
            <w:tcW w:w="0" w:type="dxa"/>
            <w:vAlign w:val="bottom"/>
          </w:tcPr>
          <w:p>
            <w:pPr>
              <w:spacing w:after="0"/>
              <w:rPr>
                <w:sz w:val="1"/>
                <w:szCs w:val="1"/>
                <w:color w:val="auto"/>
              </w:rPr>
            </w:pPr>
          </w:p>
        </w:tc>
      </w:tr>
      <w:tr>
        <w:trPr>
          <w:trHeight w:val="203"/>
        </w:trPr>
        <w:tc>
          <w:tcPr>
            <w:tcW w:w="2720" w:type="dxa"/>
            <w:vAlign w:val="bottom"/>
            <w:tcBorders>
              <w:bottom w:val="single" w:sz="8" w:color="DBDBDB"/>
            </w:tcBorders>
          </w:tcPr>
          <w:p>
            <w:pPr>
              <w:ind w:left="20"/>
              <w:spacing w:after="0" w:line="202" w:lineRule="exact"/>
              <w:rPr>
                <w:sz w:val="20"/>
                <w:szCs w:val="20"/>
                <w:color w:val="auto"/>
              </w:rPr>
            </w:pPr>
            <w:r>
              <w:rPr>
                <w:rFonts w:ascii="Arial" w:cs="Arial" w:eastAsia="Arial" w:hAnsi="Arial"/>
                <w:sz w:val="14"/>
                <w:szCs w:val="14"/>
                <w:color w:val="auto"/>
              </w:rPr>
              <w:t>Intersegment net revenue</w:t>
            </w:r>
            <w:r>
              <w:rPr>
                <w:rFonts w:ascii="Arial" w:cs="Arial" w:eastAsia="Arial" w:hAnsi="Arial"/>
                <w:sz w:val="18"/>
                <w:szCs w:val="18"/>
                <w:color w:val="auto"/>
                <w:vertAlign w:val="superscript"/>
              </w:rPr>
              <w:t>(1)</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48</w:t>
            </w:r>
          </w:p>
        </w:tc>
        <w:tc>
          <w:tcPr>
            <w:tcW w:w="8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21"/>
        </w:trPr>
        <w:tc>
          <w:tcPr>
            <w:tcW w:w="2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Total Segment net revenue</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1,550</w:t>
            </w:r>
          </w:p>
        </w:tc>
        <w:tc>
          <w:tcPr>
            <w:tcW w:w="10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1,708</w:t>
            </w: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1,581</w:t>
            </w:r>
          </w:p>
        </w:tc>
        <w:tc>
          <w:tcPr>
            <w:tcW w:w="8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180</w:t>
            </w:r>
          </w:p>
        </w:tc>
        <w:tc>
          <w:tcPr>
            <w:tcW w:w="10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1,761</w:t>
            </w:r>
          </w:p>
        </w:tc>
        <w:tc>
          <w:tcPr>
            <w:tcW w:w="0" w:type="dxa"/>
            <w:vAlign w:val="bottom"/>
          </w:tcPr>
          <w:p>
            <w:pPr>
              <w:spacing w:after="0"/>
              <w:rPr>
                <w:sz w:val="1"/>
                <w:szCs w:val="1"/>
                <w:color w:val="auto"/>
              </w:rPr>
            </w:pPr>
          </w:p>
        </w:tc>
      </w:tr>
      <w:tr>
        <w:trPr>
          <w:trHeight w:val="20"/>
        </w:trPr>
        <w:tc>
          <w:tcPr>
            <w:tcW w:w="27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Segment (loss) profit</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DBDBDB"/>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DBDBDB"/>
            </w:tcBorders>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71</w:t>
            </w:r>
          </w:p>
        </w:tc>
        <w:tc>
          <w:tcPr>
            <w:tcW w:w="80" w:type="dxa"/>
            <w:vAlign w:val="bottom"/>
            <w:tcBorders>
              <w:bottom w:val="single" w:sz="8" w:color="DBDBDB"/>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DBDBDB"/>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
        </w:trPr>
        <w:tc>
          <w:tcPr>
            <w:tcW w:w="272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4"/>
                <w:szCs w:val="14"/>
                <w:color w:val="auto"/>
              </w:rPr>
              <w:t>Segment margin</w:t>
            </w:r>
            <w:r>
              <w:rPr>
                <w:rFonts w:ascii="Arial" w:cs="Arial" w:eastAsia="Arial" w:hAnsi="Arial"/>
                <w:sz w:val="18"/>
                <w:szCs w:val="18"/>
                <w:color w:val="auto"/>
                <w:vertAlign w:val="superscript"/>
              </w:rPr>
              <w:t>(2)</w:t>
            </w: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11.0 %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4.6 %</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216"/>
        </w:trPr>
        <w:tc>
          <w:tcPr>
            <w:tcW w:w="27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7"/>
        </w:trPr>
        <w:tc>
          <w:tcPr>
            <w:tcW w:w="272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Interest income</w:t>
            </w:r>
          </w:p>
        </w:tc>
        <w:tc>
          <w:tcPr>
            <w:tcW w:w="140" w:type="dxa"/>
            <w:vAlign w:val="bottom"/>
            <w:shd w:val="clear" w:color="auto" w:fill="DBDBDB"/>
          </w:tcPr>
          <w:p>
            <w:pPr>
              <w:spacing w:after="0"/>
              <w:rPr>
                <w:sz w:val="17"/>
                <w:szCs w:val="17"/>
                <w:color w:val="auto"/>
              </w:rPr>
            </w:pPr>
          </w:p>
        </w:tc>
        <w:tc>
          <w:tcPr>
            <w:tcW w:w="1280" w:type="dxa"/>
            <w:vAlign w:val="bottom"/>
            <w:gridSpan w:val="2"/>
            <w:shd w:val="clear" w:color="auto" w:fill="DBDBDB"/>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spacing w:after="0"/>
              <w:rPr>
                <w:sz w:val="17"/>
                <w:szCs w:val="17"/>
                <w:color w:val="auto"/>
              </w:rPr>
            </w:pPr>
          </w:p>
        </w:tc>
        <w:tc>
          <w:tcPr>
            <w:tcW w:w="104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280" w:type="dxa"/>
            <w:vAlign w:val="bottom"/>
            <w:gridSpan w:val="2"/>
            <w:shd w:val="clear" w:color="auto" w:fill="DBDBDB"/>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shd w:val="clear" w:color="auto" w:fill="DBDBDB"/>
          </w:tcPr>
          <w:p>
            <w:pPr>
              <w:spacing w:after="0"/>
              <w:rPr>
                <w:sz w:val="17"/>
                <w:szCs w:val="17"/>
                <w:color w:val="auto"/>
              </w:rPr>
            </w:pPr>
          </w:p>
        </w:tc>
        <w:tc>
          <w:tcPr>
            <w:tcW w:w="104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52"/>
        </w:trPr>
        <w:tc>
          <w:tcPr>
            <w:tcW w:w="2720" w:type="dxa"/>
            <w:vAlign w:val="bottom"/>
          </w:tcPr>
          <w:p>
            <w:pPr>
              <w:ind w:left="20"/>
              <w:spacing w:after="0"/>
              <w:rPr>
                <w:sz w:val="20"/>
                <w:szCs w:val="20"/>
                <w:color w:val="auto"/>
              </w:rPr>
            </w:pPr>
            <w:r>
              <w:rPr>
                <w:rFonts w:ascii="Arial" w:cs="Arial" w:eastAsia="Arial" w:hAnsi="Arial"/>
                <w:sz w:val="14"/>
                <w:szCs w:val="14"/>
                <w:color w:val="auto"/>
              </w:rPr>
              <w:t>Interest expense</w:t>
            </w:r>
            <w:r>
              <w:rPr>
                <w:rFonts w:ascii="Arial" w:cs="Arial" w:eastAsia="Arial" w:hAnsi="Arial"/>
                <w:sz w:val="18"/>
                <w:szCs w:val="18"/>
                <w:color w:val="auto"/>
                <w:vertAlign w:val="superscript"/>
              </w:rPr>
              <w:t>(3)</w:t>
            </w:r>
          </w:p>
        </w:tc>
        <w:tc>
          <w:tcPr>
            <w:tcW w:w="14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69" w:lineRule="exact"/>
        <w:rPr>
          <w:sz w:val="20"/>
          <w:szCs w:val="20"/>
          <w:color w:val="auto"/>
        </w:rPr>
      </w:pPr>
    </w:p>
    <w:p>
      <w:pPr>
        <w:ind w:left="340" w:right="20" w:hanging="332"/>
        <w:spacing w:after="0" w:line="260" w:lineRule="auto"/>
        <w:tabs>
          <w:tab w:leader="none" w:pos="327"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Intersegment net revenue is primarily commissions and other payments made by the Financing Segment to the Print and Other Segment for the lease of Xerox Equipment placements.</w:t>
      </w:r>
    </w:p>
    <w:p>
      <w:pPr>
        <w:ind w:left="320" w:hanging="312"/>
        <w:spacing w:after="0"/>
        <w:tabs>
          <w:tab w:leader="none" w:pos="3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Segment margin based on External net revenue only.</w:t>
      </w:r>
    </w:p>
    <w:p>
      <w:pPr>
        <w:spacing w:after="0" w:line="1" w:lineRule="exact"/>
        <w:rPr>
          <w:rFonts w:ascii="Arial" w:cs="Arial" w:eastAsia="Arial" w:hAnsi="Arial"/>
          <w:sz w:val="14"/>
          <w:szCs w:val="14"/>
          <w:i w:val="1"/>
          <w:iCs w:val="1"/>
          <w:color w:val="auto"/>
        </w:rPr>
      </w:pPr>
    </w:p>
    <w:p>
      <w:pPr>
        <w:ind w:left="340" w:hanging="332"/>
        <w:spacing w:after="0" w:line="264" w:lineRule="auto"/>
        <w:tabs>
          <w:tab w:leader="none" w:pos="327"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Interest expense for the Financing Segment includes $2 and $2 of non-financing interest expense on allocated debt associated with Equipment on operating lease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Selected financial information for our reportable segments was as follows:</w:t>
      </w:r>
    </w:p>
    <w:p>
      <w:pPr>
        <w:spacing w:after="0" w:line="140" w:lineRule="exact"/>
        <w:rPr>
          <w:sz w:val="20"/>
          <w:szCs w:val="20"/>
          <w:color w:val="auto"/>
        </w:rPr>
      </w:pPr>
    </w:p>
    <w:p>
      <w:pPr>
        <w:jc w:val="center"/>
        <w:ind w:left="760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jc w:val="center"/>
        <w:ind w:left="760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Borders>
              <w:bottom w:val="single" w:sz="8" w:color="DBDBDB"/>
            </w:tcBorders>
          </w:tcPr>
          <w:p>
            <w:pPr>
              <w:spacing w:after="0"/>
              <w:rPr>
                <w:sz w:val="16"/>
                <w:szCs w:val="16"/>
                <w:color w:val="auto"/>
              </w:rPr>
            </w:pPr>
          </w:p>
        </w:tc>
        <w:tc>
          <w:tcPr>
            <w:tcW w:w="1060" w:type="dxa"/>
            <w:vAlign w:val="bottom"/>
            <w:tcBorders>
              <w:bottom w:val="single" w:sz="8" w:color="DBDBDB"/>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40" w:type="dxa"/>
            <w:vAlign w:val="bottom"/>
            <w:tcBorders>
              <w:bottom w:val="single" w:sz="8" w:color="DBDBDB"/>
            </w:tcBorders>
          </w:tcPr>
          <w:p>
            <w:pPr>
              <w:spacing w:after="0"/>
              <w:rPr>
                <w:sz w:val="16"/>
                <w:szCs w:val="16"/>
                <w:color w:val="auto"/>
              </w:rPr>
            </w:pPr>
          </w:p>
        </w:tc>
        <w:tc>
          <w:tcPr>
            <w:tcW w:w="600" w:type="dxa"/>
            <w:vAlign w:val="bottom"/>
            <w:tcBorders>
              <w:bottom w:val="single" w:sz="8" w:color="DBDBDB"/>
            </w:tcBorders>
          </w:tcPr>
          <w:p>
            <w:pPr>
              <w:spacing w:after="0"/>
              <w:rPr>
                <w:sz w:val="16"/>
                <w:szCs w:val="16"/>
                <w:color w:val="auto"/>
              </w:rPr>
            </w:pPr>
          </w:p>
        </w:tc>
        <w:tc>
          <w:tcPr>
            <w:tcW w:w="5500" w:type="dxa"/>
            <w:vAlign w:val="bottom"/>
            <w:tcBorders>
              <w:bottom w:val="single" w:sz="8" w:color="DBDBDB"/>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2022</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DBDBDB"/>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2021</w:t>
            </w:r>
          </w:p>
        </w:tc>
      </w:tr>
      <w:tr>
        <w:trPr>
          <w:trHeight w:val="145"/>
        </w:trPr>
        <w:tc>
          <w:tcPr>
            <w:tcW w:w="20" w:type="dxa"/>
            <w:vAlign w:val="bottom"/>
            <w:shd w:val="clear" w:color="auto" w:fill="DBDBDB"/>
          </w:tcPr>
          <w:p>
            <w:pPr>
              <w:spacing w:after="0"/>
              <w:rPr>
                <w:sz w:val="12"/>
                <w:szCs w:val="12"/>
                <w:color w:val="auto"/>
              </w:rPr>
            </w:pPr>
          </w:p>
        </w:tc>
        <w:tc>
          <w:tcPr>
            <w:tcW w:w="7600" w:type="dxa"/>
            <w:vAlign w:val="bottom"/>
            <w:gridSpan w:val="5"/>
            <w:shd w:val="clear" w:color="auto" w:fill="DBDBDB"/>
          </w:tcPr>
          <w:p>
            <w:pPr>
              <w:spacing w:after="0" w:line="145" w:lineRule="exact"/>
              <w:rPr>
                <w:sz w:val="20"/>
                <w:szCs w:val="20"/>
                <w:color w:val="auto"/>
              </w:rPr>
            </w:pPr>
            <w:r>
              <w:rPr>
                <w:rFonts w:ascii="Arial" w:cs="Arial" w:eastAsia="Arial" w:hAnsi="Arial"/>
                <w:sz w:val="14"/>
                <w:szCs w:val="14"/>
                <w:b w:val="1"/>
                <w:bCs w:val="1"/>
                <w:color w:val="auto"/>
              </w:rPr>
              <w:t>Pre-tax (Loss) Income</w:t>
            </w:r>
          </w:p>
        </w:tc>
        <w:tc>
          <w:tcPr>
            <w:tcW w:w="126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400" w:type="dxa"/>
            <w:vAlign w:val="bottom"/>
            <w:shd w:val="clear" w:color="auto" w:fill="DBDBDB"/>
          </w:tcPr>
          <w:p>
            <w:pPr>
              <w:spacing w:after="0"/>
              <w:rPr>
                <w:sz w:val="12"/>
                <w:szCs w:val="12"/>
                <w:color w:val="auto"/>
              </w:rPr>
            </w:pPr>
          </w:p>
        </w:tc>
        <w:tc>
          <w:tcPr>
            <w:tcW w:w="1360" w:type="dxa"/>
            <w:vAlign w:val="bottom"/>
            <w:shd w:val="clear" w:color="auto" w:fill="DBDBDB"/>
          </w:tcPr>
          <w:p>
            <w:pPr>
              <w:spacing w:after="0"/>
              <w:rPr>
                <w:sz w:val="12"/>
                <w:szCs w:val="12"/>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1060" w:type="dxa"/>
            <w:vAlign w:val="bottom"/>
            <w:tcBorders>
              <w:top w:val="single" w:sz="8" w:color="auto"/>
            </w:tcBorders>
            <w:shd w:val="clear" w:color="auto" w:fill="DBDBDB"/>
          </w:tcPr>
          <w:p>
            <w:pPr>
              <w:spacing w:after="0" w:line="20" w:lineRule="exact"/>
              <w:rPr>
                <w:sz w:val="1"/>
                <w:szCs w:val="1"/>
                <w:color w:val="auto"/>
              </w:rPr>
            </w:pPr>
          </w:p>
        </w:tc>
        <w:tc>
          <w:tcPr>
            <w:tcW w:w="100" w:type="dxa"/>
            <w:vAlign w:val="bottom"/>
            <w:tcBorders>
              <w:top w:val="single" w:sz="8" w:color="auto"/>
            </w:tcBorders>
            <w:shd w:val="clear" w:color="auto" w:fill="DBDBDB"/>
          </w:tcPr>
          <w:p>
            <w:pPr>
              <w:spacing w:after="0" w:line="20" w:lineRule="exact"/>
              <w:rPr>
                <w:sz w:val="1"/>
                <w:szCs w:val="1"/>
                <w:color w:val="auto"/>
              </w:rPr>
            </w:pPr>
          </w:p>
        </w:tc>
        <w:tc>
          <w:tcPr>
            <w:tcW w:w="340" w:type="dxa"/>
            <w:vAlign w:val="bottom"/>
            <w:tcBorders>
              <w:top w:val="single" w:sz="8" w:color="auto"/>
            </w:tcBorders>
            <w:shd w:val="clear" w:color="auto" w:fill="DBDBDB"/>
          </w:tcPr>
          <w:p>
            <w:pPr>
              <w:spacing w:after="0" w:line="20" w:lineRule="exact"/>
              <w:rPr>
                <w:sz w:val="1"/>
                <w:szCs w:val="1"/>
                <w:color w:val="auto"/>
              </w:rPr>
            </w:pPr>
          </w:p>
        </w:tc>
        <w:tc>
          <w:tcPr>
            <w:tcW w:w="600" w:type="dxa"/>
            <w:vAlign w:val="bottom"/>
            <w:tcBorders>
              <w:top w:val="single" w:sz="8" w:color="DBDBDB"/>
            </w:tcBorders>
            <w:shd w:val="clear" w:color="auto" w:fill="DBDBDB"/>
          </w:tcPr>
          <w:p>
            <w:pPr>
              <w:spacing w:after="0" w:line="20" w:lineRule="exact"/>
              <w:rPr>
                <w:sz w:val="1"/>
                <w:szCs w:val="1"/>
                <w:color w:val="auto"/>
              </w:rPr>
            </w:pPr>
          </w:p>
        </w:tc>
        <w:tc>
          <w:tcPr>
            <w:tcW w:w="5500" w:type="dxa"/>
            <w:vAlign w:val="bottom"/>
            <w:tcBorders>
              <w:top w:val="single" w:sz="8" w:color="DBDBDB"/>
            </w:tcBorders>
            <w:shd w:val="clear" w:color="auto" w:fill="DBDBDB"/>
          </w:tcPr>
          <w:p>
            <w:pPr>
              <w:spacing w:after="0" w:line="20" w:lineRule="exact"/>
              <w:rPr>
                <w:sz w:val="1"/>
                <w:szCs w:val="1"/>
                <w:color w:val="auto"/>
              </w:rPr>
            </w:pPr>
          </w:p>
        </w:tc>
        <w:tc>
          <w:tcPr>
            <w:tcW w:w="126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400" w:type="dxa"/>
            <w:vAlign w:val="bottom"/>
            <w:tcBorders>
              <w:top w:val="single" w:sz="8" w:color="DBDBDB"/>
            </w:tcBorders>
            <w:shd w:val="clear" w:color="auto" w:fill="DBDBDB"/>
          </w:tcPr>
          <w:p>
            <w:pPr>
              <w:spacing w:after="0" w:line="20" w:lineRule="exact"/>
              <w:rPr>
                <w:sz w:val="1"/>
                <w:szCs w:val="1"/>
                <w:color w:val="auto"/>
              </w:rPr>
            </w:pPr>
          </w:p>
        </w:tc>
        <w:tc>
          <w:tcPr>
            <w:tcW w:w="1360" w:type="dxa"/>
            <w:vAlign w:val="bottom"/>
            <w:tcBorders>
              <w:top w:val="single" w:sz="8" w:color="DBDBDB"/>
            </w:tcBorders>
            <w:shd w:val="clear" w:color="auto" w:fill="DBDBDB"/>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7600" w:type="dxa"/>
            <w:vAlign w:val="bottom"/>
            <w:gridSpan w:val="5"/>
          </w:tcPr>
          <w:p>
            <w:pPr>
              <w:spacing w:after="0"/>
              <w:rPr>
                <w:sz w:val="20"/>
                <w:szCs w:val="20"/>
                <w:color w:val="auto"/>
              </w:rPr>
            </w:pPr>
            <w:r>
              <w:rPr>
                <w:rFonts w:ascii="Arial" w:cs="Arial" w:eastAsia="Arial" w:hAnsi="Arial"/>
                <w:sz w:val="14"/>
                <w:szCs w:val="14"/>
                <w:color w:val="auto"/>
              </w:rPr>
              <w:t>Total reported segments</w:t>
            </w:r>
          </w:p>
        </w:tc>
        <w:tc>
          <w:tcPr>
            <w:tcW w:w="1260" w:type="dxa"/>
            <w:vAlign w:val="bottom"/>
          </w:tcPr>
          <w:p>
            <w:pPr>
              <w:jc w:val="right"/>
              <w:ind w:right="108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207"/>
        </w:trPr>
        <w:tc>
          <w:tcPr>
            <w:tcW w:w="20" w:type="dxa"/>
            <w:vAlign w:val="bottom"/>
            <w:shd w:val="clear" w:color="auto" w:fill="DBDBDB"/>
          </w:tcPr>
          <w:p>
            <w:pPr>
              <w:spacing w:after="0"/>
              <w:rPr>
                <w:sz w:val="17"/>
                <w:szCs w:val="17"/>
                <w:color w:val="auto"/>
              </w:rPr>
            </w:pPr>
          </w:p>
        </w:tc>
        <w:tc>
          <w:tcPr>
            <w:tcW w:w="7600" w:type="dxa"/>
            <w:vAlign w:val="bottom"/>
            <w:gridSpan w:val="5"/>
            <w:shd w:val="clear" w:color="auto" w:fill="DBDBDB"/>
          </w:tcPr>
          <w:p>
            <w:pPr>
              <w:spacing w:after="0"/>
              <w:rPr>
                <w:sz w:val="20"/>
                <w:szCs w:val="20"/>
                <w:color w:val="auto"/>
              </w:rPr>
            </w:pPr>
            <w:r>
              <w:rPr>
                <w:rFonts w:ascii="Arial" w:cs="Arial" w:eastAsia="Arial" w:hAnsi="Arial"/>
                <w:sz w:val="14"/>
                <w:szCs w:val="14"/>
                <w:color w:val="auto"/>
              </w:rPr>
              <w:t>Restructuring and related costs, net</w:t>
            </w:r>
          </w:p>
        </w:tc>
        <w:tc>
          <w:tcPr>
            <w:tcW w:w="1260" w:type="dxa"/>
            <w:vAlign w:val="bottom"/>
            <w:shd w:val="clear" w:color="auto" w:fill="DBDBDB"/>
          </w:tcPr>
          <w:p>
            <w:pPr>
              <w:spacing w:after="0"/>
              <w:rPr>
                <w:sz w:val="17"/>
                <w:szCs w:val="17"/>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w:t>
            </w:r>
          </w:p>
        </w:tc>
      </w:tr>
      <w:tr>
        <w:trPr>
          <w:trHeight w:val="198"/>
        </w:trPr>
        <w:tc>
          <w:tcPr>
            <w:tcW w:w="20" w:type="dxa"/>
            <w:vAlign w:val="bottom"/>
          </w:tcPr>
          <w:p>
            <w:pPr>
              <w:spacing w:after="0"/>
              <w:rPr>
                <w:sz w:val="17"/>
                <w:szCs w:val="17"/>
                <w:color w:val="auto"/>
              </w:rPr>
            </w:pPr>
          </w:p>
        </w:tc>
        <w:tc>
          <w:tcPr>
            <w:tcW w:w="7600" w:type="dxa"/>
            <w:vAlign w:val="bottom"/>
            <w:gridSpan w:val="5"/>
          </w:tcPr>
          <w:p>
            <w:pPr>
              <w:spacing w:after="0"/>
              <w:rPr>
                <w:sz w:val="20"/>
                <w:szCs w:val="20"/>
                <w:color w:val="auto"/>
              </w:rPr>
            </w:pPr>
            <w:r>
              <w:rPr>
                <w:rFonts w:ascii="Arial" w:cs="Arial" w:eastAsia="Arial" w:hAnsi="Arial"/>
                <w:sz w:val="14"/>
                <w:szCs w:val="14"/>
                <w:color w:val="auto"/>
              </w:rPr>
              <w:t>Amortization of intangible assets</w:t>
            </w:r>
          </w:p>
        </w:tc>
        <w:tc>
          <w:tcPr>
            <w:tcW w:w="1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3"/>
        </w:trPr>
        <w:tc>
          <w:tcPr>
            <w:tcW w:w="20" w:type="dxa"/>
            <w:vAlign w:val="bottom"/>
            <w:shd w:val="clear" w:color="auto" w:fill="DBDBDB"/>
          </w:tcPr>
          <w:p>
            <w:pPr>
              <w:spacing w:after="0"/>
              <w:rPr>
                <w:sz w:val="17"/>
                <w:szCs w:val="17"/>
                <w:color w:val="auto"/>
              </w:rPr>
            </w:pPr>
          </w:p>
        </w:tc>
        <w:tc>
          <w:tcPr>
            <w:tcW w:w="7600" w:type="dxa"/>
            <w:vAlign w:val="bottom"/>
            <w:gridSpan w:val="5"/>
            <w:shd w:val="clear" w:color="auto" w:fill="DBDBDB"/>
          </w:tcPr>
          <w:p>
            <w:pPr>
              <w:spacing w:after="0"/>
              <w:rPr>
                <w:sz w:val="20"/>
                <w:szCs w:val="20"/>
                <w:color w:val="auto"/>
              </w:rPr>
            </w:pPr>
            <w:r>
              <w:rPr>
                <w:rFonts w:ascii="Arial" w:cs="Arial" w:eastAsia="Arial" w:hAnsi="Arial"/>
                <w:sz w:val="14"/>
                <w:szCs w:val="14"/>
                <w:color w:val="auto"/>
              </w:rPr>
              <w:t>Other expenses, net</w:t>
            </w:r>
          </w:p>
        </w:tc>
        <w:tc>
          <w:tcPr>
            <w:tcW w:w="1260" w:type="dxa"/>
            <w:vAlign w:val="bottom"/>
            <w:tcBorders>
              <w:bottom w:val="single" w:sz="8" w:color="auto"/>
            </w:tcBorders>
            <w:shd w:val="clear" w:color="auto" w:fill="DBDBDB"/>
          </w:tcPr>
          <w:p>
            <w:pPr>
              <w:spacing w:after="0"/>
              <w:rPr>
                <w:sz w:val="17"/>
                <w:szCs w:val="17"/>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w:t>
            </w:r>
          </w:p>
        </w:tc>
      </w:tr>
      <w:tr>
        <w:trPr>
          <w:trHeight w:val="200"/>
        </w:trPr>
        <w:tc>
          <w:tcPr>
            <w:tcW w:w="20" w:type="dxa"/>
            <w:vAlign w:val="bottom"/>
          </w:tcPr>
          <w:p>
            <w:pPr>
              <w:spacing w:after="0"/>
              <w:rPr>
                <w:sz w:val="17"/>
                <w:szCs w:val="17"/>
                <w:color w:val="auto"/>
              </w:rPr>
            </w:pPr>
          </w:p>
        </w:tc>
        <w:tc>
          <w:tcPr>
            <w:tcW w:w="7600" w:type="dxa"/>
            <w:vAlign w:val="bottom"/>
            <w:gridSpan w:val="5"/>
          </w:tcPr>
          <w:p>
            <w:pPr>
              <w:spacing w:after="0"/>
              <w:rPr>
                <w:sz w:val="20"/>
                <w:szCs w:val="20"/>
                <w:color w:val="auto"/>
              </w:rPr>
            </w:pPr>
            <w:r>
              <w:rPr>
                <w:rFonts w:ascii="Arial" w:cs="Arial" w:eastAsia="Arial" w:hAnsi="Arial"/>
                <w:sz w:val="14"/>
                <w:szCs w:val="14"/>
                <w:b w:val="1"/>
                <w:bCs w:val="1"/>
                <w:color w:val="auto"/>
              </w:rPr>
              <w:t>Total Pre-tax (loss) income</w:t>
            </w:r>
          </w:p>
        </w:tc>
        <w:tc>
          <w:tcPr>
            <w:tcW w:w="126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r>
      <w:tr>
        <w:trPr>
          <w:trHeight w:val="20"/>
        </w:trPr>
        <w:tc>
          <w:tcPr>
            <w:tcW w:w="20" w:type="dxa"/>
            <w:vAlign w:val="bottom"/>
            <w:tcBorders>
              <w:bottom w:val="single" w:sz="8" w:color="DBDBDB"/>
            </w:tcBorders>
          </w:tcPr>
          <w:p>
            <w:pPr>
              <w:spacing w:after="0" w:line="20" w:lineRule="exact"/>
              <w:rPr>
                <w:sz w:val="1"/>
                <w:szCs w:val="1"/>
                <w:color w:val="auto"/>
              </w:rPr>
            </w:pPr>
          </w:p>
        </w:tc>
        <w:tc>
          <w:tcPr>
            <w:tcW w:w="10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DBDBDB"/>
            </w:tcBorders>
          </w:tcPr>
          <w:p>
            <w:pPr>
              <w:spacing w:after="0" w:line="20" w:lineRule="exact"/>
              <w:rPr>
                <w:sz w:val="1"/>
                <w:szCs w:val="1"/>
                <w:color w:val="auto"/>
              </w:rPr>
            </w:pPr>
          </w:p>
        </w:tc>
        <w:tc>
          <w:tcPr>
            <w:tcW w:w="600" w:type="dxa"/>
            <w:vAlign w:val="bottom"/>
            <w:tcBorders>
              <w:bottom w:val="single" w:sz="8" w:color="DBDBDB"/>
            </w:tcBorders>
          </w:tcPr>
          <w:p>
            <w:pPr>
              <w:spacing w:after="0" w:line="20" w:lineRule="exact"/>
              <w:rPr>
                <w:sz w:val="1"/>
                <w:szCs w:val="1"/>
                <w:color w:val="auto"/>
              </w:rPr>
            </w:pPr>
          </w:p>
        </w:tc>
        <w:tc>
          <w:tcPr>
            <w:tcW w:w="5500" w:type="dxa"/>
            <w:vAlign w:val="bottom"/>
            <w:tcBorders>
              <w:bottom w:val="single" w:sz="8" w:color="DBDBDB"/>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DBDBDB"/>
          </w:tcPr>
          <w:p>
            <w:pPr>
              <w:spacing w:after="0"/>
              <w:rPr>
                <w:sz w:val="11"/>
                <w:szCs w:val="11"/>
                <w:color w:val="auto"/>
              </w:rPr>
            </w:pPr>
          </w:p>
        </w:tc>
        <w:tc>
          <w:tcPr>
            <w:tcW w:w="106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340" w:type="dxa"/>
            <w:vAlign w:val="bottom"/>
            <w:shd w:val="clear" w:color="auto" w:fill="DBDBDB"/>
          </w:tcPr>
          <w:p>
            <w:pPr>
              <w:spacing w:after="0"/>
              <w:rPr>
                <w:sz w:val="11"/>
                <w:szCs w:val="11"/>
                <w:color w:val="auto"/>
              </w:rPr>
            </w:pPr>
          </w:p>
        </w:tc>
        <w:tc>
          <w:tcPr>
            <w:tcW w:w="600" w:type="dxa"/>
            <w:vAlign w:val="bottom"/>
            <w:shd w:val="clear" w:color="auto" w:fill="DBDBDB"/>
          </w:tcPr>
          <w:p>
            <w:pPr>
              <w:spacing w:after="0"/>
              <w:rPr>
                <w:sz w:val="11"/>
                <w:szCs w:val="11"/>
                <w:color w:val="auto"/>
              </w:rPr>
            </w:pPr>
          </w:p>
        </w:tc>
        <w:tc>
          <w:tcPr>
            <w:tcW w:w="5500" w:type="dxa"/>
            <w:vAlign w:val="bottom"/>
            <w:shd w:val="clear" w:color="auto" w:fill="DBDBDB"/>
          </w:tcPr>
          <w:p>
            <w:pPr>
              <w:spacing w:after="0"/>
              <w:rPr>
                <w:sz w:val="11"/>
                <w:szCs w:val="11"/>
                <w:color w:val="auto"/>
              </w:rPr>
            </w:pPr>
          </w:p>
        </w:tc>
        <w:tc>
          <w:tcPr>
            <w:tcW w:w="126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400" w:type="dxa"/>
            <w:vAlign w:val="bottom"/>
            <w:shd w:val="clear" w:color="auto" w:fill="DBDBDB"/>
          </w:tcPr>
          <w:p>
            <w:pPr>
              <w:spacing w:after="0"/>
              <w:rPr>
                <w:sz w:val="11"/>
                <w:szCs w:val="11"/>
                <w:color w:val="auto"/>
              </w:rPr>
            </w:pPr>
          </w:p>
        </w:tc>
        <w:tc>
          <w:tcPr>
            <w:tcW w:w="1360" w:type="dxa"/>
            <w:vAlign w:val="bottom"/>
            <w:shd w:val="clear" w:color="auto" w:fill="DBDBDB"/>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7600" w:type="dxa"/>
            <w:vAlign w:val="bottom"/>
            <w:gridSpan w:val="5"/>
          </w:tcPr>
          <w:p>
            <w:pPr>
              <w:spacing w:after="0"/>
              <w:rPr>
                <w:sz w:val="20"/>
                <w:szCs w:val="20"/>
                <w:color w:val="auto"/>
              </w:rPr>
            </w:pPr>
            <w:r>
              <w:rPr>
                <w:rFonts w:ascii="Arial" w:cs="Arial" w:eastAsia="Arial" w:hAnsi="Arial"/>
                <w:sz w:val="14"/>
                <w:szCs w:val="14"/>
                <w:b w:val="1"/>
                <w:bCs w:val="1"/>
                <w:color w:val="auto"/>
              </w:rPr>
              <w:t>Depreciation and Amortization</w:t>
            </w: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7600" w:type="dxa"/>
            <w:vAlign w:val="bottom"/>
            <w:gridSpan w:val="5"/>
            <w:shd w:val="clear" w:color="auto" w:fill="DBDBDB"/>
          </w:tcPr>
          <w:p>
            <w:pPr>
              <w:spacing w:after="0"/>
              <w:rPr>
                <w:sz w:val="20"/>
                <w:szCs w:val="20"/>
                <w:color w:val="auto"/>
              </w:rPr>
            </w:pPr>
            <w:r>
              <w:rPr>
                <w:rFonts w:ascii="Arial" w:cs="Arial" w:eastAsia="Arial" w:hAnsi="Arial"/>
                <w:sz w:val="14"/>
                <w:szCs w:val="14"/>
                <w:color w:val="auto"/>
              </w:rPr>
              <w:t>Total reported segments</w:t>
            </w:r>
          </w:p>
        </w:tc>
        <w:tc>
          <w:tcPr>
            <w:tcW w:w="1260" w:type="dxa"/>
            <w:vAlign w:val="bottom"/>
            <w:shd w:val="clear" w:color="auto" w:fill="DBDBDB"/>
          </w:tcPr>
          <w:p>
            <w:pPr>
              <w:jc w:val="right"/>
              <w:ind w:right="1088"/>
              <w:spacing w:after="0"/>
              <w:rPr>
                <w:sz w:val="20"/>
                <w:szCs w:val="20"/>
                <w:color w:val="auto"/>
              </w:rPr>
            </w:pPr>
            <w:r>
              <w:rPr>
                <w:rFonts w:ascii="Arial" w:cs="Arial" w:eastAsia="Arial" w:hAnsi="Arial"/>
                <w:sz w:val="14"/>
                <w:szCs w:val="14"/>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71</w:t>
            </w:r>
          </w:p>
        </w:tc>
      </w:tr>
      <w:tr>
        <w:trPr>
          <w:trHeight w:val="198"/>
        </w:trPr>
        <w:tc>
          <w:tcPr>
            <w:tcW w:w="20" w:type="dxa"/>
            <w:vAlign w:val="bottom"/>
            <w:tcBorders>
              <w:bottom w:val="single" w:sz="8" w:color="DBDBDB"/>
            </w:tcBorders>
          </w:tcPr>
          <w:p>
            <w:pPr>
              <w:spacing w:after="0"/>
              <w:rPr>
                <w:sz w:val="17"/>
                <w:szCs w:val="17"/>
                <w:color w:val="auto"/>
              </w:rPr>
            </w:pPr>
          </w:p>
        </w:tc>
        <w:tc>
          <w:tcPr>
            <w:tcW w:w="7600" w:type="dxa"/>
            <w:vAlign w:val="bottom"/>
            <w:tcBorders>
              <w:bottom w:val="single" w:sz="8" w:color="DBDBDB"/>
            </w:tcBorders>
            <w:gridSpan w:val="5"/>
          </w:tcPr>
          <w:p>
            <w:pPr>
              <w:spacing w:after="0"/>
              <w:rPr>
                <w:sz w:val="20"/>
                <w:szCs w:val="20"/>
                <w:color w:val="auto"/>
              </w:rPr>
            </w:pPr>
            <w:r>
              <w:rPr>
                <w:rFonts w:ascii="Arial" w:cs="Arial" w:eastAsia="Arial" w:hAnsi="Arial"/>
                <w:sz w:val="14"/>
                <w:szCs w:val="14"/>
                <w:color w:val="auto"/>
              </w:rPr>
              <w:t>Amortization of intangible assets</w:t>
            </w:r>
          </w:p>
        </w:tc>
        <w:tc>
          <w:tcPr>
            <w:tcW w:w="1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225"/>
        </w:trPr>
        <w:tc>
          <w:tcPr>
            <w:tcW w:w="20" w:type="dxa"/>
            <w:vAlign w:val="bottom"/>
            <w:tcBorders>
              <w:bottom w:val="single" w:sz="8" w:color="DBDBDB"/>
            </w:tcBorders>
            <w:shd w:val="clear" w:color="auto" w:fill="DBDBDB"/>
          </w:tcPr>
          <w:p>
            <w:pPr>
              <w:spacing w:after="0"/>
              <w:rPr>
                <w:sz w:val="19"/>
                <w:szCs w:val="19"/>
                <w:color w:val="auto"/>
              </w:rPr>
            </w:pPr>
          </w:p>
        </w:tc>
        <w:tc>
          <w:tcPr>
            <w:tcW w:w="7600" w:type="dxa"/>
            <w:vAlign w:val="bottom"/>
            <w:tcBorders>
              <w:bottom w:val="single" w:sz="8" w:color="DBDBDB"/>
            </w:tcBorders>
            <w:gridSpan w:val="5"/>
            <w:shd w:val="clear" w:color="auto" w:fill="DBDBDB"/>
          </w:tcPr>
          <w:p>
            <w:pPr>
              <w:spacing w:after="0"/>
              <w:rPr>
                <w:sz w:val="20"/>
                <w:szCs w:val="20"/>
                <w:color w:val="auto"/>
              </w:rPr>
            </w:pPr>
            <w:r>
              <w:rPr>
                <w:rFonts w:ascii="Arial" w:cs="Arial" w:eastAsia="Arial" w:hAnsi="Arial"/>
                <w:sz w:val="14"/>
                <w:szCs w:val="14"/>
                <w:b w:val="1"/>
                <w:bCs w:val="1"/>
                <w:color w:val="auto"/>
              </w:rPr>
              <w:t>Total Depreciation and amortization</w:t>
            </w:r>
          </w:p>
        </w:tc>
        <w:tc>
          <w:tcPr>
            <w:tcW w:w="1260" w:type="dxa"/>
            <w:vAlign w:val="bottom"/>
            <w:tcBorders>
              <w:bottom w:val="single" w:sz="8" w:color="auto"/>
            </w:tcBorders>
            <w:shd w:val="clear" w:color="auto" w:fill="DBDBDB"/>
          </w:tcPr>
          <w:p>
            <w:pPr>
              <w:jc w:val="right"/>
              <w:ind w:right="10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86</w:t>
            </w:r>
          </w:p>
        </w:tc>
      </w:tr>
      <w:tr>
        <w:trPr>
          <w:trHeight w:val="20"/>
        </w:trPr>
        <w:tc>
          <w:tcPr>
            <w:tcW w:w="2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tcBorders>
          </w:tcPr>
          <w:p>
            <w:pPr>
              <w:spacing w:after="0" w:line="20" w:lineRule="exact"/>
              <w:rPr>
                <w:sz w:val="1"/>
                <w:szCs w:val="1"/>
                <w:color w:val="auto"/>
              </w:rPr>
            </w:pPr>
          </w:p>
        </w:tc>
        <w:tc>
          <w:tcPr>
            <w:tcW w:w="5500" w:type="dxa"/>
            <w:vAlign w:val="bottom"/>
            <w:tcBorders>
              <w:top w:val="single" w:sz="8" w:color="DBDBDB"/>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5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183"/>
        </w:trPr>
        <w:tc>
          <w:tcPr>
            <w:tcW w:w="2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auto"/>
            </w:tcBorders>
            <w:gridSpan w:val="2"/>
            <w:shd w:val="clear" w:color="auto" w:fill="DBDBDB"/>
          </w:tcPr>
          <w:p>
            <w:pPr>
              <w:spacing w:after="0"/>
              <w:rPr>
                <w:sz w:val="20"/>
                <w:szCs w:val="20"/>
                <w:color w:val="auto"/>
              </w:rPr>
            </w:pPr>
            <w:r>
              <w:rPr>
                <w:rFonts w:ascii="Arial" w:cs="Arial" w:eastAsia="Arial" w:hAnsi="Arial"/>
                <w:sz w:val="14"/>
                <w:szCs w:val="14"/>
                <w:b w:val="1"/>
                <w:bCs w:val="1"/>
                <w:color w:val="auto"/>
              </w:rPr>
              <w:t>Interest Expense</w:t>
            </w:r>
          </w:p>
        </w:tc>
        <w:tc>
          <w:tcPr>
            <w:tcW w:w="6440" w:type="dxa"/>
            <w:vAlign w:val="bottom"/>
            <w:tcBorders>
              <w:bottom w:val="single" w:sz="8" w:color="DBDBDB"/>
            </w:tcBorders>
            <w:gridSpan w:val="3"/>
            <w:shd w:val="clear" w:color="auto" w:fill="DBDBDB"/>
          </w:tcPr>
          <w:p>
            <w:pPr>
              <w:spacing w:after="0"/>
              <w:rPr>
                <w:sz w:val="15"/>
                <w:szCs w:val="15"/>
                <w:color w:val="auto"/>
              </w:rPr>
            </w:pPr>
          </w:p>
        </w:tc>
        <w:tc>
          <w:tcPr>
            <w:tcW w:w="1260" w:type="dxa"/>
            <w:vAlign w:val="bottom"/>
            <w:tcBorders>
              <w:bottom w:val="single" w:sz="8" w:color="DBDBDB"/>
            </w:tcBorders>
            <w:shd w:val="clear" w:color="auto" w:fill="DBDBDB"/>
          </w:tcPr>
          <w:p>
            <w:pPr>
              <w:spacing w:after="0"/>
              <w:rPr>
                <w:sz w:val="15"/>
                <w:szCs w:val="15"/>
                <w:color w:val="auto"/>
              </w:rPr>
            </w:pPr>
          </w:p>
        </w:tc>
        <w:tc>
          <w:tcPr>
            <w:tcW w:w="500" w:type="dxa"/>
            <w:vAlign w:val="bottom"/>
            <w:tcBorders>
              <w:bottom w:val="single" w:sz="8" w:color="DBDBDB"/>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400" w:type="dxa"/>
            <w:vAlign w:val="bottom"/>
            <w:tcBorders>
              <w:bottom w:val="single" w:sz="8" w:color="DBDBDB"/>
            </w:tcBorders>
            <w:shd w:val="clear" w:color="auto" w:fill="DBDBDB"/>
          </w:tcPr>
          <w:p>
            <w:pPr>
              <w:spacing w:after="0"/>
              <w:rPr>
                <w:sz w:val="15"/>
                <w:szCs w:val="15"/>
                <w:color w:val="auto"/>
              </w:rPr>
            </w:pPr>
          </w:p>
        </w:tc>
        <w:tc>
          <w:tcPr>
            <w:tcW w:w="1360" w:type="dxa"/>
            <w:vAlign w:val="bottom"/>
            <w:tcBorders>
              <w:bottom w:val="single" w:sz="8" w:color="DBDBDB"/>
            </w:tcBorders>
            <w:shd w:val="clear" w:color="auto" w:fill="DBDBDB"/>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7600" w:type="dxa"/>
            <w:vAlign w:val="bottom"/>
            <w:gridSpan w:val="5"/>
          </w:tcPr>
          <w:p>
            <w:pPr>
              <w:spacing w:after="0"/>
              <w:rPr>
                <w:sz w:val="20"/>
                <w:szCs w:val="20"/>
                <w:color w:val="auto"/>
              </w:rPr>
            </w:pPr>
            <w:r>
              <w:rPr>
                <w:rFonts w:ascii="Arial" w:cs="Arial" w:eastAsia="Arial" w:hAnsi="Arial"/>
                <w:sz w:val="14"/>
                <w:szCs w:val="14"/>
                <w:color w:val="auto"/>
              </w:rPr>
              <w:t>Total reported segments</w:t>
            </w:r>
          </w:p>
        </w:tc>
        <w:tc>
          <w:tcPr>
            <w:tcW w:w="1260" w:type="dxa"/>
            <w:vAlign w:val="bottom"/>
          </w:tcPr>
          <w:p>
            <w:pPr>
              <w:jc w:val="right"/>
              <w:ind w:right="108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03"/>
        </w:trPr>
        <w:tc>
          <w:tcPr>
            <w:tcW w:w="20" w:type="dxa"/>
            <w:vAlign w:val="bottom"/>
            <w:shd w:val="clear" w:color="auto" w:fill="DBDBDB"/>
          </w:tcPr>
          <w:p>
            <w:pPr>
              <w:spacing w:after="0"/>
              <w:rPr>
                <w:sz w:val="17"/>
                <w:szCs w:val="17"/>
                <w:color w:val="auto"/>
              </w:rPr>
            </w:pPr>
          </w:p>
        </w:tc>
        <w:tc>
          <w:tcPr>
            <w:tcW w:w="7600" w:type="dxa"/>
            <w:vAlign w:val="bottom"/>
            <w:gridSpan w:val="5"/>
            <w:shd w:val="clear" w:color="auto" w:fill="DBDBDB"/>
          </w:tcPr>
          <w:p>
            <w:pPr>
              <w:spacing w:after="0"/>
              <w:rPr>
                <w:sz w:val="20"/>
                <w:szCs w:val="20"/>
                <w:color w:val="auto"/>
              </w:rPr>
            </w:pPr>
            <w:r>
              <w:rPr>
                <w:rFonts w:ascii="Arial" w:cs="Arial" w:eastAsia="Arial" w:hAnsi="Arial"/>
                <w:sz w:val="14"/>
                <w:szCs w:val="14"/>
                <w:color w:val="auto"/>
              </w:rPr>
              <w:t>Corporate</w:t>
            </w:r>
          </w:p>
        </w:tc>
        <w:tc>
          <w:tcPr>
            <w:tcW w:w="1260" w:type="dxa"/>
            <w:vAlign w:val="bottom"/>
            <w:tcBorders>
              <w:bottom w:val="single" w:sz="8" w:color="auto"/>
            </w:tcBorders>
            <w:shd w:val="clear" w:color="auto" w:fill="DBDBDB"/>
          </w:tcPr>
          <w:p>
            <w:pPr>
              <w:spacing w:after="0"/>
              <w:rPr>
                <w:sz w:val="17"/>
                <w:szCs w:val="17"/>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22</w:t>
            </w:r>
          </w:p>
        </w:tc>
      </w:tr>
      <w:tr>
        <w:trPr>
          <w:trHeight w:val="200"/>
        </w:trPr>
        <w:tc>
          <w:tcPr>
            <w:tcW w:w="20" w:type="dxa"/>
            <w:vAlign w:val="bottom"/>
          </w:tcPr>
          <w:p>
            <w:pPr>
              <w:spacing w:after="0"/>
              <w:rPr>
                <w:sz w:val="17"/>
                <w:szCs w:val="17"/>
                <w:color w:val="auto"/>
              </w:rPr>
            </w:pPr>
          </w:p>
        </w:tc>
        <w:tc>
          <w:tcPr>
            <w:tcW w:w="7600" w:type="dxa"/>
            <w:vAlign w:val="bottom"/>
            <w:gridSpan w:val="5"/>
          </w:tcPr>
          <w:p>
            <w:pPr>
              <w:spacing w:after="0"/>
              <w:rPr>
                <w:sz w:val="20"/>
                <w:szCs w:val="20"/>
                <w:color w:val="auto"/>
              </w:rPr>
            </w:pPr>
            <w:r>
              <w:rPr>
                <w:rFonts w:ascii="Arial" w:cs="Arial" w:eastAsia="Arial" w:hAnsi="Arial"/>
                <w:sz w:val="14"/>
                <w:szCs w:val="14"/>
                <w:b w:val="1"/>
                <w:bCs w:val="1"/>
                <w:color w:val="auto"/>
              </w:rPr>
              <w:t>Total Interest expense</w:t>
            </w:r>
          </w:p>
        </w:tc>
        <w:tc>
          <w:tcPr>
            <w:tcW w:w="126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r>
      <w:tr>
        <w:trPr>
          <w:trHeight w:val="20"/>
        </w:trPr>
        <w:tc>
          <w:tcPr>
            <w:tcW w:w="20" w:type="dxa"/>
            <w:vAlign w:val="bottom"/>
            <w:tcBorders>
              <w:bottom w:val="single" w:sz="8" w:color="DBDBDB"/>
            </w:tcBorders>
          </w:tcPr>
          <w:p>
            <w:pPr>
              <w:spacing w:after="0" w:line="20" w:lineRule="exact"/>
              <w:rPr>
                <w:sz w:val="1"/>
                <w:szCs w:val="1"/>
                <w:color w:val="auto"/>
              </w:rPr>
            </w:pPr>
          </w:p>
        </w:tc>
        <w:tc>
          <w:tcPr>
            <w:tcW w:w="10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DBDBDB"/>
            </w:tcBorders>
          </w:tcPr>
          <w:p>
            <w:pPr>
              <w:spacing w:after="0" w:line="20" w:lineRule="exact"/>
              <w:rPr>
                <w:sz w:val="1"/>
                <w:szCs w:val="1"/>
                <w:color w:val="auto"/>
              </w:rPr>
            </w:pPr>
          </w:p>
        </w:tc>
        <w:tc>
          <w:tcPr>
            <w:tcW w:w="600" w:type="dxa"/>
            <w:vAlign w:val="bottom"/>
            <w:tcBorders>
              <w:bottom w:val="single" w:sz="8" w:color="DBDBDB"/>
            </w:tcBorders>
          </w:tcPr>
          <w:p>
            <w:pPr>
              <w:spacing w:after="0" w:line="20" w:lineRule="exact"/>
              <w:rPr>
                <w:sz w:val="1"/>
                <w:szCs w:val="1"/>
                <w:color w:val="auto"/>
              </w:rPr>
            </w:pPr>
          </w:p>
        </w:tc>
        <w:tc>
          <w:tcPr>
            <w:tcW w:w="5500" w:type="dxa"/>
            <w:vAlign w:val="bottom"/>
            <w:tcBorders>
              <w:bottom w:val="single" w:sz="8" w:color="DBDBDB"/>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550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7600" w:type="dxa"/>
            <w:vAlign w:val="bottom"/>
            <w:gridSpan w:val="5"/>
          </w:tcPr>
          <w:p>
            <w:pPr>
              <w:spacing w:after="0"/>
              <w:rPr>
                <w:sz w:val="20"/>
                <w:szCs w:val="20"/>
                <w:color w:val="auto"/>
              </w:rPr>
            </w:pPr>
            <w:r>
              <w:rPr>
                <w:rFonts w:ascii="Arial" w:cs="Arial" w:eastAsia="Arial" w:hAnsi="Arial"/>
                <w:sz w:val="14"/>
                <w:szCs w:val="14"/>
                <w:b w:val="1"/>
                <w:bCs w:val="1"/>
                <w:color w:val="auto"/>
              </w:rPr>
              <w:t>Interest Income</w:t>
            </w: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7600" w:type="dxa"/>
            <w:vAlign w:val="bottom"/>
            <w:gridSpan w:val="5"/>
            <w:shd w:val="clear" w:color="auto" w:fill="DBDBDB"/>
          </w:tcPr>
          <w:p>
            <w:pPr>
              <w:spacing w:after="0"/>
              <w:rPr>
                <w:sz w:val="20"/>
                <w:szCs w:val="20"/>
                <w:color w:val="auto"/>
              </w:rPr>
            </w:pPr>
            <w:r>
              <w:rPr>
                <w:rFonts w:ascii="Arial" w:cs="Arial" w:eastAsia="Arial" w:hAnsi="Arial"/>
                <w:sz w:val="14"/>
                <w:szCs w:val="14"/>
                <w:color w:val="auto"/>
              </w:rPr>
              <w:t>Total reported segments</w:t>
            </w:r>
          </w:p>
        </w:tc>
        <w:tc>
          <w:tcPr>
            <w:tcW w:w="1260" w:type="dxa"/>
            <w:vAlign w:val="bottom"/>
            <w:shd w:val="clear" w:color="auto" w:fill="DBDBDB"/>
          </w:tcPr>
          <w:p>
            <w:pPr>
              <w:jc w:val="right"/>
              <w:ind w:right="1088"/>
              <w:spacing w:after="0"/>
              <w:rPr>
                <w:sz w:val="20"/>
                <w:szCs w:val="20"/>
                <w:color w:val="auto"/>
              </w:rPr>
            </w:pPr>
            <w:r>
              <w:rPr>
                <w:rFonts w:ascii="Arial" w:cs="Arial" w:eastAsia="Arial" w:hAnsi="Arial"/>
                <w:sz w:val="14"/>
                <w:szCs w:val="14"/>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w:t>
            </w:r>
          </w:p>
        </w:tc>
      </w:tr>
      <w:tr>
        <w:trPr>
          <w:trHeight w:val="198"/>
        </w:trPr>
        <w:tc>
          <w:tcPr>
            <w:tcW w:w="20" w:type="dxa"/>
            <w:vAlign w:val="bottom"/>
            <w:tcBorders>
              <w:bottom w:val="single" w:sz="8" w:color="DBDBDB"/>
            </w:tcBorders>
          </w:tcPr>
          <w:p>
            <w:pPr>
              <w:spacing w:after="0"/>
              <w:rPr>
                <w:sz w:val="17"/>
                <w:szCs w:val="17"/>
                <w:color w:val="auto"/>
              </w:rPr>
            </w:pPr>
          </w:p>
        </w:tc>
        <w:tc>
          <w:tcPr>
            <w:tcW w:w="7600" w:type="dxa"/>
            <w:vAlign w:val="bottom"/>
            <w:tcBorders>
              <w:bottom w:val="single" w:sz="8" w:color="DBDBDB"/>
            </w:tcBorders>
            <w:gridSpan w:val="5"/>
          </w:tcPr>
          <w:p>
            <w:pPr>
              <w:spacing w:after="0"/>
              <w:rPr>
                <w:sz w:val="20"/>
                <w:szCs w:val="20"/>
                <w:color w:val="auto"/>
              </w:rPr>
            </w:pPr>
            <w:r>
              <w:rPr>
                <w:rFonts w:ascii="Arial" w:cs="Arial" w:eastAsia="Arial" w:hAnsi="Arial"/>
                <w:sz w:val="14"/>
                <w:szCs w:val="14"/>
                <w:color w:val="auto"/>
              </w:rPr>
              <w:t>Corporate</w:t>
            </w:r>
          </w:p>
        </w:tc>
        <w:tc>
          <w:tcPr>
            <w:tcW w:w="1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25"/>
        </w:trPr>
        <w:tc>
          <w:tcPr>
            <w:tcW w:w="20" w:type="dxa"/>
            <w:vAlign w:val="bottom"/>
            <w:tcBorders>
              <w:bottom w:val="single" w:sz="8" w:color="DBDBDB"/>
            </w:tcBorders>
            <w:shd w:val="clear" w:color="auto" w:fill="DBDBDB"/>
          </w:tcPr>
          <w:p>
            <w:pPr>
              <w:spacing w:after="0"/>
              <w:rPr>
                <w:sz w:val="19"/>
                <w:szCs w:val="19"/>
                <w:color w:val="auto"/>
              </w:rPr>
            </w:pPr>
          </w:p>
        </w:tc>
        <w:tc>
          <w:tcPr>
            <w:tcW w:w="7600" w:type="dxa"/>
            <w:vAlign w:val="bottom"/>
            <w:tcBorders>
              <w:bottom w:val="single" w:sz="8" w:color="DBDBDB"/>
            </w:tcBorders>
            <w:gridSpan w:val="5"/>
            <w:shd w:val="clear" w:color="auto" w:fill="DBDBDB"/>
          </w:tcPr>
          <w:p>
            <w:pPr>
              <w:spacing w:after="0"/>
              <w:rPr>
                <w:sz w:val="20"/>
                <w:szCs w:val="20"/>
                <w:color w:val="auto"/>
              </w:rPr>
            </w:pPr>
            <w:r>
              <w:rPr>
                <w:rFonts w:ascii="Arial" w:cs="Arial" w:eastAsia="Arial" w:hAnsi="Arial"/>
                <w:sz w:val="14"/>
                <w:szCs w:val="14"/>
                <w:b w:val="1"/>
                <w:bCs w:val="1"/>
                <w:color w:val="auto"/>
              </w:rPr>
              <w:t>Total Interest income</w:t>
            </w:r>
          </w:p>
        </w:tc>
        <w:tc>
          <w:tcPr>
            <w:tcW w:w="1260" w:type="dxa"/>
            <w:vAlign w:val="bottom"/>
            <w:tcBorders>
              <w:bottom w:val="single" w:sz="8" w:color="auto"/>
            </w:tcBorders>
            <w:shd w:val="clear" w:color="auto" w:fill="DBDBDB"/>
          </w:tcPr>
          <w:p>
            <w:pPr>
              <w:jc w:val="right"/>
              <w:ind w:right="10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56</w:t>
            </w:r>
          </w:p>
        </w:tc>
      </w:tr>
      <w:tr>
        <w:trPr>
          <w:trHeight w:val="20"/>
        </w:trPr>
        <w:tc>
          <w:tcPr>
            <w:tcW w:w="2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tcBorders>
          </w:tcPr>
          <w:p>
            <w:pPr>
              <w:spacing w:after="0" w:line="20" w:lineRule="exact"/>
              <w:rPr>
                <w:sz w:val="1"/>
                <w:szCs w:val="1"/>
                <w:color w:val="auto"/>
              </w:rPr>
            </w:pPr>
          </w:p>
        </w:tc>
        <w:tc>
          <w:tcPr>
            <w:tcW w:w="5500" w:type="dxa"/>
            <w:vAlign w:val="bottom"/>
            <w:tcBorders>
              <w:top w:val="single" w:sz="8" w:color="DBDBDB"/>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DA2031"/>
        </w:rPr>
        <w:t>Note 5 – Lessor</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sales-type leases is presented on a gross basis when the Company enters into a lease to realize value from a product that it would otherwise sell in its ordinary course of business, whereas in transactions where the Company enters into a lease for the purpose of generating revenue by providing financing, the profit or loss, if any, is presented on a net basis. In addition, we have elected to account for sales tax and other similar taxes collected from a lessee as lessee costs and therefore we exclude these costs from contract consideration and variable consideration and present revenue net of these costs.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income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1080" w:type="dxa"/>
            <w:vAlign w:val="bottom"/>
          </w:tcPr>
          <w:p>
            <w:pPr>
              <w:spacing w:after="0"/>
              <w:rPr>
                <w:sz w:val="14"/>
                <w:szCs w:val="14"/>
                <w:color w:val="auto"/>
              </w:rPr>
            </w:pPr>
          </w:p>
        </w:tc>
      </w:tr>
      <w:tr>
        <w:trPr>
          <w:trHeight w:val="185"/>
        </w:trPr>
        <w:tc>
          <w:tcPr>
            <w:tcW w:w="38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color w:val="auto"/>
              </w:rPr>
              <w:t>March 31,</w:t>
            </w:r>
          </w:p>
        </w:tc>
        <w:tc>
          <w:tcPr>
            <w:tcW w:w="1080" w:type="dxa"/>
            <w:vAlign w:val="bottom"/>
            <w:tcBorders>
              <w:bottom w:val="single" w:sz="8" w:color="auto"/>
            </w:tcBorders>
          </w:tcPr>
          <w:p>
            <w:pPr>
              <w:spacing w:after="0"/>
              <w:rPr>
                <w:sz w:val="16"/>
                <w:szCs w:val="16"/>
                <w:color w:val="auto"/>
              </w:rPr>
            </w:pPr>
          </w:p>
        </w:tc>
      </w:tr>
      <w:tr>
        <w:trPr>
          <w:trHeight w:val="192"/>
        </w:trPr>
        <w:tc>
          <w:tcPr>
            <w:tcW w:w="3800" w:type="dxa"/>
            <w:vAlign w:val="bottom"/>
            <w:tcBorders>
              <w:bottom w:val="single" w:sz="8" w:color="E5E5E5"/>
            </w:tcBorders>
          </w:tcPr>
          <w:p>
            <w:pPr>
              <w:spacing w:after="0"/>
              <w:rPr>
                <w:sz w:val="16"/>
                <w:szCs w:val="16"/>
                <w:color w:val="auto"/>
              </w:rPr>
            </w:pPr>
          </w:p>
        </w:tc>
        <w:tc>
          <w:tcPr>
            <w:tcW w:w="372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Location in Statements of (Loss) Income</w:t>
            </w:r>
          </w:p>
        </w:tc>
        <w:tc>
          <w:tcPr>
            <w:tcW w:w="120" w:type="dxa"/>
            <w:vAlign w:val="bottom"/>
            <w:tcBorders>
              <w:bottom w:val="single" w:sz="8" w:color="E5E5E5"/>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E5E5E5"/>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2021</w:t>
            </w:r>
          </w:p>
        </w:tc>
      </w:tr>
      <w:tr>
        <w:trPr>
          <w:trHeight w:val="200"/>
        </w:trPr>
        <w:tc>
          <w:tcPr>
            <w:tcW w:w="3800" w:type="dxa"/>
            <w:vAlign w:val="bottom"/>
            <w:shd w:val="clear" w:color="auto" w:fill="E5E5E5"/>
          </w:tcPr>
          <w:p>
            <w:pPr>
              <w:ind w:left="20"/>
              <w:spacing w:after="0"/>
              <w:rPr>
                <w:sz w:val="20"/>
                <w:szCs w:val="20"/>
                <w:color w:val="auto"/>
              </w:rPr>
            </w:pPr>
            <w:r>
              <w:rPr>
                <w:rFonts w:ascii="Arial" w:cs="Arial" w:eastAsia="Arial" w:hAnsi="Arial"/>
                <w:sz w:val="14"/>
                <w:szCs w:val="14"/>
                <w:color w:val="auto"/>
              </w:rPr>
              <w:t>Revenue from sales type leases</w:t>
            </w:r>
          </w:p>
        </w:tc>
        <w:tc>
          <w:tcPr>
            <w:tcW w:w="38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Sales</w:t>
            </w:r>
          </w:p>
        </w:tc>
        <w:tc>
          <w:tcPr>
            <w:tcW w:w="4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E5E5E5"/>
          </w:tcPr>
          <w:p>
            <w:pPr>
              <w:spacing w:after="0"/>
              <w:rPr>
                <w:sz w:val="17"/>
                <w:szCs w:val="17"/>
                <w:color w:val="auto"/>
              </w:rPr>
            </w:pPr>
          </w:p>
        </w:tc>
        <w:tc>
          <w:tcPr>
            <w:tcW w:w="680" w:type="dxa"/>
            <w:vAlign w:val="bottom"/>
            <w:shd w:val="clear" w:color="auto" w:fill="E5E5E5"/>
          </w:tcPr>
          <w:p>
            <w:pPr>
              <w:jc w:val="right"/>
              <w:ind w:right="5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147</w:t>
            </w:r>
          </w:p>
        </w:tc>
      </w:tr>
      <w:tr>
        <w:trPr>
          <w:trHeight w:val="198"/>
        </w:trPr>
        <w:tc>
          <w:tcPr>
            <w:tcW w:w="3800" w:type="dxa"/>
            <w:vAlign w:val="bottom"/>
          </w:tcPr>
          <w:p>
            <w:pPr>
              <w:ind w:left="20"/>
              <w:spacing w:after="0"/>
              <w:rPr>
                <w:sz w:val="20"/>
                <w:szCs w:val="20"/>
                <w:color w:val="auto"/>
              </w:rPr>
            </w:pPr>
            <w:r>
              <w:rPr>
                <w:rFonts w:ascii="Arial" w:cs="Arial" w:eastAsia="Arial" w:hAnsi="Arial"/>
                <w:sz w:val="14"/>
                <w:szCs w:val="14"/>
                <w:color w:val="auto"/>
              </w:rPr>
              <w:t>Interest income on lease receivables</w:t>
            </w:r>
          </w:p>
        </w:tc>
        <w:tc>
          <w:tcPr>
            <w:tcW w:w="3840" w:type="dxa"/>
            <w:vAlign w:val="bottom"/>
            <w:gridSpan w:val="2"/>
          </w:tcPr>
          <w:p>
            <w:pPr>
              <w:ind w:left="20"/>
              <w:spacing w:after="0"/>
              <w:rPr>
                <w:sz w:val="20"/>
                <w:szCs w:val="20"/>
                <w:color w:val="auto"/>
              </w:rPr>
            </w:pPr>
            <w:r>
              <w:rPr>
                <w:rFonts w:ascii="Arial" w:cs="Arial" w:eastAsia="Arial" w:hAnsi="Arial"/>
                <w:sz w:val="14"/>
                <w:szCs w:val="14"/>
                <w:color w:val="auto"/>
              </w:rPr>
              <w:t>Financing</w:t>
            </w: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07"/>
        </w:trPr>
        <w:tc>
          <w:tcPr>
            <w:tcW w:w="3800" w:type="dxa"/>
            <w:vAlign w:val="bottom"/>
            <w:shd w:val="clear" w:color="auto" w:fill="E5E5E5"/>
          </w:tcPr>
          <w:p>
            <w:pPr>
              <w:ind w:left="20"/>
              <w:spacing w:after="0"/>
              <w:rPr>
                <w:sz w:val="20"/>
                <w:szCs w:val="20"/>
                <w:color w:val="auto"/>
              </w:rPr>
            </w:pPr>
            <w:r>
              <w:rPr>
                <w:rFonts w:ascii="Arial" w:cs="Arial" w:eastAsia="Arial" w:hAnsi="Arial"/>
                <w:sz w:val="14"/>
                <w:szCs w:val="14"/>
                <w:color w:val="auto"/>
              </w:rPr>
              <w:t>Lease income - operating leases</w:t>
            </w:r>
          </w:p>
        </w:tc>
        <w:tc>
          <w:tcPr>
            <w:tcW w:w="38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Services, maintenance and rentals</w:t>
            </w:r>
          </w:p>
        </w:tc>
        <w:tc>
          <w:tcPr>
            <w:tcW w:w="40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67</w:t>
            </w:r>
          </w:p>
        </w:tc>
      </w:tr>
      <w:tr>
        <w:trPr>
          <w:trHeight w:val="198"/>
        </w:trPr>
        <w:tc>
          <w:tcPr>
            <w:tcW w:w="380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Variable lease income</w:t>
            </w:r>
          </w:p>
        </w:tc>
        <w:tc>
          <w:tcPr>
            <w:tcW w:w="384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Services, maintenance and rentals</w:t>
            </w: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E5E5E5"/>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225"/>
        </w:trPr>
        <w:tc>
          <w:tcPr>
            <w:tcW w:w="380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Total Lease income</w:t>
            </w:r>
          </w:p>
        </w:tc>
        <w:tc>
          <w:tcPr>
            <w:tcW w:w="3720" w:type="dxa"/>
            <w:vAlign w:val="bottom"/>
            <w:tcBorders>
              <w:bottom w:val="single" w:sz="8" w:color="E5E5E5"/>
            </w:tcBorders>
            <w:shd w:val="clear" w:color="auto" w:fill="E5E5E5"/>
          </w:tcPr>
          <w:p>
            <w:pPr>
              <w:spacing w:after="0"/>
              <w:rPr>
                <w:sz w:val="19"/>
                <w:szCs w:val="19"/>
                <w:color w:val="auto"/>
              </w:rPr>
            </w:pPr>
          </w:p>
        </w:tc>
        <w:tc>
          <w:tcPr>
            <w:tcW w:w="120" w:type="dxa"/>
            <w:vAlign w:val="bottom"/>
            <w:tcBorders>
              <w:bottom w:val="single" w:sz="8" w:color="E5E5E5"/>
            </w:tcBorders>
            <w:shd w:val="clear" w:color="auto" w:fill="E5E5E5"/>
          </w:tcPr>
          <w:p>
            <w:pPr>
              <w:spacing w:after="0"/>
              <w:rPr>
                <w:sz w:val="19"/>
                <w:szCs w:val="19"/>
                <w:color w:val="auto"/>
              </w:rPr>
            </w:pPr>
          </w:p>
        </w:tc>
        <w:tc>
          <w:tcPr>
            <w:tcW w:w="400" w:type="dxa"/>
            <w:vAlign w:val="bottom"/>
            <w:tcBorders>
              <w:bottom w:val="single" w:sz="8" w:color="auto"/>
            </w:tcBorders>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Borders>
              <w:bottom w:val="single" w:sz="8" w:color="E5E5E5"/>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ind w:right="5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284</w:t>
            </w:r>
          </w:p>
        </w:tc>
      </w:tr>
      <w:tr>
        <w:trPr>
          <w:trHeight w:val="20"/>
        </w:trPr>
        <w:tc>
          <w:tcPr>
            <w:tcW w:w="3800" w:type="dxa"/>
            <w:vAlign w:val="bottom"/>
            <w:tcBorders>
              <w:top w:val="single" w:sz="8" w:color="E5E5E5"/>
            </w:tcBorders>
          </w:tcPr>
          <w:p>
            <w:pPr>
              <w:spacing w:after="0" w:line="20" w:lineRule="exact"/>
              <w:rPr>
                <w:sz w:val="1"/>
                <w:szCs w:val="1"/>
                <w:color w:val="auto"/>
              </w:rPr>
            </w:pPr>
          </w:p>
        </w:tc>
        <w:tc>
          <w:tcPr>
            <w:tcW w:w="372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400" w:type="dxa"/>
            <w:vAlign w:val="bottom"/>
            <w:tcBorders>
              <w:top w:val="single" w:sz="8" w:color="E5E5E5"/>
              <w:bottom w:val="single" w:sz="8" w:color="auto"/>
            </w:tcBorders>
          </w:tcPr>
          <w:p>
            <w:pPr>
              <w:spacing w:after="0" w:line="20" w:lineRule="exact"/>
              <w:rPr>
                <w:sz w:val="1"/>
                <w:szCs w:val="1"/>
                <w:color w:val="auto"/>
              </w:rPr>
            </w:pPr>
          </w:p>
        </w:tc>
        <w:tc>
          <w:tcPr>
            <w:tcW w:w="13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680" w:type="dxa"/>
            <w:vAlign w:val="bottom"/>
            <w:tcBorders>
              <w:top w:val="single" w:sz="8" w:color="E5E5E5"/>
              <w:bottom w:val="single" w:sz="8" w:color="auto"/>
            </w:tcBorders>
          </w:tcPr>
          <w:p>
            <w:pPr>
              <w:spacing w:after="0" w:line="20" w:lineRule="exact"/>
              <w:rPr>
                <w:sz w:val="1"/>
                <w:szCs w:val="1"/>
                <w:color w:val="auto"/>
              </w:rPr>
            </w:pPr>
          </w:p>
        </w:tc>
        <w:tc>
          <w:tcPr>
            <w:tcW w:w="1080" w:type="dxa"/>
            <w:vAlign w:val="bottom"/>
            <w:tcBorders>
              <w:top w:val="single" w:sz="8" w:color="E5E5E5"/>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Profit at lease commencement on sales-type leases was estimated to be $44 and $56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DA2031"/>
        </w:rPr>
        <w:t>Note 6 – Acquisitions and Investments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Acquisition</w:t>
      </w:r>
    </w:p>
    <w:p>
      <w:pPr>
        <w:spacing w:after="0" w:line="9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the first quarter 2022, Xerox acquired Powerland, a leading IT services provider in Canada, for approximately $54 (CAD 69 million). The acquisition also includes contingent consideration up to approximately $ 22 (CAD 28 million) based on future performance of the acquisition over the next two years. The acquisition strengthens Xerox’s IT services offerings in North America, which include cloud, cyber security, end user computing and managed services. The goodwill associated with the acquisition of Powerland is included in our Print and Other segment.</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operating results of this acquisition are not material to our financial statements and are included within our results from the acquisition date. The purchase price was all cash for 100% ownership of the acquired company and was primarily allocated to Intangible assets, net (approximately $40) and Goodwill (approximately $41), with the remainder to tangible assets and assumed/recorded liabilities. The allocations are based on preliminary management estimates, which continue to be reviewed, and are expected to be finalized by the end of 2022 and may include input and support from third-party valuations. Any adjustments to the preliminary allocations are not expected to be material.</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DA2031"/>
        </w:rPr>
        <w:t>Note 7 – Supplementary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Government Assistance</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 response to the COVID-19 pandemic, various governments employed temporary measures to provide aid and economic stimulus to companies through cash grants and credits or indirectly through payments to temporarily furloughed employees. Estimated savings from these various government assistance programs are recorded as follows in the Condensed Consolidated Statements of (Loss) Income:</w:t>
      </w:r>
    </w:p>
    <w:p>
      <w:pPr>
        <w:spacing w:after="0" w:line="167" w:lineRule="exact"/>
        <w:rPr>
          <w:sz w:val="20"/>
          <w:szCs w:val="20"/>
          <w:color w:val="auto"/>
        </w:rPr>
      </w:pPr>
    </w:p>
    <w:p>
      <w:pPr>
        <w:jc w:val="center"/>
        <w:ind w:left="760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jc w:val="center"/>
        <w:ind w:left="760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20" w:type="dxa"/>
            <w:vAlign w:val="bottom"/>
            <w:tcBorders>
              <w:bottom w:val="single" w:sz="8" w:color="DBDBDB"/>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2022</w:t>
            </w:r>
          </w:p>
        </w:tc>
        <w:tc>
          <w:tcPr>
            <w:tcW w:w="4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DBDBDB"/>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2021</w:t>
            </w:r>
          </w:p>
        </w:tc>
      </w:tr>
      <w:tr>
        <w:trPr>
          <w:trHeight w:val="199"/>
        </w:trPr>
        <w:tc>
          <w:tcPr>
            <w:tcW w:w="762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services, maintenance and rentals</w:t>
            </w:r>
          </w:p>
        </w:tc>
        <w:tc>
          <w:tcPr>
            <w:tcW w:w="1300" w:type="dxa"/>
            <w:vAlign w:val="bottom"/>
            <w:shd w:val="clear" w:color="auto" w:fill="DBDBDB"/>
          </w:tcPr>
          <w:p>
            <w:pPr>
              <w:jc w:val="right"/>
              <w:ind w:right="1128"/>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DBDBDB"/>
          </w:tcPr>
          <w:p>
            <w:pPr>
              <w:ind w:lef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w:t>
            </w:r>
          </w:p>
        </w:tc>
      </w:tr>
      <w:tr>
        <w:trPr>
          <w:trHeight w:val="198"/>
        </w:trPr>
        <w:tc>
          <w:tcPr>
            <w:tcW w:w="76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Selling, administrative and general expenses</w:t>
            </w:r>
          </w:p>
        </w:tc>
        <w:tc>
          <w:tcPr>
            <w:tcW w:w="1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20"/>
        </w:trPr>
        <w:tc>
          <w:tcPr>
            <w:tcW w:w="762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 Estimated savings</w:t>
            </w:r>
          </w:p>
        </w:tc>
        <w:tc>
          <w:tcPr>
            <w:tcW w:w="1300" w:type="dxa"/>
            <w:vAlign w:val="bottom"/>
            <w:shd w:val="clear" w:color="auto" w:fill="DBDBDB"/>
          </w:tcPr>
          <w:p>
            <w:pPr>
              <w:jc w:val="right"/>
              <w:ind w:right="1128"/>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DBDBDB"/>
          </w:tcPr>
          <w:p>
            <w:pPr>
              <w:ind w:lef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w:t>
            </w:r>
          </w:p>
        </w:tc>
      </w:tr>
      <w:tr>
        <w:trPr>
          <w:trHeight w:val="20"/>
        </w:trPr>
        <w:tc>
          <w:tcPr>
            <w:tcW w:w="7620" w:type="dxa"/>
            <w:vAlign w:val="bottom"/>
            <w:tcBorders>
              <w:top w:val="single" w:sz="8" w:color="DBDBDB"/>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Cash, Cash Equivalents and Restricted Cash</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Restricted cash primarily relates to escrow cash deposits made in Brazil associated with ongoing litigation as well as cash collections on finance receivables that were pledged for secured borrowings. As more fully discussed in Note 21 - Contingencies and Litigation, various litigation matters in Brazil require us to make cash deposits to escrow as a condition of continuing the litigation. Restricted cash amounts are classified in our Condensed Consolidated Balance Sheets based on when the cash will be contractually or judicially released.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amounts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March 31,</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December 31,</w:t>
            </w:r>
          </w:p>
        </w:tc>
      </w:tr>
      <w:tr>
        <w:trPr>
          <w:trHeight w:val="185"/>
        </w:trPr>
        <w:tc>
          <w:tcPr>
            <w:tcW w:w="7600" w:type="dxa"/>
            <w:vAlign w:val="bottom"/>
            <w:tcBorders>
              <w:bottom w:val="single" w:sz="8" w:color="E5E5E5"/>
            </w:tcBorders>
          </w:tcPr>
          <w:p>
            <w:pPr>
              <w:spacing w:after="0"/>
              <w:rPr>
                <w:sz w:val="16"/>
                <w:szCs w:val="16"/>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2022</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2021</w:t>
            </w:r>
          </w:p>
        </w:tc>
      </w:tr>
      <w:tr>
        <w:trPr>
          <w:trHeight w:val="196"/>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Cash and cash equivalents</w:t>
            </w:r>
          </w:p>
        </w:tc>
        <w:tc>
          <w:tcPr>
            <w:tcW w:w="1260" w:type="dxa"/>
            <w:vAlign w:val="bottom"/>
            <w:shd w:val="clear" w:color="auto" w:fill="E5E5E5"/>
          </w:tcPr>
          <w:p>
            <w:pPr>
              <w:jc w:val="right"/>
              <w:ind w:right="1088"/>
              <w:spacing w:after="0"/>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1,681</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1,840</w:t>
            </w:r>
          </w:p>
        </w:tc>
      </w:tr>
      <w:tr>
        <w:trPr>
          <w:trHeight w:val="201"/>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Restricted cash</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7600" w:type="dxa"/>
            <w:vAlign w:val="bottom"/>
            <w:shd w:val="clear" w:color="auto" w:fill="E5E5E5"/>
          </w:tcPr>
          <w:p>
            <w:pPr>
              <w:ind w:left="180"/>
              <w:spacing w:after="0"/>
              <w:rPr>
                <w:sz w:val="20"/>
                <w:szCs w:val="20"/>
                <w:color w:val="auto"/>
              </w:rPr>
            </w:pPr>
            <w:r>
              <w:rPr>
                <w:rFonts w:ascii="Arial" w:cs="Arial" w:eastAsia="Arial" w:hAnsi="Arial"/>
                <w:sz w:val="14"/>
                <w:szCs w:val="14"/>
                <w:color w:val="auto"/>
              </w:rPr>
              <w:t>Litigation deposits in Brazil</w:t>
            </w:r>
          </w:p>
        </w:tc>
        <w:tc>
          <w:tcPr>
            <w:tcW w:w="1260" w:type="dxa"/>
            <w:vAlign w:val="bottom"/>
            <w:shd w:val="clear" w:color="auto" w:fill="E5E5E5"/>
          </w:tcPr>
          <w:p>
            <w:pPr>
              <w:spacing w:after="0"/>
              <w:rPr>
                <w:sz w:val="17"/>
                <w:szCs w:val="17"/>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5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34</w:t>
            </w:r>
          </w:p>
        </w:tc>
      </w:tr>
      <w:tr>
        <w:trPr>
          <w:trHeight w:val="203"/>
        </w:trPr>
        <w:tc>
          <w:tcPr>
            <w:tcW w:w="7600" w:type="dxa"/>
            <w:vAlign w:val="bottom"/>
          </w:tcPr>
          <w:p>
            <w:pPr>
              <w:ind w:left="180"/>
              <w:spacing w:after="0" w:line="202" w:lineRule="exact"/>
              <w:rPr>
                <w:sz w:val="20"/>
                <w:szCs w:val="20"/>
                <w:color w:val="auto"/>
              </w:rPr>
            </w:pPr>
            <w:r>
              <w:rPr>
                <w:rFonts w:ascii="Arial" w:cs="Arial" w:eastAsia="Arial" w:hAnsi="Arial"/>
                <w:sz w:val="14"/>
                <w:szCs w:val="14"/>
                <w:color w:val="auto"/>
              </w:rPr>
              <w:t>Escrow and cash collections related to secured borrowing arrangements</w:t>
            </w:r>
            <w:r>
              <w:rPr>
                <w:rFonts w:ascii="Arial" w:cs="Arial" w:eastAsia="Arial" w:hAnsi="Arial"/>
                <w:sz w:val="18"/>
                <w:szCs w:val="18"/>
                <w:color w:val="auto"/>
                <w:vertAlign w:val="superscript"/>
              </w:rPr>
              <w:t>(1)</w:t>
            </w:r>
          </w:p>
        </w:tc>
        <w:tc>
          <w:tcPr>
            <w:tcW w:w="12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32</w:t>
            </w:r>
          </w:p>
        </w:tc>
      </w:tr>
      <w:tr>
        <w:trPr>
          <w:trHeight w:val="203"/>
        </w:trPr>
        <w:tc>
          <w:tcPr>
            <w:tcW w:w="7600" w:type="dxa"/>
            <w:vAlign w:val="bottom"/>
            <w:shd w:val="clear" w:color="auto" w:fill="E5E5E5"/>
          </w:tcPr>
          <w:p>
            <w:pPr>
              <w:ind w:left="180"/>
              <w:spacing w:after="0"/>
              <w:rPr>
                <w:sz w:val="20"/>
                <w:szCs w:val="20"/>
                <w:color w:val="auto"/>
              </w:rPr>
            </w:pPr>
            <w:r>
              <w:rPr>
                <w:rFonts w:ascii="Arial" w:cs="Arial" w:eastAsia="Arial" w:hAnsi="Arial"/>
                <w:sz w:val="14"/>
                <w:szCs w:val="14"/>
                <w:color w:val="auto"/>
              </w:rPr>
              <w:t>Other restricted cash</w:t>
            </w:r>
          </w:p>
        </w:tc>
        <w:tc>
          <w:tcPr>
            <w:tcW w:w="1260" w:type="dxa"/>
            <w:vAlign w:val="bottom"/>
            <w:tcBorders>
              <w:bottom w:val="single" w:sz="8" w:color="auto"/>
            </w:tcBorders>
            <w:shd w:val="clear" w:color="auto" w:fill="E5E5E5"/>
          </w:tcPr>
          <w:p>
            <w:pPr>
              <w:spacing w:after="0"/>
              <w:rPr>
                <w:sz w:val="17"/>
                <w:szCs w:val="17"/>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15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3</w:t>
            </w:r>
          </w:p>
        </w:tc>
      </w:tr>
      <w:tr>
        <w:trPr>
          <w:trHeight w:val="195"/>
        </w:trPr>
        <w:tc>
          <w:tcPr>
            <w:tcW w:w="7600" w:type="dxa"/>
            <w:vAlign w:val="bottom"/>
            <w:tcBorders>
              <w:bottom w:val="single" w:sz="8" w:color="E5E5E5"/>
            </w:tcBorders>
          </w:tcPr>
          <w:p>
            <w:pPr>
              <w:ind w:left="180"/>
              <w:spacing w:after="0"/>
              <w:rPr>
                <w:sz w:val="20"/>
                <w:szCs w:val="20"/>
                <w:color w:val="auto"/>
              </w:rPr>
            </w:pPr>
            <w:r>
              <w:rPr>
                <w:rFonts w:ascii="Arial" w:cs="Arial" w:eastAsia="Arial" w:hAnsi="Arial"/>
                <w:sz w:val="14"/>
                <w:szCs w:val="14"/>
                <w:b w:val="1"/>
                <w:bCs w:val="1"/>
                <w:color w:val="auto"/>
              </w:rPr>
              <w:t>Total Restricted cash</w:t>
            </w:r>
          </w:p>
        </w:tc>
        <w:tc>
          <w:tcPr>
            <w:tcW w:w="12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w:t>
            </w:r>
          </w:p>
        </w:tc>
      </w:tr>
      <w:tr>
        <w:trPr>
          <w:trHeight w:val="222"/>
        </w:trPr>
        <w:tc>
          <w:tcPr>
            <w:tcW w:w="760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Cash, cash equivalents and restricted cash</w:t>
            </w:r>
          </w:p>
        </w:tc>
        <w:tc>
          <w:tcPr>
            <w:tcW w:w="1260" w:type="dxa"/>
            <w:vAlign w:val="bottom"/>
            <w:tcBorders>
              <w:bottom w:val="single" w:sz="8" w:color="auto"/>
            </w:tcBorders>
            <w:shd w:val="clear" w:color="auto" w:fill="E5E5E5"/>
          </w:tcPr>
          <w:p>
            <w:pPr>
              <w:jc w:val="right"/>
              <w:ind w:right="10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1,761</w:t>
            </w:r>
          </w:p>
        </w:tc>
        <w:tc>
          <w:tcPr>
            <w:tcW w:w="120" w:type="dxa"/>
            <w:vAlign w:val="bottom"/>
            <w:tcBorders>
              <w:bottom w:val="single" w:sz="8" w:color="E5E5E5"/>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1,909</w:t>
            </w:r>
          </w:p>
        </w:tc>
      </w:tr>
      <w:tr>
        <w:trPr>
          <w:trHeight w:val="20"/>
        </w:trPr>
        <w:tc>
          <w:tcPr>
            <w:tcW w:w="7600" w:type="dxa"/>
            <w:vAlign w:val="bottom"/>
            <w:tcBorders>
              <w:top w:val="single" w:sz="8" w:color="E5E5E5"/>
            </w:tcBorders>
          </w:tcPr>
          <w:p>
            <w:pPr>
              <w:spacing w:after="0" w:line="20" w:lineRule="exact"/>
              <w:rPr>
                <w:sz w:val="1"/>
                <w:szCs w:val="1"/>
                <w:color w:val="auto"/>
              </w:rPr>
            </w:pPr>
          </w:p>
        </w:tc>
        <w:tc>
          <w:tcPr>
            <w:tcW w:w="1260" w:type="dxa"/>
            <w:vAlign w:val="bottom"/>
            <w:tcBorders>
              <w:top w:val="single" w:sz="8" w:color="E5E5E5"/>
              <w:bottom w:val="single" w:sz="8" w:color="auto"/>
            </w:tcBorders>
          </w:tcPr>
          <w:p>
            <w:pPr>
              <w:spacing w:after="0" w:line="20" w:lineRule="exact"/>
              <w:rPr>
                <w:sz w:val="1"/>
                <w:szCs w:val="1"/>
                <w:color w:val="auto"/>
              </w:rPr>
            </w:pPr>
          </w:p>
        </w:tc>
        <w:tc>
          <w:tcPr>
            <w:tcW w:w="4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1500" w:type="dxa"/>
            <w:vAlign w:val="bottom"/>
            <w:tcBorders>
              <w:top w:val="single" w:sz="8" w:color="E5E5E5"/>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1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collections on finance receivables pledged for secured borrowings that will be remitted to lenders in the following month.</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is reported in the Condensed Consolidated Balance Sheets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March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Arial" w:cs="Arial" w:eastAsia="Arial" w:hAnsi="Arial"/>
                <w:sz w:val="14"/>
                <w:szCs w:val="14"/>
                <w:color w:val="auto"/>
              </w:rPr>
              <w:t>December 31,</w:t>
            </w:r>
          </w:p>
        </w:tc>
      </w:tr>
      <w:tr>
        <w:trPr>
          <w:trHeight w:val="189"/>
        </w:trPr>
        <w:tc>
          <w:tcPr>
            <w:tcW w:w="7520" w:type="dxa"/>
            <w:vAlign w:val="bottom"/>
            <w:tcBorders>
              <w:bottom w:val="single" w:sz="8" w:color="E5E5E5"/>
            </w:tcBorders>
          </w:tcPr>
          <w:p>
            <w:pPr>
              <w:spacing w:after="0"/>
              <w:rPr>
                <w:sz w:val="16"/>
                <w:szCs w:val="16"/>
                <w:color w:val="auto"/>
              </w:rPr>
            </w:pPr>
          </w:p>
        </w:tc>
        <w:tc>
          <w:tcPr>
            <w:tcW w:w="13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2021</w:t>
            </w:r>
          </w:p>
        </w:tc>
      </w:tr>
      <w:tr>
        <w:trPr>
          <w:trHeight w:val="196"/>
        </w:trPr>
        <w:tc>
          <w:tcPr>
            <w:tcW w:w="7520" w:type="dxa"/>
            <w:vAlign w:val="bottom"/>
            <w:shd w:val="clear" w:color="auto" w:fill="E5E5E5"/>
          </w:tcPr>
          <w:p>
            <w:pPr>
              <w:ind w:left="20"/>
              <w:spacing w:after="0"/>
              <w:rPr>
                <w:sz w:val="20"/>
                <w:szCs w:val="20"/>
                <w:color w:val="auto"/>
              </w:rPr>
            </w:pPr>
            <w:r>
              <w:rPr>
                <w:rFonts w:ascii="Arial" w:cs="Arial" w:eastAsia="Arial" w:hAnsi="Arial"/>
                <w:sz w:val="14"/>
                <w:szCs w:val="14"/>
                <w:color w:val="auto"/>
              </w:rPr>
              <w:t>Other current assets</w:t>
            </w:r>
          </w:p>
        </w:tc>
        <w:tc>
          <w:tcPr>
            <w:tcW w:w="1380" w:type="dxa"/>
            <w:vAlign w:val="bottom"/>
            <w:shd w:val="clear" w:color="auto" w:fill="E5E5E5"/>
          </w:tcPr>
          <w:p>
            <w:pPr>
              <w:jc w:val="right"/>
              <w:ind w:right="1208"/>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33</w:t>
            </w:r>
          </w:p>
        </w:tc>
      </w:tr>
      <w:tr>
        <w:trPr>
          <w:trHeight w:val="199"/>
        </w:trPr>
        <w:tc>
          <w:tcPr>
            <w:tcW w:w="752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Other long-term assets</w:t>
            </w:r>
          </w:p>
        </w:tc>
        <w:tc>
          <w:tcPr>
            <w:tcW w:w="13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w:t>
            </w:r>
          </w:p>
        </w:tc>
      </w:tr>
      <w:tr>
        <w:trPr>
          <w:trHeight w:val="225"/>
        </w:trPr>
        <w:tc>
          <w:tcPr>
            <w:tcW w:w="75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Total Restricted cash</w:t>
            </w:r>
          </w:p>
        </w:tc>
        <w:tc>
          <w:tcPr>
            <w:tcW w:w="1380" w:type="dxa"/>
            <w:vAlign w:val="bottom"/>
            <w:tcBorders>
              <w:bottom w:val="single" w:sz="8" w:color="auto"/>
            </w:tcBorders>
            <w:shd w:val="clear" w:color="auto" w:fill="E5E5E5"/>
          </w:tcPr>
          <w:p>
            <w:pPr>
              <w:jc w:val="right"/>
              <w:ind w:right="12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E5E5E5"/>
            </w:tcBorders>
            <w:shd w:val="clear" w:color="auto" w:fill="E5E5E5"/>
          </w:tcPr>
          <w:p>
            <w:pPr>
              <w:spacing w:after="0"/>
              <w:rPr>
                <w:sz w:val="19"/>
                <w:szCs w:val="19"/>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69</w:t>
            </w:r>
          </w:p>
        </w:tc>
      </w:tr>
      <w:tr>
        <w:trPr>
          <w:trHeight w:val="20"/>
        </w:trPr>
        <w:tc>
          <w:tcPr>
            <w:tcW w:w="7520" w:type="dxa"/>
            <w:vAlign w:val="bottom"/>
            <w:tcBorders>
              <w:top w:val="single" w:sz="8" w:color="E5E5E5"/>
            </w:tcBorders>
          </w:tcPr>
          <w:p>
            <w:pPr>
              <w:spacing w:after="0" w:line="20" w:lineRule="exact"/>
              <w:rPr>
                <w:sz w:val="1"/>
                <w:szCs w:val="1"/>
                <w:color w:val="auto"/>
              </w:rPr>
            </w:pPr>
          </w:p>
        </w:tc>
        <w:tc>
          <w:tcPr>
            <w:tcW w:w="1380" w:type="dxa"/>
            <w:vAlign w:val="bottom"/>
            <w:tcBorders>
              <w:top w:val="single" w:sz="8" w:color="E5E5E5"/>
              <w:bottom w:val="single" w:sz="8" w:color="auto"/>
            </w:tcBorders>
          </w:tcPr>
          <w:p>
            <w:pPr>
              <w:spacing w:after="0" w:line="20" w:lineRule="exact"/>
              <w:rPr>
                <w:sz w:val="1"/>
                <w:szCs w:val="1"/>
                <w:color w:val="auto"/>
              </w:rPr>
            </w:pPr>
          </w:p>
        </w:tc>
        <w:tc>
          <w:tcPr>
            <w:tcW w:w="4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1520" w:type="dxa"/>
            <w:vAlign w:val="bottom"/>
            <w:tcBorders>
              <w:top w:val="single" w:sz="8" w:color="E5E5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520"/>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DA2031"/>
        </w:rPr>
        <w:t>Supplemental Cash Flow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Summarized cash flow information is as follows:</w:t>
      </w:r>
    </w:p>
    <w:p>
      <w:pPr>
        <w:spacing w:after="0" w:line="59" w:lineRule="exact"/>
        <w:rPr>
          <w:sz w:val="20"/>
          <w:szCs w:val="20"/>
          <w:color w:val="auto"/>
        </w:rPr>
      </w:pPr>
    </w:p>
    <w:p>
      <w:pPr>
        <w:jc w:val="center"/>
        <w:ind w:left="758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jc w:val="center"/>
        <w:ind w:left="758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00" w:type="dxa"/>
            <w:vAlign w:val="bottom"/>
            <w:tcBorders>
              <w:bottom w:val="single" w:sz="8" w:color="E5E5E5"/>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2022</w:t>
            </w:r>
          </w:p>
        </w:tc>
        <w:tc>
          <w:tcPr>
            <w:tcW w:w="4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E5E5E5"/>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2021</w:t>
            </w:r>
          </w:p>
        </w:tc>
      </w:tr>
      <w:tr>
        <w:trPr>
          <w:trHeight w:val="199"/>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Provision for receivables</w:t>
            </w:r>
          </w:p>
        </w:tc>
        <w:tc>
          <w:tcPr>
            <w:tcW w:w="1300" w:type="dxa"/>
            <w:vAlign w:val="bottom"/>
            <w:shd w:val="clear" w:color="auto" w:fill="E5E5E5"/>
          </w:tcPr>
          <w:p>
            <w:pPr>
              <w:jc w:val="right"/>
              <w:ind w:right="1128"/>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Provision for inventory</w:t>
            </w:r>
          </w:p>
        </w:tc>
        <w:tc>
          <w:tcPr>
            <w:tcW w:w="13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7"/>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Provision for product warranties</w:t>
            </w:r>
          </w:p>
        </w:tc>
        <w:tc>
          <w:tcPr>
            <w:tcW w:w="130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Depreciation of buildings and equipment</w:t>
            </w:r>
          </w:p>
        </w:tc>
        <w:tc>
          <w:tcPr>
            <w:tcW w:w="13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7"/>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Depreciation and obsolescence of equipment on operating leases</w:t>
            </w:r>
          </w:p>
        </w:tc>
        <w:tc>
          <w:tcPr>
            <w:tcW w:w="130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42</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Amortization of internal use software</w:t>
            </w:r>
          </w:p>
        </w:tc>
        <w:tc>
          <w:tcPr>
            <w:tcW w:w="13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7"/>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Amortization of acquired intangible assets</w:t>
            </w:r>
          </w:p>
        </w:tc>
        <w:tc>
          <w:tcPr>
            <w:tcW w:w="130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4"/>
                <w:szCs w:val="14"/>
                <w:color w:val="auto"/>
              </w:rPr>
              <w:t>Amortization of customer contract costs</w:t>
            </w:r>
            <w:r>
              <w:rPr>
                <w:rFonts w:ascii="Arial" w:cs="Arial" w:eastAsia="Arial" w:hAnsi="Arial"/>
                <w:sz w:val="18"/>
                <w:szCs w:val="18"/>
                <w:color w:val="auto"/>
                <w:vertAlign w:val="superscript"/>
              </w:rPr>
              <w:t>(1)</w:t>
            </w:r>
          </w:p>
        </w:tc>
        <w:tc>
          <w:tcPr>
            <w:tcW w:w="13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03"/>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Cost of additions to land, buildings and equipment</w:t>
            </w:r>
          </w:p>
        </w:tc>
        <w:tc>
          <w:tcPr>
            <w:tcW w:w="130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Cost of additions to internal use software</w:t>
            </w:r>
          </w:p>
        </w:tc>
        <w:tc>
          <w:tcPr>
            <w:tcW w:w="13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7"/>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Common stock dividends - Xerox Holdings</w:t>
            </w:r>
          </w:p>
        </w:tc>
        <w:tc>
          <w:tcPr>
            <w:tcW w:w="130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50</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Preferred stock dividends - Xerox Holdings</w:t>
            </w:r>
          </w:p>
        </w:tc>
        <w:tc>
          <w:tcPr>
            <w:tcW w:w="13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7"/>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Payments to noncontrolling interests</w:t>
            </w:r>
          </w:p>
        </w:tc>
        <w:tc>
          <w:tcPr>
            <w:tcW w:w="1300" w:type="dxa"/>
            <w:vAlign w:val="bottom"/>
            <w:shd w:val="clear" w:color="auto" w:fill="E5E5E5"/>
          </w:tcPr>
          <w:p>
            <w:pPr>
              <w:spacing w:after="0"/>
              <w:rPr>
                <w:sz w:val="17"/>
                <w:szCs w:val="17"/>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7600" w:type="dxa"/>
            <w:vAlign w:val="bottom"/>
          </w:tcPr>
          <w:p>
            <w:pPr>
              <w:ind w:left="20"/>
              <w:spacing w:after="0"/>
              <w:rPr>
                <w:sz w:val="20"/>
                <w:szCs w:val="20"/>
                <w:color w:val="auto"/>
              </w:rPr>
            </w:pPr>
            <w:r>
              <w:rPr>
                <w:rFonts w:ascii="Arial" w:cs="Arial" w:eastAsia="Arial" w:hAnsi="Arial"/>
                <w:sz w:val="14"/>
                <w:szCs w:val="14"/>
                <w:color w:val="auto"/>
              </w:rPr>
              <w:t>Repurchases related to stock-based compensation - Xerox Holdings</w:t>
            </w:r>
          </w:p>
        </w:tc>
        <w:tc>
          <w:tcPr>
            <w:tcW w:w="13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13" w:lineRule="exact"/>
        <w:rPr>
          <w:sz w:val="20"/>
          <w:szCs w:val="20"/>
          <w:color w:val="auto"/>
        </w:rPr>
      </w:pPr>
    </w:p>
    <w:p>
      <w:pPr>
        <w:ind w:left="340" w:right="20" w:hanging="332"/>
        <w:spacing w:after="0" w:line="284" w:lineRule="auto"/>
        <w:tabs>
          <w:tab w:leader="none" w:pos="327"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Amortization of customer contract costs is reported in </w:t>
      </w:r>
      <w:r>
        <w:rPr>
          <w:rFonts w:ascii="Arial" w:cs="Arial" w:eastAsia="Arial" w:hAnsi="Arial"/>
          <w:sz w:val="14"/>
          <w:szCs w:val="14"/>
          <w:color w:val="auto"/>
        </w:rPr>
        <w:t>(Increase) decrease in other current and long-term assets</w:t>
      </w:r>
      <w:r>
        <w:rPr>
          <w:rFonts w:ascii="Arial" w:cs="Arial" w:eastAsia="Arial" w:hAnsi="Arial"/>
          <w:sz w:val="14"/>
          <w:szCs w:val="14"/>
          <w:i w:val="1"/>
          <w:iCs w:val="1"/>
          <w:color w:val="auto"/>
        </w:rPr>
        <w:t xml:space="preserve"> in the Condensed Consolidated Statements of Cash Flows. Refer to Note 3 - Revenue - Contract Costs for additional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DA2031"/>
        </w:rPr>
        <w:t>Note 8 – Accounts Receivable, Net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March 31,</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7600" w:type="dxa"/>
            <w:vAlign w:val="bottom"/>
            <w:tcBorders>
              <w:bottom w:val="single" w:sz="8" w:color="E5E5E5"/>
            </w:tcBorders>
          </w:tcPr>
          <w:p>
            <w:pPr>
              <w:spacing w:after="0"/>
              <w:rPr>
                <w:sz w:val="16"/>
                <w:szCs w:val="16"/>
                <w:color w:val="auto"/>
              </w:rPr>
            </w:pPr>
          </w:p>
        </w:tc>
        <w:tc>
          <w:tcPr>
            <w:tcW w:w="134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color w:val="auto"/>
              </w:rPr>
              <w:t>2022</w:t>
            </w: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96"/>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Invoiced</w:t>
            </w:r>
          </w:p>
        </w:tc>
        <w:tc>
          <w:tcPr>
            <w:tcW w:w="1340" w:type="dxa"/>
            <w:vAlign w:val="bottom"/>
            <w:gridSpan w:val="2"/>
            <w:shd w:val="clear" w:color="auto" w:fill="E5E5E5"/>
          </w:tcPr>
          <w:p>
            <w:pPr>
              <w:jc w:val="right"/>
              <w:ind w:right="1168"/>
              <w:spacing w:after="0"/>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658</w:t>
            </w:r>
          </w:p>
        </w:tc>
        <w:tc>
          <w:tcPr>
            <w:tcW w:w="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Accrued</w:t>
            </w:r>
            <w:r>
              <w:rPr>
                <w:rFonts w:ascii="Arial" w:cs="Arial" w:eastAsia="Arial" w:hAnsi="Arial"/>
                <w:sz w:val="9"/>
                <w:szCs w:val="9"/>
                <w:color w:val="auto"/>
              </w:rPr>
              <w:t>(1)</w:t>
            </w: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212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Allowance for doubtful accounts</w:t>
            </w:r>
          </w:p>
        </w:tc>
        <w:tc>
          <w:tcPr>
            <w:tcW w:w="20" w:type="dxa"/>
            <w:vAlign w:val="bottom"/>
            <w:tcBorders>
              <w:bottom w:val="single" w:sz="8" w:color="auto"/>
            </w:tcBorders>
            <w:shd w:val="clear" w:color="auto" w:fill="E5E5E5"/>
          </w:tcPr>
          <w:p>
            <w:pPr>
              <w:spacing w:after="0"/>
              <w:rPr>
                <w:sz w:val="17"/>
                <w:szCs w:val="17"/>
                <w:color w:val="auto"/>
              </w:rPr>
            </w:pPr>
          </w:p>
        </w:tc>
        <w:tc>
          <w:tcPr>
            <w:tcW w:w="1320" w:type="dxa"/>
            <w:vAlign w:val="bottom"/>
            <w:tcBorders>
              <w:bottom w:val="single" w:sz="8" w:color="auto"/>
            </w:tcBorders>
            <w:shd w:val="clear" w:color="auto" w:fill="E5E5E5"/>
          </w:tcPr>
          <w:p>
            <w:pPr>
              <w:spacing w:after="0"/>
              <w:rPr>
                <w:sz w:val="17"/>
                <w:szCs w:val="17"/>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(63)</w:t>
            </w:r>
          </w:p>
        </w:tc>
        <w:tc>
          <w:tcPr>
            <w:tcW w:w="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1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0"/>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Accounts receivable, net</w:t>
            </w:r>
          </w:p>
        </w:tc>
        <w:tc>
          <w:tcPr>
            <w:tcW w:w="1340" w:type="dxa"/>
            <w:vAlign w:val="bottom"/>
            <w:tcBorders>
              <w:bottom w:val="single" w:sz="8" w:color="auto"/>
            </w:tcBorders>
            <w:gridSpan w:val="2"/>
          </w:tcPr>
          <w:p>
            <w:pPr>
              <w:jc w:val="right"/>
              <w:ind w:right="116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4"/>
                <w:szCs w:val="14"/>
                <w:i w:val="1"/>
                <w:iCs w:val="1"/>
                <w:color w:val="auto"/>
              </w:rPr>
              <w:t>_____________</w:t>
            </w: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760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7600" w:type="dxa"/>
            <w:vAlign w:val="bottom"/>
          </w:tcPr>
          <w:p>
            <w:pPr>
              <w:spacing w:after="0"/>
              <w:rPr>
                <w:sz w:val="20"/>
                <w:szCs w:val="20"/>
                <w:color w:val="auto"/>
              </w:rPr>
            </w:pPr>
            <w:r>
              <w:rPr>
                <w:rFonts w:ascii="Arial" w:cs="Arial" w:eastAsia="Arial" w:hAnsi="Arial"/>
                <w:sz w:val="14"/>
                <w:szCs w:val="14"/>
                <w:i w:val="1"/>
                <w:iCs w:val="1"/>
                <w:color w:val="auto"/>
              </w:rPr>
              <w:t>(1)  Accrued receivables include amounts to be invoiced in the subsequent quarter for current services provided.</w:t>
            </w: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7600" w:type="dxa"/>
            <w:vAlign w:val="bottom"/>
          </w:tcPr>
          <w:p>
            <w:pPr>
              <w:spacing w:after="0"/>
              <w:rPr>
                <w:sz w:val="20"/>
                <w:szCs w:val="20"/>
                <w:color w:val="auto"/>
              </w:rPr>
            </w:pPr>
            <w:r>
              <w:rPr>
                <w:rFonts w:ascii="Arial" w:cs="Arial" w:eastAsia="Arial" w:hAnsi="Arial"/>
                <w:sz w:val="18"/>
                <w:szCs w:val="18"/>
                <w:color w:val="auto"/>
              </w:rPr>
              <w:t>The allowance for doubtful accounts was as follows:</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7600" w:type="dxa"/>
            <w:vAlign w:val="bottom"/>
            <w:tcBorders>
              <w:bottom w:val="single" w:sz="8" w:color="DBDBDB"/>
            </w:tcBorders>
          </w:tcPr>
          <w:p>
            <w:pPr>
              <w:spacing w:after="0"/>
              <w:rPr>
                <w:sz w:val="24"/>
                <w:szCs w:val="24"/>
                <w:color w:val="auto"/>
              </w:rPr>
            </w:pPr>
          </w:p>
        </w:tc>
        <w:tc>
          <w:tcPr>
            <w:tcW w:w="20" w:type="dxa"/>
            <w:vAlign w:val="bottom"/>
            <w:tcBorders>
              <w:bottom w:val="single" w:sz="8" w:color="DBDBDB"/>
            </w:tcBorders>
          </w:tcPr>
          <w:p>
            <w:pPr>
              <w:spacing w:after="0"/>
              <w:rPr>
                <w:sz w:val="24"/>
                <w:szCs w:val="24"/>
                <w:color w:val="auto"/>
              </w:rPr>
            </w:pPr>
          </w:p>
        </w:tc>
        <w:tc>
          <w:tcPr>
            <w:tcW w:w="13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2022</w:t>
            </w: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00"/>
        </w:trPr>
        <w:tc>
          <w:tcPr>
            <w:tcW w:w="760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Balance at January 1</w:t>
            </w:r>
            <w:r>
              <w:rPr>
                <w:rFonts w:ascii="Arial" w:cs="Arial" w:eastAsia="Arial" w:hAnsi="Arial"/>
                <w:sz w:val="9"/>
                <w:szCs w:val="9"/>
                <w:b w:val="1"/>
                <w:bCs w:val="1"/>
                <w:color w:val="auto"/>
              </w:rPr>
              <w:t>st</w:t>
            </w:r>
          </w:p>
        </w:tc>
        <w:tc>
          <w:tcPr>
            <w:tcW w:w="1340" w:type="dxa"/>
            <w:vAlign w:val="bottom"/>
            <w:gridSpan w:val="2"/>
            <w:shd w:val="clear" w:color="auto" w:fill="DBDBDB"/>
          </w:tcPr>
          <w:p>
            <w:pPr>
              <w:jc w:val="right"/>
              <w:ind w:right="1148"/>
              <w:spacing w:after="0"/>
              <w:rPr>
                <w:sz w:val="20"/>
                <w:szCs w:val="20"/>
                <w:color w:val="auto"/>
              </w:rPr>
            </w:pPr>
            <w:r>
              <w:rPr>
                <w:rFonts w:ascii="Arial" w:cs="Arial" w:eastAsia="Arial" w:hAnsi="Arial"/>
                <w:sz w:val="14"/>
                <w:szCs w:val="14"/>
                <w:color w:val="auto"/>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58</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Provision</w:t>
            </w: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7600" w:type="dxa"/>
            <w:vAlign w:val="bottom"/>
            <w:shd w:val="clear" w:color="auto" w:fill="DBDBDB"/>
          </w:tcPr>
          <w:p>
            <w:pPr>
              <w:ind w:left="20"/>
              <w:spacing w:after="0"/>
              <w:rPr>
                <w:sz w:val="20"/>
                <w:szCs w:val="20"/>
                <w:color w:val="auto"/>
              </w:rPr>
            </w:pPr>
            <w:r>
              <w:rPr>
                <w:rFonts w:ascii="Arial" w:cs="Arial" w:eastAsia="Arial" w:hAnsi="Arial"/>
                <w:sz w:val="14"/>
                <w:szCs w:val="14"/>
                <w:color w:val="auto"/>
              </w:rPr>
              <w:t>Charge-offs</w:t>
            </w:r>
          </w:p>
        </w:tc>
        <w:tc>
          <w:tcPr>
            <w:tcW w:w="2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8"/>
        </w:trPr>
        <w:tc>
          <w:tcPr>
            <w:tcW w:w="76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Recoveries and other</w:t>
            </w:r>
            <w:r>
              <w:rPr>
                <w:rFonts w:ascii="Arial" w:cs="Arial" w:eastAsia="Arial" w:hAnsi="Arial"/>
                <w:sz w:val="9"/>
                <w:szCs w:val="9"/>
                <w:color w:val="auto"/>
              </w:rPr>
              <w:t>(1)</w:t>
            </w:r>
          </w:p>
        </w:tc>
        <w:tc>
          <w:tcPr>
            <w:tcW w:w="20" w:type="dxa"/>
            <w:vAlign w:val="bottom"/>
            <w:tcBorders>
              <w:bottom w:val="single" w:sz="8" w:color="DBDBDB"/>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20"/>
        </w:trPr>
        <w:tc>
          <w:tcPr>
            <w:tcW w:w="760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Balance at March 31</w:t>
            </w:r>
            <w:r>
              <w:rPr>
                <w:rFonts w:ascii="Arial" w:cs="Arial" w:eastAsia="Arial" w:hAnsi="Arial"/>
                <w:sz w:val="9"/>
                <w:szCs w:val="9"/>
                <w:b w:val="1"/>
                <w:bCs w:val="1"/>
                <w:color w:val="auto"/>
              </w:rPr>
              <w:t>st</w:t>
            </w:r>
          </w:p>
        </w:tc>
        <w:tc>
          <w:tcPr>
            <w:tcW w:w="1340" w:type="dxa"/>
            <w:vAlign w:val="bottom"/>
            <w:gridSpan w:val="2"/>
            <w:shd w:val="clear" w:color="auto" w:fill="DBDBDB"/>
          </w:tcPr>
          <w:p>
            <w:pPr>
              <w:jc w:val="right"/>
              <w:ind w:right="1148"/>
              <w:spacing w:after="0"/>
              <w:rPr>
                <w:sz w:val="20"/>
                <w:szCs w:val="20"/>
                <w:color w:val="auto"/>
              </w:rPr>
            </w:pPr>
            <w:r>
              <w:rPr>
                <w:rFonts w:ascii="Arial" w:cs="Arial" w:eastAsia="Arial" w:hAnsi="Arial"/>
                <w:sz w:val="14"/>
                <w:szCs w:val="14"/>
                <w:color w:val="auto"/>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63</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27" w:lineRule="exact"/>
        <w:rPr>
          <w:sz w:val="20"/>
          <w:szCs w:val="20"/>
          <w:color w:val="auto"/>
        </w:rPr>
      </w:pPr>
    </w:p>
    <w:p>
      <w:pPr>
        <w:ind w:left="340" w:right="460" w:hanging="332"/>
        <w:spacing w:after="0" w:line="284" w:lineRule="auto"/>
        <w:tabs>
          <w:tab w:leader="none" w:pos="327"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the impacts of foreign currency translation and adjustments to reserves necessary to reflect events of non-payment such as customer accommodations and contract terminations.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perform ongoing credit evaluations of our customers and adjust credit limits based upon customer payment history and current creditworthiness. The allowance for uncollectible accounts receivable is determined based on an assessment of past collection experience as well as consideration of current and future economic conditions and changes in our customer collection trends. Based on that assessment the allowance for doubtful accounts as a percent of gross accounts receivable was 7.2% at March 31, 2022 and 6.6% at December 31, 2021. The increase in the allowance is primarily due to an increased provision to cover expected write-offs of receivables in our Russian subsidiary.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DA2031"/>
        </w:rPr>
        <w:t>Accounts Receivable Sales Arrangements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receivable sales arrangements are utilized in the normal course of business as part of our cash and liquidity management. The accounts receivable sold are generally short-term trade receivables with payment due dates of less than 60 days. We have one facility in Europe that enables us to sell accounts receivable associated with our distributor network on an ongoing basis, without recourse. Under this arrangement, we sell our entire interest in the related accounts receivable for cash and no portion of the payment is held back or deferred by the purchaser.</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Of the accounts receivable sold and derecognized from our balance sheet, $87 and $102 remained uncollected as of March 31, 2022 and December 31, 2021,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sales activity was as follows:</w:t>
      </w:r>
    </w:p>
    <w:p>
      <w:pPr>
        <w:spacing w:after="0" w:line="167" w:lineRule="exact"/>
        <w:rPr>
          <w:sz w:val="20"/>
          <w:szCs w:val="20"/>
          <w:color w:val="auto"/>
        </w:rPr>
      </w:pPr>
    </w:p>
    <w:p>
      <w:pPr>
        <w:jc w:val="center"/>
        <w:ind w:left="758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jc w:val="center"/>
        <w:ind w:left="758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00" w:type="dxa"/>
            <w:vAlign w:val="bottom"/>
            <w:tcBorders>
              <w:bottom w:val="single" w:sz="8" w:color="E5E5E5"/>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2022</w:t>
            </w:r>
          </w:p>
        </w:tc>
        <w:tc>
          <w:tcPr>
            <w:tcW w:w="120" w:type="dxa"/>
            <w:vAlign w:val="bottom"/>
            <w:tcBorders>
              <w:top w:val="single" w:sz="8" w:color="auto"/>
              <w:bottom w:val="single" w:sz="8" w:color="E5E5E5"/>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2021</w:t>
            </w:r>
          </w:p>
        </w:tc>
      </w:tr>
      <w:tr>
        <w:trPr>
          <w:trHeight w:val="199"/>
        </w:trPr>
        <w:tc>
          <w:tcPr>
            <w:tcW w:w="7600" w:type="dxa"/>
            <w:vAlign w:val="bottom"/>
            <w:shd w:val="clear" w:color="auto" w:fill="E5E5E5"/>
          </w:tcPr>
          <w:p>
            <w:pPr>
              <w:ind w:left="20"/>
              <w:spacing w:after="0" w:line="199" w:lineRule="exact"/>
              <w:rPr>
                <w:sz w:val="20"/>
                <w:szCs w:val="20"/>
                <w:color w:val="auto"/>
              </w:rPr>
            </w:pPr>
            <w:r>
              <w:rPr>
                <w:rFonts w:ascii="Arial" w:cs="Arial" w:eastAsia="Arial" w:hAnsi="Arial"/>
                <w:sz w:val="14"/>
                <w:szCs w:val="14"/>
                <w:color w:val="auto"/>
              </w:rPr>
              <w:t>Accounts receivable sales</w:t>
            </w:r>
            <w:r>
              <w:rPr>
                <w:rFonts w:ascii="Arial" w:cs="Arial" w:eastAsia="Arial" w:hAnsi="Arial"/>
                <w:sz w:val="18"/>
                <w:szCs w:val="18"/>
                <w:color w:val="auto"/>
                <w:vertAlign w:val="superscript"/>
              </w:rPr>
              <w:t>(1)</w:t>
            </w:r>
          </w:p>
        </w:tc>
        <w:tc>
          <w:tcPr>
            <w:tcW w:w="42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107</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w:t>
      </w:r>
    </w:p>
    <w:p>
      <w:pPr>
        <w:spacing w:after="0" w:line="13" w:lineRule="exact"/>
        <w:rPr>
          <w:sz w:val="20"/>
          <w:szCs w:val="20"/>
          <w:color w:val="auto"/>
        </w:rPr>
      </w:pPr>
    </w:p>
    <w:p>
      <w:pPr>
        <w:jc w:val="both"/>
        <w:ind w:left="340" w:hanging="332"/>
        <w:spacing w:after="0" w:line="269" w:lineRule="auto"/>
        <w:tabs>
          <w:tab w:leader="none" w:pos="327"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Losses on sales were not material. Customers may also enter into structured-payable arrangements that require us to sell our receivables from that customer to a third-party financial institution, which then makes payments to us to settle the customer's receivable. In these instances, we ensure the sale of the receivables are bankruptcy-remote and the payment made to us is without recourse. The activity associated with these arrangements is not reflected in this disclosure, as payments under these arrangements have not been material and these are customer directed arrangements.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DA2031"/>
        </w:rPr>
        <w:t>Note 9 - Finance Receivables, Net</w:t>
      </w:r>
    </w:p>
    <w:p>
      <w:pPr>
        <w:spacing w:after="0" w:line="10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Finance receivables include sales-type leases and installment loans arising from the marketing of our equipment. These receivables are typically collateralized by a security interest in the underlying assets.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Finance receivables, net were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March 31,</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December 31,</w:t>
            </w:r>
          </w:p>
        </w:tc>
      </w:tr>
      <w:tr>
        <w:trPr>
          <w:trHeight w:val="189"/>
        </w:trPr>
        <w:tc>
          <w:tcPr>
            <w:tcW w:w="7600" w:type="dxa"/>
            <w:vAlign w:val="bottom"/>
            <w:tcBorders>
              <w:bottom w:val="single" w:sz="8" w:color="E5E5E5"/>
            </w:tcBorders>
          </w:tcPr>
          <w:p>
            <w:pPr>
              <w:spacing w:after="0"/>
              <w:rPr>
                <w:sz w:val="16"/>
                <w:szCs w:val="16"/>
                <w:color w:val="auto"/>
              </w:rPr>
            </w:pP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2022</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2021</w:t>
            </w:r>
          </w:p>
        </w:tc>
      </w:tr>
      <w:tr>
        <w:trPr>
          <w:trHeight w:val="196"/>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Gross receivables</w:t>
            </w:r>
          </w:p>
        </w:tc>
        <w:tc>
          <w:tcPr>
            <w:tcW w:w="1280" w:type="dxa"/>
            <w:vAlign w:val="bottom"/>
            <w:shd w:val="clear" w:color="auto" w:fill="E5E5E5"/>
          </w:tcPr>
          <w:p>
            <w:pPr>
              <w:jc w:val="right"/>
              <w:ind w:right="1108"/>
              <w:spacing w:after="0"/>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3,490</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3,568</w:t>
            </w:r>
          </w:p>
        </w:tc>
      </w:tr>
      <w:tr>
        <w:trPr>
          <w:trHeight w:val="199"/>
        </w:trPr>
        <w:tc>
          <w:tcPr>
            <w:tcW w:w="760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Unearned income</w:t>
            </w:r>
          </w:p>
        </w:tc>
        <w:tc>
          <w:tcPr>
            <w:tcW w:w="1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w:t>
            </w:r>
          </w:p>
        </w:tc>
      </w:tr>
      <w:tr>
        <w:trPr>
          <w:trHeight w:val="200"/>
        </w:trPr>
        <w:tc>
          <w:tcPr>
            <w:tcW w:w="7600" w:type="dxa"/>
            <w:vAlign w:val="bottom"/>
            <w:shd w:val="clear" w:color="auto" w:fill="E5E5E5"/>
          </w:tcPr>
          <w:p>
            <w:pPr>
              <w:ind w:left="140"/>
              <w:spacing w:after="0"/>
              <w:rPr>
                <w:sz w:val="20"/>
                <w:szCs w:val="20"/>
                <w:color w:val="auto"/>
              </w:rPr>
            </w:pPr>
            <w:r>
              <w:rPr>
                <w:rFonts w:ascii="Arial" w:cs="Arial" w:eastAsia="Arial" w:hAnsi="Arial"/>
                <w:sz w:val="14"/>
                <w:szCs w:val="14"/>
                <w:color w:val="auto"/>
              </w:rPr>
              <w:t>Subtotal</w:t>
            </w:r>
          </w:p>
        </w:tc>
        <w:tc>
          <w:tcPr>
            <w:tcW w:w="1280" w:type="dxa"/>
            <w:vAlign w:val="bottom"/>
            <w:shd w:val="clear" w:color="auto" w:fill="E5E5E5"/>
          </w:tcPr>
          <w:p>
            <w:pPr>
              <w:spacing w:after="0"/>
              <w:rPr>
                <w:sz w:val="17"/>
                <w:szCs w:val="17"/>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3,125</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3,188</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Residual values</w:t>
            </w:r>
          </w:p>
        </w:tc>
        <w:tc>
          <w:tcPr>
            <w:tcW w:w="128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Allowance for doubtful accounts</w:t>
            </w:r>
          </w:p>
        </w:tc>
        <w:tc>
          <w:tcPr>
            <w:tcW w:w="1280" w:type="dxa"/>
            <w:vAlign w:val="bottom"/>
            <w:tcBorders>
              <w:bottom w:val="single" w:sz="8" w:color="auto"/>
            </w:tcBorders>
            <w:shd w:val="clear" w:color="auto" w:fill="E5E5E5"/>
          </w:tcPr>
          <w:p>
            <w:pPr>
              <w:spacing w:after="0"/>
              <w:rPr>
                <w:sz w:val="17"/>
                <w:szCs w:val="17"/>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1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(118)</w:t>
            </w:r>
          </w:p>
        </w:tc>
      </w:tr>
      <w:tr>
        <w:trPr>
          <w:trHeight w:val="195"/>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Finance receivables, net</w:t>
            </w:r>
          </w:p>
        </w:tc>
        <w:tc>
          <w:tcPr>
            <w:tcW w:w="12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3,005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3,070</w:t>
            </w:r>
          </w:p>
        </w:tc>
      </w:tr>
      <w:tr>
        <w:trPr>
          <w:trHeight w:val="203"/>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Less: Billed portion of finance receivables, net</w:t>
            </w:r>
          </w:p>
        </w:tc>
        <w:tc>
          <w:tcPr>
            <w:tcW w:w="1280" w:type="dxa"/>
            <w:vAlign w:val="bottom"/>
            <w:shd w:val="clear" w:color="auto" w:fill="E5E5E5"/>
          </w:tcPr>
          <w:p>
            <w:pPr>
              <w:spacing w:after="0"/>
              <w:rPr>
                <w:sz w:val="17"/>
                <w:szCs w:val="17"/>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94</w:t>
            </w:r>
          </w:p>
        </w:tc>
      </w:tr>
      <w:tr>
        <w:trPr>
          <w:trHeight w:val="198"/>
        </w:trPr>
        <w:tc>
          <w:tcPr>
            <w:tcW w:w="760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Less: Current portion of finance receivables not billed, net</w:t>
            </w:r>
          </w:p>
        </w:tc>
        <w:tc>
          <w:tcPr>
            <w:tcW w:w="1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1,023</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1,042</w:t>
            </w:r>
          </w:p>
        </w:tc>
      </w:tr>
      <w:tr>
        <w:trPr>
          <w:trHeight w:val="225"/>
        </w:trPr>
        <w:tc>
          <w:tcPr>
            <w:tcW w:w="760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Finance receivables due after one year, net</w:t>
            </w:r>
          </w:p>
        </w:tc>
        <w:tc>
          <w:tcPr>
            <w:tcW w:w="1280" w:type="dxa"/>
            <w:vAlign w:val="bottom"/>
            <w:tcBorders>
              <w:bottom w:val="single" w:sz="8" w:color="auto"/>
            </w:tcBorders>
            <w:shd w:val="clear" w:color="auto" w:fill="E5E5E5"/>
          </w:tcPr>
          <w:p>
            <w:pPr>
              <w:jc w:val="right"/>
              <w:ind w:right="11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1,893</w:t>
            </w:r>
          </w:p>
        </w:tc>
        <w:tc>
          <w:tcPr>
            <w:tcW w:w="120" w:type="dxa"/>
            <w:vAlign w:val="bottom"/>
            <w:tcBorders>
              <w:bottom w:val="single" w:sz="8" w:color="E5E5E5"/>
            </w:tcBorders>
            <w:shd w:val="clear" w:color="auto" w:fill="E5E5E5"/>
          </w:tcPr>
          <w:p>
            <w:pPr>
              <w:spacing w:after="0"/>
              <w:rPr>
                <w:sz w:val="19"/>
                <w:szCs w:val="19"/>
                <w:color w:val="auto"/>
              </w:rPr>
            </w:pPr>
          </w:p>
        </w:tc>
        <w:tc>
          <w:tcPr>
            <w:tcW w:w="260" w:type="dxa"/>
            <w:vAlign w:val="bottom"/>
            <w:tcBorders>
              <w:bottom w:val="single" w:sz="8" w:color="auto"/>
            </w:tcBorders>
            <w:shd w:val="clear" w:color="auto" w:fill="E5E5E5"/>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1,934</w:t>
            </w:r>
          </w:p>
        </w:tc>
      </w:tr>
      <w:tr>
        <w:trPr>
          <w:trHeight w:val="20"/>
        </w:trPr>
        <w:tc>
          <w:tcPr>
            <w:tcW w:w="7600" w:type="dxa"/>
            <w:vAlign w:val="bottom"/>
            <w:tcBorders>
              <w:top w:val="single" w:sz="8" w:color="E5E5E5"/>
            </w:tcBorders>
          </w:tcPr>
          <w:p>
            <w:pPr>
              <w:spacing w:after="0" w:line="20" w:lineRule="exact"/>
              <w:rPr>
                <w:sz w:val="1"/>
                <w:szCs w:val="1"/>
                <w:color w:val="auto"/>
              </w:rPr>
            </w:pPr>
          </w:p>
        </w:tc>
        <w:tc>
          <w:tcPr>
            <w:tcW w:w="1280" w:type="dxa"/>
            <w:vAlign w:val="bottom"/>
            <w:tcBorders>
              <w:top w:val="single" w:sz="8" w:color="E5E5E5"/>
              <w:bottom w:val="single" w:sz="8" w:color="auto"/>
            </w:tcBorders>
          </w:tcPr>
          <w:p>
            <w:pPr>
              <w:spacing w:after="0" w:line="20" w:lineRule="exact"/>
              <w:rPr>
                <w:sz w:val="1"/>
                <w:szCs w:val="1"/>
                <w:color w:val="auto"/>
              </w:rPr>
            </w:pPr>
          </w:p>
        </w:tc>
        <w:tc>
          <w:tcPr>
            <w:tcW w:w="4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1500" w:type="dxa"/>
            <w:vAlign w:val="bottom"/>
            <w:tcBorders>
              <w:top w:val="single" w:sz="8" w:color="E5E5E5"/>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Finance Receivables – Allowance for Credit Losses and Credit Quality</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finance receivable portfolios are primarily in the U.S., Canada and EMEA. We generally establish customer credit limits and estimate the allowance for credit losses on a country or geographic basis. Customer credit limits are based upon an initial evaluation of the customer's credit quality and we adjust that limit accordingly based upon ongoing credit assessments of the customer, including payment history and changes in credit quality.</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allowance for doubtful credit losses is principally determined based on an assessment of origination year and past collection experience as well as consideration of current and future economic conditions and changes in our customer collection trends. Based on that assessment, the allowance for doubtful credit losses as a percentage of gross finance receivables (net of unearned income) was 3.8% at March 31, 2022 and 3.7% at December 31, 2021. In determining the level of reserve required, we critically assessed current and forecasted economic conditions in light of the COVID-19 pandemic to ensure we objectively included those expected impacts in the determination of our reserve. Our assessment also included a review of current portfolio credit metrics and the level of write-offs incurred over the past year of the COVID-19 pandemic.</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allowance for doubtful finance receivables is effectively determined by geography. The risk characteristics in our finance receivable portfolio segments are generally consistent with the risk factors associated with the economies of the countries/regions included in those geographies. Since EMEA is comprised of various countries and regional</w:t>
      </w:r>
    </w:p>
    <w:p>
      <w:pPr>
        <w:sectPr>
          <w:pgSz w:w="11900" w:h="16838" w:orient="portrait"/>
          <w:cols w:equalWidth="0" w:num="1">
            <w:col w:w="11240"/>
          </w:cols>
          <w:pgMar w:left="320" w:top="1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520"/>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21" w:name="page22"/>
    <w:bookmarkEnd w:id="21"/>
    <w:p>
      <w:pPr>
        <w:jc w:val="both"/>
        <w:spacing w:after="0" w:line="287" w:lineRule="auto"/>
        <w:rPr>
          <w:sz w:val="20"/>
          <w:szCs w:val="20"/>
          <w:color w:val="auto"/>
        </w:rPr>
      </w:pPr>
      <w:r>
        <w:rPr>
          <w:rFonts w:ascii="Arial" w:cs="Arial" w:eastAsia="Arial" w:hAnsi="Arial"/>
          <w:sz w:val="18"/>
          <w:szCs w:val="18"/>
          <w:color w:val="auto"/>
        </w:rPr>
        <w:t>economies, the risk profile within that portfolio segment is somewhat more diversified due to the varying economic conditions among and within the countries.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actual finance receivable write-offs incurred to date continue to lag expectations, we believe our current reserve position remains sufficient to cover expected future losses that may result from current and future macro-economic conditions. We continue to believe that uncertainties remain as economies continue to recover from the impacts of the COVID-19 pandemic including the cessation of government support as well as labor, interest rate and inflation risks and the potential for higher taxes. In addition, there is also considerable uncertainty regarding the impact the Russia/Ukraine war and related global sanctions will have on the macro or global economy. As a result of these uncertainties, our reserves as a percent of receivables have remained elevated and fairly consistent subsequent to the first quarter 2020 increase to initially record expected losses from the COVID-19 pandemic. We continue to monitor developments in future economic conditions, and as a result, our reserves may need to be updated in future periods.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doubtful accounts as well as the related investment in finance receivables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6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United States</w:t>
            </w:r>
          </w:p>
        </w:tc>
        <w:tc>
          <w:tcPr>
            <w:tcW w:w="12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Canada</w:t>
            </w:r>
          </w:p>
        </w:tc>
        <w:tc>
          <w:tcPr>
            <w:tcW w:w="12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EMEA</w:t>
            </w:r>
            <w:r>
              <w:rPr>
                <w:rFonts w:ascii="Arial" w:cs="Arial" w:eastAsia="Arial" w:hAnsi="Arial"/>
                <w:sz w:val="9"/>
                <w:szCs w:val="9"/>
                <w:color w:val="auto"/>
              </w:rPr>
              <w:t>(1)</w:t>
            </w:r>
          </w:p>
        </w:tc>
        <w:tc>
          <w:tcPr>
            <w:tcW w:w="120" w:type="dxa"/>
            <w:vAlign w:val="bottom"/>
            <w:tcBorders>
              <w:bottom w:val="single" w:sz="8" w:color="E5E5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0"/>
        </w:trPr>
        <w:tc>
          <w:tcPr>
            <w:tcW w:w="566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98"/>
        </w:trPr>
        <w:tc>
          <w:tcPr>
            <w:tcW w:w="5660" w:type="dxa"/>
            <w:vAlign w:val="bottom"/>
            <w:gridSpan w:val="2"/>
          </w:tcPr>
          <w:p>
            <w:pPr>
              <w:ind w:left="20"/>
              <w:spacing w:after="0"/>
              <w:rPr>
                <w:sz w:val="20"/>
                <w:szCs w:val="20"/>
                <w:color w:val="auto"/>
              </w:rPr>
            </w:pPr>
            <w:r>
              <w:rPr>
                <w:rFonts w:ascii="Arial" w:cs="Arial" w:eastAsia="Arial" w:hAnsi="Arial"/>
                <w:sz w:val="14"/>
                <w:szCs w:val="14"/>
                <w:color w:val="auto"/>
              </w:rPr>
              <w:t>Provision</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Charge-offs</w:t>
            </w:r>
          </w:p>
        </w:tc>
        <w:tc>
          <w:tcPr>
            <w:tcW w:w="16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5660" w:type="dxa"/>
            <w:vAlign w:val="bottom"/>
            <w:gridSpan w:val="2"/>
          </w:tcPr>
          <w:p>
            <w:pPr>
              <w:ind w:left="20"/>
              <w:spacing w:after="0"/>
              <w:rPr>
                <w:sz w:val="20"/>
                <w:szCs w:val="20"/>
                <w:color w:val="auto"/>
              </w:rPr>
            </w:pPr>
            <w:r>
              <w:rPr>
                <w:rFonts w:ascii="Arial" w:cs="Arial" w:eastAsia="Arial" w:hAnsi="Arial"/>
                <w:sz w:val="14"/>
                <w:szCs w:val="14"/>
                <w:color w:val="auto"/>
              </w:rPr>
              <w:t>Recoveries and other</w:t>
            </w:r>
            <w:r>
              <w:rPr>
                <w:rFonts w:ascii="Arial" w:cs="Arial" w:eastAsia="Arial" w:hAnsi="Arial"/>
                <w:sz w:val="9"/>
                <w:szCs w:val="9"/>
                <w:color w:val="auto"/>
              </w:rPr>
              <w:t>(2)</w:t>
            </w:r>
          </w:p>
        </w:tc>
        <w:tc>
          <w:tcPr>
            <w:tcW w:w="1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660" w:type="dxa"/>
            <w:vAlign w:val="bottom"/>
            <w:tcBorders>
              <w:top w:val="single" w:sz="8" w:color="E5E5E5"/>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1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78</w:t>
            </w:r>
          </w:p>
        </w:tc>
        <w:tc>
          <w:tcPr>
            <w:tcW w:w="120" w:type="dxa"/>
            <w:vAlign w:val="bottom"/>
            <w:tcBorders>
              <w:top w:val="single" w:sz="8" w:color="E5E5E5"/>
              <w:bottom w:val="single" w:sz="8" w:color="E5E5E5"/>
            </w:tcBorders>
            <w:shd w:val="clear" w:color="auto" w:fill="E5E5E5"/>
          </w:tcPr>
          <w:p>
            <w:pPr>
              <w:spacing w:after="0"/>
              <w:rPr>
                <w:sz w:val="16"/>
                <w:szCs w:val="16"/>
                <w:color w:val="auto"/>
              </w:rPr>
            </w:pPr>
          </w:p>
        </w:tc>
        <w:tc>
          <w:tcPr>
            <w:tcW w:w="24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top w:val="single" w:sz="8" w:color="E5E5E5"/>
              <w:bottom w:val="single" w:sz="8" w:color="E5E5E5"/>
            </w:tcBorders>
            <w:shd w:val="clear" w:color="auto" w:fill="E5E5E5"/>
          </w:tcPr>
          <w:p>
            <w:pPr>
              <w:spacing w:after="0"/>
              <w:rPr>
                <w:sz w:val="16"/>
                <w:szCs w:val="16"/>
                <w:color w:val="auto"/>
              </w:rPr>
            </w:pPr>
          </w:p>
        </w:tc>
        <w:tc>
          <w:tcPr>
            <w:tcW w:w="24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top w:val="single" w:sz="8" w:color="E5E5E5"/>
              <w:bottom w:val="single" w:sz="8" w:color="E5E5E5"/>
            </w:tcBorders>
            <w:shd w:val="clear" w:color="auto" w:fill="E5E5E5"/>
          </w:tcPr>
          <w:p>
            <w:pPr>
              <w:spacing w:after="0"/>
              <w:rPr>
                <w:sz w:val="16"/>
                <w:szCs w:val="16"/>
                <w:color w:val="auto"/>
              </w:rPr>
            </w:pPr>
          </w:p>
        </w:tc>
        <w:tc>
          <w:tcPr>
            <w:tcW w:w="300" w:type="dxa"/>
            <w:vAlign w:val="bottom"/>
            <w:tcBorders>
              <w:top w:val="single" w:sz="8" w:color="auto"/>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0"/>
        </w:trPr>
        <w:tc>
          <w:tcPr>
            <w:tcW w:w="5660" w:type="dxa"/>
            <w:vAlign w:val="bottom"/>
            <w:tcBorders>
              <w:top w:val="single" w:sz="8" w:color="E5E5E5"/>
              <w:bottom w:val="single" w:sz="8" w:color="E5E5E5"/>
            </w:tcBorders>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Finance receivables as of March 31, 2022 collectively evaluated for impairment</w:t>
            </w:r>
          </w:p>
        </w:tc>
        <w:tc>
          <w:tcPr>
            <w:tcW w:w="16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E5E5E5"/>
              <w:bottom w:val="single" w:sz="8" w:color="auto"/>
            </w:tcBorders>
          </w:tcPr>
          <w:p>
            <w:pPr>
              <w:spacing w:after="0" w:line="20" w:lineRule="exact"/>
              <w:rPr>
                <w:sz w:val="1"/>
                <w:szCs w:val="1"/>
                <w:color w:val="auto"/>
              </w:rPr>
            </w:pPr>
          </w:p>
        </w:tc>
        <w:tc>
          <w:tcPr>
            <w:tcW w:w="106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E5E5E5"/>
              <w:bottom w:val="single" w:sz="8" w:color="auto"/>
            </w:tcBorders>
          </w:tcPr>
          <w:p>
            <w:pPr>
              <w:spacing w:after="0" w:line="20" w:lineRule="exact"/>
              <w:rPr>
                <w:sz w:val="1"/>
                <w:szCs w:val="1"/>
                <w:color w:val="auto"/>
              </w:rPr>
            </w:pPr>
          </w:p>
        </w:tc>
        <w:tc>
          <w:tcPr>
            <w:tcW w:w="106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300" w:type="dxa"/>
            <w:vAlign w:val="bottom"/>
            <w:tcBorders>
              <w:top w:val="single" w:sz="8" w:color="E5E5E5"/>
              <w:bottom w:val="single" w:sz="8" w:color="auto"/>
            </w:tcBorders>
          </w:tcPr>
          <w:p>
            <w:pPr>
              <w:spacing w:after="0" w:line="20" w:lineRule="exact"/>
              <w:rPr>
                <w:sz w:val="1"/>
                <w:szCs w:val="1"/>
                <w:color w:val="auto"/>
              </w:rPr>
            </w:pPr>
          </w:p>
        </w:tc>
        <w:tc>
          <w:tcPr>
            <w:tcW w:w="100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5660" w:type="dxa"/>
            <w:vAlign w:val="bottom"/>
            <w:gridSpan w:val="2"/>
            <w:vMerge w:val="continue"/>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1,863</w:t>
            </w:r>
          </w:p>
        </w:tc>
        <w:tc>
          <w:tcPr>
            <w:tcW w:w="120" w:type="dxa"/>
            <w:vAlign w:val="bottom"/>
          </w:tcPr>
          <w:p>
            <w:pPr>
              <w:spacing w:after="0"/>
              <w:rPr>
                <w:sz w:val="8"/>
                <w:szCs w:val="8"/>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8"/>
                <w:szCs w:val="8"/>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1,016</w:t>
            </w:r>
          </w:p>
        </w:tc>
        <w:tc>
          <w:tcPr>
            <w:tcW w:w="120" w:type="dxa"/>
            <w:vAlign w:val="bottom"/>
          </w:tcPr>
          <w:p>
            <w:pPr>
              <w:spacing w:after="0"/>
              <w:rPr>
                <w:sz w:val="8"/>
                <w:szCs w:val="8"/>
                <w:color w:val="auto"/>
              </w:rPr>
            </w:pPr>
          </w:p>
        </w:tc>
        <w:tc>
          <w:tcPr>
            <w:tcW w:w="300" w:type="dxa"/>
            <w:vAlign w:val="bottom"/>
            <w:vMerge w:val="restart"/>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3,125</w:t>
            </w:r>
          </w:p>
        </w:tc>
        <w:tc>
          <w:tcPr>
            <w:tcW w:w="0" w:type="dxa"/>
            <w:vAlign w:val="bottom"/>
          </w:tcPr>
          <w:p>
            <w:pPr>
              <w:spacing w:after="0"/>
              <w:rPr>
                <w:sz w:val="1"/>
                <w:szCs w:val="1"/>
                <w:color w:val="auto"/>
              </w:rPr>
            </w:pPr>
          </w:p>
        </w:tc>
      </w:tr>
      <w:tr>
        <w:trPr>
          <w:trHeight w:val="127"/>
        </w:trPr>
        <w:tc>
          <w:tcPr>
            <w:tcW w:w="5560" w:type="dxa"/>
            <w:vAlign w:val="bottom"/>
          </w:tcPr>
          <w:p>
            <w:pPr>
              <w:ind w:left="20"/>
              <w:spacing w:after="0"/>
              <w:rPr>
                <w:sz w:val="20"/>
                <w:szCs w:val="20"/>
                <w:color w:val="auto"/>
              </w:rPr>
            </w:pPr>
            <w:r>
              <w:rPr>
                <w:rFonts w:ascii="Arial" w:cs="Arial" w:eastAsia="Arial" w:hAnsi="Arial"/>
                <w:sz w:val="9"/>
                <w:szCs w:val="9"/>
                <w:b w:val="1"/>
                <w:bCs w:val="1"/>
                <w:color w:val="auto"/>
              </w:rPr>
              <w:t>(3)</w:t>
            </w:r>
          </w:p>
        </w:tc>
        <w:tc>
          <w:tcPr>
            <w:tcW w:w="100" w:type="dxa"/>
            <w:vAlign w:val="bottom"/>
          </w:tcPr>
          <w:p>
            <w:pPr>
              <w:spacing w:after="0"/>
              <w:rPr>
                <w:sz w:val="10"/>
                <w:szCs w:val="10"/>
                <w:color w:val="auto"/>
              </w:rPr>
            </w:pPr>
          </w:p>
        </w:tc>
        <w:tc>
          <w:tcPr>
            <w:tcW w:w="160" w:type="dxa"/>
            <w:vAlign w:val="bottom"/>
            <w:tcBorders>
              <w:bottom w:val="single" w:sz="8" w:color="auto"/>
            </w:tcBorders>
            <w:vMerge w:val="continue"/>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auto"/>
            </w:tcBorders>
            <w:vMerge w:val="continue"/>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auto"/>
            </w:tcBorders>
            <w:vMerge w:val="continue"/>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auto"/>
            </w:tcBorders>
            <w:vMerge w:val="continue"/>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56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11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10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66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Provision</w:t>
            </w:r>
          </w:p>
        </w:tc>
        <w:tc>
          <w:tcPr>
            <w:tcW w:w="16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8"/>
        </w:trPr>
        <w:tc>
          <w:tcPr>
            <w:tcW w:w="5660" w:type="dxa"/>
            <w:vAlign w:val="bottom"/>
            <w:gridSpan w:val="2"/>
          </w:tcPr>
          <w:p>
            <w:pPr>
              <w:ind w:left="20"/>
              <w:spacing w:after="0"/>
              <w:rPr>
                <w:sz w:val="20"/>
                <w:szCs w:val="20"/>
                <w:color w:val="auto"/>
              </w:rPr>
            </w:pPr>
            <w:r>
              <w:rPr>
                <w:rFonts w:ascii="Arial" w:cs="Arial" w:eastAsia="Arial" w:hAnsi="Arial"/>
                <w:sz w:val="14"/>
                <w:szCs w:val="14"/>
                <w:color w:val="auto"/>
              </w:rPr>
              <w:t>Charge-offs</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Recoveries and other</w:t>
            </w:r>
            <w:r>
              <w:rPr>
                <w:rFonts w:ascii="Arial" w:cs="Arial" w:eastAsia="Arial" w:hAnsi="Arial"/>
                <w:sz w:val="9"/>
                <w:szCs w:val="9"/>
                <w:color w:val="auto"/>
              </w:rPr>
              <w:t>(2)</w:t>
            </w:r>
          </w:p>
        </w:tc>
        <w:tc>
          <w:tcPr>
            <w:tcW w:w="16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7"/>
                <w:szCs w:val="17"/>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566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
        </w:trPr>
        <w:tc>
          <w:tcPr>
            <w:tcW w:w="556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6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Finance receivables as of March 31, 2021 collectively evaluated for impairment</w:t>
            </w:r>
            <w:r>
              <w:rPr>
                <w:rFonts w:ascii="Arial" w:cs="Arial" w:eastAsia="Arial" w:hAnsi="Arial"/>
                <w:sz w:val="9"/>
                <w:szCs w:val="9"/>
                <w:b w:val="1"/>
                <w:bCs w:val="1"/>
                <w:color w:val="auto"/>
              </w:rPr>
              <w:t>(3)</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1,806</w:t>
            </w:r>
          </w:p>
        </w:tc>
        <w:tc>
          <w:tcPr>
            <w:tcW w:w="120" w:type="dxa"/>
            <w:vAlign w:val="bottom"/>
            <w:tcBorders>
              <w:bottom w:val="single" w:sz="8" w:color="E5E5E5"/>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288</w:t>
            </w:r>
          </w:p>
        </w:tc>
        <w:tc>
          <w:tcPr>
            <w:tcW w:w="120" w:type="dxa"/>
            <w:vAlign w:val="bottom"/>
            <w:tcBorders>
              <w:bottom w:val="single" w:sz="8" w:color="E5E5E5"/>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1,118</w:t>
            </w:r>
          </w:p>
        </w:tc>
        <w:tc>
          <w:tcPr>
            <w:tcW w:w="120" w:type="dxa"/>
            <w:vAlign w:val="bottom"/>
            <w:tcBorders>
              <w:bottom w:val="single" w:sz="8" w:color="E5E5E5"/>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3,212</w:t>
            </w:r>
          </w:p>
        </w:tc>
        <w:tc>
          <w:tcPr>
            <w:tcW w:w="0" w:type="dxa"/>
            <w:vAlign w:val="bottom"/>
          </w:tcPr>
          <w:p>
            <w:pPr>
              <w:spacing w:after="0"/>
              <w:rPr>
                <w:sz w:val="1"/>
                <w:szCs w:val="1"/>
                <w:color w:val="auto"/>
              </w:rPr>
            </w:pPr>
          </w:p>
        </w:tc>
      </w:tr>
      <w:tr>
        <w:trPr>
          <w:trHeight w:val="20"/>
        </w:trPr>
        <w:tc>
          <w:tcPr>
            <w:tcW w:w="556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E5E5E5"/>
              <w:bottom w:val="single" w:sz="8" w:color="auto"/>
            </w:tcBorders>
          </w:tcPr>
          <w:p>
            <w:pPr>
              <w:spacing w:after="0" w:line="20" w:lineRule="exact"/>
              <w:rPr>
                <w:sz w:val="1"/>
                <w:szCs w:val="1"/>
                <w:color w:val="auto"/>
              </w:rPr>
            </w:pPr>
          </w:p>
        </w:tc>
        <w:tc>
          <w:tcPr>
            <w:tcW w:w="106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E5E5E5"/>
              <w:bottom w:val="single" w:sz="8" w:color="auto"/>
            </w:tcBorders>
          </w:tcPr>
          <w:p>
            <w:pPr>
              <w:spacing w:after="0" w:line="20" w:lineRule="exact"/>
              <w:rPr>
                <w:sz w:val="1"/>
                <w:szCs w:val="1"/>
                <w:color w:val="auto"/>
              </w:rPr>
            </w:pPr>
          </w:p>
        </w:tc>
        <w:tc>
          <w:tcPr>
            <w:tcW w:w="106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300" w:type="dxa"/>
            <w:vAlign w:val="bottom"/>
            <w:tcBorders>
              <w:top w:val="single" w:sz="8" w:color="E5E5E5"/>
              <w:bottom w:val="single" w:sz="8" w:color="auto"/>
            </w:tcBorders>
          </w:tcPr>
          <w:p>
            <w:pPr>
              <w:spacing w:after="0" w:line="20" w:lineRule="exact"/>
              <w:rPr>
                <w:sz w:val="1"/>
                <w:szCs w:val="1"/>
                <w:color w:val="auto"/>
              </w:rPr>
            </w:pPr>
          </w:p>
        </w:tc>
        <w:tc>
          <w:tcPr>
            <w:tcW w:w="100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69"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developing market countries.</w:t>
      </w:r>
    </w:p>
    <w:p>
      <w:pPr>
        <w:spacing w:after="0" w:line="26" w:lineRule="exact"/>
        <w:rPr>
          <w:rFonts w:ascii="Arial" w:cs="Arial" w:eastAsia="Arial" w:hAnsi="Arial"/>
          <w:sz w:val="14"/>
          <w:szCs w:val="14"/>
          <w:i w:val="1"/>
          <w:iCs w:val="1"/>
          <w:color w:val="auto"/>
        </w:rPr>
      </w:pPr>
    </w:p>
    <w:p>
      <w:pPr>
        <w:ind w:left="340" w:hanging="332"/>
        <w:spacing w:after="0" w:line="251" w:lineRule="auto"/>
        <w:tabs>
          <w:tab w:leader="none" w:pos="327"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the impacts of foreign currency translation and adjustments to reserves necessary to reflect events of non-payment such as customer accommodations and contract terminations.</w:t>
      </w:r>
    </w:p>
    <w:p>
      <w:pPr>
        <w:ind w:left="320" w:hanging="312"/>
        <w:spacing w:after="0"/>
        <w:tabs>
          <w:tab w:leader="none" w:pos="32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Total Finance receivables exclude the allowance for credit losses of $120 and $135 at March 31, 2022 and 2021, respectively.</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U.S., customers are further evaluated by class based on the type of lease origination. The primary categories are direct, which primarily includes leases originated directly with end customers through bundled lease arrangements, and indirect, which primarily includes leases originated through our XBS sales channel and lease financing to end-user customers who purchased equipment we sold to distributors or resellers.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evaluate our customers based on the following credit quality indicators:</w:t>
      </w:r>
    </w:p>
    <w:p>
      <w:pPr>
        <w:spacing w:after="0" w:line="63" w:lineRule="exact"/>
        <w:rPr>
          <w:sz w:val="20"/>
          <w:szCs w:val="20"/>
          <w:color w:val="auto"/>
        </w:rPr>
      </w:pPr>
    </w:p>
    <w:p>
      <w:pPr>
        <w:jc w:val="both"/>
        <w:ind w:left="340" w:hanging="332"/>
        <w:spacing w:after="0" w:line="255" w:lineRule="auto"/>
        <w:tabs>
          <w:tab w:leader="none" w:pos="335" w:val="left"/>
        </w:tabs>
        <w:numPr>
          <w:ilvl w:val="0"/>
          <w:numId w:val="16"/>
        </w:numPr>
        <w:rPr>
          <w:rFonts w:ascii="Arial" w:cs="Arial" w:eastAsia="Arial" w:hAnsi="Arial"/>
          <w:sz w:val="18"/>
          <w:szCs w:val="18"/>
          <w:b w:val="1"/>
          <w:bCs w:val="1"/>
          <w:color w:val="DA2031"/>
        </w:rPr>
      </w:pPr>
      <w:r>
        <w:rPr>
          <w:rFonts w:ascii="Arial" w:cs="Arial" w:eastAsia="Arial" w:hAnsi="Arial"/>
          <w:sz w:val="18"/>
          <w:szCs w:val="18"/>
          <w:b w:val="1"/>
          <w:bCs w:val="1"/>
          <w:color w:val="DA2031"/>
        </w:rPr>
        <w:t xml:space="preserve">Low Credit Risk: </w:t>
      </w:r>
      <w:r>
        <w:rPr>
          <w:rFonts w:ascii="Arial" w:cs="Arial" w:eastAsia="Arial" w:hAnsi="Arial"/>
          <w:sz w:val="18"/>
          <w:szCs w:val="18"/>
          <w:color w:val="000000"/>
        </w:rPr>
        <w:t>This rating includes accounts with excellent to good business credit, asset quality and capacity to meet financial</w:t>
      </w:r>
      <w:r>
        <w:rPr>
          <w:rFonts w:ascii="Arial" w:cs="Arial" w:eastAsia="Arial" w:hAnsi="Arial"/>
          <w:sz w:val="18"/>
          <w:szCs w:val="18"/>
          <w:b w:val="1"/>
          <w:bCs w:val="1"/>
          <w:color w:val="DA2031"/>
        </w:rPr>
        <w:t xml:space="preserve"> </w:t>
      </w:r>
      <w:r>
        <w:rPr>
          <w:rFonts w:ascii="Arial" w:cs="Arial" w:eastAsia="Arial" w:hAnsi="Arial"/>
          <w:sz w:val="18"/>
          <w:szCs w:val="18"/>
          <w:color w:val="000000"/>
        </w:rPr>
        <w:t>obligations. These customers are less susceptible to adverse effects due to shifts in economic conditions or changes in circumstance. The rating generally equates to a Standard &amp; Poor's (S&amp;P) rating of BBB- or better. Loss rates in this category in the normal course are generally less than 1%.</w:t>
      </w:r>
    </w:p>
    <w:p>
      <w:pPr>
        <w:spacing w:after="0" w:line="2" w:lineRule="exact"/>
        <w:rPr>
          <w:rFonts w:ascii="Arial" w:cs="Arial" w:eastAsia="Arial" w:hAnsi="Arial"/>
          <w:sz w:val="18"/>
          <w:szCs w:val="18"/>
          <w:b w:val="1"/>
          <w:bCs w:val="1"/>
          <w:color w:val="DA2031"/>
        </w:rPr>
      </w:pPr>
    </w:p>
    <w:p>
      <w:pPr>
        <w:jc w:val="both"/>
        <w:ind w:left="340" w:hanging="332"/>
        <w:spacing w:after="0" w:line="250" w:lineRule="auto"/>
        <w:tabs>
          <w:tab w:leader="none" w:pos="335" w:val="left"/>
        </w:tabs>
        <w:numPr>
          <w:ilvl w:val="0"/>
          <w:numId w:val="16"/>
        </w:numPr>
        <w:rPr>
          <w:rFonts w:ascii="Arial" w:cs="Arial" w:eastAsia="Arial" w:hAnsi="Arial"/>
          <w:sz w:val="18"/>
          <w:szCs w:val="18"/>
          <w:b w:val="1"/>
          <w:bCs w:val="1"/>
          <w:color w:val="DA2031"/>
        </w:rPr>
      </w:pPr>
      <w:r>
        <w:rPr>
          <w:rFonts w:ascii="Arial" w:cs="Arial" w:eastAsia="Arial" w:hAnsi="Arial"/>
          <w:sz w:val="18"/>
          <w:szCs w:val="18"/>
          <w:b w:val="1"/>
          <w:bCs w:val="1"/>
          <w:color w:val="DA2031"/>
        </w:rPr>
        <w:t xml:space="preserve">Average Credit Risk: </w:t>
      </w:r>
      <w:r>
        <w:rPr>
          <w:rFonts w:ascii="Arial" w:cs="Arial" w:eastAsia="Arial" w:hAnsi="Arial"/>
          <w:sz w:val="18"/>
          <w:szCs w:val="18"/>
          <w:color w:val="000000"/>
        </w:rPr>
        <w:t>This rating includes accounts with average credit risk that are more susceptible to loss in the event of adverse</w:t>
      </w:r>
      <w:r>
        <w:rPr>
          <w:rFonts w:ascii="Arial" w:cs="Arial" w:eastAsia="Arial" w:hAnsi="Arial"/>
          <w:sz w:val="18"/>
          <w:szCs w:val="18"/>
          <w:b w:val="1"/>
          <w:bCs w:val="1"/>
          <w:color w:val="DA2031"/>
        </w:rPr>
        <w:t xml:space="preserve"> </w:t>
      </w:r>
      <w:r>
        <w:rPr>
          <w:rFonts w:ascii="Arial" w:cs="Arial" w:eastAsia="Arial" w:hAnsi="Arial"/>
          <w:sz w:val="18"/>
          <w:szCs w:val="18"/>
          <w:color w:val="000000"/>
        </w:rPr>
        <w:t>business or economic conditions. This rating generally equates to a BB S&amp;P rating. Although we experience higher loss rates associated with this customer class, we believe the risk is somewhat mitigated by the fact that our leases are fairly well dispersed across a large and diverse customer base. In addition, the higher loss rates are largely offset by the higher rates of return we obtain with such leases. Loss rates in this category in the normal course are generally in the range of 2% to 5%.</w:t>
      </w:r>
    </w:p>
    <w:p>
      <w:pPr>
        <w:spacing w:after="0" w:line="1" w:lineRule="exact"/>
        <w:rPr>
          <w:rFonts w:ascii="Arial" w:cs="Arial" w:eastAsia="Arial" w:hAnsi="Arial"/>
          <w:sz w:val="18"/>
          <w:szCs w:val="18"/>
          <w:b w:val="1"/>
          <w:bCs w:val="1"/>
          <w:color w:val="DA2031"/>
        </w:rPr>
      </w:pPr>
    </w:p>
    <w:p>
      <w:pPr>
        <w:jc w:val="both"/>
        <w:ind w:left="340" w:hanging="332"/>
        <w:spacing w:after="0" w:line="254" w:lineRule="auto"/>
        <w:tabs>
          <w:tab w:leader="none" w:pos="335" w:val="left"/>
        </w:tabs>
        <w:numPr>
          <w:ilvl w:val="0"/>
          <w:numId w:val="16"/>
        </w:numPr>
        <w:rPr>
          <w:rFonts w:ascii="Arial" w:cs="Arial" w:eastAsia="Arial" w:hAnsi="Arial"/>
          <w:sz w:val="18"/>
          <w:szCs w:val="18"/>
          <w:b w:val="1"/>
          <w:bCs w:val="1"/>
          <w:color w:val="DA2031"/>
        </w:rPr>
      </w:pPr>
      <w:r>
        <w:rPr>
          <w:rFonts w:ascii="Arial" w:cs="Arial" w:eastAsia="Arial" w:hAnsi="Arial"/>
          <w:sz w:val="18"/>
          <w:szCs w:val="18"/>
          <w:b w:val="1"/>
          <w:bCs w:val="1"/>
          <w:color w:val="DA2031"/>
        </w:rPr>
        <w:t xml:space="preserve">High Credit Risk: </w:t>
      </w:r>
      <w:r>
        <w:rPr>
          <w:rFonts w:ascii="Arial" w:cs="Arial" w:eastAsia="Arial" w:hAnsi="Arial"/>
          <w:sz w:val="18"/>
          <w:szCs w:val="18"/>
          <w:color w:val="000000"/>
        </w:rPr>
        <w:t>This rating includes accounts that have marginal credit risk such that the customer’s ability to make repayment is</w:t>
      </w:r>
      <w:r>
        <w:rPr>
          <w:rFonts w:ascii="Arial" w:cs="Arial" w:eastAsia="Arial" w:hAnsi="Arial"/>
          <w:sz w:val="18"/>
          <w:szCs w:val="18"/>
          <w:b w:val="1"/>
          <w:bCs w:val="1"/>
          <w:color w:val="DA2031"/>
        </w:rPr>
        <w:t xml:space="preserve"> </w:t>
      </w:r>
      <w:r>
        <w:rPr>
          <w:rFonts w:ascii="Arial" w:cs="Arial" w:eastAsia="Arial" w:hAnsi="Arial"/>
          <w:sz w:val="18"/>
          <w:szCs w:val="18"/>
          <w:color w:val="000000"/>
        </w:rPr>
        <w:t>impaired or may likely become impaired. We use numerous strategies to mitigate risk including higher rates of interest, prepayments, personal guarantees, etc. Accounts in this category include customers who were downgraded during the term of the lease from low and average credit risk evaluation when the lease was originated. Accordingly, there is a distinct possibility for a loss of principal and interest or customer default. The loss rates in this category in the normal course are generally in the range of 7% to 10%.</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2" w:name="page23"/>
    <w:bookmarkEnd w:id="22"/>
    <w:p>
      <w:pPr>
        <w:spacing w:after="0" w:line="287" w:lineRule="auto"/>
        <w:rPr>
          <w:sz w:val="20"/>
          <w:szCs w:val="20"/>
          <w:color w:val="auto"/>
        </w:rPr>
      </w:pPr>
      <w:r>
        <w:rPr>
          <w:rFonts w:ascii="Arial" w:cs="Arial" w:eastAsia="Arial" w:hAnsi="Arial"/>
          <w:sz w:val="18"/>
          <w:szCs w:val="18"/>
          <w:color w:val="auto"/>
        </w:rPr>
        <w:t>Credit quality indicators are updated at least annually, or more frequently to the extent required by economic conditions, and the credit quality of any given customer can change during the life of the portfolio.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Details about our finance receivables portfolio based on geography, origination year and credit quality indicators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3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March 31, 2022</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68"/>
              <w:spacing w:after="0" w:line="151"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4"/>
        </w:trPr>
        <w:tc>
          <w:tcPr>
            <w:tcW w:w="23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2022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color w:val="auto"/>
              </w:rPr>
              <w:t>Prior</w:t>
            </w:r>
          </w:p>
        </w:tc>
        <w:tc>
          <w:tcPr>
            <w:tcW w:w="140" w:type="dxa"/>
            <w:vAlign w:val="bottom"/>
          </w:tcPr>
          <w:p>
            <w:pPr>
              <w:spacing w:after="0"/>
              <w:rPr>
                <w:sz w:val="12"/>
                <w:szCs w:val="12"/>
                <w:color w:val="auto"/>
              </w:rPr>
            </w:pPr>
          </w:p>
        </w:tc>
        <w:tc>
          <w:tcPr>
            <w:tcW w:w="1040" w:type="dxa"/>
            <w:vAlign w:val="bottom"/>
          </w:tcPr>
          <w:p>
            <w:pPr>
              <w:jc w:val="center"/>
              <w:ind w:right="88"/>
              <w:spacing w:after="0" w:line="145" w:lineRule="exact"/>
              <w:rPr>
                <w:sz w:val="20"/>
                <w:szCs w:val="20"/>
                <w:color w:val="auto"/>
              </w:rPr>
            </w:pPr>
            <w:r>
              <w:rPr>
                <w:rFonts w:ascii="Arial" w:cs="Arial" w:eastAsia="Arial" w:hAnsi="Arial"/>
                <w:sz w:val="14"/>
                <w:szCs w:val="14"/>
                <w:color w:val="auto"/>
              </w:rPr>
              <w:t>Finance</w:t>
            </w:r>
          </w:p>
        </w:tc>
        <w:tc>
          <w:tcPr>
            <w:tcW w:w="0" w:type="dxa"/>
            <w:vAlign w:val="bottom"/>
          </w:tcPr>
          <w:p>
            <w:pPr>
              <w:spacing w:after="0"/>
              <w:rPr>
                <w:sz w:val="1"/>
                <w:szCs w:val="1"/>
                <w:color w:val="auto"/>
              </w:rPr>
            </w:pPr>
          </w:p>
        </w:tc>
      </w:tr>
      <w:tr>
        <w:trPr>
          <w:trHeight w:val="189"/>
        </w:trPr>
        <w:tc>
          <w:tcPr>
            <w:tcW w:w="23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8"/>
              <w:spacing w:after="0"/>
              <w:rPr>
                <w:sz w:val="20"/>
                <w:szCs w:val="20"/>
                <w:color w:val="auto"/>
              </w:rPr>
            </w:pPr>
            <w:r>
              <w:rPr>
                <w:rFonts w:ascii="Arial" w:cs="Arial" w:eastAsia="Arial" w:hAnsi="Arial"/>
                <w:sz w:val="14"/>
                <w:szCs w:val="14"/>
                <w:color w:val="auto"/>
              </w:rPr>
              <w:t>Receivables</w:t>
            </w:r>
          </w:p>
        </w:tc>
        <w:tc>
          <w:tcPr>
            <w:tcW w:w="0" w:type="dxa"/>
            <w:vAlign w:val="bottom"/>
          </w:tcPr>
          <w:p>
            <w:pPr>
              <w:spacing w:after="0"/>
              <w:rPr>
                <w:sz w:val="1"/>
                <w:szCs w:val="1"/>
                <w:color w:val="auto"/>
              </w:rPr>
            </w:pPr>
          </w:p>
        </w:tc>
      </w:tr>
      <w:tr>
        <w:trPr>
          <w:trHeight w:val="183"/>
        </w:trPr>
        <w:tc>
          <w:tcPr>
            <w:tcW w:w="2380" w:type="dxa"/>
            <w:vAlign w:val="bottom"/>
            <w:tcBorders>
              <w:top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United States (Direct)</w:t>
            </w:r>
          </w:p>
        </w:tc>
        <w:tc>
          <w:tcPr>
            <w:tcW w:w="800" w:type="dxa"/>
            <w:vAlign w:val="bottom"/>
            <w:tcBorders>
              <w:top w:val="single" w:sz="8" w:color="auto"/>
            </w:tcBorders>
            <w:shd w:val="clear" w:color="auto" w:fill="E5E5E5"/>
          </w:tcPr>
          <w:p>
            <w:pPr>
              <w:spacing w:after="0"/>
              <w:rPr>
                <w:sz w:val="15"/>
                <w:szCs w:val="15"/>
                <w:color w:val="auto"/>
              </w:rPr>
            </w:pPr>
          </w:p>
        </w:tc>
        <w:tc>
          <w:tcPr>
            <w:tcW w:w="360" w:type="dxa"/>
            <w:vAlign w:val="bottom"/>
            <w:tcBorders>
              <w:top w:val="single" w:sz="8" w:color="auto"/>
            </w:tcBorders>
            <w:shd w:val="clear" w:color="auto" w:fill="E5E5E5"/>
          </w:tcPr>
          <w:p>
            <w:pPr>
              <w:spacing w:after="0"/>
              <w:rPr>
                <w:sz w:val="15"/>
                <w:szCs w:val="15"/>
                <w:color w:val="auto"/>
              </w:rPr>
            </w:pPr>
          </w:p>
        </w:tc>
        <w:tc>
          <w:tcPr>
            <w:tcW w:w="120" w:type="dxa"/>
            <w:vAlign w:val="bottom"/>
            <w:tcBorders>
              <w:top w:val="single" w:sz="8" w:color="E5E5E5"/>
            </w:tcBorders>
            <w:shd w:val="clear" w:color="auto" w:fill="E5E5E5"/>
          </w:tcPr>
          <w:p>
            <w:pPr>
              <w:spacing w:after="0"/>
              <w:rPr>
                <w:sz w:val="15"/>
                <w:szCs w:val="15"/>
                <w:color w:val="auto"/>
              </w:rPr>
            </w:pPr>
          </w:p>
        </w:tc>
        <w:tc>
          <w:tcPr>
            <w:tcW w:w="260" w:type="dxa"/>
            <w:vAlign w:val="bottom"/>
            <w:tcBorders>
              <w:top w:val="single" w:sz="8" w:color="auto"/>
            </w:tcBorders>
            <w:shd w:val="clear" w:color="auto" w:fill="E5E5E5"/>
          </w:tcPr>
          <w:p>
            <w:pPr>
              <w:spacing w:after="0"/>
              <w:rPr>
                <w:sz w:val="15"/>
                <w:szCs w:val="15"/>
                <w:color w:val="auto"/>
              </w:rPr>
            </w:pPr>
          </w:p>
        </w:tc>
        <w:tc>
          <w:tcPr>
            <w:tcW w:w="900" w:type="dxa"/>
            <w:vAlign w:val="bottom"/>
            <w:tcBorders>
              <w:top w:val="single" w:sz="8" w:color="auto"/>
            </w:tcBorders>
            <w:shd w:val="clear" w:color="auto" w:fill="E5E5E5"/>
          </w:tcPr>
          <w:p>
            <w:pPr>
              <w:spacing w:after="0"/>
              <w:rPr>
                <w:sz w:val="15"/>
                <w:szCs w:val="15"/>
                <w:color w:val="auto"/>
              </w:rPr>
            </w:pPr>
          </w:p>
        </w:tc>
        <w:tc>
          <w:tcPr>
            <w:tcW w:w="120" w:type="dxa"/>
            <w:vAlign w:val="bottom"/>
            <w:tcBorders>
              <w:top w:val="single" w:sz="8" w:color="E5E5E5"/>
            </w:tcBorders>
            <w:shd w:val="clear" w:color="auto" w:fill="E5E5E5"/>
          </w:tcPr>
          <w:p>
            <w:pPr>
              <w:spacing w:after="0"/>
              <w:rPr>
                <w:sz w:val="15"/>
                <w:szCs w:val="15"/>
                <w:color w:val="auto"/>
              </w:rPr>
            </w:pPr>
          </w:p>
        </w:tc>
        <w:tc>
          <w:tcPr>
            <w:tcW w:w="260" w:type="dxa"/>
            <w:vAlign w:val="bottom"/>
            <w:tcBorders>
              <w:top w:val="single" w:sz="8" w:color="auto"/>
            </w:tcBorders>
            <w:shd w:val="clear" w:color="auto" w:fill="E5E5E5"/>
          </w:tcPr>
          <w:p>
            <w:pPr>
              <w:spacing w:after="0"/>
              <w:rPr>
                <w:sz w:val="15"/>
                <w:szCs w:val="15"/>
                <w:color w:val="auto"/>
              </w:rPr>
            </w:pPr>
          </w:p>
        </w:tc>
        <w:tc>
          <w:tcPr>
            <w:tcW w:w="900" w:type="dxa"/>
            <w:vAlign w:val="bottom"/>
            <w:tcBorders>
              <w:top w:val="single" w:sz="8" w:color="auto"/>
            </w:tcBorders>
            <w:shd w:val="clear" w:color="auto" w:fill="E5E5E5"/>
          </w:tcPr>
          <w:p>
            <w:pPr>
              <w:spacing w:after="0"/>
              <w:rPr>
                <w:sz w:val="15"/>
                <w:szCs w:val="15"/>
                <w:color w:val="auto"/>
              </w:rPr>
            </w:pPr>
          </w:p>
        </w:tc>
        <w:tc>
          <w:tcPr>
            <w:tcW w:w="100" w:type="dxa"/>
            <w:vAlign w:val="bottom"/>
            <w:tcBorders>
              <w:top w:val="single" w:sz="8" w:color="E5E5E5"/>
            </w:tcBorders>
            <w:shd w:val="clear" w:color="auto" w:fill="E5E5E5"/>
          </w:tcPr>
          <w:p>
            <w:pPr>
              <w:spacing w:after="0"/>
              <w:rPr>
                <w:sz w:val="15"/>
                <w:szCs w:val="15"/>
                <w:color w:val="auto"/>
              </w:rPr>
            </w:pPr>
          </w:p>
        </w:tc>
        <w:tc>
          <w:tcPr>
            <w:tcW w:w="260" w:type="dxa"/>
            <w:vAlign w:val="bottom"/>
            <w:tcBorders>
              <w:top w:val="single" w:sz="8" w:color="auto"/>
            </w:tcBorders>
            <w:shd w:val="clear" w:color="auto" w:fill="E5E5E5"/>
          </w:tcPr>
          <w:p>
            <w:pPr>
              <w:spacing w:after="0"/>
              <w:rPr>
                <w:sz w:val="15"/>
                <w:szCs w:val="15"/>
                <w:color w:val="auto"/>
              </w:rPr>
            </w:pPr>
          </w:p>
        </w:tc>
        <w:tc>
          <w:tcPr>
            <w:tcW w:w="900" w:type="dxa"/>
            <w:vAlign w:val="bottom"/>
            <w:tcBorders>
              <w:top w:val="single" w:sz="8" w:color="auto"/>
            </w:tcBorders>
            <w:shd w:val="clear" w:color="auto" w:fill="E5E5E5"/>
          </w:tcPr>
          <w:p>
            <w:pPr>
              <w:spacing w:after="0"/>
              <w:rPr>
                <w:sz w:val="15"/>
                <w:szCs w:val="15"/>
                <w:color w:val="auto"/>
              </w:rPr>
            </w:pPr>
          </w:p>
        </w:tc>
        <w:tc>
          <w:tcPr>
            <w:tcW w:w="120" w:type="dxa"/>
            <w:vAlign w:val="bottom"/>
            <w:tcBorders>
              <w:top w:val="single" w:sz="8" w:color="E5E5E5"/>
            </w:tcBorders>
            <w:shd w:val="clear" w:color="auto" w:fill="E5E5E5"/>
          </w:tcPr>
          <w:p>
            <w:pPr>
              <w:spacing w:after="0"/>
              <w:rPr>
                <w:sz w:val="15"/>
                <w:szCs w:val="15"/>
                <w:color w:val="auto"/>
              </w:rPr>
            </w:pPr>
          </w:p>
        </w:tc>
        <w:tc>
          <w:tcPr>
            <w:tcW w:w="260" w:type="dxa"/>
            <w:vAlign w:val="bottom"/>
            <w:tcBorders>
              <w:top w:val="single" w:sz="8" w:color="auto"/>
            </w:tcBorders>
            <w:shd w:val="clear" w:color="auto" w:fill="E5E5E5"/>
          </w:tcPr>
          <w:p>
            <w:pPr>
              <w:spacing w:after="0"/>
              <w:rPr>
                <w:sz w:val="15"/>
                <w:szCs w:val="15"/>
                <w:color w:val="auto"/>
              </w:rPr>
            </w:pPr>
          </w:p>
        </w:tc>
        <w:tc>
          <w:tcPr>
            <w:tcW w:w="900" w:type="dxa"/>
            <w:vAlign w:val="bottom"/>
            <w:tcBorders>
              <w:top w:val="single" w:sz="8" w:color="auto"/>
            </w:tcBorders>
            <w:shd w:val="clear" w:color="auto" w:fill="E5E5E5"/>
          </w:tcPr>
          <w:p>
            <w:pPr>
              <w:spacing w:after="0"/>
              <w:rPr>
                <w:sz w:val="15"/>
                <w:szCs w:val="15"/>
                <w:color w:val="auto"/>
              </w:rPr>
            </w:pPr>
          </w:p>
        </w:tc>
        <w:tc>
          <w:tcPr>
            <w:tcW w:w="100" w:type="dxa"/>
            <w:vAlign w:val="bottom"/>
            <w:tcBorders>
              <w:top w:val="single" w:sz="8" w:color="E5E5E5"/>
            </w:tcBorders>
            <w:shd w:val="clear" w:color="auto" w:fill="E5E5E5"/>
          </w:tcPr>
          <w:p>
            <w:pPr>
              <w:spacing w:after="0"/>
              <w:rPr>
                <w:sz w:val="15"/>
                <w:szCs w:val="15"/>
                <w:color w:val="auto"/>
              </w:rPr>
            </w:pPr>
          </w:p>
        </w:tc>
        <w:tc>
          <w:tcPr>
            <w:tcW w:w="260" w:type="dxa"/>
            <w:vAlign w:val="bottom"/>
            <w:tcBorders>
              <w:top w:val="single" w:sz="8" w:color="auto"/>
            </w:tcBorders>
            <w:shd w:val="clear" w:color="auto" w:fill="E5E5E5"/>
          </w:tcPr>
          <w:p>
            <w:pPr>
              <w:spacing w:after="0"/>
              <w:rPr>
                <w:sz w:val="15"/>
                <w:szCs w:val="15"/>
                <w:color w:val="auto"/>
              </w:rPr>
            </w:pPr>
          </w:p>
        </w:tc>
        <w:tc>
          <w:tcPr>
            <w:tcW w:w="900" w:type="dxa"/>
            <w:vAlign w:val="bottom"/>
            <w:tcBorders>
              <w:top w:val="single" w:sz="8" w:color="auto"/>
            </w:tcBorders>
            <w:shd w:val="clear" w:color="auto" w:fill="E5E5E5"/>
          </w:tcPr>
          <w:p>
            <w:pPr>
              <w:spacing w:after="0"/>
              <w:rPr>
                <w:sz w:val="15"/>
                <w:szCs w:val="15"/>
                <w:color w:val="auto"/>
              </w:rPr>
            </w:pPr>
          </w:p>
        </w:tc>
        <w:tc>
          <w:tcPr>
            <w:tcW w:w="120" w:type="dxa"/>
            <w:vAlign w:val="bottom"/>
            <w:tcBorders>
              <w:top w:val="single" w:sz="8" w:color="E5E5E5"/>
            </w:tcBorders>
            <w:shd w:val="clear" w:color="auto" w:fill="E5E5E5"/>
          </w:tcPr>
          <w:p>
            <w:pPr>
              <w:spacing w:after="0"/>
              <w:rPr>
                <w:sz w:val="15"/>
                <w:szCs w:val="15"/>
                <w:color w:val="auto"/>
              </w:rPr>
            </w:pPr>
          </w:p>
        </w:tc>
        <w:tc>
          <w:tcPr>
            <w:tcW w:w="140" w:type="dxa"/>
            <w:vAlign w:val="bottom"/>
            <w:tcBorders>
              <w:top w:val="single" w:sz="8" w:color="auto"/>
            </w:tcBorders>
            <w:shd w:val="clear" w:color="auto" w:fill="E5E5E5"/>
          </w:tcPr>
          <w:p>
            <w:pPr>
              <w:spacing w:after="0"/>
              <w:rPr>
                <w:sz w:val="15"/>
                <w:szCs w:val="15"/>
                <w:color w:val="auto"/>
              </w:rPr>
            </w:pPr>
          </w:p>
        </w:tc>
        <w:tc>
          <w:tcPr>
            <w:tcW w:w="1040" w:type="dxa"/>
            <w:vAlign w:val="bottom"/>
            <w:tcBorders>
              <w:top w:val="single" w:sz="8" w:color="auto"/>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80" w:type="dxa"/>
            <w:vAlign w:val="bottom"/>
          </w:tcPr>
          <w:p>
            <w:pPr>
              <w:ind w:left="20"/>
              <w:spacing w:after="0"/>
              <w:rPr>
                <w:sz w:val="20"/>
                <w:szCs w:val="20"/>
                <w:color w:val="auto"/>
              </w:rPr>
            </w:pPr>
            <w:r>
              <w:rPr>
                <w:rFonts w:ascii="Arial" w:cs="Arial" w:eastAsia="Arial" w:hAnsi="Arial"/>
                <w:sz w:val="14"/>
                <w:szCs w:val="14"/>
                <w:color w:val="auto"/>
              </w:rPr>
              <w:t>Low Credit Risk</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207"/>
        </w:trPr>
        <w:tc>
          <w:tcPr>
            <w:tcW w:w="2380" w:type="dxa"/>
            <w:vAlign w:val="bottom"/>
            <w:shd w:val="clear" w:color="auto" w:fill="E5E5E5"/>
          </w:tcPr>
          <w:p>
            <w:pPr>
              <w:ind w:left="20"/>
              <w:spacing w:after="0"/>
              <w:rPr>
                <w:sz w:val="20"/>
                <w:szCs w:val="20"/>
                <w:color w:val="auto"/>
              </w:rPr>
            </w:pPr>
            <w:r>
              <w:rPr>
                <w:rFonts w:ascii="Arial" w:cs="Arial" w:eastAsia="Arial" w:hAnsi="Arial"/>
                <w:sz w:val="14"/>
                <w:szCs w:val="14"/>
                <w:color w:val="auto"/>
              </w:rPr>
              <w:t>Average Credit Risk</w:t>
            </w:r>
          </w:p>
        </w:tc>
        <w:tc>
          <w:tcPr>
            <w:tcW w:w="800" w:type="dxa"/>
            <w:vAlign w:val="bottom"/>
            <w:shd w:val="clear" w:color="auto" w:fill="E5E5E5"/>
          </w:tcPr>
          <w:p>
            <w:pPr>
              <w:spacing w:after="0"/>
              <w:rPr>
                <w:sz w:val="17"/>
                <w:szCs w:val="17"/>
                <w:color w:val="auto"/>
              </w:rPr>
            </w:pPr>
          </w:p>
        </w:tc>
        <w:tc>
          <w:tcPr>
            <w:tcW w:w="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98"/>
        </w:trPr>
        <w:tc>
          <w:tcPr>
            <w:tcW w:w="238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High Credit Risk</w:t>
            </w:r>
          </w:p>
        </w:tc>
        <w:tc>
          <w:tcPr>
            <w:tcW w:w="8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E5E5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99"/>
        </w:trPr>
        <w:tc>
          <w:tcPr>
            <w:tcW w:w="238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Total</w:t>
            </w:r>
          </w:p>
        </w:tc>
        <w:tc>
          <w:tcPr>
            <w:tcW w:w="800" w:type="dxa"/>
            <w:vAlign w:val="bottom"/>
            <w:tcBorders>
              <w:bottom w:val="single" w:sz="8" w:color="auto"/>
            </w:tcBorders>
            <w:shd w:val="clear" w:color="auto" w:fill="E5E5E5"/>
          </w:tcPr>
          <w:p>
            <w:pPr>
              <w:jc w:val="right"/>
              <w:ind w:right="6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261</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86</w:t>
            </w:r>
          </w:p>
        </w:tc>
        <w:tc>
          <w:tcPr>
            <w:tcW w:w="10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E5E5E5"/>
          </w:tcPr>
          <w:p>
            <w:pPr>
              <w:spacing w:after="0"/>
              <w:rPr>
                <w:sz w:val="17"/>
                <w:szCs w:val="17"/>
                <w:color w:val="auto"/>
              </w:rPr>
            </w:pP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197"/>
        </w:trPr>
        <w:tc>
          <w:tcPr>
            <w:tcW w:w="2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United States (Indirect)</w:t>
            </w:r>
          </w:p>
        </w:tc>
        <w:tc>
          <w:tcPr>
            <w:tcW w:w="8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380" w:type="dxa"/>
            <w:vAlign w:val="bottom"/>
          </w:tcPr>
          <w:p>
            <w:pPr>
              <w:ind w:left="20"/>
              <w:spacing w:after="0"/>
              <w:rPr>
                <w:sz w:val="20"/>
                <w:szCs w:val="20"/>
                <w:color w:val="auto"/>
              </w:rPr>
            </w:pPr>
            <w:r>
              <w:rPr>
                <w:rFonts w:ascii="Arial" w:cs="Arial" w:eastAsia="Arial" w:hAnsi="Arial"/>
                <w:sz w:val="14"/>
                <w:szCs w:val="14"/>
                <w:color w:val="auto"/>
              </w:rPr>
              <w:t>Low Credit Risk</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207"/>
        </w:trPr>
        <w:tc>
          <w:tcPr>
            <w:tcW w:w="2380" w:type="dxa"/>
            <w:vAlign w:val="bottom"/>
            <w:shd w:val="clear" w:color="auto" w:fill="E5E5E5"/>
          </w:tcPr>
          <w:p>
            <w:pPr>
              <w:ind w:left="20"/>
              <w:spacing w:after="0"/>
              <w:rPr>
                <w:sz w:val="20"/>
                <w:szCs w:val="20"/>
                <w:color w:val="auto"/>
              </w:rPr>
            </w:pPr>
            <w:r>
              <w:rPr>
                <w:rFonts w:ascii="Arial" w:cs="Arial" w:eastAsia="Arial" w:hAnsi="Arial"/>
                <w:sz w:val="14"/>
                <w:szCs w:val="14"/>
                <w:color w:val="auto"/>
              </w:rPr>
              <w:t>Average Credit Risk</w:t>
            </w:r>
          </w:p>
        </w:tc>
        <w:tc>
          <w:tcPr>
            <w:tcW w:w="800" w:type="dxa"/>
            <w:vAlign w:val="bottom"/>
            <w:shd w:val="clear" w:color="auto" w:fill="E5E5E5"/>
          </w:tcPr>
          <w:p>
            <w:pPr>
              <w:spacing w:after="0"/>
              <w:rPr>
                <w:sz w:val="17"/>
                <w:szCs w:val="17"/>
                <w:color w:val="auto"/>
              </w:rPr>
            </w:pPr>
          </w:p>
        </w:tc>
        <w:tc>
          <w:tcPr>
            <w:tcW w:w="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99</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98"/>
        </w:trPr>
        <w:tc>
          <w:tcPr>
            <w:tcW w:w="238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High Credit Risk</w:t>
            </w:r>
          </w:p>
        </w:tc>
        <w:tc>
          <w:tcPr>
            <w:tcW w:w="8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E5E5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99"/>
        </w:trPr>
        <w:tc>
          <w:tcPr>
            <w:tcW w:w="238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Total</w:t>
            </w:r>
          </w:p>
        </w:tc>
        <w:tc>
          <w:tcPr>
            <w:tcW w:w="800" w:type="dxa"/>
            <w:vAlign w:val="bottom"/>
            <w:tcBorders>
              <w:bottom w:val="single" w:sz="8" w:color="auto"/>
            </w:tcBorders>
            <w:shd w:val="clear" w:color="auto" w:fill="E5E5E5"/>
          </w:tcPr>
          <w:p>
            <w:pPr>
              <w:jc w:val="right"/>
              <w:ind w:right="6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429</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E5E5E5"/>
          </w:tcPr>
          <w:p>
            <w:pPr>
              <w:spacing w:after="0"/>
              <w:rPr>
                <w:sz w:val="17"/>
                <w:szCs w:val="17"/>
                <w:color w:val="auto"/>
              </w:rPr>
            </w:pP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1,031</w:t>
            </w:r>
          </w:p>
        </w:tc>
        <w:tc>
          <w:tcPr>
            <w:tcW w:w="0" w:type="dxa"/>
            <w:vAlign w:val="bottom"/>
          </w:tcPr>
          <w:p>
            <w:pPr>
              <w:spacing w:after="0"/>
              <w:rPr>
                <w:sz w:val="1"/>
                <w:szCs w:val="1"/>
                <w:color w:val="auto"/>
              </w:rPr>
            </w:pPr>
          </w:p>
        </w:tc>
      </w:tr>
      <w:tr>
        <w:trPr>
          <w:trHeight w:val="197"/>
        </w:trPr>
        <w:tc>
          <w:tcPr>
            <w:tcW w:w="2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Canada</w:t>
            </w:r>
          </w:p>
        </w:tc>
        <w:tc>
          <w:tcPr>
            <w:tcW w:w="8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380" w:type="dxa"/>
            <w:vAlign w:val="bottom"/>
          </w:tcPr>
          <w:p>
            <w:pPr>
              <w:ind w:left="20"/>
              <w:spacing w:after="0"/>
              <w:rPr>
                <w:sz w:val="20"/>
                <w:szCs w:val="20"/>
                <w:color w:val="auto"/>
              </w:rPr>
            </w:pPr>
            <w:r>
              <w:rPr>
                <w:rFonts w:ascii="Arial" w:cs="Arial" w:eastAsia="Arial" w:hAnsi="Arial"/>
                <w:sz w:val="14"/>
                <w:szCs w:val="14"/>
                <w:color w:val="auto"/>
              </w:rPr>
              <w:t>Low Credit Risk</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7"/>
        </w:trPr>
        <w:tc>
          <w:tcPr>
            <w:tcW w:w="2380" w:type="dxa"/>
            <w:vAlign w:val="bottom"/>
            <w:shd w:val="clear" w:color="auto" w:fill="E5E5E5"/>
          </w:tcPr>
          <w:p>
            <w:pPr>
              <w:ind w:left="20"/>
              <w:spacing w:after="0"/>
              <w:rPr>
                <w:sz w:val="20"/>
                <w:szCs w:val="20"/>
                <w:color w:val="auto"/>
              </w:rPr>
            </w:pPr>
            <w:r>
              <w:rPr>
                <w:rFonts w:ascii="Arial" w:cs="Arial" w:eastAsia="Arial" w:hAnsi="Arial"/>
                <w:sz w:val="14"/>
                <w:szCs w:val="14"/>
                <w:color w:val="auto"/>
              </w:rPr>
              <w:t>Average Credit Risk</w:t>
            </w:r>
          </w:p>
        </w:tc>
        <w:tc>
          <w:tcPr>
            <w:tcW w:w="800" w:type="dxa"/>
            <w:vAlign w:val="bottom"/>
            <w:shd w:val="clear" w:color="auto" w:fill="E5E5E5"/>
          </w:tcPr>
          <w:p>
            <w:pPr>
              <w:spacing w:after="0"/>
              <w:rPr>
                <w:sz w:val="17"/>
                <w:szCs w:val="17"/>
                <w:color w:val="auto"/>
              </w:rPr>
            </w:pPr>
          </w:p>
        </w:tc>
        <w:tc>
          <w:tcPr>
            <w:tcW w:w="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98"/>
        </w:trPr>
        <w:tc>
          <w:tcPr>
            <w:tcW w:w="238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High Credit Risk</w:t>
            </w:r>
          </w:p>
        </w:tc>
        <w:tc>
          <w:tcPr>
            <w:tcW w:w="8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E5E5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9"/>
        </w:trPr>
        <w:tc>
          <w:tcPr>
            <w:tcW w:w="238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Total</w:t>
            </w:r>
          </w:p>
        </w:tc>
        <w:tc>
          <w:tcPr>
            <w:tcW w:w="800" w:type="dxa"/>
            <w:vAlign w:val="bottom"/>
            <w:tcBorders>
              <w:bottom w:val="single" w:sz="8" w:color="auto"/>
            </w:tcBorders>
            <w:shd w:val="clear" w:color="auto" w:fill="E5E5E5"/>
          </w:tcPr>
          <w:p>
            <w:pPr>
              <w:jc w:val="right"/>
              <w:ind w:right="6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E5E5E5"/>
          </w:tcPr>
          <w:p>
            <w:pPr>
              <w:spacing w:after="0"/>
              <w:rPr>
                <w:sz w:val="17"/>
                <w:szCs w:val="17"/>
                <w:color w:val="auto"/>
              </w:rPr>
            </w:pP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97"/>
        </w:trPr>
        <w:tc>
          <w:tcPr>
            <w:tcW w:w="2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E5E5E5"/>
          </w:tcPr>
          <w:p>
            <w:pPr>
              <w:ind w:left="20"/>
              <w:spacing w:after="0" w:line="202" w:lineRule="exact"/>
              <w:rPr>
                <w:sz w:val="20"/>
                <w:szCs w:val="20"/>
                <w:color w:val="auto"/>
              </w:rPr>
            </w:pPr>
            <w:r>
              <w:rPr>
                <w:rFonts w:ascii="Arial" w:cs="Arial" w:eastAsia="Arial" w:hAnsi="Arial"/>
                <w:sz w:val="14"/>
                <w:szCs w:val="14"/>
                <w:b w:val="1"/>
                <w:bCs w:val="1"/>
                <w:color w:val="auto"/>
              </w:rPr>
              <w:t>EMEA</w:t>
            </w:r>
            <w:r>
              <w:rPr>
                <w:rFonts w:ascii="Arial" w:cs="Arial" w:eastAsia="Arial" w:hAnsi="Arial"/>
                <w:sz w:val="18"/>
                <w:szCs w:val="18"/>
                <w:b w:val="1"/>
                <w:bCs w:val="1"/>
                <w:color w:val="auto"/>
                <w:vertAlign w:val="superscript"/>
              </w:rPr>
              <w:t>(1)</w:t>
            </w:r>
          </w:p>
        </w:tc>
        <w:tc>
          <w:tcPr>
            <w:tcW w:w="8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380" w:type="dxa"/>
            <w:vAlign w:val="bottom"/>
          </w:tcPr>
          <w:p>
            <w:pPr>
              <w:ind w:left="20"/>
              <w:spacing w:after="0"/>
              <w:rPr>
                <w:sz w:val="20"/>
                <w:szCs w:val="20"/>
                <w:color w:val="auto"/>
              </w:rPr>
            </w:pPr>
            <w:r>
              <w:rPr>
                <w:rFonts w:ascii="Arial" w:cs="Arial" w:eastAsia="Arial" w:hAnsi="Arial"/>
                <w:sz w:val="14"/>
                <w:szCs w:val="14"/>
                <w:color w:val="auto"/>
              </w:rPr>
              <w:t>Low Credit Risk</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206"/>
        </w:trPr>
        <w:tc>
          <w:tcPr>
            <w:tcW w:w="2380" w:type="dxa"/>
            <w:vAlign w:val="bottom"/>
            <w:shd w:val="clear" w:color="auto" w:fill="E5E5E5"/>
          </w:tcPr>
          <w:p>
            <w:pPr>
              <w:ind w:left="20"/>
              <w:spacing w:after="0"/>
              <w:rPr>
                <w:sz w:val="20"/>
                <w:szCs w:val="20"/>
                <w:color w:val="auto"/>
              </w:rPr>
            </w:pPr>
            <w:r>
              <w:rPr>
                <w:rFonts w:ascii="Arial" w:cs="Arial" w:eastAsia="Arial" w:hAnsi="Arial"/>
                <w:sz w:val="14"/>
                <w:szCs w:val="14"/>
                <w:color w:val="auto"/>
              </w:rPr>
              <w:t>Average Credit Risk</w:t>
            </w:r>
          </w:p>
        </w:tc>
        <w:tc>
          <w:tcPr>
            <w:tcW w:w="800" w:type="dxa"/>
            <w:vAlign w:val="bottom"/>
            <w:shd w:val="clear" w:color="auto" w:fill="E5E5E5"/>
          </w:tcPr>
          <w:p>
            <w:pPr>
              <w:spacing w:after="0"/>
              <w:rPr>
                <w:sz w:val="17"/>
                <w:szCs w:val="17"/>
                <w:color w:val="auto"/>
              </w:rPr>
            </w:pPr>
          </w:p>
        </w:tc>
        <w:tc>
          <w:tcPr>
            <w:tcW w:w="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86</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99"/>
        </w:trPr>
        <w:tc>
          <w:tcPr>
            <w:tcW w:w="238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High Credit Risk</w:t>
            </w:r>
          </w:p>
        </w:tc>
        <w:tc>
          <w:tcPr>
            <w:tcW w:w="8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E5E5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99"/>
        </w:trPr>
        <w:tc>
          <w:tcPr>
            <w:tcW w:w="238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Total</w:t>
            </w:r>
          </w:p>
        </w:tc>
        <w:tc>
          <w:tcPr>
            <w:tcW w:w="800" w:type="dxa"/>
            <w:vAlign w:val="bottom"/>
            <w:tcBorders>
              <w:bottom w:val="single" w:sz="8" w:color="auto"/>
            </w:tcBorders>
            <w:shd w:val="clear" w:color="auto" w:fill="E5E5E5"/>
          </w:tcPr>
          <w:p>
            <w:pPr>
              <w:jc w:val="right"/>
              <w:ind w:right="6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331</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E5E5E5"/>
          </w:tcPr>
          <w:p>
            <w:pPr>
              <w:spacing w:after="0"/>
              <w:rPr>
                <w:sz w:val="17"/>
                <w:szCs w:val="17"/>
                <w:color w:val="auto"/>
              </w:rPr>
            </w:pP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197"/>
        </w:trPr>
        <w:tc>
          <w:tcPr>
            <w:tcW w:w="2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Total Finance Receivables</w:t>
            </w:r>
          </w:p>
        </w:tc>
        <w:tc>
          <w:tcPr>
            <w:tcW w:w="8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380" w:type="dxa"/>
            <w:vAlign w:val="bottom"/>
          </w:tcPr>
          <w:p>
            <w:pPr>
              <w:ind w:left="20"/>
              <w:spacing w:after="0"/>
              <w:rPr>
                <w:sz w:val="20"/>
                <w:szCs w:val="20"/>
                <w:color w:val="auto"/>
              </w:rPr>
            </w:pPr>
            <w:r>
              <w:rPr>
                <w:rFonts w:ascii="Arial" w:cs="Arial" w:eastAsia="Arial" w:hAnsi="Arial"/>
                <w:sz w:val="14"/>
                <w:szCs w:val="14"/>
                <w:color w:val="auto"/>
              </w:rPr>
              <w:t>Low Credit Risk</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553</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1,612</w:t>
            </w:r>
          </w:p>
        </w:tc>
        <w:tc>
          <w:tcPr>
            <w:tcW w:w="0" w:type="dxa"/>
            <w:vAlign w:val="bottom"/>
          </w:tcPr>
          <w:p>
            <w:pPr>
              <w:spacing w:after="0"/>
              <w:rPr>
                <w:sz w:val="1"/>
                <w:szCs w:val="1"/>
                <w:color w:val="auto"/>
              </w:rPr>
            </w:pPr>
          </w:p>
        </w:tc>
      </w:tr>
      <w:tr>
        <w:trPr>
          <w:trHeight w:val="207"/>
        </w:trPr>
        <w:tc>
          <w:tcPr>
            <w:tcW w:w="2380" w:type="dxa"/>
            <w:vAlign w:val="bottom"/>
            <w:shd w:val="clear" w:color="auto" w:fill="E5E5E5"/>
          </w:tcPr>
          <w:p>
            <w:pPr>
              <w:ind w:left="20"/>
              <w:spacing w:after="0"/>
              <w:rPr>
                <w:sz w:val="20"/>
                <w:szCs w:val="20"/>
                <w:color w:val="auto"/>
              </w:rPr>
            </w:pPr>
            <w:r>
              <w:rPr>
                <w:rFonts w:ascii="Arial" w:cs="Arial" w:eastAsia="Arial" w:hAnsi="Arial"/>
                <w:sz w:val="14"/>
                <w:szCs w:val="14"/>
                <w:color w:val="auto"/>
              </w:rPr>
              <w:t>Average Credit Risk</w:t>
            </w:r>
          </w:p>
        </w:tc>
        <w:tc>
          <w:tcPr>
            <w:tcW w:w="800" w:type="dxa"/>
            <w:vAlign w:val="bottom"/>
            <w:shd w:val="clear" w:color="auto" w:fill="E5E5E5"/>
          </w:tcPr>
          <w:p>
            <w:pPr>
              <w:spacing w:after="0"/>
              <w:rPr>
                <w:sz w:val="17"/>
                <w:szCs w:val="17"/>
                <w:color w:val="auto"/>
              </w:rPr>
            </w:pPr>
          </w:p>
        </w:tc>
        <w:tc>
          <w:tcPr>
            <w:tcW w:w="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406</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1,160</w:t>
            </w:r>
          </w:p>
        </w:tc>
        <w:tc>
          <w:tcPr>
            <w:tcW w:w="0" w:type="dxa"/>
            <w:vAlign w:val="bottom"/>
          </w:tcPr>
          <w:p>
            <w:pPr>
              <w:spacing w:after="0"/>
              <w:rPr>
                <w:sz w:val="1"/>
                <w:szCs w:val="1"/>
                <w:color w:val="auto"/>
              </w:rPr>
            </w:pPr>
          </w:p>
        </w:tc>
      </w:tr>
      <w:tr>
        <w:trPr>
          <w:trHeight w:val="198"/>
        </w:trPr>
        <w:tc>
          <w:tcPr>
            <w:tcW w:w="238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High Credit Risk</w:t>
            </w:r>
          </w:p>
        </w:tc>
        <w:tc>
          <w:tcPr>
            <w:tcW w:w="8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E5E5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25"/>
        </w:trPr>
        <w:tc>
          <w:tcPr>
            <w:tcW w:w="23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Total</w:t>
            </w:r>
          </w:p>
        </w:tc>
        <w:tc>
          <w:tcPr>
            <w:tcW w:w="800" w:type="dxa"/>
            <w:vAlign w:val="bottom"/>
            <w:tcBorders>
              <w:bottom w:val="single" w:sz="8" w:color="auto"/>
            </w:tcBorders>
            <w:shd w:val="clear" w:color="auto" w:fill="E5E5E5"/>
          </w:tcPr>
          <w:p>
            <w:pPr>
              <w:jc w:val="right"/>
              <w:ind w:right="6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414</w:t>
            </w:r>
          </w:p>
        </w:tc>
        <w:tc>
          <w:tcPr>
            <w:tcW w:w="120" w:type="dxa"/>
            <w:vAlign w:val="bottom"/>
            <w:tcBorders>
              <w:bottom w:val="single" w:sz="8" w:color="E5E5E5"/>
            </w:tcBorders>
            <w:shd w:val="clear" w:color="auto" w:fill="E5E5E5"/>
          </w:tcPr>
          <w:p>
            <w:pPr>
              <w:spacing w:after="0"/>
              <w:rPr>
                <w:sz w:val="19"/>
                <w:szCs w:val="19"/>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1,092</w:t>
            </w:r>
          </w:p>
        </w:tc>
        <w:tc>
          <w:tcPr>
            <w:tcW w:w="120" w:type="dxa"/>
            <w:vAlign w:val="bottom"/>
            <w:tcBorders>
              <w:bottom w:val="single" w:sz="8" w:color="E5E5E5"/>
            </w:tcBorders>
            <w:shd w:val="clear" w:color="auto" w:fill="E5E5E5"/>
          </w:tcPr>
          <w:p>
            <w:pPr>
              <w:spacing w:after="0"/>
              <w:rPr>
                <w:sz w:val="19"/>
                <w:szCs w:val="19"/>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741</w:t>
            </w:r>
          </w:p>
        </w:tc>
        <w:tc>
          <w:tcPr>
            <w:tcW w:w="100" w:type="dxa"/>
            <w:vAlign w:val="bottom"/>
            <w:tcBorders>
              <w:bottom w:val="single" w:sz="8" w:color="E5E5E5"/>
            </w:tcBorders>
            <w:shd w:val="clear" w:color="auto" w:fill="E5E5E5"/>
          </w:tcPr>
          <w:p>
            <w:pPr>
              <w:spacing w:after="0"/>
              <w:rPr>
                <w:sz w:val="19"/>
                <w:szCs w:val="19"/>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543</w:t>
            </w:r>
          </w:p>
        </w:tc>
        <w:tc>
          <w:tcPr>
            <w:tcW w:w="120" w:type="dxa"/>
            <w:vAlign w:val="bottom"/>
            <w:tcBorders>
              <w:bottom w:val="single" w:sz="8" w:color="E5E5E5"/>
            </w:tcBorders>
            <w:shd w:val="clear" w:color="auto" w:fill="E5E5E5"/>
          </w:tcPr>
          <w:p>
            <w:pPr>
              <w:spacing w:after="0"/>
              <w:rPr>
                <w:sz w:val="19"/>
                <w:szCs w:val="19"/>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263</w:t>
            </w:r>
          </w:p>
        </w:tc>
        <w:tc>
          <w:tcPr>
            <w:tcW w:w="100" w:type="dxa"/>
            <w:vAlign w:val="bottom"/>
            <w:tcBorders>
              <w:bottom w:val="single" w:sz="8" w:color="E5E5E5"/>
            </w:tcBorders>
            <w:shd w:val="clear" w:color="auto" w:fill="E5E5E5"/>
          </w:tcPr>
          <w:p>
            <w:pPr>
              <w:spacing w:after="0"/>
              <w:rPr>
                <w:sz w:val="19"/>
                <w:szCs w:val="19"/>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72</w:t>
            </w:r>
          </w:p>
        </w:tc>
        <w:tc>
          <w:tcPr>
            <w:tcW w:w="120" w:type="dxa"/>
            <w:vAlign w:val="bottom"/>
            <w:tcBorders>
              <w:bottom w:val="single" w:sz="8" w:color="E5E5E5"/>
            </w:tcBorders>
            <w:shd w:val="clear" w:color="auto" w:fill="E5E5E5"/>
          </w:tcPr>
          <w:p>
            <w:pPr>
              <w:spacing w:after="0"/>
              <w:rPr>
                <w:sz w:val="19"/>
                <w:szCs w:val="19"/>
                <w:color w:val="auto"/>
              </w:rPr>
            </w:pP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3,125</w:t>
            </w:r>
          </w:p>
        </w:tc>
        <w:tc>
          <w:tcPr>
            <w:tcW w:w="0" w:type="dxa"/>
            <w:vAlign w:val="bottom"/>
          </w:tcPr>
          <w:p>
            <w:pPr>
              <w:spacing w:after="0"/>
              <w:rPr>
                <w:sz w:val="1"/>
                <w:szCs w:val="1"/>
                <w:color w:val="auto"/>
              </w:rPr>
            </w:pPr>
          </w:p>
        </w:tc>
      </w:tr>
      <w:tr>
        <w:trPr>
          <w:trHeight w:val="20"/>
        </w:trPr>
        <w:tc>
          <w:tcPr>
            <w:tcW w:w="2380" w:type="dxa"/>
            <w:vAlign w:val="bottom"/>
            <w:tcBorders>
              <w:top w:val="single" w:sz="8" w:color="E5E5E5"/>
            </w:tcBorders>
          </w:tcPr>
          <w:p>
            <w:pPr>
              <w:spacing w:after="0" w:line="20" w:lineRule="exact"/>
              <w:rPr>
                <w:sz w:val="1"/>
                <w:szCs w:val="1"/>
                <w:color w:val="auto"/>
              </w:rPr>
            </w:pPr>
          </w:p>
        </w:tc>
        <w:tc>
          <w:tcPr>
            <w:tcW w:w="800" w:type="dxa"/>
            <w:vAlign w:val="bottom"/>
            <w:tcBorders>
              <w:top w:val="single" w:sz="8" w:color="E5E5E5"/>
              <w:bottom w:val="single" w:sz="8" w:color="auto"/>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90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9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90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9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90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E5E5E5"/>
              <w:bottom w:val="single" w:sz="8" w:color="auto"/>
            </w:tcBorders>
          </w:tcPr>
          <w:p>
            <w:pPr>
              <w:spacing w:after="0" w:line="20" w:lineRule="exact"/>
              <w:rPr>
                <w:sz w:val="1"/>
                <w:szCs w:val="1"/>
                <w:color w:val="auto"/>
              </w:rPr>
            </w:pPr>
          </w:p>
        </w:tc>
        <w:tc>
          <w:tcPr>
            <w:tcW w:w="104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4"/>
        </w:trPr>
        <w:tc>
          <w:tcPr>
            <w:tcW w:w="2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rPr>
              <w:t>December 31, 2021</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68"/>
              <w:spacing w:after="0" w:line="151"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4"/>
        </w:trPr>
        <w:tc>
          <w:tcPr>
            <w:tcW w:w="2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color w:val="auto"/>
              </w:rPr>
              <w:t>Prior</w:t>
            </w:r>
          </w:p>
        </w:tc>
        <w:tc>
          <w:tcPr>
            <w:tcW w:w="140" w:type="dxa"/>
            <w:vAlign w:val="bottom"/>
          </w:tcPr>
          <w:p>
            <w:pPr>
              <w:spacing w:after="0"/>
              <w:rPr>
                <w:sz w:val="12"/>
                <w:szCs w:val="12"/>
                <w:color w:val="auto"/>
              </w:rPr>
            </w:pPr>
          </w:p>
        </w:tc>
        <w:tc>
          <w:tcPr>
            <w:tcW w:w="1040" w:type="dxa"/>
            <w:vAlign w:val="bottom"/>
          </w:tcPr>
          <w:p>
            <w:pPr>
              <w:jc w:val="center"/>
              <w:ind w:right="88"/>
              <w:spacing w:after="0" w:line="145" w:lineRule="exact"/>
              <w:rPr>
                <w:sz w:val="20"/>
                <w:szCs w:val="20"/>
                <w:color w:val="auto"/>
              </w:rPr>
            </w:pPr>
            <w:r>
              <w:rPr>
                <w:rFonts w:ascii="Arial" w:cs="Arial" w:eastAsia="Arial" w:hAnsi="Arial"/>
                <w:sz w:val="14"/>
                <w:szCs w:val="14"/>
                <w:color w:val="auto"/>
              </w:rPr>
              <w:t>Finance</w:t>
            </w:r>
          </w:p>
        </w:tc>
        <w:tc>
          <w:tcPr>
            <w:tcW w:w="0" w:type="dxa"/>
            <w:vAlign w:val="bottom"/>
          </w:tcPr>
          <w:p>
            <w:pPr>
              <w:spacing w:after="0"/>
              <w:rPr>
                <w:sz w:val="1"/>
                <w:szCs w:val="1"/>
                <w:color w:val="auto"/>
              </w:rPr>
            </w:pPr>
          </w:p>
        </w:tc>
      </w:tr>
      <w:tr>
        <w:trPr>
          <w:trHeight w:val="189"/>
        </w:trPr>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8"/>
              <w:spacing w:after="0"/>
              <w:rPr>
                <w:sz w:val="20"/>
                <w:szCs w:val="20"/>
                <w:color w:val="auto"/>
              </w:rPr>
            </w:pPr>
            <w:r>
              <w:rPr>
                <w:rFonts w:ascii="Arial" w:cs="Arial" w:eastAsia="Arial" w:hAnsi="Arial"/>
                <w:sz w:val="14"/>
                <w:szCs w:val="14"/>
                <w:color w:val="auto"/>
              </w:rPr>
              <w:t>Receivables</w:t>
            </w:r>
          </w:p>
        </w:tc>
        <w:tc>
          <w:tcPr>
            <w:tcW w:w="0" w:type="dxa"/>
            <w:vAlign w:val="bottom"/>
          </w:tcPr>
          <w:p>
            <w:pPr>
              <w:spacing w:after="0"/>
              <w:rPr>
                <w:sz w:val="1"/>
                <w:szCs w:val="1"/>
                <w:color w:val="auto"/>
              </w:rPr>
            </w:pPr>
          </w:p>
        </w:tc>
      </w:tr>
      <w:tr>
        <w:trPr>
          <w:trHeight w:val="183"/>
        </w:trPr>
        <w:tc>
          <w:tcPr>
            <w:tcW w:w="2400" w:type="dxa"/>
            <w:vAlign w:val="bottom"/>
            <w:tcBorders>
              <w:top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United States (Direct)</w:t>
            </w:r>
          </w:p>
        </w:tc>
        <w:tc>
          <w:tcPr>
            <w:tcW w:w="260" w:type="dxa"/>
            <w:vAlign w:val="bottom"/>
            <w:tcBorders>
              <w:top w:val="single" w:sz="8" w:color="auto"/>
            </w:tcBorders>
            <w:shd w:val="clear" w:color="auto" w:fill="E5E5E5"/>
          </w:tcPr>
          <w:p>
            <w:pPr>
              <w:spacing w:after="0"/>
              <w:rPr>
                <w:sz w:val="15"/>
                <w:szCs w:val="15"/>
                <w:color w:val="auto"/>
              </w:rPr>
            </w:pPr>
          </w:p>
        </w:tc>
        <w:tc>
          <w:tcPr>
            <w:tcW w:w="900" w:type="dxa"/>
            <w:vAlign w:val="bottom"/>
            <w:tcBorders>
              <w:top w:val="single" w:sz="8" w:color="auto"/>
            </w:tcBorders>
            <w:shd w:val="clear" w:color="auto" w:fill="E5E5E5"/>
          </w:tcPr>
          <w:p>
            <w:pPr>
              <w:spacing w:after="0"/>
              <w:rPr>
                <w:sz w:val="15"/>
                <w:szCs w:val="15"/>
                <w:color w:val="auto"/>
              </w:rPr>
            </w:pPr>
          </w:p>
        </w:tc>
        <w:tc>
          <w:tcPr>
            <w:tcW w:w="100" w:type="dxa"/>
            <w:vAlign w:val="bottom"/>
            <w:tcBorders>
              <w:top w:val="single" w:sz="8" w:color="E5E5E5"/>
            </w:tcBorders>
            <w:shd w:val="clear" w:color="auto" w:fill="E5E5E5"/>
          </w:tcPr>
          <w:p>
            <w:pPr>
              <w:spacing w:after="0"/>
              <w:rPr>
                <w:sz w:val="15"/>
                <w:szCs w:val="15"/>
                <w:color w:val="auto"/>
              </w:rPr>
            </w:pPr>
          </w:p>
        </w:tc>
        <w:tc>
          <w:tcPr>
            <w:tcW w:w="260" w:type="dxa"/>
            <w:vAlign w:val="bottom"/>
            <w:tcBorders>
              <w:top w:val="single" w:sz="8" w:color="auto"/>
            </w:tcBorders>
            <w:shd w:val="clear" w:color="auto" w:fill="E5E5E5"/>
          </w:tcPr>
          <w:p>
            <w:pPr>
              <w:spacing w:after="0"/>
              <w:rPr>
                <w:sz w:val="15"/>
                <w:szCs w:val="15"/>
                <w:color w:val="auto"/>
              </w:rPr>
            </w:pPr>
          </w:p>
        </w:tc>
        <w:tc>
          <w:tcPr>
            <w:tcW w:w="900" w:type="dxa"/>
            <w:vAlign w:val="bottom"/>
            <w:tcBorders>
              <w:top w:val="single" w:sz="8" w:color="auto"/>
            </w:tcBorders>
            <w:shd w:val="clear" w:color="auto" w:fill="E5E5E5"/>
          </w:tcPr>
          <w:p>
            <w:pPr>
              <w:spacing w:after="0"/>
              <w:rPr>
                <w:sz w:val="15"/>
                <w:szCs w:val="15"/>
                <w:color w:val="auto"/>
              </w:rPr>
            </w:pPr>
          </w:p>
        </w:tc>
        <w:tc>
          <w:tcPr>
            <w:tcW w:w="120" w:type="dxa"/>
            <w:vAlign w:val="bottom"/>
            <w:tcBorders>
              <w:top w:val="single" w:sz="8" w:color="E5E5E5"/>
            </w:tcBorders>
            <w:shd w:val="clear" w:color="auto" w:fill="E5E5E5"/>
          </w:tcPr>
          <w:p>
            <w:pPr>
              <w:spacing w:after="0"/>
              <w:rPr>
                <w:sz w:val="15"/>
                <w:szCs w:val="15"/>
                <w:color w:val="auto"/>
              </w:rPr>
            </w:pPr>
          </w:p>
        </w:tc>
        <w:tc>
          <w:tcPr>
            <w:tcW w:w="260" w:type="dxa"/>
            <w:vAlign w:val="bottom"/>
            <w:tcBorders>
              <w:top w:val="single" w:sz="8" w:color="auto"/>
            </w:tcBorders>
            <w:shd w:val="clear" w:color="auto" w:fill="E5E5E5"/>
          </w:tcPr>
          <w:p>
            <w:pPr>
              <w:spacing w:after="0"/>
              <w:rPr>
                <w:sz w:val="15"/>
                <w:szCs w:val="15"/>
                <w:color w:val="auto"/>
              </w:rPr>
            </w:pPr>
          </w:p>
        </w:tc>
        <w:tc>
          <w:tcPr>
            <w:tcW w:w="900" w:type="dxa"/>
            <w:vAlign w:val="bottom"/>
            <w:tcBorders>
              <w:top w:val="single" w:sz="8" w:color="auto"/>
            </w:tcBorders>
            <w:shd w:val="clear" w:color="auto" w:fill="E5E5E5"/>
          </w:tcPr>
          <w:p>
            <w:pPr>
              <w:spacing w:after="0"/>
              <w:rPr>
                <w:sz w:val="15"/>
                <w:szCs w:val="15"/>
                <w:color w:val="auto"/>
              </w:rPr>
            </w:pPr>
          </w:p>
        </w:tc>
        <w:tc>
          <w:tcPr>
            <w:tcW w:w="100" w:type="dxa"/>
            <w:vAlign w:val="bottom"/>
            <w:tcBorders>
              <w:top w:val="single" w:sz="8" w:color="E5E5E5"/>
            </w:tcBorders>
            <w:shd w:val="clear" w:color="auto" w:fill="E5E5E5"/>
          </w:tcPr>
          <w:p>
            <w:pPr>
              <w:spacing w:after="0"/>
              <w:rPr>
                <w:sz w:val="15"/>
                <w:szCs w:val="15"/>
                <w:color w:val="auto"/>
              </w:rPr>
            </w:pPr>
          </w:p>
        </w:tc>
        <w:tc>
          <w:tcPr>
            <w:tcW w:w="260" w:type="dxa"/>
            <w:vAlign w:val="bottom"/>
            <w:tcBorders>
              <w:top w:val="single" w:sz="8" w:color="auto"/>
            </w:tcBorders>
            <w:shd w:val="clear" w:color="auto" w:fill="E5E5E5"/>
          </w:tcPr>
          <w:p>
            <w:pPr>
              <w:spacing w:after="0"/>
              <w:rPr>
                <w:sz w:val="15"/>
                <w:szCs w:val="15"/>
                <w:color w:val="auto"/>
              </w:rPr>
            </w:pPr>
          </w:p>
        </w:tc>
        <w:tc>
          <w:tcPr>
            <w:tcW w:w="900" w:type="dxa"/>
            <w:vAlign w:val="bottom"/>
            <w:tcBorders>
              <w:top w:val="single" w:sz="8" w:color="auto"/>
            </w:tcBorders>
            <w:shd w:val="clear" w:color="auto" w:fill="E5E5E5"/>
          </w:tcPr>
          <w:p>
            <w:pPr>
              <w:spacing w:after="0"/>
              <w:rPr>
                <w:sz w:val="15"/>
                <w:szCs w:val="15"/>
                <w:color w:val="auto"/>
              </w:rPr>
            </w:pPr>
          </w:p>
        </w:tc>
        <w:tc>
          <w:tcPr>
            <w:tcW w:w="120" w:type="dxa"/>
            <w:vAlign w:val="bottom"/>
            <w:tcBorders>
              <w:top w:val="single" w:sz="8" w:color="E5E5E5"/>
            </w:tcBorders>
            <w:shd w:val="clear" w:color="auto" w:fill="E5E5E5"/>
          </w:tcPr>
          <w:p>
            <w:pPr>
              <w:spacing w:after="0"/>
              <w:rPr>
                <w:sz w:val="15"/>
                <w:szCs w:val="15"/>
                <w:color w:val="auto"/>
              </w:rPr>
            </w:pPr>
          </w:p>
        </w:tc>
        <w:tc>
          <w:tcPr>
            <w:tcW w:w="260" w:type="dxa"/>
            <w:vAlign w:val="bottom"/>
            <w:tcBorders>
              <w:top w:val="single" w:sz="8" w:color="auto"/>
            </w:tcBorders>
            <w:shd w:val="clear" w:color="auto" w:fill="E5E5E5"/>
          </w:tcPr>
          <w:p>
            <w:pPr>
              <w:spacing w:after="0"/>
              <w:rPr>
                <w:sz w:val="15"/>
                <w:szCs w:val="15"/>
                <w:color w:val="auto"/>
              </w:rPr>
            </w:pPr>
          </w:p>
        </w:tc>
        <w:tc>
          <w:tcPr>
            <w:tcW w:w="900" w:type="dxa"/>
            <w:vAlign w:val="bottom"/>
            <w:tcBorders>
              <w:top w:val="single" w:sz="8" w:color="auto"/>
            </w:tcBorders>
            <w:shd w:val="clear" w:color="auto" w:fill="E5E5E5"/>
          </w:tcPr>
          <w:p>
            <w:pPr>
              <w:spacing w:after="0"/>
              <w:rPr>
                <w:sz w:val="15"/>
                <w:szCs w:val="15"/>
                <w:color w:val="auto"/>
              </w:rPr>
            </w:pPr>
          </w:p>
        </w:tc>
        <w:tc>
          <w:tcPr>
            <w:tcW w:w="100" w:type="dxa"/>
            <w:vAlign w:val="bottom"/>
            <w:tcBorders>
              <w:top w:val="single" w:sz="8" w:color="E5E5E5"/>
            </w:tcBorders>
            <w:shd w:val="clear" w:color="auto" w:fill="E5E5E5"/>
          </w:tcPr>
          <w:p>
            <w:pPr>
              <w:spacing w:after="0"/>
              <w:rPr>
                <w:sz w:val="15"/>
                <w:szCs w:val="15"/>
                <w:color w:val="auto"/>
              </w:rPr>
            </w:pPr>
          </w:p>
        </w:tc>
        <w:tc>
          <w:tcPr>
            <w:tcW w:w="260" w:type="dxa"/>
            <w:vAlign w:val="bottom"/>
            <w:tcBorders>
              <w:top w:val="single" w:sz="8" w:color="auto"/>
            </w:tcBorders>
            <w:shd w:val="clear" w:color="auto" w:fill="E5E5E5"/>
          </w:tcPr>
          <w:p>
            <w:pPr>
              <w:spacing w:after="0"/>
              <w:rPr>
                <w:sz w:val="15"/>
                <w:szCs w:val="15"/>
                <w:color w:val="auto"/>
              </w:rPr>
            </w:pPr>
          </w:p>
        </w:tc>
        <w:tc>
          <w:tcPr>
            <w:tcW w:w="900" w:type="dxa"/>
            <w:vAlign w:val="bottom"/>
            <w:tcBorders>
              <w:top w:val="single" w:sz="8" w:color="auto"/>
            </w:tcBorders>
            <w:shd w:val="clear" w:color="auto" w:fill="E5E5E5"/>
          </w:tcPr>
          <w:p>
            <w:pPr>
              <w:spacing w:after="0"/>
              <w:rPr>
                <w:sz w:val="15"/>
                <w:szCs w:val="15"/>
                <w:color w:val="auto"/>
              </w:rPr>
            </w:pPr>
          </w:p>
        </w:tc>
        <w:tc>
          <w:tcPr>
            <w:tcW w:w="120" w:type="dxa"/>
            <w:vAlign w:val="bottom"/>
            <w:tcBorders>
              <w:top w:val="single" w:sz="8" w:color="E5E5E5"/>
            </w:tcBorders>
            <w:shd w:val="clear" w:color="auto" w:fill="E5E5E5"/>
          </w:tcPr>
          <w:p>
            <w:pPr>
              <w:spacing w:after="0"/>
              <w:rPr>
                <w:sz w:val="15"/>
                <w:szCs w:val="15"/>
                <w:color w:val="auto"/>
              </w:rPr>
            </w:pPr>
          </w:p>
        </w:tc>
        <w:tc>
          <w:tcPr>
            <w:tcW w:w="140" w:type="dxa"/>
            <w:vAlign w:val="bottom"/>
            <w:tcBorders>
              <w:top w:val="single" w:sz="8" w:color="auto"/>
            </w:tcBorders>
            <w:shd w:val="clear" w:color="auto" w:fill="E5E5E5"/>
          </w:tcPr>
          <w:p>
            <w:pPr>
              <w:spacing w:after="0"/>
              <w:rPr>
                <w:sz w:val="15"/>
                <w:szCs w:val="15"/>
                <w:color w:val="auto"/>
              </w:rPr>
            </w:pPr>
          </w:p>
        </w:tc>
        <w:tc>
          <w:tcPr>
            <w:tcW w:w="1040" w:type="dxa"/>
            <w:vAlign w:val="bottom"/>
            <w:tcBorders>
              <w:top w:val="single" w:sz="8" w:color="auto"/>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400" w:type="dxa"/>
            <w:vAlign w:val="bottom"/>
          </w:tcPr>
          <w:p>
            <w:pPr>
              <w:ind w:left="20"/>
              <w:spacing w:after="0"/>
              <w:rPr>
                <w:sz w:val="20"/>
                <w:szCs w:val="20"/>
                <w:color w:val="auto"/>
              </w:rPr>
            </w:pPr>
            <w:r>
              <w:rPr>
                <w:rFonts w:ascii="Arial" w:cs="Arial" w:eastAsia="Arial" w:hAnsi="Arial"/>
                <w:sz w:val="14"/>
                <w:szCs w:val="14"/>
                <w:color w:val="auto"/>
              </w:rPr>
              <w:t>Low Credit Risk</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98</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206"/>
        </w:trPr>
        <w:tc>
          <w:tcPr>
            <w:tcW w:w="2400" w:type="dxa"/>
            <w:vAlign w:val="bottom"/>
            <w:shd w:val="clear" w:color="auto" w:fill="E5E5E5"/>
          </w:tcPr>
          <w:p>
            <w:pPr>
              <w:ind w:left="20"/>
              <w:spacing w:after="0"/>
              <w:rPr>
                <w:sz w:val="20"/>
                <w:szCs w:val="20"/>
                <w:color w:val="auto"/>
              </w:rPr>
            </w:pPr>
            <w:r>
              <w:rPr>
                <w:rFonts w:ascii="Arial" w:cs="Arial" w:eastAsia="Arial" w:hAnsi="Arial"/>
                <w:sz w:val="14"/>
                <w:szCs w:val="14"/>
                <w:color w:val="auto"/>
              </w:rPr>
              <w:t>Average Credit Risk</w:t>
            </w: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99"/>
        </w:trPr>
        <w:tc>
          <w:tcPr>
            <w:tcW w:w="240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High Credit Risk</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E5E5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99"/>
        </w:trPr>
        <w:tc>
          <w:tcPr>
            <w:tcW w:w="24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Total</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186</w:t>
            </w:r>
          </w:p>
        </w:tc>
        <w:tc>
          <w:tcPr>
            <w:tcW w:w="36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197"/>
        </w:trPr>
        <w:tc>
          <w:tcPr>
            <w:tcW w:w="24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United States (Indirect)</w:t>
            </w: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0" w:type="dxa"/>
            <w:vAlign w:val="bottom"/>
          </w:tcPr>
          <w:p>
            <w:pPr>
              <w:ind w:left="20"/>
              <w:spacing w:after="0"/>
              <w:rPr>
                <w:sz w:val="20"/>
                <w:szCs w:val="20"/>
                <w:color w:val="auto"/>
              </w:rPr>
            </w:pPr>
            <w:r>
              <w:rPr>
                <w:rFonts w:ascii="Arial" w:cs="Arial" w:eastAsia="Arial" w:hAnsi="Arial"/>
                <w:sz w:val="14"/>
                <w:szCs w:val="14"/>
                <w:color w:val="auto"/>
              </w:rPr>
              <w:t>Low Credit Risk</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207"/>
        </w:trPr>
        <w:tc>
          <w:tcPr>
            <w:tcW w:w="2400" w:type="dxa"/>
            <w:vAlign w:val="bottom"/>
            <w:shd w:val="clear" w:color="auto" w:fill="E5E5E5"/>
          </w:tcPr>
          <w:p>
            <w:pPr>
              <w:ind w:left="20"/>
              <w:spacing w:after="0"/>
              <w:rPr>
                <w:sz w:val="20"/>
                <w:szCs w:val="20"/>
                <w:color w:val="auto"/>
              </w:rPr>
            </w:pPr>
            <w:r>
              <w:rPr>
                <w:rFonts w:ascii="Arial" w:cs="Arial" w:eastAsia="Arial" w:hAnsi="Arial"/>
                <w:sz w:val="14"/>
                <w:szCs w:val="14"/>
                <w:color w:val="auto"/>
              </w:rPr>
              <w:t>Average Credit Risk</w:t>
            </w: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74</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98"/>
        </w:trPr>
        <w:tc>
          <w:tcPr>
            <w:tcW w:w="240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High Credit Risk</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5E5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9"/>
        </w:trPr>
        <w:tc>
          <w:tcPr>
            <w:tcW w:w="24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Total</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263</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182</w:t>
            </w:r>
          </w:p>
        </w:tc>
        <w:tc>
          <w:tcPr>
            <w:tcW w:w="36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197"/>
        </w:trPr>
        <w:tc>
          <w:tcPr>
            <w:tcW w:w="24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Canada</w:t>
            </w: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0" w:type="dxa"/>
            <w:vAlign w:val="bottom"/>
          </w:tcPr>
          <w:p>
            <w:pPr>
              <w:ind w:left="20"/>
              <w:spacing w:after="0"/>
              <w:rPr>
                <w:sz w:val="20"/>
                <w:szCs w:val="20"/>
                <w:color w:val="auto"/>
              </w:rPr>
            </w:pPr>
            <w:r>
              <w:rPr>
                <w:rFonts w:ascii="Arial" w:cs="Arial" w:eastAsia="Arial" w:hAnsi="Arial"/>
                <w:sz w:val="14"/>
                <w:szCs w:val="14"/>
                <w:color w:val="auto"/>
              </w:rPr>
              <w:t>Low Credit Risk</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07"/>
        </w:trPr>
        <w:tc>
          <w:tcPr>
            <w:tcW w:w="2400" w:type="dxa"/>
            <w:vAlign w:val="bottom"/>
            <w:shd w:val="clear" w:color="auto" w:fill="E5E5E5"/>
          </w:tcPr>
          <w:p>
            <w:pPr>
              <w:ind w:left="20"/>
              <w:spacing w:after="0"/>
              <w:rPr>
                <w:sz w:val="20"/>
                <w:szCs w:val="20"/>
                <w:color w:val="auto"/>
              </w:rPr>
            </w:pPr>
            <w:r>
              <w:rPr>
                <w:rFonts w:ascii="Arial" w:cs="Arial" w:eastAsia="Arial" w:hAnsi="Arial"/>
                <w:sz w:val="14"/>
                <w:szCs w:val="14"/>
                <w:color w:val="auto"/>
              </w:rPr>
              <w:t>Average Credit Risk</w:t>
            </w: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98"/>
        </w:trPr>
        <w:tc>
          <w:tcPr>
            <w:tcW w:w="240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High Credit Risk</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5E5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9"/>
        </w:trPr>
        <w:tc>
          <w:tcPr>
            <w:tcW w:w="24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Total</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56</w:t>
            </w:r>
          </w:p>
        </w:tc>
        <w:tc>
          <w:tcPr>
            <w:tcW w:w="36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97"/>
        </w:trPr>
        <w:tc>
          <w:tcPr>
            <w:tcW w:w="24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E5E5E5"/>
          </w:tcPr>
          <w:p>
            <w:pPr>
              <w:ind w:left="20"/>
              <w:spacing w:after="0" w:line="202" w:lineRule="exact"/>
              <w:rPr>
                <w:sz w:val="20"/>
                <w:szCs w:val="20"/>
                <w:color w:val="auto"/>
              </w:rPr>
            </w:pPr>
            <w:r>
              <w:rPr>
                <w:rFonts w:ascii="Arial" w:cs="Arial" w:eastAsia="Arial" w:hAnsi="Arial"/>
                <w:sz w:val="14"/>
                <w:szCs w:val="14"/>
                <w:b w:val="1"/>
                <w:bCs w:val="1"/>
                <w:color w:val="auto"/>
              </w:rPr>
              <w:t>EMEA</w:t>
            </w:r>
            <w:r>
              <w:rPr>
                <w:rFonts w:ascii="Arial" w:cs="Arial" w:eastAsia="Arial" w:hAnsi="Arial"/>
                <w:sz w:val="18"/>
                <w:szCs w:val="18"/>
                <w:b w:val="1"/>
                <w:bCs w:val="1"/>
                <w:color w:val="auto"/>
                <w:vertAlign w:val="superscript"/>
              </w:rPr>
              <w:t>(1)</w:t>
            </w: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0" w:type="dxa"/>
            <w:vAlign w:val="bottom"/>
          </w:tcPr>
          <w:p>
            <w:pPr>
              <w:ind w:left="20"/>
              <w:spacing w:after="0"/>
              <w:rPr>
                <w:sz w:val="20"/>
                <w:szCs w:val="20"/>
                <w:color w:val="auto"/>
              </w:rPr>
            </w:pPr>
            <w:r>
              <w:rPr>
                <w:rFonts w:ascii="Arial" w:cs="Arial" w:eastAsia="Arial" w:hAnsi="Arial"/>
                <w:sz w:val="14"/>
                <w:szCs w:val="14"/>
                <w:color w:val="auto"/>
              </w:rPr>
              <w:t>Low Credit Risk</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121</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207"/>
        </w:trPr>
        <w:tc>
          <w:tcPr>
            <w:tcW w:w="2400" w:type="dxa"/>
            <w:vAlign w:val="bottom"/>
            <w:shd w:val="clear" w:color="auto" w:fill="E5E5E5"/>
          </w:tcPr>
          <w:p>
            <w:pPr>
              <w:ind w:left="20"/>
              <w:spacing w:after="0"/>
              <w:rPr>
                <w:sz w:val="20"/>
                <w:szCs w:val="20"/>
                <w:color w:val="auto"/>
              </w:rPr>
            </w:pPr>
            <w:r>
              <w:rPr>
                <w:rFonts w:ascii="Arial" w:cs="Arial" w:eastAsia="Arial" w:hAnsi="Arial"/>
                <w:sz w:val="14"/>
                <w:szCs w:val="14"/>
                <w:color w:val="auto"/>
              </w:rPr>
              <w:t>Average Credit Risk</w:t>
            </w: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98"/>
        </w:trPr>
        <w:tc>
          <w:tcPr>
            <w:tcW w:w="240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High Credit Risk</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5E5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99"/>
        </w:trPr>
        <w:tc>
          <w:tcPr>
            <w:tcW w:w="24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Total</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218</w:t>
            </w:r>
          </w:p>
        </w:tc>
        <w:tc>
          <w:tcPr>
            <w:tcW w:w="36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1,061</w:t>
            </w:r>
          </w:p>
        </w:tc>
        <w:tc>
          <w:tcPr>
            <w:tcW w:w="0" w:type="dxa"/>
            <w:vAlign w:val="bottom"/>
          </w:tcPr>
          <w:p>
            <w:pPr>
              <w:spacing w:after="0"/>
              <w:rPr>
                <w:sz w:val="1"/>
                <w:szCs w:val="1"/>
                <w:color w:val="auto"/>
              </w:rPr>
            </w:pPr>
          </w:p>
        </w:tc>
      </w:tr>
      <w:tr>
        <w:trPr>
          <w:trHeight w:val="197"/>
        </w:trPr>
        <w:tc>
          <w:tcPr>
            <w:tcW w:w="24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Total Finance Receivables</w:t>
            </w: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00" w:type="dxa"/>
            <w:vAlign w:val="bottom"/>
          </w:tcPr>
          <w:p>
            <w:pPr>
              <w:ind w:left="20"/>
              <w:spacing w:after="0"/>
              <w:rPr>
                <w:sz w:val="20"/>
                <w:szCs w:val="20"/>
                <w:color w:val="auto"/>
              </w:rPr>
            </w:pPr>
            <w:r>
              <w:rPr>
                <w:rFonts w:ascii="Arial" w:cs="Arial" w:eastAsia="Arial" w:hAnsi="Arial"/>
                <w:sz w:val="14"/>
                <w:szCs w:val="14"/>
                <w:color w:val="auto"/>
              </w:rPr>
              <w:t>Low Credit Risk</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644</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341</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1,683</w:t>
            </w:r>
          </w:p>
        </w:tc>
        <w:tc>
          <w:tcPr>
            <w:tcW w:w="0" w:type="dxa"/>
            <w:vAlign w:val="bottom"/>
          </w:tcPr>
          <w:p>
            <w:pPr>
              <w:spacing w:after="0"/>
              <w:rPr>
                <w:sz w:val="1"/>
                <w:szCs w:val="1"/>
                <w:color w:val="auto"/>
              </w:rPr>
            </w:pPr>
          </w:p>
        </w:tc>
      </w:tr>
      <w:tr>
        <w:trPr>
          <w:trHeight w:val="206"/>
        </w:trPr>
        <w:tc>
          <w:tcPr>
            <w:tcW w:w="2400" w:type="dxa"/>
            <w:vAlign w:val="bottom"/>
            <w:shd w:val="clear" w:color="auto" w:fill="E5E5E5"/>
          </w:tcPr>
          <w:p>
            <w:pPr>
              <w:ind w:left="20"/>
              <w:spacing w:after="0"/>
              <w:rPr>
                <w:sz w:val="20"/>
                <w:szCs w:val="20"/>
                <w:color w:val="auto"/>
              </w:rPr>
            </w:pPr>
            <w:r>
              <w:rPr>
                <w:rFonts w:ascii="Arial" w:cs="Arial" w:eastAsia="Arial" w:hAnsi="Arial"/>
                <w:sz w:val="14"/>
                <w:szCs w:val="14"/>
                <w:color w:val="auto"/>
              </w:rPr>
              <w:t>Average Credit Risk</w:t>
            </w: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451</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1,142</w:t>
            </w:r>
          </w:p>
        </w:tc>
        <w:tc>
          <w:tcPr>
            <w:tcW w:w="0" w:type="dxa"/>
            <w:vAlign w:val="bottom"/>
          </w:tcPr>
          <w:p>
            <w:pPr>
              <w:spacing w:after="0"/>
              <w:rPr>
                <w:sz w:val="1"/>
                <w:szCs w:val="1"/>
                <w:color w:val="auto"/>
              </w:rPr>
            </w:pPr>
          </w:p>
        </w:tc>
      </w:tr>
      <w:tr>
        <w:trPr>
          <w:trHeight w:val="198"/>
        </w:trPr>
        <w:tc>
          <w:tcPr>
            <w:tcW w:w="240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High Credit Risk</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E5E5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220"/>
        </w:trPr>
        <w:tc>
          <w:tcPr>
            <w:tcW w:w="24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Total</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1,236</w:t>
            </w:r>
          </w:p>
        </w:tc>
        <w:tc>
          <w:tcPr>
            <w:tcW w:w="100" w:type="dxa"/>
            <w:vAlign w:val="bottom"/>
            <w:shd w:val="clear" w:color="auto" w:fill="E5E5E5"/>
          </w:tcPr>
          <w:p>
            <w:pPr>
              <w:spacing w:after="0"/>
              <w:rPr>
                <w:sz w:val="19"/>
                <w:szCs w:val="19"/>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837</w:t>
            </w:r>
          </w:p>
        </w:tc>
        <w:tc>
          <w:tcPr>
            <w:tcW w:w="120" w:type="dxa"/>
            <w:vAlign w:val="bottom"/>
            <w:shd w:val="clear" w:color="auto" w:fill="E5E5E5"/>
          </w:tcPr>
          <w:p>
            <w:pPr>
              <w:spacing w:after="0"/>
              <w:rPr>
                <w:sz w:val="19"/>
                <w:szCs w:val="19"/>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642</w:t>
            </w:r>
          </w:p>
        </w:tc>
        <w:tc>
          <w:tcPr>
            <w:tcW w:w="36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E5E5E5"/>
          </w:tcPr>
          <w:p>
            <w:pPr>
              <w:spacing w:after="0"/>
              <w:rPr>
                <w:sz w:val="19"/>
                <w:szCs w:val="19"/>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E5E5E5"/>
          </w:tcPr>
          <w:p>
            <w:pPr>
              <w:spacing w:after="0"/>
              <w:rPr>
                <w:sz w:val="19"/>
                <w:szCs w:val="19"/>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E5E5E5"/>
          </w:tcPr>
          <w:p>
            <w:pPr>
              <w:spacing w:after="0"/>
              <w:rPr>
                <w:sz w:val="19"/>
                <w:szCs w:val="19"/>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3,188</w:t>
            </w:r>
          </w:p>
        </w:tc>
        <w:tc>
          <w:tcPr>
            <w:tcW w:w="0" w:type="dxa"/>
            <w:vAlign w:val="bottom"/>
          </w:tcPr>
          <w:p>
            <w:pPr>
              <w:spacing w:after="0"/>
              <w:rPr>
                <w:sz w:val="1"/>
                <w:szCs w:val="1"/>
                <w:color w:val="auto"/>
              </w:rPr>
            </w:pPr>
          </w:p>
        </w:tc>
      </w:tr>
      <w:tr>
        <w:trPr>
          <w:trHeight w:val="20"/>
        </w:trPr>
        <w:tc>
          <w:tcPr>
            <w:tcW w:w="240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1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Includes developing market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4" w:name="page25"/>
    <w:bookmarkEnd w:id="24"/>
    <w:p>
      <w:pPr>
        <w:jc w:val="both"/>
        <w:spacing w:after="0" w:line="262" w:lineRule="auto"/>
        <w:rPr>
          <w:sz w:val="20"/>
          <w:szCs w:val="20"/>
          <w:color w:val="auto"/>
        </w:rPr>
      </w:pPr>
      <w:r>
        <w:rPr>
          <w:rFonts w:ascii="Arial" w:cs="Arial" w:eastAsia="Arial" w:hAnsi="Arial"/>
          <w:sz w:val="18"/>
          <w:szCs w:val="18"/>
          <w:color w:val="auto"/>
        </w:rPr>
        <w:t>The aging of our receivables portfolio is based upon the number of days an invoice is past due. Receivables that are more than 90 days past due are considered delinquent. Receivable losses are charged against the allowance when management believes the uncollectibility of the receivable is confirmed and is generally based on individual credit evaluations, results of collection efforts and specific circumstances of the customer. Subsequent recoveries, if any, are credited to the allowance.</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generally continue to maintain equipment on lease and provide services to customers that have invoices for finance receivables that are 90 days or more past due and, as a result of the bundled nature of billings, we also continue to accrue interest on those receivables. However, interest revenue for such billings is only recognized if collectability is deemed reasonably assured.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aging of our billed finance receivables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color w:val="auto"/>
              </w:rPr>
              <w:t>March 31, 2022</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left="148"/>
              <w:spacing w:after="0" w:line="151" w:lineRule="exact"/>
              <w:rPr>
                <w:sz w:val="20"/>
                <w:szCs w:val="20"/>
                <w:color w:val="auto"/>
              </w:rPr>
            </w:pPr>
            <w:r>
              <w:rPr>
                <w:rFonts w:ascii="Arial" w:cs="Arial" w:eastAsia="Arial" w:hAnsi="Arial"/>
                <w:sz w:val="14"/>
                <w:szCs w:val="14"/>
                <w:color w:val="auto"/>
              </w:rPr>
              <w:t>31-90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ind w:left="240"/>
              <w:spacing w:after="0"/>
              <w:rPr>
                <w:sz w:val="20"/>
                <w:szCs w:val="20"/>
                <w:color w:val="auto"/>
              </w:rPr>
            </w:pPr>
            <w:r>
              <w:rPr>
                <w:rFonts w:ascii="Arial" w:cs="Arial" w:eastAsia="Arial" w:hAnsi="Arial"/>
                <w:sz w:val="14"/>
                <w:szCs w:val="14"/>
                <w:color w:val="auto"/>
              </w:rPr>
              <w:t>&gt;90 Days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48"/>
              <w:spacing w:after="0" w:line="151" w:lineRule="exact"/>
              <w:rPr>
                <w:sz w:val="20"/>
                <w:szCs w:val="20"/>
                <w:color w:val="auto"/>
              </w:rPr>
            </w:pPr>
            <w:r>
              <w:rPr>
                <w:rFonts w:ascii="Arial" w:cs="Arial" w:eastAsia="Arial" w:hAnsi="Arial"/>
                <w:sz w:val="14"/>
                <w:szCs w:val="14"/>
                <w:color w:val="auto"/>
                <w:w w:val="96"/>
              </w:rPr>
              <w:t>Total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108"/>
              <w:spacing w:after="0" w:line="151" w:lineRule="exact"/>
              <w:rPr>
                <w:sz w:val="20"/>
                <w:szCs w:val="20"/>
                <w:color w:val="auto"/>
              </w:rPr>
            </w:pPr>
            <w:r>
              <w:rPr>
                <w:rFonts w:ascii="Arial" w:cs="Arial" w:eastAsia="Arial" w:hAnsi="Arial"/>
                <w:sz w:val="14"/>
                <w:szCs w:val="14"/>
                <w:color w:val="auto"/>
              </w:rPr>
              <w:t>&gt;90 Days</w:t>
            </w:r>
          </w:p>
        </w:tc>
        <w:tc>
          <w:tcPr>
            <w:tcW w:w="0" w:type="dxa"/>
            <w:vAlign w:val="bottom"/>
          </w:tcPr>
          <w:p>
            <w:pPr>
              <w:spacing w:after="0"/>
              <w:rPr>
                <w:sz w:val="1"/>
                <w:szCs w:val="1"/>
                <w:color w:val="auto"/>
              </w:rPr>
            </w:pPr>
          </w:p>
        </w:tc>
      </w:tr>
      <w:tr>
        <w:trPr>
          <w:trHeight w:val="144"/>
        </w:trPr>
        <w:tc>
          <w:tcPr>
            <w:tcW w:w="29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Current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left="148"/>
              <w:spacing w:after="0" w:line="145" w:lineRule="exact"/>
              <w:rPr>
                <w:sz w:val="20"/>
                <w:szCs w:val="20"/>
                <w:color w:val="auto"/>
              </w:rPr>
            </w:pPr>
            <w:r>
              <w:rPr>
                <w:rFonts w:ascii="Arial" w:cs="Arial" w:eastAsia="Arial" w:hAnsi="Arial"/>
                <w:sz w:val="14"/>
                <w:szCs w:val="14"/>
                <w:color w:val="auto"/>
              </w:rPr>
              <w:t>Days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center"/>
              <w:ind w:right="68"/>
              <w:spacing w:after="0"/>
              <w:rPr>
                <w:sz w:val="20"/>
                <w:szCs w:val="20"/>
                <w:color w:val="auto"/>
              </w:rPr>
            </w:pPr>
            <w:r>
              <w:rPr>
                <w:rFonts w:ascii="Arial" w:cs="Arial" w:eastAsia="Arial" w:hAnsi="Arial"/>
                <w:sz w:val="14"/>
                <w:szCs w:val="14"/>
                <w:color w:val="auto"/>
                <w:w w:val="98"/>
              </w:rPr>
              <w:t>Total Billed</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right"/>
              <w:ind w:right="208"/>
              <w:spacing w:after="0"/>
              <w:rPr>
                <w:sz w:val="20"/>
                <w:szCs w:val="20"/>
                <w:color w:val="auto"/>
              </w:rPr>
            </w:pPr>
            <w:r>
              <w:rPr>
                <w:rFonts w:ascii="Arial" w:cs="Arial" w:eastAsia="Arial" w:hAnsi="Arial"/>
                <w:sz w:val="14"/>
                <w:szCs w:val="14"/>
                <w:color w:val="auto"/>
              </w:rPr>
              <w:t>Unbilled</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68"/>
              <w:spacing w:after="0" w:line="145" w:lineRule="exact"/>
              <w:rPr>
                <w:sz w:val="20"/>
                <w:szCs w:val="20"/>
                <w:color w:val="auto"/>
              </w:rPr>
            </w:pPr>
            <w:r>
              <w:rPr>
                <w:rFonts w:ascii="Arial" w:cs="Arial" w:eastAsia="Arial" w:hAnsi="Arial"/>
                <w:sz w:val="14"/>
                <w:szCs w:val="14"/>
                <w:color w:val="auto"/>
              </w:rPr>
              <w:t>Finance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88"/>
              <w:spacing w:after="0" w:line="145" w:lineRule="exact"/>
              <w:rPr>
                <w:sz w:val="20"/>
                <w:szCs w:val="20"/>
                <w:color w:val="auto"/>
              </w:rPr>
            </w:pPr>
            <w:r>
              <w:rPr>
                <w:rFonts w:ascii="Arial" w:cs="Arial" w:eastAsia="Arial" w:hAnsi="Arial"/>
                <w:sz w:val="14"/>
                <w:szCs w:val="14"/>
                <w:color w:val="auto"/>
              </w:rPr>
              <w:t>and</w:t>
            </w:r>
          </w:p>
        </w:tc>
        <w:tc>
          <w:tcPr>
            <w:tcW w:w="0" w:type="dxa"/>
            <w:vAlign w:val="bottom"/>
          </w:tcPr>
          <w:p>
            <w:pPr>
              <w:spacing w:after="0"/>
              <w:rPr>
                <w:sz w:val="1"/>
                <w:szCs w:val="1"/>
                <w:color w:val="auto"/>
              </w:rPr>
            </w:pPr>
          </w:p>
        </w:tc>
      </w:tr>
      <w:tr>
        <w:trPr>
          <w:trHeight w:val="189"/>
        </w:trPr>
        <w:tc>
          <w:tcPr>
            <w:tcW w:w="2940" w:type="dxa"/>
            <w:vAlign w:val="bottom"/>
            <w:tcBorders>
              <w:bottom w:val="single" w:sz="8" w:color="E5E5E5"/>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86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rPr>
              <w:t>Past Due</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Past Due</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5E5E5"/>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E5E5E5"/>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Receivables</w:t>
            </w:r>
          </w:p>
        </w:tc>
        <w:tc>
          <w:tcPr>
            <w:tcW w:w="100" w:type="dxa"/>
            <w:vAlign w:val="bottom"/>
            <w:tcBorders>
              <w:bottom w:val="single" w:sz="8" w:color="E5E5E5"/>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Accruing</w:t>
            </w:r>
          </w:p>
        </w:tc>
        <w:tc>
          <w:tcPr>
            <w:tcW w:w="0" w:type="dxa"/>
            <w:vAlign w:val="bottom"/>
          </w:tcPr>
          <w:p>
            <w:pPr>
              <w:spacing w:after="0"/>
              <w:rPr>
                <w:sz w:val="1"/>
                <w:szCs w:val="1"/>
                <w:color w:val="auto"/>
              </w:rPr>
            </w:pPr>
          </w:p>
        </w:tc>
      </w:tr>
      <w:tr>
        <w:trPr>
          <w:trHeight w:val="196"/>
        </w:trPr>
        <w:tc>
          <w:tcPr>
            <w:tcW w:w="2940" w:type="dxa"/>
            <w:vAlign w:val="bottom"/>
            <w:shd w:val="clear" w:color="auto" w:fill="E5E5E5"/>
          </w:tcPr>
          <w:p>
            <w:pPr>
              <w:ind w:left="20"/>
              <w:spacing w:after="0"/>
              <w:rPr>
                <w:sz w:val="20"/>
                <w:szCs w:val="20"/>
                <w:color w:val="auto"/>
              </w:rPr>
            </w:pPr>
            <w:r>
              <w:rPr>
                <w:rFonts w:ascii="Arial" w:cs="Arial" w:eastAsia="Arial" w:hAnsi="Arial"/>
                <w:sz w:val="14"/>
                <w:szCs w:val="14"/>
                <w:color w:val="auto"/>
              </w:rPr>
              <w:t>Direct</w:t>
            </w:r>
          </w:p>
        </w:tc>
        <w:tc>
          <w:tcPr>
            <w:tcW w:w="820" w:type="dxa"/>
            <w:vAlign w:val="bottom"/>
            <w:shd w:val="clear" w:color="auto" w:fill="E5E5E5"/>
          </w:tcPr>
          <w:p>
            <w:pPr>
              <w:jc w:val="right"/>
              <w:ind w:right="648"/>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688"/>
              <w:spacing w:after="0"/>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688"/>
              <w:spacing w:after="0"/>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7</w:t>
            </w:r>
          </w:p>
        </w:tc>
        <w:tc>
          <w:tcPr>
            <w:tcW w:w="24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E5E5E5"/>
          </w:tcPr>
          <w:p>
            <w:pPr>
              <w:spacing w:after="0"/>
              <w:rPr>
                <w:sz w:val="17"/>
                <w:szCs w:val="17"/>
                <w:color w:val="auto"/>
              </w:rPr>
            </w:pPr>
          </w:p>
        </w:tc>
        <w:tc>
          <w:tcPr>
            <w:tcW w:w="2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793</w:t>
            </w:r>
          </w:p>
        </w:tc>
        <w:tc>
          <w:tcPr>
            <w:tcW w:w="120" w:type="dxa"/>
            <w:vAlign w:val="bottom"/>
            <w:shd w:val="clear" w:color="auto" w:fill="E5E5E5"/>
          </w:tcPr>
          <w:p>
            <w:pPr>
              <w:spacing w:after="0"/>
              <w:rPr>
                <w:sz w:val="17"/>
                <w:szCs w:val="17"/>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832</w:t>
            </w:r>
          </w:p>
        </w:tc>
        <w:tc>
          <w:tcPr>
            <w:tcW w:w="280" w:type="dxa"/>
            <w:vAlign w:val="bottom"/>
            <w:gridSpan w:val="2"/>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98"/>
        </w:trPr>
        <w:tc>
          <w:tcPr>
            <w:tcW w:w="294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Indirect</w:t>
            </w:r>
          </w:p>
        </w:tc>
        <w:tc>
          <w:tcPr>
            <w:tcW w:w="8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E5E5E5"/>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E5E5E5"/>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E5E5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E5E5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998</w:t>
            </w:r>
          </w:p>
        </w:tc>
        <w:tc>
          <w:tcPr>
            <w:tcW w:w="120" w:type="dxa"/>
            <w:vAlign w:val="bottom"/>
            <w:tcBorders>
              <w:bottom w:val="single" w:sz="8" w:color="E5E5E5"/>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w:t>
            </w:r>
          </w:p>
        </w:tc>
        <w:tc>
          <w:tcPr>
            <w:tcW w:w="100" w:type="dxa"/>
            <w:vAlign w:val="bottom"/>
            <w:tcBorders>
              <w:bottom w:val="single" w:sz="8" w:color="E5E5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94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Total United States</w:t>
            </w:r>
          </w:p>
        </w:tc>
        <w:tc>
          <w:tcPr>
            <w:tcW w:w="820" w:type="dxa"/>
            <w:vAlign w:val="bottom"/>
            <w:shd w:val="clear" w:color="auto" w:fill="E5E5E5"/>
          </w:tcPr>
          <w:p>
            <w:pPr>
              <w:spacing w:after="0"/>
              <w:rPr>
                <w:sz w:val="17"/>
                <w:szCs w:val="17"/>
                <w:color w:val="auto"/>
              </w:rPr>
            </w:pPr>
          </w:p>
        </w:tc>
        <w:tc>
          <w:tcPr>
            <w:tcW w:w="2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2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w w:val="89"/>
              </w:rPr>
              <w:t>12</w:t>
            </w:r>
          </w:p>
        </w:tc>
        <w:tc>
          <w:tcPr>
            <w:tcW w:w="10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2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w w:val="89"/>
              </w:rPr>
              <w:t>11</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1,791</w:t>
            </w: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1,863</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98"/>
        </w:trPr>
        <w:tc>
          <w:tcPr>
            <w:tcW w:w="2940" w:type="dxa"/>
            <w:vAlign w:val="bottom"/>
          </w:tcPr>
          <w:p>
            <w:pPr>
              <w:ind w:left="20"/>
              <w:spacing w:after="0"/>
              <w:rPr>
                <w:sz w:val="20"/>
                <w:szCs w:val="20"/>
                <w:color w:val="auto"/>
              </w:rPr>
            </w:pPr>
            <w:r>
              <w:rPr>
                <w:rFonts w:ascii="Arial" w:cs="Arial" w:eastAsia="Arial" w:hAnsi="Arial"/>
                <w:sz w:val="14"/>
                <w:szCs w:val="14"/>
                <w:color w:val="auto"/>
              </w:rPr>
              <w:t>Canada</w:t>
            </w:r>
          </w:p>
        </w:tc>
        <w:tc>
          <w:tcPr>
            <w:tcW w:w="820" w:type="dxa"/>
            <w:vAlign w:val="bottom"/>
          </w:tcPr>
          <w:p>
            <w:pPr>
              <w:spacing w:after="0"/>
              <w:rPr>
                <w:sz w:val="17"/>
                <w:szCs w:val="17"/>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7"/>
        </w:trPr>
        <w:tc>
          <w:tcPr>
            <w:tcW w:w="2940" w:type="dxa"/>
            <w:vAlign w:val="bottom"/>
            <w:shd w:val="clear" w:color="auto" w:fill="E5E5E5"/>
          </w:tcPr>
          <w:p>
            <w:pPr>
              <w:ind w:left="20"/>
              <w:spacing w:after="0"/>
              <w:rPr>
                <w:sz w:val="20"/>
                <w:szCs w:val="20"/>
                <w:color w:val="auto"/>
              </w:rPr>
            </w:pPr>
            <w:r>
              <w:rPr>
                <w:rFonts w:ascii="Arial" w:cs="Arial" w:eastAsia="Arial" w:hAnsi="Arial"/>
                <w:sz w:val="14"/>
                <w:szCs w:val="14"/>
                <w:color w:val="auto"/>
              </w:rPr>
              <w:t>EMEA</w:t>
            </w:r>
            <w:r>
              <w:rPr>
                <w:rFonts w:ascii="Arial" w:cs="Arial" w:eastAsia="Arial" w:hAnsi="Arial"/>
                <w:sz w:val="18"/>
                <w:szCs w:val="18"/>
                <w:color w:val="auto"/>
                <w:vertAlign w:val="superscript"/>
              </w:rPr>
              <w:t>(1)</w:t>
            </w:r>
          </w:p>
        </w:tc>
        <w:tc>
          <w:tcPr>
            <w:tcW w:w="820" w:type="dxa"/>
            <w:vAlign w:val="bottom"/>
            <w:tcBorders>
              <w:bottom w:val="single" w:sz="8" w:color="auto"/>
            </w:tcBorders>
            <w:shd w:val="clear" w:color="auto" w:fill="E5E5E5"/>
          </w:tcPr>
          <w:p>
            <w:pPr>
              <w:spacing w:after="0"/>
              <w:rPr>
                <w:sz w:val="17"/>
                <w:szCs w:val="17"/>
                <w:color w:val="auto"/>
              </w:rPr>
            </w:pPr>
          </w:p>
        </w:tc>
        <w:tc>
          <w:tcPr>
            <w:tcW w:w="28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E5E5E5"/>
          </w:tcPr>
          <w:p>
            <w:pPr>
              <w:spacing w:after="0"/>
              <w:rPr>
                <w:sz w:val="17"/>
                <w:szCs w:val="17"/>
                <w:color w:val="auto"/>
              </w:rPr>
            </w:pPr>
          </w:p>
        </w:tc>
        <w:tc>
          <w:tcPr>
            <w:tcW w:w="860" w:type="dxa"/>
            <w:vAlign w:val="bottom"/>
            <w:tcBorders>
              <w:bottom w:val="single" w:sz="8" w:color="auto"/>
            </w:tcBorders>
            <w:shd w:val="clear" w:color="auto" w:fill="E5E5E5"/>
          </w:tcPr>
          <w:p>
            <w:pPr>
              <w:spacing w:after="0"/>
              <w:rPr>
                <w:sz w:val="17"/>
                <w:szCs w:val="17"/>
                <w:color w:val="auto"/>
              </w:rPr>
            </w:pPr>
          </w:p>
        </w:tc>
        <w:tc>
          <w:tcPr>
            <w:tcW w:w="24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E5E5E5"/>
          </w:tcPr>
          <w:p>
            <w:pPr>
              <w:spacing w:after="0"/>
              <w:rPr>
                <w:sz w:val="17"/>
                <w:szCs w:val="17"/>
                <w:color w:val="auto"/>
              </w:rPr>
            </w:pPr>
          </w:p>
        </w:tc>
        <w:tc>
          <w:tcPr>
            <w:tcW w:w="860" w:type="dxa"/>
            <w:vAlign w:val="bottom"/>
            <w:tcBorders>
              <w:bottom w:val="single" w:sz="8" w:color="auto"/>
            </w:tcBorders>
            <w:shd w:val="clear" w:color="auto" w:fill="E5E5E5"/>
          </w:tcPr>
          <w:p>
            <w:pPr>
              <w:spacing w:after="0"/>
              <w:rPr>
                <w:sz w:val="17"/>
                <w:szCs w:val="17"/>
                <w:color w:val="auto"/>
              </w:rPr>
            </w:pPr>
          </w:p>
        </w:tc>
        <w:tc>
          <w:tcPr>
            <w:tcW w:w="24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E5E5E5"/>
          </w:tcPr>
          <w:p>
            <w:pPr>
              <w:spacing w:after="0"/>
              <w:rPr>
                <w:sz w:val="17"/>
                <w:szCs w:val="17"/>
                <w:color w:val="auto"/>
              </w:rPr>
            </w:pPr>
          </w:p>
        </w:tc>
        <w:tc>
          <w:tcPr>
            <w:tcW w:w="140" w:type="dxa"/>
            <w:vAlign w:val="bottom"/>
            <w:tcBorders>
              <w:bottom w:val="single" w:sz="8" w:color="auto"/>
            </w:tcBorders>
            <w:shd w:val="clear" w:color="auto" w:fill="E5E5E5"/>
          </w:tcPr>
          <w:p>
            <w:pPr>
              <w:spacing w:after="0"/>
              <w:rPr>
                <w:sz w:val="17"/>
                <w:szCs w:val="17"/>
                <w:color w:val="auto"/>
              </w:rPr>
            </w:pP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E5E5E5"/>
          </w:tcPr>
          <w:p>
            <w:pPr>
              <w:spacing w:after="0"/>
              <w:rPr>
                <w:sz w:val="17"/>
                <w:szCs w:val="17"/>
                <w:color w:val="auto"/>
              </w:rPr>
            </w:pPr>
          </w:p>
        </w:tc>
        <w:tc>
          <w:tcPr>
            <w:tcW w:w="200" w:type="dxa"/>
            <w:vAlign w:val="bottom"/>
            <w:tcBorders>
              <w:bottom w:val="single" w:sz="8" w:color="auto"/>
            </w:tcBorders>
            <w:shd w:val="clear" w:color="auto" w:fill="E5E5E5"/>
          </w:tcPr>
          <w:p>
            <w:pPr>
              <w:spacing w:after="0"/>
              <w:rPr>
                <w:sz w:val="17"/>
                <w:szCs w:val="17"/>
                <w:color w:val="auto"/>
              </w:rPr>
            </w:pP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1,005</w:t>
            </w:r>
          </w:p>
        </w:tc>
        <w:tc>
          <w:tcPr>
            <w:tcW w:w="120" w:type="dxa"/>
            <w:vAlign w:val="bottom"/>
            <w:shd w:val="clear" w:color="auto" w:fill="E5E5E5"/>
          </w:tcPr>
          <w:p>
            <w:pPr>
              <w:spacing w:after="0"/>
              <w:rPr>
                <w:sz w:val="17"/>
                <w:szCs w:val="17"/>
                <w:color w:val="auto"/>
              </w:rPr>
            </w:pPr>
          </w:p>
        </w:tc>
        <w:tc>
          <w:tcPr>
            <w:tcW w:w="120" w:type="dxa"/>
            <w:vAlign w:val="bottom"/>
            <w:tcBorders>
              <w:bottom w:val="single" w:sz="8" w:color="auto"/>
            </w:tcBorders>
            <w:shd w:val="clear" w:color="auto" w:fill="E5E5E5"/>
          </w:tcPr>
          <w:p>
            <w:pPr>
              <w:spacing w:after="0"/>
              <w:rPr>
                <w:sz w:val="17"/>
                <w:szCs w:val="17"/>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1,016</w:t>
            </w:r>
          </w:p>
        </w:tc>
        <w:tc>
          <w:tcPr>
            <w:tcW w:w="100" w:type="dxa"/>
            <w:vAlign w:val="bottom"/>
            <w:shd w:val="clear" w:color="auto" w:fill="E5E5E5"/>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6"/>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8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89"/>
              </w:rPr>
              <w:t>16</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89"/>
              </w:rPr>
              <w:t>12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3,034</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1"/>
        </w:trPr>
        <w:tc>
          <w:tcPr>
            <w:tcW w:w="29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December 31, 2021</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left="148"/>
              <w:spacing w:after="0" w:line="151" w:lineRule="exact"/>
              <w:rPr>
                <w:sz w:val="20"/>
                <w:szCs w:val="20"/>
                <w:color w:val="auto"/>
              </w:rPr>
            </w:pPr>
            <w:r>
              <w:rPr>
                <w:rFonts w:ascii="Arial" w:cs="Arial" w:eastAsia="Arial" w:hAnsi="Arial"/>
                <w:sz w:val="14"/>
                <w:szCs w:val="14"/>
                <w:color w:val="auto"/>
              </w:rPr>
              <w:t>31-90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ind w:left="240"/>
              <w:spacing w:after="0"/>
              <w:rPr>
                <w:sz w:val="20"/>
                <w:szCs w:val="20"/>
                <w:color w:val="auto"/>
              </w:rPr>
            </w:pPr>
            <w:r>
              <w:rPr>
                <w:rFonts w:ascii="Arial" w:cs="Arial" w:eastAsia="Arial" w:hAnsi="Arial"/>
                <w:sz w:val="14"/>
                <w:szCs w:val="14"/>
                <w:color w:val="auto"/>
              </w:rPr>
              <w:t>&gt;90 Days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48"/>
              <w:spacing w:after="0" w:line="151" w:lineRule="exact"/>
              <w:rPr>
                <w:sz w:val="20"/>
                <w:szCs w:val="20"/>
                <w:color w:val="auto"/>
              </w:rPr>
            </w:pPr>
            <w:r>
              <w:rPr>
                <w:rFonts w:ascii="Arial" w:cs="Arial" w:eastAsia="Arial" w:hAnsi="Arial"/>
                <w:sz w:val="14"/>
                <w:szCs w:val="14"/>
                <w:color w:val="auto"/>
                <w:w w:val="96"/>
              </w:rPr>
              <w:t>Total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108"/>
              <w:spacing w:after="0" w:line="151" w:lineRule="exact"/>
              <w:rPr>
                <w:sz w:val="20"/>
                <w:szCs w:val="20"/>
                <w:color w:val="auto"/>
              </w:rPr>
            </w:pPr>
            <w:r>
              <w:rPr>
                <w:rFonts w:ascii="Arial" w:cs="Arial" w:eastAsia="Arial" w:hAnsi="Arial"/>
                <w:sz w:val="14"/>
                <w:szCs w:val="14"/>
                <w:color w:val="auto"/>
              </w:rPr>
              <w:t>&gt;90 Days</w:t>
            </w:r>
          </w:p>
        </w:tc>
        <w:tc>
          <w:tcPr>
            <w:tcW w:w="0" w:type="dxa"/>
            <w:vAlign w:val="bottom"/>
          </w:tcPr>
          <w:p>
            <w:pPr>
              <w:spacing w:after="0"/>
              <w:rPr>
                <w:sz w:val="1"/>
                <w:szCs w:val="1"/>
                <w:color w:val="auto"/>
              </w:rPr>
            </w:pPr>
          </w:p>
        </w:tc>
      </w:tr>
      <w:tr>
        <w:trPr>
          <w:trHeight w:val="144"/>
        </w:trPr>
        <w:tc>
          <w:tcPr>
            <w:tcW w:w="29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Current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left="148"/>
              <w:spacing w:after="0" w:line="145" w:lineRule="exact"/>
              <w:rPr>
                <w:sz w:val="20"/>
                <w:szCs w:val="20"/>
                <w:color w:val="auto"/>
              </w:rPr>
            </w:pPr>
            <w:r>
              <w:rPr>
                <w:rFonts w:ascii="Arial" w:cs="Arial" w:eastAsia="Arial" w:hAnsi="Arial"/>
                <w:sz w:val="14"/>
                <w:szCs w:val="14"/>
                <w:color w:val="auto"/>
              </w:rPr>
              <w:t>Days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center"/>
              <w:ind w:right="68"/>
              <w:spacing w:after="0"/>
              <w:rPr>
                <w:sz w:val="20"/>
                <w:szCs w:val="20"/>
                <w:color w:val="auto"/>
              </w:rPr>
            </w:pPr>
            <w:r>
              <w:rPr>
                <w:rFonts w:ascii="Arial" w:cs="Arial" w:eastAsia="Arial" w:hAnsi="Arial"/>
                <w:sz w:val="14"/>
                <w:szCs w:val="14"/>
                <w:color w:val="auto"/>
                <w:w w:val="98"/>
              </w:rPr>
              <w:t>Total Billed</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right"/>
              <w:ind w:right="208"/>
              <w:spacing w:after="0"/>
              <w:rPr>
                <w:sz w:val="20"/>
                <w:szCs w:val="20"/>
                <w:color w:val="auto"/>
              </w:rPr>
            </w:pPr>
            <w:r>
              <w:rPr>
                <w:rFonts w:ascii="Arial" w:cs="Arial" w:eastAsia="Arial" w:hAnsi="Arial"/>
                <w:sz w:val="14"/>
                <w:szCs w:val="14"/>
                <w:color w:val="auto"/>
              </w:rPr>
              <w:t>Unbilled</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68"/>
              <w:spacing w:after="0" w:line="145" w:lineRule="exact"/>
              <w:rPr>
                <w:sz w:val="20"/>
                <w:szCs w:val="20"/>
                <w:color w:val="auto"/>
              </w:rPr>
            </w:pPr>
            <w:r>
              <w:rPr>
                <w:rFonts w:ascii="Arial" w:cs="Arial" w:eastAsia="Arial" w:hAnsi="Arial"/>
                <w:sz w:val="14"/>
                <w:szCs w:val="14"/>
                <w:color w:val="auto"/>
              </w:rPr>
              <w:t>Finance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88"/>
              <w:spacing w:after="0" w:line="145" w:lineRule="exact"/>
              <w:rPr>
                <w:sz w:val="20"/>
                <w:szCs w:val="20"/>
                <w:color w:val="auto"/>
              </w:rPr>
            </w:pPr>
            <w:r>
              <w:rPr>
                <w:rFonts w:ascii="Arial" w:cs="Arial" w:eastAsia="Arial" w:hAnsi="Arial"/>
                <w:sz w:val="14"/>
                <w:szCs w:val="14"/>
                <w:color w:val="auto"/>
              </w:rPr>
              <w:t>and</w:t>
            </w:r>
          </w:p>
        </w:tc>
        <w:tc>
          <w:tcPr>
            <w:tcW w:w="0" w:type="dxa"/>
            <w:vAlign w:val="bottom"/>
          </w:tcPr>
          <w:p>
            <w:pPr>
              <w:spacing w:after="0"/>
              <w:rPr>
                <w:sz w:val="1"/>
                <w:szCs w:val="1"/>
                <w:color w:val="auto"/>
              </w:rPr>
            </w:pPr>
          </w:p>
        </w:tc>
      </w:tr>
      <w:tr>
        <w:trPr>
          <w:trHeight w:val="189"/>
        </w:trPr>
        <w:tc>
          <w:tcPr>
            <w:tcW w:w="2940" w:type="dxa"/>
            <w:vAlign w:val="bottom"/>
            <w:tcBorders>
              <w:bottom w:val="single" w:sz="8" w:color="E5E5E5"/>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86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rPr>
              <w:t>Past Due</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Past Due</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5E5E5"/>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E5E5E5"/>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Receivables</w:t>
            </w:r>
          </w:p>
        </w:tc>
        <w:tc>
          <w:tcPr>
            <w:tcW w:w="100" w:type="dxa"/>
            <w:vAlign w:val="bottom"/>
            <w:tcBorders>
              <w:bottom w:val="single" w:sz="8" w:color="E5E5E5"/>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Accruing</w:t>
            </w:r>
          </w:p>
        </w:tc>
        <w:tc>
          <w:tcPr>
            <w:tcW w:w="0" w:type="dxa"/>
            <w:vAlign w:val="bottom"/>
          </w:tcPr>
          <w:p>
            <w:pPr>
              <w:spacing w:after="0"/>
              <w:rPr>
                <w:sz w:val="1"/>
                <w:szCs w:val="1"/>
                <w:color w:val="auto"/>
              </w:rPr>
            </w:pPr>
          </w:p>
        </w:tc>
      </w:tr>
      <w:tr>
        <w:trPr>
          <w:trHeight w:val="196"/>
        </w:trPr>
        <w:tc>
          <w:tcPr>
            <w:tcW w:w="2940" w:type="dxa"/>
            <w:vAlign w:val="bottom"/>
            <w:shd w:val="clear" w:color="auto" w:fill="E5E5E5"/>
          </w:tcPr>
          <w:p>
            <w:pPr>
              <w:ind w:left="20"/>
              <w:spacing w:after="0"/>
              <w:rPr>
                <w:sz w:val="20"/>
                <w:szCs w:val="20"/>
                <w:color w:val="auto"/>
              </w:rPr>
            </w:pPr>
            <w:r>
              <w:rPr>
                <w:rFonts w:ascii="Arial" w:cs="Arial" w:eastAsia="Arial" w:hAnsi="Arial"/>
                <w:sz w:val="14"/>
                <w:szCs w:val="14"/>
                <w:color w:val="auto"/>
              </w:rPr>
              <w:t>Direct</w:t>
            </w:r>
          </w:p>
        </w:tc>
        <w:tc>
          <w:tcPr>
            <w:tcW w:w="820" w:type="dxa"/>
            <w:vAlign w:val="bottom"/>
            <w:shd w:val="clear" w:color="auto" w:fill="E5E5E5"/>
          </w:tcPr>
          <w:p>
            <w:pPr>
              <w:jc w:val="right"/>
              <w:ind w:right="648"/>
              <w:spacing w:after="0"/>
              <w:rPr>
                <w:sz w:val="20"/>
                <w:szCs w:val="20"/>
                <w:color w:val="auto"/>
              </w:rPr>
            </w:pPr>
            <w:r>
              <w:rPr>
                <w:rFonts w:ascii="Arial" w:cs="Arial" w:eastAsia="Arial" w:hAnsi="Arial"/>
                <w:sz w:val="14"/>
                <w:szCs w:val="14"/>
                <w:color w:val="auto"/>
              </w:rPr>
              <w:t>$</w:t>
            </w:r>
          </w:p>
        </w:tc>
        <w:tc>
          <w:tcPr>
            <w:tcW w:w="2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688"/>
              <w:spacing w:after="0"/>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688"/>
              <w:spacing w:after="0"/>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7</w:t>
            </w:r>
          </w:p>
        </w:tc>
        <w:tc>
          <w:tcPr>
            <w:tcW w:w="24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E5E5E5"/>
          </w:tcPr>
          <w:p>
            <w:pPr>
              <w:spacing w:after="0"/>
              <w:rPr>
                <w:sz w:val="17"/>
                <w:szCs w:val="17"/>
                <w:color w:val="auto"/>
              </w:rPr>
            </w:pPr>
          </w:p>
        </w:tc>
        <w:tc>
          <w:tcPr>
            <w:tcW w:w="2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825</w:t>
            </w: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867</w:t>
            </w:r>
          </w:p>
        </w:tc>
        <w:tc>
          <w:tcPr>
            <w:tcW w:w="280" w:type="dxa"/>
            <w:vAlign w:val="bottom"/>
            <w:gridSpan w:val="2"/>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99"/>
        </w:trPr>
        <w:tc>
          <w:tcPr>
            <w:tcW w:w="294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Indirect</w:t>
            </w:r>
          </w:p>
        </w:tc>
        <w:tc>
          <w:tcPr>
            <w:tcW w:w="8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E5E5E5"/>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E5E5E5"/>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E5E5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E5E5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w:t>
            </w:r>
          </w:p>
        </w:tc>
        <w:tc>
          <w:tcPr>
            <w:tcW w:w="120" w:type="dxa"/>
            <w:vAlign w:val="bottom"/>
            <w:tcBorders>
              <w:bottom w:val="single" w:sz="8" w:color="E5E5E5"/>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1,009</w:t>
            </w:r>
          </w:p>
        </w:tc>
        <w:tc>
          <w:tcPr>
            <w:tcW w:w="100" w:type="dxa"/>
            <w:vAlign w:val="bottom"/>
            <w:tcBorders>
              <w:bottom w:val="single" w:sz="8" w:color="E5E5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94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Total United States</w:t>
            </w:r>
          </w:p>
        </w:tc>
        <w:tc>
          <w:tcPr>
            <w:tcW w:w="820" w:type="dxa"/>
            <w:vAlign w:val="bottom"/>
            <w:shd w:val="clear" w:color="auto" w:fill="E5E5E5"/>
          </w:tcPr>
          <w:p>
            <w:pPr>
              <w:spacing w:after="0"/>
              <w:rPr>
                <w:sz w:val="17"/>
                <w:szCs w:val="17"/>
                <w:color w:val="auto"/>
              </w:rPr>
            </w:pPr>
          </w:p>
        </w:tc>
        <w:tc>
          <w:tcPr>
            <w:tcW w:w="2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2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w w:val="89"/>
              </w:rPr>
              <w:t>12</w:t>
            </w:r>
          </w:p>
        </w:tc>
        <w:tc>
          <w:tcPr>
            <w:tcW w:w="10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2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w w:val="89"/>
              </w:rPr>
              <w:t>11</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1,797</w:t>
            </w: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1,876</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99"/>
        </w:trPr>
        <w:tc>
          <w:tcPr>
            <w:tcW w:w="2940" w:type="dxa"/>
            <w:vAlign w:val="bottom"/>
          </w:tcPr>
          <w:p>
            <w:pPr>
              <w:ind w:left="20"/>
              <w:spacing w:after="0"/>
              <w:rPr>
                <w:sz w:val="20"/>
                <w:szCs w:val="20"/>
                <w:color w:val="auto"/>
              </w:rPr>
            </w:pPr>
            <w:r>
              <w:rPr>
                <w:rFonts w:ascii="Arial" w:cs="Arial" w:eastAsia="Arial" w:hAnsi="Arial"/>
                <w:sz w:val="14"/>
                <w:szCs w:val="14"/>
                <w:color w:val="auto"/>
              </w:rPr>
              <w:t>Canada</w:t>
            </w:r>
          </w:p>
        </w:tc>
        <w:tc>
          <w:tcPr>
            <w:tcW w:w="820" w:type="dxa"/>
            <w:vAlign w:val="bottom"/>
          </w:tcPr>
          <w:p>
            <w:pPr>
              <w:spacing w:after="0"/>
              <w:rPr>
                <w:sz w:val="17"/>
                <w:szCs w:val="17"/>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6"/>
        </w:trPr>
        <w:tc>
          <w:tcPr>
            <w:tcW w:w="2940" w:type="dxa"/>
            <w:vAlign w:val="bottom"/>
            <w:shd w:val="clear" w:color="auto" w:fill="E5E5E5"/>
          </w:tcPr>
          <w:p>
            <w:pPr>
              <w:ind w:left="20"/>
              <w:spacing w:after="0"/>
              <w:rPr>
                <w:sz w:val="20"/>
                <w:szCs w:val="20"/>
                <w:color w:val="auto"/>
              </w:rPr>
            </w:pPr>
            <w:r>
              <w:rPr>
                <w:rFonts w:ascii="Arial" w:cs="Arial" w:eastAsia="Arial" w:hAnsi="Arial"/>
                <w:sz w:val="14"/>
                <w:szCs w:val="14"/>
                <w:color w:val="auto"/>
              </w:rPr>
              <w:t>EMEA</w:t>
            </w:r>
            <w:r>
              <w:rPr>
                <w:rFonts w:ascii="Arial" w:cs="Arial" w:eastAsia="Arial" w:hAnsi="Arial"/>
                <w:sz w:val="18"/>
                <w:szCs w:val="18"/>
                <w:color w:val="auto"/>
                <w:vertAlign w:val="superscript"/>
              </w:rPr>
              <w:t>(1)</w:t>
            </w:r>
          </w:p>
        </w:tc>
        <w:tc>
          <w:tcPr>
            <w:tcW w:w="820" w:type="dxa"/>
            <w:vAlign w:val="bottom"/>
            <w:tcBorders>
              <w:bottom w:val="single" w:sz="8" w:color="auto"/>
            </w:tcBorders>
            <w:shd w:val="clear" w:color="auto" w:fill="E5E5E5"/>
          </w:tcPr>
          <w:p>
            <w:pPr>
              <w:spacing w:after="0"/>
              <w:rPr>
                <w:sz w:val="17"/>
                <w:szCs w:val="17"/>
                <w:color w:val="auto"/>
              </w:rPr>
            </w:pPr>
          </w:p>
        </w:tc>
        <w:tc>
          <w:tcPr>
            <w:tcW w:w="28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E5E5E5"/>
          </w:tcPr>
          <w:p>
            <w:pPr>
              <w:spacing w:after="0"/>
              <w:rPr>
                <w:sz w:val="17"/>
                <w:szCs w:val="17"/>
                <w:color w:val="auto"/>
              </w:rPr>
            </w:pPr>
          </w:p>
        </w:tc>
        <w:tc>
          <w:tcPr>
            <w:tcW w:w="860" w:type="dxa"/>
            <w:vAlign w:val="bottom"/>
            <w:tcBorders>
              <w:bottom w:val="single" w:sz="8" w:color="auto"/>
            </w:tcBorders>
            <w:shd w:val="clear" w:color="auto" w:fill="E5E5E5"/>
          </w:tcPr>
          <w:p>
            <w:pPr>
              <w:spacing w:after="0"/>
              <w:rPr>
                <w:sz w:val="17"/>
                <w:szCs w:val="17"/>
                <w:color w:val="auto"/>
              </w:rPr>
            </w:pPr>
          </w:p>
        </w:tc>
        <w:tc>
          <w:tcPr>
            <w:tcW w:w="24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E5E5E5"/>
          </w:tcPr>
          <w:p>
            <w:pPr>
              <w:spacing w:after="0"/>
              <w:rPr>
                <w:sz w:val="17"/>
                <w:szCs w:val="17"/>
                <w:color w:val="auto"/>
              </w:rPr>
            </w:pPr>
          </w:p>
        </w:tc>
        <w:tc>
          <w:tcPr>
            <w:tcW w:w="860" w:type="dxa"/>
            <w:vAlign w:val="bottom"/>
            <w:tcBorders>
              <w:bottom w:val="single" w:sz="8" w:color="auto"/>
            </w:tcBorders>
            <w:shd w:val="clear" w:color="auto" w:fill="E5E5E5"/>
          </w:tcPr>
          <w:p>
            <w:pPr>
              <w:spacing w:after="0"/>
              <w:rPr>
                <w:sz w:val="17"/>
                <w:szCs w:val="17"/>
                <w:color w:val="auto"/>
              </w:rPr>
            </w:pPr>
          </w:p>
        </w:tc>
        <w:tc>
          <w:tcPr>
            <w:tcW w:w="24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E5E5E5"/>
          </w:tcPr>
          <w:p>
            <w:pPr>
              <w:spacing w:after="0"/>
              <w:rPr>
                <w:sz w:val="17"/>
                <w:szCs w:val="17"/>
                <w:color w:val="auto"/>
              </w:rPr>
            </w:pPr>
          </w:p>
        </w:tc>
        <w:tc>
          <w:tcPr>
            <w:tcW w:w="140" w:type="dxa"/>
            <w:vAlign w:val="bottom"/>
            <w:tcBorders>
              <w:bottom w:val="single" w:sz="8" w:color="auto"/>
            </w:tcBorders>
            <w:shd w:val="clear" w:color="auto" w:fill="E5E5E5"/>
          </w:tcPr>
          <w:p>
            <w:pPr>
              <w:spacing w:after="0"/>
              <w:rPr>
                <w:sz w:val="17"/>
                <w:szCs w:val="17"/>
                <w:color w:val="auto"/>
              </w:rPr>
            </w:pP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5E5E5"/>
          </w:tcPr>
          <w:p>
            <w:pPr>
              <w:spacing w:after="0"/>
              <w:rPr>
                <w:sz w:val="17"/>
                <w:szCs w:val="17"/>
                <w:color w:val="auto"/>
              </w:rPr>
            </w:pPr>
          </w:p>
        </w:tc>
        <w:tc>
          <w:tcPr>
            <w:tcW w:w="200" w:type="dxa"/>
            <w:vAlign w:val="bottom"/>
            <w:tcBorders>
              <w:bottom w:val="single" w:sz="8" w:color="auto"/>
            </w:tcBorders>
            <w:shd w:val="clear" w:color="auto" w:fill="E5E5E5"/>
          </w:tcPr>
          <w:p>
            <w:pPr>
              <w:spacing w:after="0"/>
              <w:rPr>
                <w:sz w:val="17"/>
                <w:szCs w:val="17"/>
                <w:color w:val="auto"/>
              </w:rPr>
            </w:pP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1,049</w:t>
            </w:r>
          </w:p>
        </w:tc>
        <w:tc>
          <w:tcPr>
            <w:tcW w:w="120" w:type="dxa"/>
            <w:vAlign w:val="bottom"/>
            <w:shd w:val="clear" w:color="auto" w:fill="E5E5E5"/>
          </w:tcPr>
          <w:p>
            <w:pPr>
              <w:spacing w:after="0"/>
              <w:rPr>
                <w:sz w:val="17"/>
                <w:szCs w:val="17"/>
                <w:color w:val="auto"/>
              </w:rPr>
            </w:pPr>
          </w:p>
        </w:tc>
        <w:tc>
          <w:tcPr>
            <w:tcW w:w="120" w:type="dxa"/>
            <w:vAlign w:val="bottom"/>
            <w:tcBorders>
              <w:bottom w:val="single" w:sz="8" w:color="auto"/>
            </w:tcBorders>
            <w:shd w:val="clear" w:color="auto" w:fill="E5E5E5"/>
          </w:tcPr>
          <w:p>
            <w:pPr>
              <w:spacing w:after="0"/>
              <w:rPr>
                <w:sz w:val="17"/>
                <w:szCs w:val="17"/>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1,061</w:t>
            </w:r>
          </w:p>
        </w:tc>
        <w:tc>
          <w:tcPr>
            <w:tcW w:w="100" w:type="dxa"/>
            <w:vAlign w:val="bottom"/>
            <w:shd w:val="clear" w:color="auto" w:fill="E5E5E5"/>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6"/>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w w:val="89"/>
              </w:rPr>
              <w:t>15</w:t>
            </w:r>
          </w:p>
        </w:tc>
        <w:tc>
          <w:tcPr>
            <w:tcW w:w="100" w:type="dxa"/>
            <w:vAlign w:val="bottom"/>
          </w:tcPr>
          <w:p>
            <w:pPr>
              <w:spacing w:after="0"/>
              <w:rPr>
                <w:sz w:val="17"/>
                <w:szCs w:val="17"/>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w w:val="89"/>
              </w:rPr>
              <w:t>12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3,090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3,188</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5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Includes developing market countries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Secured Borrowings and Collateral</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January 2022, we sold $789 of U.S. based finance receivables to a consolidated special purpose entity (SPE). At March 31, 2022, the SPE held $758 of total Finance receivables, net, which are included in our Condensed Consolidated Balance Sheet as collateral for a secured loan.</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September 2021, we sold $331 of U.S. based finance receivables to a consolidated SPE. At March 31, 2022 and December 31, 2021, the SPE held $272 and $308, respectively, of total Finance receivables, net, which are included in our Condensed Consolidated Balance Sheet as collateral for a secured loan.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13 - Debt, for additional information related to these arrangements.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DA2031"/>
        </w:rPr>
        <w:t>Note 10 – Inventories and Equipment on Operating Leases, Net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Inventories by major category: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March 31,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December 31,</w:t>
            </w:r>
          </w:p>
        </w:tc>
      </w:tr>
      <w:tr>
        <w:trPr>
          <w:trHeight w:val="185"/>
        </w:trPr>
        <w:tc>
          <w:tcPr>
            <w:tcW w:w="7600" w:type="dxa"/>
            <w:vAlign w:val="bottom"/>
            <w:tcBorders>
              <w:bottom w:val="single" w:sz="8" w:color="E5E5E5"/>
            </w:tcBorders>
          </w:tcPr>
          <w:p>
            <w:pPr>
              <w:spacing w:after="0"/>
              <w:rPr>
                <w:sz w:val="16"/>
                <w:szCs w:val="16"/>
                <w:color w:val="auto"/>
              </w:rPr>
            </w:pPr>
          </w:p>
        </w:tc>
        <w:tc>
          <w:tcPr>
            <w:tcW w:w="13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2022</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2021</w:t>
            </w:r>
          </w:p>
        </w:tc>
      </w:tr>
      <w:tr>
        <w:trPr>
          <w:trHeight w:val="196"/>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Finished goods</w:t>
            </w:r>
          </w:p>
        </w:tc>
        <w:tc>
          <w:tcPr>
            <w:tcW w:w="1340" w:type="dxa"/>
            <w:vAlign w:val="bottom"/>
            <w:shd w:val="clear" w:color="auto" w:fill="E5E5E5"/>
          </w:tcPr>
          <w:p>
            <w:pPr>
              <w:jc w:val="right"/>
              <w:ind w:right="1168"/>
              <w:spacing w:after="0"/>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586</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568</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Work-in-process</w:t>
            </w:r>
          </w:p>
        </w:tc>
        <w:tc>
          <w:tcPr>
            <w:tcW w:w="13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03"/>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Raw materials</w:t>
            </w:r>
          </w:p>
        </w:tc>
        <w:tc>
          <w:tcPr>
            <w:tcW w:w="1340" w:type="dxa"/>
            <w:vAlign w:val="bottom"/>
            <w:tcBorders>
              <w:bottom w:val="single" w:sz="8" w:color="auto"/>
            </w:tcBorders>
            <w:shd w:val="clear" w:color="auto" w:fill="E5E5E5"/>
          </w:tcPr>
          <w:p>
            <w:pPr>
              <w:spacing w:after="0"/>
              <w:rPr>
                <w:sz w:val="17"/>
                <w:szCs w:val="17"/>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1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85</w:t>
            </w:r>
          </w:p>
        </w:tc>
      </w:tr>
      <w:tr>
        <w:trPr>
          <w:trHeight w:val="200"/>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Total Inventories</w:t>
            </w:r>
          </w:p>
        </w:tc>
        <w:tc>
          <w:tcPr>
            <w:tcW w:w="1340" w:type="dxa"/>
            <w:vAlign w:val="bottom"/>
            <w:tcBorders>
              <w:bottom w:val="single" w:sz="8" w:color="auto"/>
            </w:tcBorders>
          </w:tcPr>
          <w:p>
            <w:pPr>
              <w:jc w:val="right"/>
              <w:ind w:right="116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w:t>
            </w:r>
          </w:p>
        </w:tc>
      </w:tr>
      <w:tr>
        <w:trPr>
          <w:trHeight w:val="21"/>
        </w:trPr>
        <w:tc>
          <w:tcPr>
            <w:tcW w:w="76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transfer of equipment from our inventories to equipment subject to an operating lease is presented in our Condensed Consolidated Statements of Cash Flows in the operating activities section. Equipment on operating leases and similar arrangements consists of our equipment rented to customers and depreciated to estimated salvage value at the end of the lease term.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Equipment on operating leases and the related accumulated depreciation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March 31,</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December 31,</w:t>
            </w:r>
          </w:p>
        </w:tc>
      </w:tr>
      <w:tr>
        <w:trPr>
          <w:trHeight w:val="185"/>
        </w:trPr>
        <w:tc>
          <w:tcPr>
            <w:tcW w:w="7600" w:type="dxa"/>
            <w:vAlign w:val="bottom"/>
            <w:tcBorders>
              <w:bottom w:val="single" w:sz="8" w:color="E5E5E5"/>
            </w:tcBorders>
          </w:tcPr>
          <w:p>
            <w:pPr>
              <w:spacing w:after="0"/>
              <w:rPr>
                <w:sz w:val="16"/>
                <w:szCs w:val="16"/>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2021</w:t>
            </w:r>
          </w:p>
        </w:tc>
      </w:tr>
      <w:tr>
        <w:trPr>
          <w:trHeight w:val="196"/>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Equipment on operating leases</w:t>
            </w:r>
          </w:p>
        </w:tc>
        <w:tc>
          <w:tcPr>
            <w:tcW w:w="1240" w:type="dxa"/>
            <w:vAlign w:val="bottom"/>
            <w:shd w:val="clear" w:color="auto" w:fill="E5E5E5"/>
          </w:tcPr>
          <w:p>
            <w:pPr>
              <w:jc w:val="right"/>
              <w:ind w:right="1068"/>
              <w:spacing w:after="0"/>
              <w:rPr>
                <w:sz w:val="20"/>
                <w:szCs w:val="20"/>
                <w:color w:val="auto"/>
              </w:rPr>
            </w:pPr>
            <w:r>
              <w:rPr>
                <w:rFonts w:ascii="Arial" w:cs="Arial" w:eastAsia="Arial" w:hAnsi="Arial"/>
                <w:sz w:val="14"/>
                <w:szCs w:val="14"/>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1,256</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1,266</w:t>
            </w:r>
          </w:p>
        </w:tc>
      </w:tr>
      <w:tr>
        <w:trPr>
          <w:trHeight w:val="198"/>
        </w:trPr>
        <w:tc>
          <w:tcPr>
            <w:tcW w:w="760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Accumulated depreciation</w:t>
            </w:r>
          </w:p>
        </w:tc>
        <w:tc>
          <w:tcPr>
            <w:tcW w:w="1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(1,002)</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w:t>
            </w:r>
          </w:p>
        </w:tc>
      </w:tr>
      <w:tr>
        <w:trPr>
          <w:trHeight w:val="225"/>
        </w:trPr>
        <w:tc>
          <w:tcPr>
            <w:tcW w:w="760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Equipment on operating leases, net</w:t>
            </w:r>
          </w:p>
        </w:tc>
        <w:tc>
          <w:tcPr>
            <w:tcW w:w="1240" w:type="dxa"/>
            <w:vAlign w:val="bottom"/>
            <w:tcBorders>
              <w:bottom w:val="single" w:sz="8" w:color="auto"/>
            </w:tcBorders>
            <w:shd w:val="clear" w:color="auto" w:fill="E5E5E5"/>
          </w:tcPr>
          <w:p>
            <w:pPr>
              <w:jc w:val="right"/>
              <w:ind w:right="10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254</w:t>
            </w:r>
          </w:p>
        </w:tc>
        <w:tc>
          <w:tcPr>
            <w:tcW w:w="120" w:type="dxa"/>
            <w:vAlign w:val="bottom"/>
            <w:tcBorders>
              <w:bottom w:val="single" w:sz="8" w:color="E5E5E5"/>
            </w:tcBorders>
            <w:shd w:val="clear" w:color="auto" w:fill="E5E5E5"/>
          </w:tcPr>
          <w:p>
            <w:pPr>
              <w:spacing w:after="0"/>
              <w:rPr>
                <w:sz w:val="19"/>
                <w:szCs w:val="19"/>
                <w:color w:val="auto"/>
              </w:rPr>
            </w:pPr>
          </w:p>
        </w:tc>
        <w:tc>
          <w:tcPr>
            <w:tcW w:w="260" w:type="dxa"/>
            <w:vAlign w:val="bottom"/>
            <w:tcBorders>
              <w:bottom w:val="single" w:sz="8" w:color="auto"/>
            </w:tcBorders>
            <w:shd w:val="clear" w:color="auto" w:fill="E5E5E5"/>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253</w:t>
            </w:r>
          </w:p>
        </w:tc>
      </w:tr>
      <w:tr>
        <w:trPr>
          <w:trHeight w:val="20"/>
        </w:trPr>
        <w:tc>
          <w:tcPr>
            <w:tcW w:w="7600" w:type="dxa"/>
            <w:vAlign w:val="bottom"/>
            <w:tcBorders>
              <w:top w:val="single" w:sz="8" w:color="E5E5E5"/>
            </w:tcBorders>
          </w:tcPr>
          <w:p>
            <w:pPr>
              <w:spacing w:after="0" w:line="20" w:lineRule="exact"/>
              <w:rPr>
                <w:sz w:val="1"/>
                <w:szCs w:val="1"/>
                <w:color w:val="auto"/>
              </w:rPr>
            </w:pPr>
          </w:p>
        </w:tc>
        <w:tc>
          <w:tcPr>
            <w:tcW w:w="1240" w:type="dxa"/>
            <w:vAlign w:val="bottom"/>
            <w:tcBorders>
              <w:top w:val="single" w:sz="8" w:color="E5E5E5"/>
              <w:bottom w:val="single" w:sz="8" w:color="auto"/>
            </w:tcBorders>
          </w:tcPr>
          <w:p>
            <w:pPr>
              <w:spacing w:after="0" w:line="20" w:lineRule="exact"/>
              <w:rPr>
                <w:sz w:val="1"/>
                <w:szCs w:val="1"/>
                <w:color w:val="auto"/>
              </w:rPr>
            </w:pPr>
          </w:p>
        </w:tc>
        <w:tc>
          <w:tcPr>
            <w:tcW w:w="52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1500" w:type="dxa"/>
            <w:vAlign w:val="bottom"/>
            <w:tcBorders>
              <w:top w:val="single" w:sz="8" w:color="E5E5E5"/>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contingent rentals on operating leases, consisting principally of usage charges in excess of minimum contracted amounts, were $15 and $15 for the three months ended March 31, 2022 and 2021,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Secured Borrowings and Collateral</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September 2021, we sold the rights to payments under operating leases with an equipment net book value of $9 to a consolidated SPE. The SPE held Equipment on operating leases, net of $ 7 and $8 as of March 31, 2022 and December 31, 2021, respectively, which are included in our Condensed Consolidated Balance Sheets as collateral for the secured loan agreement.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13 - Debt, for additional information related to this arrangement.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DA2031"/>
        </w:rPr>
        <w:t>Note 11 – Lessee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Operating Leases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operating leases for real estate and vehicles in our domestic and international operations and for certain equipment in our domestic operations. Additionally, we have identified embedded operating leases within certain supply chain contracts for warehouses, primarily within our domestic operations. Our leases have remaining terms of up to eleven years and a variety of renewal and/or termination options.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w:t>
      </w:r>
    </w:p>
    <w:p>
      <w:pPr>
        <w:spacing w:after="0" w:line="167" w:lineRule="exact"/>
        <w:rPr>
          <w:sz w:val="20"/>
          <w:szCs w:val="20"/>
          <w:color w:val="auto"/>
        </w:rPr>
      </w:pPr>
    </w:p>
    <w:p>
      <w:pPr>
        <w:jc w:val="center"/>
        <w:ind w:left="760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jc w:val="center"/>
        <w:ind w:left="760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20" w:type="dxa"/>
            <w:vAlign w:val="bottom"/>
            <w:tcBorders>
              <w:bottom w:val="single" w:sz="8" w:color="E5E5E5"/>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2022</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E5E5E5"/>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2021</w:t>
            </w:r>
          </w:p>
        </w:tc>
      </w:tr>
      <w:tr>
        <w:trPr>
          <w:trHeight w:val="199"/>
        </w:trPr>
        <w:tc>
          <w:tcPr>
            <w:tcW w:w="7620" w:type="dxa"/>
            <w:vAlign w:val="bottom"/>
            <w:shd w:val="clear" w:color="auto" w:fill="E5E5E5"/>
          </w:tcPr>
          <w:p>
            <w:pPr>
              <w:ind w:left="20"/>
              <w:spacing w:after="0"/>
              <w:rPr>
                <w:sz w:val="20"/>
                <w:szCs w:val="20"/>
                <w:color w:val="auto"/>
              </w:rPr>
            </w:pPr>
            <w:r>
              <w:rPr>
                <w:rFonts w:ascii="Arial" w:cs="Arial" w:eastAsia="Arial" w:hAnsi="Arial"/>
                <w:sz w:val="14"/>
                <w:szCs w:val="14"/>
                <w:color w:val="auto"/>
              </w:rPr>
              <w:t>Operating lease expense</w:t>
            </w:r>
          </w:p>
        </w:tc>
        <w:tc>
          <w:tcPr>
            <w:tcW w:w="1280" w:type="dxa"/>
            <w:vAlign w:val="bottom"/>
            <w:shd w:val="clear" w:color="auto" w:fill="E5E5E5"/>
          </w:tcPr>
          <w:p>
            <w:pPr>
              <w:jc w:val="right"/>
              <w:ind w:right="1108"/>
              <w:spacing w:after="0"/>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E5E5E5"/>
          </w:tcPr>
          <w:p>
            <w:pPr>
              <w:spacing w:after="0"/>
              <w:rPr>
                <w:sz w:val="17"/>
                <w:szCs w:val="17"/>
                <w:color w:val="auto"/>
              </w:rPr>
            </w:pPr>
          </w:p>
        </w:tc>
        <w:tc>
          <w:tcPr>
            <w:tcW w:w="40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27</w:t>
            </w:r>
          </w:p>
        </w:tc>
      </w:tr>
      <w:tr>
        <w:trPr>
          <w:trHeight w:val="198"/>
        </w:trPr>
        <w:tc>
          <w:tcPr>
            <w:tcW w:w="7620" w:type="dxa"/>
            <w:vAlign w:val="bottom"/>
          </w:tcPr>
          <w:p>
            <w:pPr>
              <w:ind w:left="20"/>
              <w:spacing w:after="0"/>
              <w:rPr>
                <w:sz w:val="20"/>
                <w:szCs w:val="20"/>
                <w:color w:val="auto"/>
              </w:rPr>
            </w:pPr>
            <w:r>
              <w:rPr>
                <w:rFonts w:ascii="Arial" w:cs="Arial" w:eastAsia="Arial" w:hAnsi="Arial"/>
                <w:sz w:val="14"/>
                <w:szCs w:val="14"/>
                <w:color w:val="auto"/>
              </w:rPr>
              <w:t>Short-term lease expense</w:t>
            </w:r>
          </w:p>
        </w:tc>
        <w:tc>
          <w:tcPr>
            <w:tcW w:w="12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7"/>
        </w:trPr>
        <w:tc>
          <w:tcPr>
            <w:tcW w:w="7620" w:type="dxa"/>
            <w:vAlign w:val="bottom"/>
            <w:shd w:val="clear" w:color="auto" w:fill="E5E5E5"/>
          </w:tcPr>
          <w:p>
            <w:pPr>
              <w:ind w:left="20"/>
              <w:spacing w:after="0"/>
              <w:rPr>
                <w:sz w:val="20"/>
                <w:szCs w:val="20"/>
                <w:color w:val="auto"/>
              </w:rPr>
            </w:pPr>
            <w:r>
              <w:rPr>
                <w:rFonts w:ascii="Arial" w:cs="Arial" w:eastAsia="Arial" w:hAnsi="Arial"/>
                <w:sz w:val="14"/>
                <w:szCs w:val="14"/>
                <w:color w:val="auto"/>
              </w:rPr>
              <w:t>Variable lease expense</w:t>
            </w:r>
            <w:r>
              <w:rPr>
                <w:rFonts w:ascii="Arial" w:cs="Arial" w:eastAsia="Arial" w:hAnsi="Arial"/>
                <w:sz w:val="18"/>
                <w:szCs w:val="18"/>
                <w:color w:val="auto"/>
                <w:vertAlign w:val="superscript"/>
              </w:rPr>
              <w:t>(1)</w:t>
            </w:r>
          </w:p>
        </w:tc>
        <w:tc>
          <w:tcPr>
            <w:tcW w:w="1280" w:type="dxa"/>
            <w:vAlign w:val="bottom"/>
            <w:shd w:val="clear" w:color="auto" w:fill="E5E5E5"/>
          </w:tcPr>
          <w:p>
            <w:pPr>
              <w:spacing w:after="0"/>
              <w:rPr>
                <w:sz w:val="17"/>
                <w:szCs w:val="17"/>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w:t>
            </w:r>
          </w:p>
        </w:tc>
      </w:tr>
      <w:tr>
        <w:trPr>
          <w:trHeight w:val="198"/>
        </w:trPr>
        <w:tc>
          <w:tcPr>
            <w:tcW w:w="762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Sublease income</w:t>
            </w:r>
          </w:p>
        </w:tc>
        <w:tc>
          <w:tcPr>
            <w:tcW w:w="1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5E5E5"/>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25"/>
        </w:trPr>
        <w:tc>
          <w:tcPr>
            <w:tcW w:w="76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Total Lease expense</w:t>
            </w:r>
          </w:p>
        </w:tc>
        <w:tc>
          <w:tcPr>
            <w:tcW w:w="1280" w:type="dxa"/>
            <w:vAlign w:val="bottom"/>
            <w:tcBorders>
              <w:bottom w:val="single" w:sz="8" w:color="auto"/>
            </w:tcBorders>
            <w:shd w:val="clear" w:color="auto" w:fill="E5E5E5"/>
          </w:tcPr>
          <w:p>
            <w:pPr>
              <w:jc w:val="right"/>
              <w:ind w:right="11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E5E5E5"/>
            </w:tcBorders>
            <w:shd w:val="clear" w:color="auto" w:fill="E5E5E5"/>
          </w:tcPr>
          <w:p>
            <w:pPr>
              <w:spacing w:after="0"/>
              <w:rPr>
                <w:sz w:val="19"/>
                <w:szCs w:val="19"/>
                <w:color w:val="auto"/>
              </w:rPr>
            </w:pPr>
          </w:p>
        </w:tc>
        <w:tc>
          <w:tcPr>
            <w:tcW w:w="400" w:type="dxa"/>
            <w:vAlign w:val="bottom"/>
            <w:tcBorders>
              <w:bottom w:val="single" w:sz="8" w:color="auto"/>
            </w:tcBorders>
            <w:shd w:val="clear" w:color="auto" w:fill="E5E5E5"/>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43</w:t>
            </w:r>
          </w:p>
        </w:tc>
      </w:tr>
      <w:tr>
        <w:trPr>
          <w:trHeight w:val="20"/>
        </w:trPr>
        <w:tc>
          <w:tcPr>
            <w:tcW w:w="7620" w:type="dxa"/>
            <w:vAlign w:val="bottom"/>
            <w:tcBorders>
              <w:top w:val="single" w:sz="8" w:color="E5E5E5"/>
            </w:tcBorders>
          </w:tcPr>
          <w:p>
            <w:pPr>
              <w:spacing w:after="0" w:line="20" w:lineRule="exact"/>
              <w:rPr>
                <w:sz w:val="1"/>
                <w:szCs w:val="1"/>
                <w:color w:val="auto"/>
              </w:rPr>
            </w:pPr>
          </w:p>
        </w:tc>
        <w:tc>
          <w:tcPr>
            <w:tcW w:w="1280" w:type="dxa"/>
            <w:vAlign w:val="bottom"/>
            <w:tcBorders>
              <w:top w:val="single" w:sz="8" w:color="E5E5E5"/>
              <w:bottom w:val="single" w:sz="8" w:color="auto"/>
            </w:tcBorders>
          </w:tcPr>
          <w:p>
            <w:pPr>
              <w:spacing w:after="0" w:line="20" w:lineRule="exact"/>
              <w:rPr>
                <w:sz w:val="1"/>
                <w:szCs w:val="1"/>
                <w:color w:val="auto"/>
              </w:rPr>
            </w:pPr>
          </w:p>
        </w:tc>
        <w:tc>
          <w:tcPr>
            <w:tcW w:w="4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00" w:type="dxa"/>
            <w:vAlign w:val="bottom"/>
            <w:tcBorders>
              <w:top w:val="single" w:sz="8" w:color="E5E5E5"/>
              <w:bottom w:val="single" w:sz="8" w:color="auto"/>
            </w:tcBorders>
          </w:tcPr>
          <w:p>
            <w:pPr>
              <w:spacing w:after="0" w:line="20" w:lineRule="exact"/>
              <w:rPr>
                <w:sz w:val="1"/>
                <w:szCs w:val="1"/>
                <w:color w:val="auto"/>
              </w:rPr>
            </w:pPr>
          </w:p>
        </w:tc>
        <w:tc>
          <w:tcPr>
            <w:tcW w:w="1360" w:type="dxa"/>
            <w:vAlign w:val="bottom"/>
            <w:tcBorders>
              <w:top w:val="single" w:sz="8" w:color="E5E5E5"/>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6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Variable lease expense is related to our leased real estate for offices and warehouses and primarily includes labor and operational costs as well as taxes and insurance.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operating leases that had not yet commenced were not material.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ROU assets, net and operating lease liabilities were reported in the Condensed Consolidated Balance Sheets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March 31,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December 31,</w:t>
            </w:r>
          </w:p>
        </w:tc>
      </w:tr>
      <w:tr>
        <w:trPr>
          <w:trHeight w:val="185"/>
        </w:trPr>
        <w:tc>
          <w:tcPr>
            <w:tcW w:w="7620" w:type="dxa"/>
            <w:vAlign w:val="bottom"/>
            <w:tcBorders>
              <w:bottom w:val="single" w:sz="8" w:color="E5E5E5"/>
            </w:tcBorders>
          </w:tcPr>
          <w:p>
            <w:pPr>
              <w:spacing w:after="0"/>
              <w:rPr>
                <w:sz w:val="16"/>
                <w:szCs w:val="16"/>
                <w:color w:val="auto"/>
              </w:rPr>
            </w:pPr>
          </w:p>
        </w:tc>
        <w:tc>
          <w:tcPr>
            <w:tcW w:w="13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2021</w:t>
            </w:r>
          </w:p>
        </w:tc>
      </w:tr>
      <w:tr>
        <w:trPr>
          <w:trHeight w:val="221"/>
        </w:trPr>
        <w:tc>
          <w:tcPr>
            <w:tcW w:w="76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color w:val="auto"/>
              </w:rPr>
              <w:t>Other long-term assets</w:t>
            </w:r>
          </w:p>
        </w:tc>
        <w:tc>
          <w:tcPr>
            <w:tcW w:w="1320" w:type="dxa"/>
            <w:vAlign w:val="bottom"/>
            <w:tcBorders>
              <w:bottom w:val="single" w:sz="8" w:color="auto"/>
            </w:tcBorders>
            <w:shd w:val="clear" w:color="auto" w:fill="E5E5E5"/>
          </w:tcPr>
          <w:p>
            <w:pPr>
              <w:jc w:val="right"/>
              <w:ind w:right="11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Borders>
              <w:bottom w:val="single" w:sz="8" w:color="E5E5E5"/>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264</w:t>
            </w:r>
          </w:p>
        </w:tc>
      </w:tr>
      <w:tr>
        <w:trPr>
          <w:trHeight w:val="20"/>
        </w:trPr>
        <w:tc>
          <w:tcPr>
            <w:tcW w:w="7620" w:type="dxa"/>
            <w:vAlign w:val="bottom"/>
            <w:tcBorders>
              <w:top w:val="single" w:sz="8" w:color="E5E5E5"/>
            </w:tcBorders>
          </w:tcPr>
          <w:p>
            <w:pPr>
              <w:spacing w:after="0" w:line="20" w:lineRule="exact"/>
              <w:rPr>
                <w:sz w:val="1"/>
                <w:szCs w:val="1"/>
                <w:color w:val="auto"/>
              </w:rPr>
            </w:pPr>
          </w:p>
        </w:tc>
        <w:tc>
          <w:tcPr>
            <w:tcW w:w="1320" w:type="dxa"/>
            <w:vAlign w:val="bottom"/>
            <w:tcBorders>
              <w:top w:val="single" w:sz="8" w:color="E5E5E5"/>
              <w:bottom w:val="single" w:sz="8" w:color="auto"/>
            </w:tcBorders>
          </w:tcPr>
          <w:p>
            <w:pPr>
              <w:spacing w:after="0" w:line="20" w:lineRule="exact"/>
              <w:rPr>
                <w:sz w:val="1"/>
                <w:szCs w:val="1"/>
                <w:color w:val="auto"/>
              </w:rPr>
            </w:pPr>
          </w:p>
        </w:tc>
        <w:tc>
          <w:tcPr>
            <w:tcW w:w="4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1500" w:type="dxa"/>
            <w:vAlign w:val="bottom"/>
            <w:tcBorders>
              <w:top w:val="single" w:sz="8" w:color="E5E5E5"/>
              <w:bottom w:val="single" w:sz="8" w:color="auto"/>
            </w:tcBorders>
          </w:tcPr>
          <w:p>
            <w:pPr>
              <w:spacing w:after="0" w:line="20" w:lineRule="exact"/>
              <w:rPr>
                <w:sz w:val="1"/>
                <w:szCs w:val="1"/>
                <w:color w:val="auto"/>
              </w:rPr>
            </w:pPr>
          </w:p>
        </w:tc>
      </w:tr>
      <w:tr>
        <w:trPr>
          <w:trHeight w:val="163"/>
        </w:trPr>
        <w:tc>
          <w:tcPr>
            <w:tcW w:w="7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03"/>
        </w:trPr>
        <w:tc>
          <w:tcPr>
            <w:tcW w:w="7620" w:type="dxa"/>
            <w:vAlign w:val="bottom"/>
            <w:shd w:val="clear" w:color="auto" w:fill="E5E5E5"/>
          </w:tcPr>
          <w:p>
            <w:pPr>
              <w:ind w:left="20"/>
              <w:spacing w:after="0"/>
              <w:rPr>
                <w:sz w:val="20"/>
                <w:szCs w:val="20"/>
                <w:color w:val="auto"/>
              </w:rPr>
            </w:pPr>
            <w:r>
              <w:rPr>
                <w:rFonts w:ascii="Arial" w:cs="Arial" w:eastAsia="Arial" w:hAnsi="Arial"/>
                <w:sz w:val="14"/>
                <w:szCs w:val="14"/>
                <w:color w:val="auto"/>
              </w:rPr>
              <w:t>Accrued expenses and other current liabilities</w:t>
            </w:r>
          </w:p>
        </w:tc>
        <w:tc>
          <w:tcPr>
            <w:tcW w:w="1320" w:type="dxa"/>
            <w:vAlign w:val="bottom"/>
            <w:shd w:val="clear" w:color="auto" w:fill="E5E5E5"/>
          </w:tcPr>
          <w:p>
            <w:pPr>
              <w:jc w:val="right"/>
              <w:ind w:right="1148"/>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79</w:t>
            </w:r>
          </w:p>
        </w:tc>
      </w:tr>
      <w:tr>
        <w:trPr>
          <w:trHeight w:val="198"/>
        </w:trPr>
        <w:tc>
          <w:tcPr>
            <w:tcW w:w="762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Other long-term liabilities</w:t>
            </w:r>
          </w:p>
        </w:tc>
        <w:tc>
          <w:tcPr>
            <w:tcW w:w="13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r>
      <w:tr>
        <w:trPr>
          <w:trHeight w:val="225"/>
        </w:trPr>
        <w:tc>
          <w:tcPr>
            <w:tcW w:w="76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Total Operating lease liabilities</w:t>
            </w:r>
          </w:p>
        </w:tc>
        <w:tc>
          <w:tcPr>
            <w:tcW w:w="1320" w:type="dxa"/>
            <w:vAlign w:val="bottom"/>
            <w:tcBorders>
              <w:bottom w:val="single" w:sz="8" w:color="auto"/>
            </w:tcBorders>
            <w:shd w:val="clear" w:color="auto" w:fill="E5E5E5"/>
          </w:tcPr>
          <w:p>
            <w:pPr>
              <w:jc w:val="right"/>
              <w:ind w:right="11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Borders>
              <w:bottom w:val="single" w:sz="8" w:color="E5E5E5"/>
            </w:tcBorders>
            <w:shd w:val="clear" w:color="auto" w:fill="E5E5E5"/>
          </w:tcPr>
          <w:p>
            <w:pPr>
              <w:spacing w:after="0"/>
              <w:rPr>
                <w:sz w:val="19"/>
                <w:szCs w:val="19"/>
                <w:color w:val="auto"/>
              </w:rPr>
            </w:pPr>
          </w:p>
        </w:tc>
        <w:tc>
          <w:tcPr>
            <w:tcW w:w="260" w:type="dxa"/>
            <w:vAlign w:val="bottom"/>
            <w:tcBorders>
              <w:bottom w:val="single" w:sz="8" w:color="auto"/>
            </w:tcBorders>
            <w:shd w:val="clear" w:color="auto" w:fill="E5E5E5"/>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283</w:t>
            </w:r>
          </w:p>
        </w:tc>
      </w:tr>
      <w:tr>
        <w:trPr>
          <w:trHeight w:val="20"/>
        </w:trPr>
        <w:tc>
          <w:tcPr>
            <w:tcW w:w="7620" w:type="dxa"/>
            <w:vAlign w:val="bottom"/>
            <w:tcBorders>
              <w:top w:val="single" w:sz="8" w:color="E5E5E5"/>
            </w:tcBorders>
          </w:tcPr>
          <w:p>
            <w:pPr>
              <w:spacing w:after="0" w:line="20" w:lineRule="exact"/>
              <w:rPr>
                <w:sz w:val="1"/>
                <w:szCs w:val="1"/>
                <w:color w:val="auto"/>
              </w:rPr>
            </w:pPr>
          </w:p>
        </w:tc>
        <w:tc>
          <w:tcPr>
            <w:tcW w:w="1320" w:type="dxa"/>
            <w:vAlign w:val="bottom"/>
            <w:tcBorders>
              <w:top w:val="single" w:sz="8" w:color="E5E5E5"/>
              <w:bottom w:val="single" w:sz="8" w:color="auto"/>
            </w:tcBorders>
          </w:tcPr>
          <w:p>
            <w:pPr>
              <w:spacing w:after="0" w:line="20" w:lineRule="exact"/>
              <w:rPr>
                <w:sz w:val="1"/>
                <w:szCs w:val="1"/>
                <w:color w:val="auto"/>
              </w:rPr>
            </w:pPr>
          </w:p>
        </w:tc>
        <w:tc>
          <w:tcPr>
            <w:tcW w:w="4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1500" w:type="dxa"/>
            <w:vAlign w:val="bottom"/>
            <w:tcBorders>
              <w:top w:val="single" w:sz="8" w:color="E5E5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DA2031"/>
        </w:rPr>
        <w:t>Note 12 – Restructuring Programs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engage in restructuring actions, including Project Own It, as well as other transformation efforts in order to reduce our cost structure and realign it to the changing nature of our business. As part of our efforts to reduce costs, our restructuring actions may also include the off-shoring and/or outsourcing of certain operations, services and other functions, as well as reducing our real estate footprint.</w:t>
      </w:r>
    </w:p>
    <w:p>
      <w:pPr>
        <w:spacing w:after="0" w:line="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2022, we recorded net restructuring and asset impairment charges of $20, which included $22 of severance costs related to headcount reductions of approximately 450 employees worldwide and $ 1 of asset impairment charges, both of which were partially offset by $3 of net reversals. The net reversals primarily resulted from changes in estimated reserves from prior period initiatives. Charges were primarily related to the Print and Other segment as amounts related to the Financing (FITTLE) segment were immaterial for all periods presented.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restructuring program activity is outlined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Severance and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color w:val="auto"/>
              </w:rPr>
              <w:t>Other Contractual</w:t>
            </w:r>
          </w:p>
        </w:tc>
        <w:tc>
          <w:tcPr>
            <w:tcW w:w="160" w:type="dxa"/>
            <w:vAlign w:val="bottom"/>
          </w:tcPr>
          <w:p>
            <w:pPr>
              <w:spacing w:after="0"/>
              <w:rPr>
                <w:sz w:val="14"/>
                <w:szCs w:val="14"/>
                <w:color w:val="auto"/>
              </w:rPr>
            </w:pPr>
          </w:p>
        </w:tc>
        <w:tc>
          <w:tcPr>
            <w:tcW w:w="1600" w:type="dxa"/>
            <w:vAlign w:val="bottom"/>
            <w:vMerge w:val="restart"/>
          </w:tcPr>
          <w:p>
            <w:pPr>
              <w:jc w:val="right"/>
              <w:ind w:right="148"/>
              <w:spacing w:after="0"/>
              <w:rPr>
                <w:sz w:val="20"/>
                <w:szCs w:val="20"/>
                <w:color w:val="auto"/>
              </w:rPr>
            </w:pPr>
            <w:r>
              <w:rPr>
                <w:rFonts w:ascii="Arial" w:cs="Arial" w:eastAsia="Arial" w:hAnsi="Arial"/>
                <w:sz w:val="14"/>
                <w:szCs w:val="14"/>
                <w:color w:val="auto"/>
              </w:rPr>
              <w:t>Asset Impairments</w:t>
            </w:r>
            <w:r>
              <w:rPr>
                <w:rFonts w:ascii="Arial" w:cs="Arial" w:eastAsia="Arial" w:hAnsi="Arial"/>
                <w:sz w:val="18"/>
                <w:szCs w:val="18"/>
                <w:color w:val="auto"/>
                <w:vertAlign w:val="superscript"/>
              </w:rPr>
              <w:t>(3)</w:t>
            </w:r>
          </w:p>
        </w:tc>
        <w:tc>
          <w:tcPr>
            <w:tcW w:w="100" w:type="dxa"/>
            <w:vAlign w:val="bottom"/>
            <w:vMerge w:val="restart"/>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vMerge w:val="restart"/>
          </w:tcPr>
          <w:p>
            <w:pPr>
              <w:jc w:val="right"/>
              <w:ind w:right="6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3920" w:type="dxa"/>
            <w:vAlign w:val="bottom"/>
            <w:tcBorders>
              <w:bottom w:val="single" w:sz="8" w:color="E5E5E5"/>
            </w:tcBorders>
          </w:tcPr>
          <w:p>
            <w:pPr>
              <w:spacing w:after="0"/>
              <w:rPr>
                <w:sz w:val="16"/>
                <w:szCs w:val="16"/>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Related Costs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68"/>
              <w:spacing w:after="0" w:line="189" w:lineRule="exact"/>
              <w:rPr>
                <w:sz w:val="20"/>
                <w:szCs w:val="20"/>
                <w:color w:val="auto"/>
              </w:rPr>
            </w:pPr>
            <w:r>
              <w:rPr>
                <w:rFonts w:ascii="Arial" w:cs="Arial" w:eastAsia="Arial" w:hAnsi="Arial"/>
                <w:sz w:val="14"/>
                <w:szCs w:val="14"/>
                <w:color w:val="auto"/>
              </w:rPr>
              <w:t>Termination Costs</w:t>
            </w:r>
            <w:r>
              <w:rPr>
                <w:rFonts w:ascii="Arial" w:cs="Arial" w:eastAsia="Arial" w:hAnsi="Arial"/>
                <w:sz w:val="18"/>
                <w:szCs w:val="18"/>
                <w:color w:val="auto"/>
                <w:vertAlign w:val="superscript"/>
              </w:rPr>
              <w:t>(2)</w:t>
            </w:r>
          </w:p>
        </w:tc>
        <w:tc>
          <w:tcPr>
            <w:tcW w:w="100" w:type="dxa"/>
            <w:vAlign w:val="bottom"/>
            <w:tcBorders>
              <w:bottom w:val="single" w:sz="8" w:color="E5E5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5E5E5"/>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2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440" w:type="dxa"/>
            <w:vAlign w:val="bottom"/>
            <w:shd w:val="clear" w:color="auto" w:fill="E5E5E5"/>
          </w:tcPr>
          <w:p>
            <w:pPr>
              <w:jc w:val="right"/>
              <w:ind w:right="1268"/>
              <w:spacing w:after="0"/>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8"/>
        </w:trPr>
        <w:tc>
          <w:tcPr>
            <w:tcW w:w="3920" w:type="dxa"/>
            <w:vAlign w:val="bottom"/>
          </w:tcPr>
          <w:p>
            <w:pPr>
              <w:ind w:left="220"/>
              <w:spacing w:after="0"/>
              <w:rPr>
                <w:sz w:val="20"/>
                <w:szCs w:val="20"/>
                <w:color w:val="auto"/>
              </w:rPr>
            </w:pPr>
            <w:r>
              <w:rPr>
                <w:rFonts w:ascii="Arial" w:cs="Arial" w:eastAsia="Arial" w:hAnsi="Arial"/>
                <w:sz w:val="14"/>
                <w:szCs w:val="14"/>
                <w:color w:val="auto"/>
              </w:rPr>
              <w:t>Provision</w:t>
            </w:r>
          </w:p>
        </w:tc>
        <w:tc>
          <w:tcPr>
            <w:tcW w:w="14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7"/>
        </w:trPr>
        <w:tc>
          <w:tcPr>
            <w:tcW w:w="3920" w:type="dxa"/>
            <w:vAlign w:val="bottom"/>
            <w:shd w:val="clear" w:color="auto" w:fill="E5E5E5"/>
          </w:tcPr>
          <w:p>
            <w:pPr>
              <w:ind w:left="220"/>
              <w:spacing w:after="0"/>
              <w:rPr>
                <w:sz w:val="20"/>
                <w:szCs w:val="20"/>
                <w:color w:val="auto"/>
              </w:rPr>
            </w:pPr>
            <w:r>
              <w:rPr>
                <w:rFonts w:ascii="Arial" w:cs="Arial" w:eastAsia="Arial" w:hAnsi="Arial"/>
                <w:sz w:val="14"/>
                <w:szCs w:val="14"/>
                <w:color w:val="auto"/>
              </w:rPr>
              <w:t>Reversals</w:t>
            </w:r>
          </w:p>
        </w:tc>
        <w:tc>
          <w:tcPr>
            <w:tcW w:w="1440" w:type="dxa"/>
            <w:vAlign w:val="bottom"/>
            <w:tcBorders>
              <w:bottom w:val="single" w:sz="8" w:color="auto"/>
            </w:tcBorders>
            <w:shd w:val="clear" w:color="auto" w:fill="E5E5E5"/>
          </w:tcPr>
          <w:p>
            <w:pPr>
              <w:spacing w:after="0"/>
              <w:rPr>
                <w:sz w:val="17"/>
                <w:szCs w:val="17"/>
                <w:color w:val="auto"/>
              </w:rPr>
            </w:pP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rPr>
                <w:sz w:val="17"/>
                <w:szCs w:val="17"/>
                <w:color w:val="auto"/>
              </w:rPr>
            </w:pPr>
          </w:p>
        </w:tc>
        <w:tc>
          <w:tcPr>
            <w:tcW w:w="158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rPr>
                <w:sz w:val="17"/>
                <w:szCs w:val="17"/>
                <w:color w:val="auto"/>
              </w:rPr>
            </w:pPr>
          </w:p>
        </w:tc>
        <w:tc>
          <w:tcPr>
            <w:tcW w:w="1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7"/>
                <w:szCs w:val="17"/>
                <w:color w:val="auto"/>
              </w:rPr>
            </w:pPr>
          </w:p>
        </w:tc>
        <w:tc>
          <w:tcPr>
            <w:tcW w:w="420" w:type="dxa"/>
            <w:vAlign w:val="bottom"/>
            <w:tcBorders>
              <w:bottom w:val="single" w:sz="8" w:color="auto"/>
            </w:tcBorders>
            <w:shd w:val="clear" w:color="auto" w:fill="E5E5E5"/>
          </w:tcPr>
          <w:p>
            <w:pPr>
              <w:spacing w:after="0"/>
              <w:rPr>
                <w:sz w:val="17"/>
                <w:szCs w:val="17"/>
                <w:color w:val="auto"/>
              </w:rPr>
            </w:pP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6"/>
        </w:trPr>
        <w:tc>
          <w:tcPr>
            <w:tcW w:w="3920" w:type="dxa"/>
            <w:vAlign w:val="bottom"/>
          </w:tcPr>
          <w:p>
            <w:pPr>
              <w:ind w:left="20"/>
              <w:spacing w:after="0" w:line="196" w:lineRule="exact"/>
              <w:rPr>
                <w:sz w:val="20"/>
                <w:szCs w:val="20"/>
                <w:color w:val="auto"/>
              </w:rPr>
            </w:pPr>
            <w:r>
              <w:rPr>
                <w:rFonts w:ascii="Arial" w:cs="Arial" w:eastAsia="Arial" w:hAnsi="Arial"/>
                <w:sz w:val="14"/>
                <w:szCs w:val="14"/>
                <w:b w:val="1"/>
                <w:bCs w:val="1"/>
                <w:color w:val="auto"/>
              </w:rPr>
              <w:t>Net current period charges</w:t>
            </w:r>
            <w:r>
              <w:rPr>
                <w:rFonts w:ascii="Arial" w:cs="Arial" w:eastAsia="Arial" w:hAnsi="Arial"/>
                <w:sz w:val="18"/>
                <w:szCs w:val="18"/>
                <w:b w:val="1"/>
                <w:bCs w:val="1"/>
                <w:color w:val="auto"/>
                <w:vertAlign w:val="superscript"/>
              </w:rPr>
              <w:t>(1)</w:t>
            </w:r>
          </w:p>
        </w:tc>
        <w:tc>
          <w:tcPr>
            <w:tcW w:w="14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8"/>
        </w:trPr>
        <w:tc>
          <w:tcPr>
            <w:tcW w:w="3920" w:type="dxa"/>
            <w:vAlign w:val="bottom"/>
            <w:shd w:val="clear" w:color="auto" w:fill="E5E5E5"/>
          </w:tcPr>
          <w:p>
            <w:pPr>
              <w:ind w:left="220"/>
              <w:spacing w:after="0"/>
              <w:rPr>
                <w:sz w:val="20"/>
                <w:szCs w:val="20"/>
                <w:color w:val="auto"/>
              </w:rPr>
            </w:pPr>
            <w:r>
              <w:rPr>
                <w:rFonts w:ascii="Arial" w:cs="Arial" w:eastAsia="Arial" w:hAnsi="Arial"/>
                <w:sz w:val="14"/>
                <w:szCs w:val="14"/>
                <w:color w:val="auto"/>
              </w:rPr>
              <w:t>Charges against reserve and currency</w:t>
            </w:r>
          </w:p>
        </w:tc>
        <w:tc>
          <w:tcPr>
            <w:tcW w:w="1440" w:type="dxa"/>
            <w:vAlign w:val="bottom"/>
            <w:tcBorders>
              <w:bottom w:val="single" w:sz="8" w:color="auto"/>
            </w:tcBorders>
            <w:shd w:val="clear" w:color="auto" w:fill="E5E5E5"/>
          </w:tcPr>
          <w:p>
            <w:pPr>
              <w:spacing w:after="0"/>
              <w:rPr>
                <w:sz w:val="17"/>
                <w:szCs w:val="17"/>
                <w:color w:val="auto"/>
              </w:rPr>
            </w:pP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rPr>
                <w:sz w:val="17"/>
                <w:szCs w:val="17"/>
                <w:color w:val="auto"/>
              </w:rPr>
            </w:pPr>
          </w:p>
        </w:tc>
        <w:tc>
          <w:tcPr>
            <w:tcW w:w="158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rPr>
                <w:sz w:val="17"/>
                <w:szCs w:val="17"/>
                <w:color w:val="auto"/>
              </w:rPr>
            </w:pPr>
          </w:p>
        </w:tc>
        <w:tc>
          <w:tcPr>
            <w:tcW w:w="1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5E5E5"/>
          </w:tcPr>
          <w:p>
            <w:pPr>
              <w:spacing w:after="0"/>
              <w:rPr>
                <w:sz w:val="17"/>
                <w:szCs w:val="17"/>
                <w:color w:val="auto"/>
              </w:rPr>
            </w:pPr>
          </w:p>
        </w:tc>
        <w:tc>
          <w:tcPr>
            <w:tcW w:w="420" w:type="dxa"/>
            <w:vAlign w:val="bottom"/>
            <w:tcBorders>
              <w:bottom w:val="single" w:sz="8" w:color="auto"/>
            </w:tcBorders>
            <w:shd w:val="clear" w:color="auto" w:fill="E5E5E5"/>
          </w:tcPr>
          <w:p>
            <w:pPr>
              <w:spacing w:after="0"/>
              <w:rPr>
                <w:sz w:val="17"/>
                <w:szCs w:val="17"/>
                <w:color w:val="auto"/>
              </w:rPr>
            </w:pPr>
          </w:p>
        </w:tc>
        <w:tc>
          <w:tcPr>
            <w:tcW w:w="1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0"/>
        </w:trPr>
        <w:tc>
          <w:tcPr>
            <w:tcW w:w="392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144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r>
        <w:rPr>
          <w:rFonts w:ascii="Arial" w:cs="Arial" w:eastAsia="Arial" w:hAnsi="Arial"/>
          <w:sz w:val="14"/>
          <w:szCs w:val="14"/>
          <w:color w:val="auto"/>
        </w:rPr>
        <w:t>_</w:t>
      </w:r>
    </w:p>
    <w:p>
      <w:pPr>
        <w:spacing w:after="0" w:line="29"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net amount recognized within the Condensed Consolidated Statements of (Loss) Income for the period shown for restructuring and asset impairment charges.</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Primarily includes additional costs incurred upon the exit from our facilities including decommissioning costs and associated contractual termination costs.</w:t>
      </w:r>
    </w:p>
    <w:p>
      <w:pPr>
        <w:spacing w:after="0" w:line="14" w:lineRule="exact"/>
        <w:rPr>
          <w:rFonts w:ascii="Arial" w:cs="Arial" w:eastAsia="Arial" w:hAnsi="Arial"/>
          <w:sz w:val="14"/>
          <w:szCs w:val="14"/>
          <w:i w:val="1"/>
          <w:iCs w:val="1"/>
          <w:color w:val="auto"/>
        </w:rPr>
      </w:pPr>
    </w:p>
    <w:p>
      <w:pPr>
        <w:ind w:left="340" w:hanging="332"/>
        <w:spacing w:after="0" w:line="284" w:lineRule="auto"/>
        <w:tabs>
          <w:tab w:leader="none" w:pos="327"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Primarily relates to the exit and abandonment of leased and owned facilities. The charges include the accelerated write-off of $1 for leased ROU assets upon exit from the facilities, net of any potential sublease income and other recoveries, including potential sales.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reconciliation to the Condensed Consolidated Statements of Cash Flows:</w:t>
      </w:r>
    </w:p>
    <w:p>
      <w:pPr>
        <w:spacing w:after="0" w:line="155" w:lineRule="exact"/>
        <w:rPr>
          <w:sz w:val="20"/>
          <w:szCs w:val="20"/>
          <w:color w:val="auto"/>
        </w:rPr>
      </w:pPr>
    </w:p>
    <w:p>
      <w:pPr>
        <w:jc w:val="center"/>
        <w:ind w:left="7580"/>
        <w:spacing w:after="0"/>
        <w:rPr>
          <w:sz w:val="20"/>
          <w:szCs w:val="20"/>
          <w:color w:val="auto"/>
        </w:rPr>
      </w:pPr>
      <w:r>
        <w:rPr>
          <w:rFonts w:ascii="Arial" w:cs="Arial" w:eastAsia="Arial" w:hAnsi="Arial"/>
          <w:sz w:val="14"/>
          <w:szCs w:val="14"/>
          <w:color w:val="auto"/>
        </w:rPr>
        <w:t>Three Months Ended</w:t>
      </w:r>
    </w:p>
    <w:p>
      <w:pPr>
        <w:jc w:val="center"/>
        <w:ind w:left="7580"/>
        <w:spacing w:after="0"/>
        <w:rPr>
          <w:sz w:val="20"/>
          <w:szCs w:val="20"/>
          <w:color w:val="auto"/>
        </w:rPr>
      </w:pPr>
      <w:r>
        <w:rPr>
          <w:rFonts w:ascii="Arial" w:cs="Arial" w:eastAsia="Arial" w:hAnsi="Arial"/>
          <w:sz w:val="14"/>
          <w:szCs w:val="14"/>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600" w:type="dxa"/>
            <w:vAlign w:val="bottom"/>
            <w:tcBorders>
              <w:bottom w:val="single" w:sz="8" w:color="E5E5E5"/>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2022</w:t>
            </w:r>
          </w:p>
        </w:tc>
        <w:tc>
          <w:tcPr>
            <w:tcW w:w="4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E5E5E5"/>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2021</w:t>
            </w:r>
          </w:p>
        </w:tc>
      </w:tr>
      <w:tr>
        <w:trPr>
          <w:trHeight w:val="200"/>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Charges against reserve and currency</w:t>
            </w:r>
          </w:p>
        </w:tc>
        <w:tc>
          <w:tcPr>
            <w:tcW w:w="1300" w:type="dxa"/>
            <w:vAlign w:val="bottom"/>
            <w:shd w:val="clear" w:color="auto" w:fill="E5E5E5"/>
          </w:tcPr>
          <w:p>
            <w:pPr>
              <w:jc w:val="right"/>
              <w:ind w:right="1128"/>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Asset impairments</w:t>
            </w:r>
          </w:p>
        </w:tc>
        <w:tc>
          <w:tcPr>
            <w:tcW w:w="13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Effects of foreign currency and other non-cash items</w:t>
            </w:r>
          </w:p>
        </w:tc>
        <w:tc>
          <w:tcPr>
            <w:tcW w:w="1300" w:type="dxa"/>
            <w:vAlign w:val="bottom"/>
            <w:shd w:val="clear" w:color="auto" w:fill="E5E5E5"/>
          </w:tcPr>
          <w:p>
            <w:pPr>
              <w:spacing w:after="0"/>
              <w:rPr>
                <w:sz w:val="17"/>
                <w:szCs w:val="17"/>
                <w:color w:val="auto"/>
              </w:rPr>
            </w:pPr>
          </w:p>
        </w:tc>
        <w:tc>
          <w:tcPr>
            <w:tcW w:w="58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7"/>
                <w:szCs w:val="17"/>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w:t>
            </w:r>
          </w:p>
        </w:tc>
      </w:tr>
      <w:tr>
        <w:trPr>
          <w:trHeight w:val="200"/>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Restructuring cash payments</w:t>
            </w:r>
          </w:p>
        </w:tc>
        <w:tc>
          <w:tcPr>
            <w:tcW w:w="1300" w:type="dxa"/>
            <w:vAlign w:val="bottom"/>
            <w:tcBorders>
              <w:top w:val="single" w:sz="8" w:color="auto"/>
              <w:bottom w:val="single" w:sz="8" w:color="auto"/>
            </w:tcBorders>
          </w:tcPr>
          <w:p>
            <w:pPr>
              <w:jc w:val="right"/>
              <w:ind w:right="112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r>
      <w:tr>
        <w:trPr>
          <w:trHeight w:val="21"/>
        </w:trPr>
        <w:tc>
          <w:tcPr>
            <w:tcW w:w="76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restructuring programs, we also incurred certain related costs as follows:</w:t>
      </w:r>
    </w:p>
    <w:p>
      <w:pPr>
        <w:spacing w:after="0" w:line="221" w:lineRule="exact"/>
        <w:rPr>
          <w:sz w:val="20"/>
          <w:szCs w:val="20"/>
          <w:color w:val="auto"/>
        </w:rPr>
      </w:pPr>
    </w:p>
    <w:p>
      <w:pPr>
        <w:jc w:val="center"/>
        <w:ind w:left="758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jc w:val="center"/>
        <w:ind w:left="758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00" w:type="dxa"/>
            <w:vAlign w:val="bottom"/>
            <w:tcBorders>
              <w:bottom w:val="single" w:sz="8" w:color="E5E5E5"/>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2022</w:t>
            </w:r>
          </w:p>
        </w:tc>
        <w:tc>
          <w:tcPr>
            <w:tcW w:w="100" w:type="dxa"/>
            <w:vAlign w:val="bottom"/>
            <w:tcBorders>
              <w:top w:val="single" w:sz="8" w:color="auto"/>
              <w:bottom w:val="single" w:sz="8" w:color="E5E5E5"/>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2021</w:t>
            </w:r>
          </w:p>
        </w:tc>
      </w:tr>
      <w:tr>
        <w:trPr>
          <w:trHeight w:val="195"/>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Retention related severance/bonuses</w:t>
            </w:r>
            <w:r>
              <w:rPr>
                <w:rFonts w:ascii="Arial" w:cs="Arial" w:eastAsia="Arial" w:hAnsi="Arial"/>
                <w:sz w:val="9"/>
                <w:szCs w:val="9"/>
                <w:color w:val="auto"/>
              </w:rPr>
              <w:t>(1)</w:t>
            </w:r>
          </w:p>
        </w:tc>
        <w:tc>
          <w:tcPr>
            <w:tcW w:w="400" w:type="dxa"/>
            <w:vAlign w:val="bottom"/>
            <w:tcBorders>
              <w:bottom w:val="single" w:sz="8" w:color="auto"/>
            </w:tcBorders>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5E5E5"/>
          </w:tcPr>
          <w:p>
            <w:pPr>
              <w:spacing w:after="0"/>
              <w:rPr>
                <w:sz w:val="16"/>
                <w:szCs w:val="16"/>
                <w:color w:val="auto"/>
              </w:rPr>
            </w:pPr>
          </w:p>
        </w:tc>
        <w:tc>
          <w:tcPr>
            <w:tcW w:w="420" w:type="dxa"/>
            <w:vAlign w:val="bottom"/>
            <w:tcBorders>
              <w:bottom w:val="single" w:sz="8" w:color="auto"/>
            </w:tcBorders>
            <w:shd w:val="clear" w:color="auto" w:fill="E5E5E5"/>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w:t>
            </w:r>
          </w:p>
        </w:tc>
      </w:tr>
      <w:tr>
        <w:trPr>
          <w:trHeight w:val="200"/>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0"/>
        </w:trPr>
        <w:tc>
          <w:tcPr>
            <w:tcW w:w="7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w:t>
      </w:r>
      <w:r>
        <w:rPr>
          <w:rFonts w:ascii="Arial" w:cs="Arial" w:eastAsia="Arial" w:hAnsi="Arial"/>
          <w:sz w:val="14"/>
          <w:szCs w:val="14"/>
          <w:color w:val="auto"/>
        </w:rPr>
        <w:t>_</w:t>
      </w:r>
    </w:p>
    <w:p>
      <w:pPr>
        <w:spacing w:after="0" w:line="29" w:lineRule="exact"/>
        <w:rPr>
          <w:sz w:val="20"/>
          <w:szCs w:val="20"/>
          <w:color w:val="auto"/>
        </w:rPr>
      </w:pPr>
    </w:p>
    <w:p>
      <w:pPr>
        <w:ind w:left="340" w:hanging="332"/>
        <w:spacing w:after="0" w:line="264" w:lineRule="auto"/>
        <w:tabs>
          <w:tab w:leader="none" w:pos="327"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retention related severance and bonuses for employees expected to continue working beyond their minimum notification period before termination. The credit for the three months ended March 31, 2022 and 2021 reflects a change in estimate.</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paid for restructuring related costs were $1 and $3 for the three months ended March 31, 2022 and 2021, respectively. The restructuring related costs reserve was $15 and $18 at March 31, 2022 and December 31, 2021, respectively. The balance at March 31, 2022 is expected to be paid over the next twelve months.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color w:val="DA2031"/>
        </w:rPr>
        <w:t>Note 13 – 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Xerox Holdings Corporation / Xerox Corporation Intercompany Loan</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February 2021, Xerox Holdings Corporation and Xerox Corporation entered into an Intercompany Loan agreement for the net proceeds of $1,494 contributed by Xerox Holdings Corporation to Xerox Corporation in 2020. The intercompany loan was established to mirror the terms included in Xerox Holdings Corporation’s 2025 and 2028 Senior Notes, including interest rates and payment dates. The intercompany interest expense also includes a ratable amount to reimburse Xerox Holdings Corporation for its debt issuance costs and premium.</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March 31, 2022 and December 31, 2021, the balance of the Intercompany Loan reported in Xerox Corporation’s Condensed Consolidated Balance Sheet was $1,495 and $1,494, respectively, which is net of related debt issuance costs, and the intercompany interest payable was $10 and $30, respectively. Xerox Corporation’s interest expense included interest expense associated with this Intercompany Loan of $20 and $20 for the three months ended March 31, 2022 and 2020,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March 2022, Xerox and Xerox Holdings entered into Amendment No. 4 to the Credit Facility. The Amendment, which became effective 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24, 2022, included the following changes:</w:t>
      </w:r>
    </w:p>
    <w:p>
      <w:pPr>
        <w:spacing w:after="0" w:line="99"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the aggregate amount of the revolving credit commitments under the Credit Agreement from $1.8 billion to $1.5 billion; and</w:t>
      </w:r>
    </w:p>
    <w:p>
      <w:pPr>
        <w:spacing w:after="0" w:line="117" w:lineRule="exact"/>
        <w:rPr>
          <w:rFonts w:ascii="Arial" w:cs="Arial" w:eastAsia="Arial" w:hAnsi="Arial"/>
          <w:sz w:val="18"/>
          <w:szCs w:val="18"/>
          <w:color w:val="auto"/>
        </w:rPr>
      </w:pPr>
    </w:p>
    <w:p>
      <w:pPr>
        <w:jc w:val="both"/>
        <w:ind w:left="340" w:hanging="332"/>
        <w:spacing w:after="0" w:line="268" w:lineRule="auto"/>
        <w:tabs>
          <w:tab w:leader="none" w:pos="3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modified the financial covenants in the Credit Agreement to now require that, during a specified Covenant Modification Period, which began on January 1, 2022 and ends on the earlier of (a) June 30, 2022 and (b) the date on which Xerox Corp. delivers a written notice to the Administrative Agent electing to end such period:</w:t>
      </w:r>
    </w:p>
    <w:p>
      <w:pPr>
        <w:spacing w:after="0" w:line="62" w:lineRule="exact"/>
        <w:rPr>
          <w:rFonts w:ascii="Arial" w:cs="Arial" w:eastAsia="Arial" w:hAnsi="Arial"/>
          <w:sz w:val="18"/>
          <w:szCs w:val="18"/>
          <w:color w:val="auto"/>
        </w:rPr>
      </w:pPr>
    </w:p>
    <w:p>
      <w:pPr>
        <w:ind w:left="660" w:hanging="328"/>
        <w:spacing w:after="0" w:line="287" w:lineRule="auto"/>
        <w:tabs>
          <w:tab w:leader="none" w:pos="648" w:val="left"/>
        </w:tabs>
        <w:numPr>
          <w:ilvl w:val="1"/>
          <w:numId w:val="19"/>
        </w:numPr>
        <w:rPr>
          <w:rFonts w:ascii="Arial" w:cs="Arial" w:eastAsia="Arial" w:hAnsi="Arial"/>
          <w:sz w:val="18"/>
          <w:szCs w:val="18"/>
          <w:color w:val="auto"/>
        </w:rPr>
      </w:pPr>
      <w:r>
        <w:rPr>
          <w:rFonts w:ascii="Arial" w:cs="Arial" w:eastAsia="Arial" w:hAnsi="Arial"/>
          <w:sz w:val="18"/>
          <w:szCs w:val="18"/>
          <w:color w:val="auto"/>
        </w:rPr>
        <w:t>Xerox Corporation maintain unrestricted cash (as defined in the Amendment) at the end of each fiscal quarter in an amount not less than $500.</w:t>
      </w:r>
    </w:p>
    <w:p>
      <w:pPr>
        <w:spacing w:after="0" w:line="44" w:lineRule="exact"/>
        <w:rPr>
          <w:rFonts w:ascii="Arial" w:cs="Arial" w:eastAsia="Arial" w:hAnsi="Arial"/>
          <w:sz w:val="18"/>
          <w:szCs w:val="18"/>
          <w:color w:val="auto"/>
        </w:rPr>
      </w:pPr>
    </w:p>
    <w:p>
      <w:pPr>
        <w:jc w:val="both"/>
        <w:ind w:left="660" w:hanging="328"/>
        <w:spacing w:after="0" w:line="259" w:lineRule="auto"/>
        <w:tabs>
          <w:tab w:leader="none" w:pos="648" w:val="left"/>
        </w:tabs>
        <w:numPr>
          <w:ilvl w:val="1"/>
          <w:numId w:val="19"/>
        </w:numPr>
        <w:rPr>
          <w:rFonts w:ascii="Arial" w:cs="Arial" w:eastAsia="Arial" w:hAnsi="Arial"/>
          <w:sz w:val="18"/>
          <w:szCs w:val="18"/>
          <w:color w:val="auto"/>
        </w:rPr>
      </w:pPr>
      <w:r>
        <w:rPr>
          <w:rFonts w:ascii="Arial" w:cs="Arial" w:eastAsia="Arial" w:hAnsi="Arial"/>
          <w:sz w:val="18"/>
          <w:szCs w:val="18"/>
          <w:color w:val="auto"/>
        </w:rPr>
        <w:t>With respect to each fiscal quarter ending during the Covenant Modification Period, Xerox Corporation maintain a ratio of Net Debt for Borrowed Money to consolidated EBITDA of not greater than 4.25x with Net Debt for Borrowed Money including a cash netting with a cap of $1,250 for the quarter ending March 31, 2022 and $1,000 for the quarter ending June 30, 2022. This covenant is in lieu of the 4.25x Net Debt for Borrowed Money to consolidated EBITDA ratio requirement without cash netting applicable prior to the Amendment.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we were in full compliance with the covenants and other provisions of our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Secured Borrowings and Collateral</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January 2022, we entered into a secured loan agreement with financial institutions where we sold $789 of U.S. based finance receivables to a special purpose entity (SPE). The purchase by the SPE was funded through a $668 amortizing secured loan to the SPE from the financial institutions. The SPE is fully consolidated in our financial statements. The secured loan was an amendment of the December 2020 secured borrowing, which had a remaining balance of $248, and we received the incremental net cash. The transaction was accounted for as an extinguishment of debt and the issuance of new debt and associated collateral. The new loan has a variable interest rate based on the financial institutions' cost of funds plus a spread (current rate of 1.71% at March 31, 2022) and an expected life of approximately 2.5 years, with half of the loan projected to be repaid within the first year based on collections of the underlying portfolio of receivables.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2021, we entered into a secured loan agreement with a financial institution where we sold $331 of U.S. based finance receivables and the rights to payments under operating leases with an equipment net book value of $9 to a SPE. The purchase by the SPE was funded through a $311 amortizing secured loan to the SPE from the financial institution. The debt has a variable interest rate based on LIBOR plus a spread (current rate of 1.75% at March 31, 2022). In October 2021, we entered into an interest rate hedge agreement to cap LIBOR over the life of the loan.</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sales of the receivables to the SPEs were structured as "true sales at law," and we have received opinions to that effect from outside legal counsel. However, the transactions were accounted for as secured borrowings as we consolidate the SPEs since we have both the power to direct the activities that most significantly impact the SPEs' economic performance through our role as servicer of all the receivables held by the SPEs, and the obligation through variable interests in the SPEs to absorb losses or receive benefits that could potentially be significant to the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9" w:name="page30"/>
    <w:bookmarkEnd w:id="29"/>
    <w:p>
      <w:pPr>
        <w:ind w:right="20"/>
        <w:spacing w:after="0" w:line="287" w:lineRule="auto"/>
        <w:rPr>
          <w:sz w:val="20"/>
          <w:szCs w:val="20"/>
          <w:color w:val="auto"/>
        </w:rPr>
      </w:pPr>
      <w:r>
        <w:rPr>
          <w:rFonts w:ascii="Arial" w:cs="Arial" w:eastAsia="Arial" w:hAnsi="Arial"/>
          <w:sz w:val="18"/>
          <w:szCs w:val="18"/>
          <w:color w:val="auto"/>
        </w:rPr>
        <w:t>SPEs. As a result, the assets of the SPEs are not available to satisfy any of our other obligations. Conversely, the credit holders of these SPEs do not have legal recourse to the Company’s general credit.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Below are the assets and liabilities held by the consolidated SPEs, which are included in our Condensed Consolidated Balance Sheets.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March 31,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7620" w:type="dxa"/>
            <w:vAlign w:val="bottom"/>
            <w:tcBorders>
              <w:bottom w:val="single" w:sz="8" w:color="DDDDDD"/>
            </w:tcBorders>
          </w:tcPr>
          <w:p>
            <w:pPr>
              <w:spacing w:after="0"/>
              <w:rPr>
                <w:sz w:val="16"/>
                <w:szCs w:val="16"/>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83"/>
        </w:trPr>
        <w:tc>
          <w:tcPr>
            <w:tcW w:w="762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Assets held by SPEs</w:t>
            </w:r>
          </w:p>
        </w:tc>
        <w:tc>
          <w:tcPr>
            <w:tcW w:w="1260" w:type="dxa"/>
            <w:vAlign w:val="bottom"/>
            <w:shd w:val="clear" w:color="auto" w:fill="DDDDDD"/>
          </w:tcPr>
          <w:p>
            <w:pPr>
              <w:spacing w:after="0"/>
              <w:rPr>
                <w:sz w:val="15"/>
                <w:szCs w:val="15"/>
                <w:color w:val="auto"/>
              </w:rPr>
            </w:pPr>
          </w:p>
        </w:tc>
        <w:tc>
          <w:tcPr>
            <w:tcW w:w="50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150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620" w:type="dxa"/>
            <w:vAlign w:val="bottom"/>
          </w:tcPr>
          <w:p>
            <w:pPr>
              <w:ind w:left="20"/>
              <w:spacing w:after="0"/>
              <w:rPr>
                <w:sz w:val="20"/>
                <w:szCs w:val="20"/>
                <w:color w:val="auto"/>
              </w:rPr>
            </w:pPr>
            <w:r>
              <w:rPr>
                <w:rFonts w:ascii="Arial" w:cs="Arial" w:eastAsia="Arial" w:hAnsi="Arial"/>
                <w:sz w:val="14"/>
                <w:szCs w:val="14"/>
                <w:color w:val="auto"/>
              </w:rPr>
              <w:t>Billed portion of finance receivables, net</w:t>
            </w:r>
          </w:p>
        </w:tc>
        <w:tc>
          <w:tcPr>
            <w:tcW w:w="1260" w:type="dxa"/>
            <w:vAlign w:val="bottom"/>
          </w:tcPr>
          <w:p>
            <w:pPr>
              <w:jc w:val="right"/>
              <w:ind w:right="108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7"/>
        </w:trPr>
        <w:tc>
          <w:tcPr>
            <w:tcW w:w="7620" w:type="dxa"/>
            <w:vAlign w:val="bottom"/>
            <w:shd w:val="clear" w:color="auto" w:fill="DDDDDD"/>
          </w:tcPr>
          <w:p>
            <w:pPr>
              <w:ind w:left="20"/>
              <w:spacing w:after="0"/>
              <w:rPr>
                <w:sz w:val="20"/>
                <w:szCs w:val="20"/>
                <w:color w:val="auto"/>
              </w:rPr>
            </w:pPr>
            <w:r>
              <w:rPr>
                <w:rFonts w:ascii="Arial" w:cs="Arial" w:eastAsia="Arial" w:hAnsi="Arial"/>
                <w:sz w:val="14"/>
                <w:szCs w:val="14"/>
                <w:color w:val="auto"/>
              </w:rPr>
              <w:t>Finance receivables, net</w:t>
            </w:r>
          </w:p>
        </w:tc>
        <w:tc>
          <w:tcPr>
            <w:tcW w:w="1260" w:type="dxa"/>
            <w:vAlign w:val="bottom"/>
            <w:shd w:val="clear" w:color="auto" w:fill="DDDDDD"/>
          </w:tcPr>
          <w:p>
            <w:pPr>
              <w:spacing w:after="0"/>
              <w:rPr>
                <w:sz w:val="17"/>
                <w:szCs w:val="17"/>
                <w:color w:val="auto"/>
              </w:rPr>
            </w:pPr>
          </w:p>
        </w:tc>
        <w:tc>
          <w:tcPr>
            <w:tcW w:w="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98"/>
        </w:trPr>
        <w:tc>
          <w:tcPr>
            <w:tcW w:w="7620" w:type="dxa"/>
            <w:vAlign w:val="bottom"/>
          </w:tcPr>
          <w:p>
            <w:pPr>
              <w:ind w:left="20"/>
              <w:spacing w:after="0"/>
              <w:rPr>
                <w:sz w:val="20"/>
                <w:szCs w:val="20"/>
                <w:color w:val="auto"/>
              </w:rPr>
            </w:pPr>
            <w:r>
              <w:rPr>
                <w:rFonts w:ascii="Arial" w:cs="Arial" w:eastAsia="Arial" w:hAnsi="Arial"/>
                <w:sz w:val="14"/>
                <w:szCs w:val="14"/>
                <w:color w:val="auto"/>
              </w:rPr>
              <w:t>Finance receivables due after one year, net</w:t>
            </w:r>
          </w:p>
        </w:tc>
        <w:tc>
          <w:tcPr>
            <w:tcW w:w="12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07"/>
        </w:trPr>
        <w:tc>
          <w:tcPr>
            <w:tcW w:w="7620" w:type="dxa"/>
            <w:vAlign w:val="bottom"/>
            <w:shd w:val="clear" w:color="auto" w:fill="DDDDDD"/>
          </w:tcPr>
          <w:p>
            <w:pPr>
              <w:ind w:left="20"/>
              <w:spacing w:after="0"/>
              <w:rPr>
                <w:sz w:val="20"/>
                <w:szCs w:val="20"/>
                <w:color w:val="auto"/>
              </w:rPr>
            </w:pPr>
            <w:r>
              <w:rPr>
                <w:rFonts w:ascii="Arial" w:cs="Arial" w:eastAsia="Arial" w:hAnsi="Arial"/>
                <w:sz w:val="14"/>
                <w:szCs w:val="14"/>
                <w:color w:val="auto"/>
              </w:rPr>
              <w:t>Equipment on operating leases, net</w:t>
            </w:r>
          </w:p>
        </w:tc>
        <w:tc>
          <w:tcPr>
            <w:tcW w:w="1260" w:type="dxa"/>
            <w:vAlign w:val="bottom"/>
            <w:shd w:val="clear" w:color="auto" w:fill="DDDDDD"/>
          </w:tcPr>
          <w:p>
            <w:pPr>
              <w:spacing w:after="0"/>
              <w:rPr>
                <w:sz w:val="17"/>
                <w:szCs w:val="17"/>
                <w:color w:val="auto"/>
              </w:rPr>
            </w:pPr>
          </w:p>
        </w:tc>
        <w:tc>
          <w:tcPr>
            <w:tcW w:w="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3"/>
        </w:trPr>
        <w:tc>
          <w:tcPr>
            <w:tcW w:w="7620" w:type="dxa"/>
            <w:vAlign w:val="bottom"/>
            <w:tcBorders>
              <w:bottom w:val="single" w:sz="8" w:color="DDDDDD"/>
            </w:tcBorders>
          </w:tcPr>
          <w:p>
            <w:pPr>
              <w:ind w:left="20"/>
              <w:spacing w:after="0" w:line="202" w:lineRule="exact"/>
              <w:rPr>
                <w:sz w:val="20"/>
                <w:szCs w:val="20"/>
                <w:color w:val="auto"/>
              </w:rPr>
            </w:pPr>
            <w:r>
              <w:rPr>
                <w:rFonts w:ascii="Arial" w:cs="Arial" w:eastAsia="Arial" w:hAnsi="Arial"/>
                <w:sz w:val="14"/>
                <w:szCs w:val="14"/>
                <w:color w:val="auto"/>
              </w:rPr>
              <w:t>Restricted cash</w:t>
            </w:r>
            <w:r>
              <w:rPr>
                <w:rFonts w:ascii="Arial" w:cs="Arial" w:eastAsia="Arial" w:hAnsi="Arial"/>
                <w:sz w:val="18"/>
                <w:szCs w:val="18"/>
                <w:color w:val="auto"/>
                <w:vertAlign w:val="superscript"/>
              </w:rPr>
              <w:t>(1)</w:t>
            </w:r>
          </w:p>
        </w:tc>
        <w:tc>
          <w:tcPr>
            <w:tcW w:w="1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DDDDD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21"/>
        </w:trPr>
        <w:tc>
          <w:tcPr>
            <w:tcW w:w="76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b w:val="1"/>
                <w:bCs w:val="1"/>
                <w:color w:val="auto"/>
              </w:rPr>
              <w:t>Total Assets</w:t>
            </w:r>
          </w:p>
        </w:tc>
        <w:tc>
          <w:tcPr>
            <w:tcW w:w="1260" w:type="dxa"/>
            <w:vAlign w:val="bottom"/>
            <w:tcBorders>
              <w:bottom w:val="single" w:sz="8" w:color="auto"/>
            </w:tcBorders>
            <w:shd w:val="clear" w:color="auto" w:fill="DDDDDD"/>
          </w:tcPr>
          <w:p>
            <w:pPr>
              <w:jc w:val="right"/>
              <w:ind w:right="10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1,074</w:t>
            </w:r>
          </w:p>
        </w:tc>
        <w:tc>
          <w:tcPr>
            <w:tcW w:w="10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auto"/>
            </w:tcBorders>
            <w:shd w:val="clear" w:color="auto" w:fill="DDDDDD"/>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20"/>
        </w:trPr>
        <w:tc>
          <w:tcPr>
            <w:tcW w:w="7620" w:type="dxa"/>
            <w:vAlign w:val="bottom"/>
            <w:tcBorders>
              <w:top w:val="single" w:sz="8" w:color="DDDDDD"/>
              <w:bottom w:val="single" w:sz="8" w:color="DDDDDD"/>
            </w:tcBorders>
            <w:vMerge w:val="restart"/>
          </w:tcPr>
          <w:p>
            <w:pPr>
              <w:ind w:left="20"/>
              <w:spacing w:after="0"/>
              <w:rPr>
                <w:sz w:val="20"/>
                <w:szCs w:val="20"/>
                <w:color w:val="auto"/>
              </w:rPr>
            </w:pPr>
            <w:r>
              <w:rPr>
                <w:rFonts w:ascii="Arial" w:cs="Arial" w:eastAsia="Arial" w:hAnsi="Arial"/>
                <w:sz w:val="14"/>
                <w:szCs w:val="14"/>
                <w:b w:val="1"/>
                <w:bCs w:val="1"/>
                <w:color w:val="auto"/>
              </w:rPr>
              <w:t>Liabilities held by SPEs</w:t>
            </w:r>
          </w:p>
        </w:tc>
        <w:tc>
          <w:tcPr>
            <w:tcW w:w="1260" w:type="dxa"/>
            <w:vAlign w:val="bottom"/>
            <w:tcBorders>
              <w:top w:val="single" w:sz="8" w:color="DDDDDD"/>
              <w:bottom w:val="single" w:sz="8" w:color="auto"/>
            </w:tcBorders>
          </w:tcPr>
          <w:p>
            <w:pPr>
              <w:spacing w:after="0" w:line="20" w:lineRule="exact"/>
              <w:rPr>
                <w:sz w:val="1"/>
                <w:szCs w:val="1"/>
                <w:color w:val="auto"/>
              </w:rPr>
            </w:pPr>
          </w:p>
        </w:tc>
        <w:tc>
          <w:tcPr>
            <w:tcW w:w="50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DDDDDD"/>
              <w:bottom w:val="single" w:sz="8" w:color="auto"/>
            </w:tcBorders>
          </w:tcPr>
          <w:p>
            <w:pPr>
              <w:spacing w:after="0" w:line="20" w:lineRule="exact"/>
              <w:rPr>
                <w:sz w:val="1"/>
                <w:szCs w:val="1"/>
                <w:color w:val="auto"/>
              </w:rPr>
            </w:pPr>
          </w:p>
        </w:tc>
        <w:tc>
          <w:tcPr>
            <w:tcW w:w="150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62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DDDDDD"/>
          </w:tcPr>
          <w:p>
            <w:pPr>
              <w:ind w:left="20"/>
              <w:spacing w:after="0" w:line="203" w:lineRule="exact"/>
              <w:rPr>
                <w:sz w:val="20"/>
                <w:szCs w:val="20"/>
                <w:color w:val="auto"/>
              </w:rPr>
            </w:pPr>
            <w:r>
              <w:rPr>
                <w:rFonts w:ascii="Arial" w:cs="Arial" w:eastAsia="Arial" w:hAnsi="Arial"/>
                <w:sz w:val="14"/>
                <w:szCs w:val="14"/>
                <w:color w:val="auto"/>
              </w:rPr>
              <w:t>Current portion of long-term debt, net</w:t>
            </w:r>
            <w:r>
              <w:rPr>
                <w:rFonts w:ascii="Arial" w:cs="Arial" w:eastAsia="Arial" w:hAnsi="Arial"/>
                <w:sz w:val="18"/>
                <w:szCs w:val="18"/>
                <w:color w:val="auto"/>
                <w:vertAlign w:val="superscript"/>
              </w:rPr>
              <w:t>(2)</w:t>
            </w:r>
          </w:p>
        </w:tc>
        <w:tc>
          <w:tcPr>
            <w:tcW w:w="1260" w:type="dxa"/>
            <w:vAlign w:val="bottom"/>
            <w:shd w:val="clear" w:color="auto" w:fill="DDDDDD"/>
          </w:tcPr>
          <w:p>
            <w:pPr>
              <w:jc w:val="right"/>
              <w:ind w:right="1088"/>
              <w:spacing w:after="0"/>
              <w:rPr>
                <w:sz w:val="20"/>
                <w:szCs w:val="20"/>
                <w:color w:val="auto"/>
              </w:rPr>
            </w:pPr>
            <w:r>
              <w:rPr>
                <w:rFonts w:ascii="Arial" w:cs="Arial" w:eastAsia="Arial" w:hAnsi="Arial"/>
                <w:sz w:val="14"/>
                <w:szCs w:val="14"/>
                <w:color w:val="auto"/>
              </w:rPr>
              <w:t>$</w:t>
            </w:r>
          </w:p>
        </w:tc>
        <w:tc>
          <w:tcPr>
            <w:tcW w:w="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451</w:t>
            </w:r>
          </w:p>
        </w:tc>
        <w:tc>
          <w:tcPr>
            <w:tcW w:w="100" w:type="dxa"/>
            <w:vAlign w:val="bottom"/>
            <w:shd w:val="clear" w:color="auto" w:fill="DDDDDD"/>
          </w:tcPr>
          <w:p>
            <w:pPr>
              <w:spacing w:after="0"/>
              <w:rPr>
                <w:sz w:val="17"/>
                <w:szCs w:val="17"/>
                <w:color w:val="auto"/>
              </w:rPr>
            </w:pPr>
          </w:p>
        </w:tc>
        <w:tc>
          <w:tcPr>
            <w:tcW w:w="26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03"/>
        </w:trPr>
        <w:tc>
          <w:tcPr>
            <w:tcW w:w="7620" w:type="dxa"/>
            <w:vAlign w:val="bottom"/>
            <w:tcBorders>
              <w:bottom w:val="single" w:sz="8" w:color="DDDDDD"/>
            </w:tcBorders>
          </w:tcPr>
          <w:p>
            <w:pPr>
              <w:ind w:left="20"/>
              <w:spacing w:after="0" w:line="202" w:lineRule="exact"/>
              <w:rPr>
                <w:sz w:val="20"/>
                <w:szCs w:val="20"/>
                <w:color w:val="auto"/>
              </w:rPr>
            </w:pPr>
            <w:r>
              <w:rPr>
                <w:rFonts w:ascii="Arial" w:cs="Arial" w:eastAsia="Arial" w:hAnsi="Arial"/>
                <w:sz w:val="14"/>
                <w:szCs w:val="14"/>
                <w:color w:val="auto"/>
              </w:rPr>
              <w:t>Long term debt, net</w:t>
            </w:r>
            <w:r>
              <w:rPr>
                <w:rFonts w:ascii="Arial" w:cs="Arial" w:eastAsia="Arial" w:hAnsi="Arial"/>
                <w:sz w:val="18"/>
                <w:szCs w:val="18"/>
                <w:color w:val="auto"/>
                <w:vertAlign w:val="superscript"/>
              </w:rPr>
              <w:t>(2)</w:t>
            </w:r>
          </w:p>
        </w:tc>
        <w:tc>
          <w:tcPr>
            <w:tcW w:w="1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Borders>
              <w:bottom w:val="single" w:sz="8" w:color="DDDDD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21"/>
        </w:trPr>
        <w:tc>
          <w:tcPr>
            <w:tcW w:w="76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b w:val="1"/>
                <w:bCs w:val="1"/>
                <w:color w:val="auto"/>
              </w:rPr>
              <w:t>Total Liabilities</w:t>
            </w:r>
          </w:p>
        </w:tc>
        <w:tc>
          <w:tcPr>
            <w:tcW w:w="1260" w:type="dxa"/>
            <w:vAlign w:val="bottom"/>
            <w:tcBorders>
              <w:bottom w:val="single" w:sz="8" w:color="auto"/>
            </w:tcBorders>
            <w:shd w:val="clear" w:color="auto" w:fill="DDDDDD"/>
          </w:tcPr>
          <w:p>
            <w:pPr>
              <w:jc w:val="right"/>
              <w:ind w:right="10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883</w:t>
            </w:r>
          </w:p>
        </w:tc>
        <w:tc>
          <w:tcPr>
            <w:tcW w:w="10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auto"/>
            </w:tcBorders>
            <w:shd w:val="clear" w:color="auto" w:fill="DDDDDD"/>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20"/>
        </w:trPr>
        <w:tc>
          <w:tcPr>
            <w:tcW w:w="7620" w:type="dxa"/>
            <w:vAlign w:val="bottom"/>
            <w:tcBorders>
              <w:top w:val="single" w:sz="8" w:color="DDDDDD"/>
            </w:tcBorders>
          </w:tcPr>
          <w:p>
            <w:pPr>
              <w:spacing w:after="0" w:line="20" w:lineRule="exact"/>
              <w:rPr>
                <w:sz w:val="1"/>
                <w:szCs w:val="1"/>
                <w:color w:val="auto"/>
              </w:rPr>
            </w:pPr>
          </w:p>
        </w:tc>
        <w:tc>
          <w:tcPr>
            <w:tcW w:w="1260" w:type="dxa"/>
            <w:vAlign w:val="bottom"/>
            <w:tcBorders>
              <w:top w:val="single" w:sz="8" w:color="DDDDDD"/>
              <w:bottom w:val="single" w:sz="8" w:color="auto"/>
            </w:tcBorders>
          </w:tcPr>
          <w:p>
            <w:pPr>
              <w:spacing w:after="0" w:line="20" w:lineRule="exact"/>
              <w:rPr>
                <w:sz w:val="1"/>
                <w:szCs w:val="1"/>
                <w:color w:val="auto"/>
              </w:rPr>
            </w:pPr>
          </w:p>
        </w:tc>
        <w:tc>
          <w:tcPr>
            <w:tcW w:w="50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DDDDDD"/>
              <w:bottom w:val="single" w:sz="8" w:color="auto"/>
            </w:tcBorders>
          </w:tcPr>
          <w:p>
            <w:pPr>
              <w:spacing w:after="0" w:line="20" w:lineRule="exact"/>
              <w:rPr>
                <w:sz w:val="1"/>
                <w:szCs w:val="1"/>
                <w:color w:val="auto"/>
              </w:rPr>
            </w:pPr>
          </w:p>
        </w:tc>
        <w:tc>
          <w:tcPr>
            <w:tcW w:w="150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w:t>
      </w:r>
      <w:r>
        <w:rPr>
          <w:rFonts w:ascii="Arial" w:cs="Arial" w:eastAsia="Arial" w:hAnsi="Arial"/>
          <w:sz w:val="14"/>
          <w:szCs w:val="14"/>
          <w:color w:val="auto"/>
        </w:rPr>
        <w:t>_</w:t>
      </w:r>
    </w:p>
    <w:p>
      <w:pPr>
        <w:spacing w:after="0" w:line="15"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Restricted cash is included in Other current assets in our Condensed Consolidated Balance Sheet.</w:t>
      </w:r>
    </w:p>
    <w:p>
      <w:pPr>
        <w:spacing w:after="0" w:line="14" w:lineRule="exact"/>
        <w:rPr>
          <w:rFonts w:ascii="Arial" w:cs="Arial" w:eastAsia="Arial" w:hAnsi="Arial"/>
          <w:sz w:val="14"/>
          <w:szCs w:val="14"/>
          <w:i w:val="1"/>
          <w:iCs w:val="1"/>
          <w:color w:val="auto"/>
        </w:rPr>
      </w:pPr>
    </w:p>
    <w:p>
      <w:pPr>
        <w:ind w:left="320" w:hanging="312"/>
        <w:spacing w:after="0"/>
        <w:tabs>
          <w:tab w:leader="none" w:pos="32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Net of debt issuance costs of $2 and $1 as of March 31, 2022 and December 31, 2021,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Interest Expense and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and income were as follows:</w:t>
      </w:r>
    </w:p>
    <w:p>
      <w:pPr>
        <w:spacing w:after="0" w:line="167" w:lineRule="exact"/>
        <w:rPr>
          <w:sz w:val="20"/>
          <w:szCs w:val="20"/>
          <w:color w:val="auto"/>
        </w:rPr>
      </w:pPr>
    </w:p>
    <w:p>
      <w:pPr>
        <w:jc w:val="center"/>
        <w:ind w:left="758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jc w:val="center"/>
        <w:ind w:left="758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00" w:type="dxa"/>
            <w:vAlign w:val="bottom"/>
            <w:tcBorders>
              <w:bottom w:val="single" w:sz="8" w:color="E5E5E5"/>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2022</w:t>
            </w:r>
          </w:p>
        </w:tc>
        <w:tc>
          <w:tcPr>
            <w:tcW w:w="4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E5E5E5"/>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2021</w:t>
            </w:r>
          </w:p>
        </w:tc>
      </w:tr>
      <w:tr>
        <w:trPr>
          <w:trHeight w:val="199"/>
        </w:trPr>
        <w:tc>
          <w:tcPr>
            <w:tcW w:w="7600" w:type="dxa"/>
            <w:vAlign w:val="bottom"/>
            <w:shd w:val="clear" w:color="auto" w:fill="E5E5E5"/>
          </w:tcPr>
          <w:p>
            <w:pPr>
              <w:ind w:left="20"/>
              <w:spacing w:after="0" w:line="199" w:lineRule="exact"/>
              <w:rPr>
                <w:sz w:val="20"/>
                <w:szCs w:val="20"/>
                <w:color w:val="auto"/>
              </w:rPr>
            </w:pPr>
            <w:r>
              <w:rPr>
                <w:rFonts w:ascii="Arial" w:cs="Arial" w:eastAsia="Arial" w:hAnsi="Arial"/>
                <w:sz w:val="14"/>
                <w:szCs w:val="14"/>
                <w:color w:val="auto"/>
              </w:rPr>
              <w:t>Interest expense</w:t>
            </w:r>
            <w:r>
              <w:rPr>
                <w:rFonts w:ascii="Arial" w:cs="Arial" w:eastAsia="Arial" w:hAnsi="Arial"/>
                <w:sz w:val="18"/>
                <w:szCs w:val="18"/>
                <w:color w:val="auto"/>
                <w:vertAlign w:val="superscript"/>
              </w:rPr>
              <w:t>(1)(2)</w:t>
            </w:r>
          </w:p>
        </w:tc>
        <w:tc>
          <w:tcPr>
            <w:tcW w:w="1300" w:type="dxa"/>
            <w:vAlign w:val="bottom"/>
            <w:shd w:val="clear" w:color="auto" w:fill="E5E5E5"/>
          </w:tcPr>
          <w:p>
            <w:pPr>
              <w:jc w:val="right"/>
              <w:ind w:right="1128"/>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52</w:t>
            </w:r>
          </w:p>
        </w:tc>
      </w:tr>
      <w:tr>
        <w:trPr>
          <w:trHeight w:val="251"/>
        </w:trPr>
        <w:tc>
          <w:tcPr>
            <w:tcW w:w="7600" w:type="dxa"/>
            <w:vAlign w:val="bottom"/>
          </w:tcPr>
          <w:p>
            <w:pPr>
              <w:ind w:left="20"/>
              <w:spacing w:after="0"/>
              <w:rPr>
                <w:sz w:val="20"/>
                <w:szCs w:val="20"/>
                <w:color w:val="auto"/>
              </w:rPr>
            </w:pPr>
            <w:r>
              <w:rPr>
                <w:rFonts w:ascii="Arial" w:cs="Arial" w:eastAsia="Arial" w:hAnsi="Arial"/>
                <w:sz w:val="14"/>
                <w:szCs w:val="14"/>
                <w:color w:val="auto"/>
              </w:rPr>
              <w:t>Interest income</w:t>
            </w:r>
            <w:r>
              <w:rPr>
                <w:rFonts w:ascii="Arial" w:cs="Arial" w:eastAsia="Arial" w:hAnsi="Arial"/>
                <w:sz w:val="18"/>
                <w:szCs w:val="18"/>
                <w:color w:val="auto"/>
                <w:vertAlign w:val="superscript"/>
              </w:rPr>
              <w:t>(3)</w:t>
            </w:r>
          </w:p>
        </w:tc>
        <w:tc>
          <w:tcPr>
            <w:tcW w:w="13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56</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w:t>
      </w:r>
    </w:p>
    <w:p>
      <w:pPr>
        <w:spacing w:after="0" w:line="27"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Cost of financing as well as non-financing interest expense that is included in Other expenses, net in the Condensed Consolidated Statements of (Loss) Income.</w:t>
      </w:r>
    </w:p>
    <w:p>
      <w:pPr>
        <w:spacing w:after="0" w:line="1" w:lineRule="exact"/>
        <w:rPr>
          <w:rFonts w:ascii="Arial" w:cs="Arial" w:eastAsia="Arial" w:hAnsi="Arial"/>
          <w:sz w:val="14"/>
          <w:szCs w:val="14"/>
          <w:i w:val="1"/>
          <w:iCs w:val="1"/>
          <w:color w:val="auto"/>
        </w:rPr>
      </w:pPr>
    </w:p>
    <w:p>
      <w:pPr>
        <w:ind w:left="340" w:hanging="332"/>
        <w:spacing w:after="0" w:line="261" w:lineRule="auto"/>
        <w:tabs>
          <w:tab w:leader="none" w:pos="327"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Interest expense of Xerox Corporation included intercompany interest expense associated with the Xerox Holdings Corporation / Xerox Corporation Intercompany Loan of $20 and $20 for the three months ended March 31, 2022 and 2021, respectively.</w:t>
      </w:r>
    </w:p>
    <w:p>
      <w:pPr>
        <w:ind w:left="320" w:hanging="312"/>
        <w:spacing w:after="0"/>
        <w:tabs>
          <w:tab w:leader="none" w:pos="32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Financing revenue as well as other interest income that is included in Other expenses, net in the Condensed Consolidated Statements of (Loss) Income.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DA2031"/>
        </w:rPr>
        <w:t>Note 14 – Financial Instruments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Interest Rate Risk Management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use interest rate swap and interest rate cap agreements to manage our interest rate exposure and to achieve a desired proportion of variable and fixed rate debt. These derivatives may be designated as </w:t>
      </w:r>
      <w:r>
        <w:rPr>
          <w:rFonts w:ascii="Arial" w:cs="Arial" w:eastAsia="Arial" w:hAnsi="Arial"/>
          <w:sz w:val="18"/>
          <w:szCs w:val="18"/>
          <w:b w:val="1"/>
          <w:bCs w:val="1"/>
          <w:color w:val="DA2031"/>
        </w:rPr>
        <w:t>fair value hedges</w:t>
      </w:r>
      <w:r>
        <w:rPr>
          <w:rFonts w:ascii="Arial" w:cs="Arial" w:eastAsia="Arial" w:hAnsi="Arial"/>
          <w:sz w:val="18"/>
          <w:szCs w:val="18"/>
          <w:color w:val="auto"/>
        </w:rPr>
        <w:t xml:space="preserve"> or </w:t>
      </w:r>
      <w:r>
        <w:rPr>
          <w:rFonts w:ascii="Arial" w:cs="Arial" w:eastAsia="Arial" w:hAnsi="Arial"/>
          <w:sz w:val="18"/>
          <w:szCs w:val="18"/>
          <w:b w:val="1"/>
          <w:bCs w:val="1"/>
          <w:color w:val="DA2031"/>
        </w:rPr>
        <w:t>cash flow hedges</w:t>
      </w:r>
      <w:r>
        <w:rPr>
          <w:rFonts w:ascii="Arial" w:cs="Arial" w:eastAsia="Arial" w:hAnsi="Arial"/>
          <w:sz w:val="18"/>
          <w:szCs w:val="18"/>
          <w:color w:val="auto"/>
        </w:rPr>
        <w:t xml:space="preserve"> depending on the nature of the risk being hedged. At March 31, 2022, there was one interest rate cap contract outstanding.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Foreign Exchange Risk Management</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global company and we are exposed to foreign currency exchange rate fluctuations in the normal course of our business. As a part of our foreign exchange risk management strategy, we use derivative instruments, primarily forward contracts and purchased option contracts, to hedge the following foreign currency exposures, thereby reducing volatility of earnings or protecting fair values of assets and liabilities:</w:t>
      </w:r>
    </w:p>
    <w:p>
      <w:pPr>
        <w:spacing w:after="0" w:line="14"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b w:val="1"/>
          <w:bCs w:val="1"/>
          <w:color w:val="DA2031"/>
        </w:rPr>
      </w:pPr>
      <w:r>
        <w:rPr>
          <w:rFonts w:ascii="Arial" w:cs="Arial" w:eastAsia="Arial" w:hAnsi="Arial"/>
          <w:sz w:val="18"/>
          <w:szCs w:val="18"/>
          <w:color w:val="auto"/>
        </w:rPr>
        <w:t>Foreign currency-denominated assets and liabilities</w:t>
      </w:r>
    </w:p>
    <w:p>
      <w:pPr>
        <w:spacing w:after="0" w:line="27" w:lineRule="exact"/>
        <w:rPr>
          <w:rFonts w:ascii="Arial" w:cs="Arial" w:eastAsia="Arial" w:hAnsi="Arial"/>
          <w:sz w:val="18"/>
          <w:szCs w:val="18"/>
          <w:b w:val="1"/>
          <w:bCs w:val="1"/>
          <w:color w:val="DA2031"/>
        </w:rPr>
      </w:pPr>
    </w:p>
    <w:p>
      <w:pPr>
        <w:ind w:left="320" w:hanging="312"/>
        <w:spacing w:after="0"/>
        <w:tabs>
          <w:tab w:leader="none" w:pos="320" w:val="left"/>
        </w:tabs>
        <w:numPr>
          <w:ilvl w:val="0"/>
          <w:numId w:val="22"/>
        </w:numPr>
        <w:rPr>
          <w:rFonts w:ascii="Arial" w:cs="Arial" w:eastAsia="Arial" w:hAnsi="Arial"/>
          <w:sz w:val="18"/>
          <w:szCs w:val="18"/>
          <w:b w:val="1"/>
          <w:bCs w:val="1"/>
          <w:color w:val="DA2031"/>
        </w:rPr>
      </w:pPr>
      <w:r>
        <w:rPr>
          <w:rFonts w:ascii="Arial" w:cs="Arial" w:eastAsia="Arial" w:hAnsi="Arial"/>
          <w:sz w:val="18"/>
          <w:szCs w:val="18"/>
          <w:color w:val="auto"/>
        </w:rPr>
        <w:t>Forecasted purchases and sales in foreign currency</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March 31, 2022 and December 31, 2021, we had outstanding forward exchange and purchased option contracts with gross notional values of $1,126 and $1,113 respectively, with terms of less than 12 months. Approximately 77% of the contracts at March 31, 2022 mature within three months, 13% mature in three to six months and 10% in six to twelve months. There have not been any material changes in our hedging strategy.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u w:val="single" w:color="auto"/>
          <w:color w:val="DA2031"/>
        </w:rPr>
        <w:t>Foreign Currency Cash Flow Hedges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designate a portion of our foreign currency derivative contracts as cash flow hedges of our foreign currency-denominated inventory purchases, sales and expenses. The net liability fair value of these contracts were $18 and $3 as of March 31, 2022 and December 31, 2021,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Summary of Derivative Instruments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fair value amounts of our derivative instruments: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Designation of Derivatives</w:t>
            </w:r>
          </w:p>
        </w:tc>
        <w:tc>
          <w:tcPr>
            <w:tcW w:w="3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Balance Sheet Location</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March 31,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3720" w:type="dxa"/>
            <w:vAlign w:val="bottom"/>
            <w:vMerge w:val="continue"/>
          </w:tcPr>
          <w:p>
            <w:pPr>
              <w:spacing w:after="0"/>
              <w:rPr>
                <w:sz w:val="16"/>
                <w:szCs w:val="16"/>
                <w:color w:val="auto"/>
              </w:rPr>
            </w:pPr>
          </w:p>
        </w:tc>
        <w:tc>
          <w:tcPr>
            <w:tcW w:w="3900" w:type="dxa"/>
            <w:vAlign w:val="bottom"/>
            <w:gridSpan w:val="2"/>
            <w:vMerge w:val="continue"/>
          </w:tcPr>
          <w:p>
            <w:pPr>
              <w:spacing w:after="0"/>
              <w:rPr>
                <w:sz w:val="16"/>
                <w:szCs w:val="16"/>
                <w:color w:val="auto"/>
              </w:rPr>
            </w:pPr>
          </w:p>
        </w:tc>
        <w:tc>
          <w:tcPr>
            <w:tcW w:w="1320" w:type="dxa"/>
            <w:vAlign w:val="bottom"/>
          </w:tcPr>
          <w:p>
            <w:pPr>
              <w:jc w:val="right"/>
              <w:ind w:right="208"/>
              <w:spacing w:after="0"/>
              <w:rPr>
                <w:sz w:val="20"/>
                <w:szCs w:val="20"/>
                <w:color w:val="auto"/>
              </w:rPr>
            </w:pPr>
            <w:r>
              <w:rPr>
                <w:rFonts w:ascii="Arial" w:cs="Arial" w:eastAsia="Arial" w:hAnsi="Arial"/>
                <w:sz w:val="14"/>
                <w:szCs w:val="14"/>
                <w:color w:val="auto"/>
              </w:rPr>
              <w:t>2022</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64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96"/>
        </w:trPr>
        <w:tc>
          <w:tcPr>
            <w:tcW w:w="3720" w:type="dxa"/>
            <w:vAlign w:val="bottom"/>
            <w:tcBorders>
              <w:top w:val="single" w:sz="8" w:color="auto"/>
            </w:tcBorders>
            <w:shd w:val="clear" w:color="auto" w:fill="DDDDDD"/>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3800" w:type="dxa"/>
            <w:vAlign w:val="bottom"/>
            <w:tcBorders>
              <w:top w:val="single" w:sz="8" w:color="auto"/>
            </w:tcBorders>
            <w:shd w:val="clear" w:color="auto" w:fill="DDDDDD"/>
          </w:tcPr>
          <w:p>
            <w:pPr>
              <w:spacing w:after="0"/>
              <w:rPr>
                <w:sz w:val="17"/>
                <w:szCs w:val="17"/>
                <w:color w:val="auto"/>
              </w:rPr>
            </w:pPr>
          </w:p>
        </w:tc>
        <w:tc>
          <w:tcPr>
            <w:tcW w:w="100" w:type="dxa"/>
            <w:vAlign w:val="bottom"/>
            <w:tcBorders>
              <w:top w:val="single" w:sz="8" w:color="DDDDDD"/>
            </w:tcBorders>
            <w:shd w:val="clear" w:color="auto" w:fill="DDDDDD"/>
          </w:tcPr>
          <w:p>
            <w:pPr>
              <w:spacing w:after="0"/>
              <w:rPr>
                <w:sz w:val="17"/>
                <w:szCs w:val="17"/>
                <w:color w:val="auto"/>
              </w:rPr>
            </w:pPr>
          </w:p>
        </w:tc>
        <w:tc>
          <w:tcPr>
            <w:tcW w:w="1320" w:type="dxa"/>
            <w:vAlign w:val="bottom"/>
            <w:tcBorders>
              <w:top w:val="single" w:sz="8" w:color="auto"/>
            </w:tcBorders>
            <w:shd w:val="clear" w:color="auto" w:fill="DDDDDD"/>
          </w:tcPr>
          <w:p>
            <w:pPr>
              <w:spacing w:after="0"/>
              <w:rPr>
                <w:sz w:val="17"/>
                <w:szCs w:val="17"/>
                <w:color w:val="auto"/>
              </w:rPr>
            </w:pPr>
          </w:p>
        </w:tc>
        <w:tc>
          <w:tcPr>
            <w:tcW w:w="420" w:type="dxa"/>
            <w:vAlign w:val="bottom"/>
            <w:tcBorders>
              <w:top w:val="single" w:sz="8" w:color="auto"/>
            </w:tcBorders>
            <w:shd w:val="clear" w:color="auto" w:fill="DDDDDD"/>
          </w:tcPr>
          <w:p>
            <w:pPr>
              <w:spacing w:after="0"/>
              <w:rPr>
                <w:sz w:val="17"/>
                <w:szCs w:val="17"/>
                <w:color w:val="auto"/>
              </w:rPr>
            </w:pPr>
          </w:p>
        </w:tc>
        <w:tc>
          <w:tcPr>
            <w:tcW w:w="120" w:type="dxa"/>
            <w:vAlign w:val="bottom"/>
            <w:tcBorders>
              <w:top w:val="single" w:sz="8" w:color="DDDDDD"/>
            </w:tcBorders>
            <w:shd w:val="clear" w:color="auto" w:fill="DDDDDD"/>
          </w:tcPr>
          <w:p>
            <w:pPr>
              <w:spacing w:after="0"/>
              <w:rPr>
                <w:sz w:val="17"/>
                <w:szCs w:val="17"/>
                <w:color w:val="auto"/>
              </w:rPr>
            </w:pPr>
          </w:p>
        </w:tc>
        <w:tc>
          <w:tcPr>
            <w:tcW w:w="260" w:type="dxa"/>
            <w:vAlign w:val="bottom"/>
            <w:tcBorders>
              <w:top w:val="single" w:sz="8" w:color="auto"/>
            </w:tcBorders>
            <w:shd w:val="clear" w:color="auto" w:fill="DDDDDD"/>
          </w:tcPr>
          <w:p>
            <w:pPr>
              <w:spacing w:after="0"/>
              <w:rPr>
                <w:sz w:val="17"/>
                <w:szCs w:val="17"/>
                <w:color w:val="auto"/>
              </w:rPr>
            </w:pPr>
          </w:p>
        </w:tc>
        <w:tc>
          <w:tcPr>
            <w:tcW w:w="1500" w:type="dxa"/>
            <w:vAlign w:val="bottom"/>
            <w:tcBorders>
              <w:top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20" w:type="dxa"/>
            <w:vAlign w:val="bottom"/>
          </w:tcPr>
          <w:p>
            <w:pPr>
              <w:ind w:left="20"/>
              <w:spacing w:after="0"/>
              <w:rPr>
                <w:sz w:val="20"/>
                <w:szCs w:val="20"/>
                <w:color w:val="auto"/>
              </w:rPr>
            </w:pPr>
            <w:r>
              <w:rPr>
                <w:rFonts w:ascii="Arial" w:cs="Arial" w:eastAsia="Arial" w:hAnsi="Arial"/>
                <w:sz w:val="14"/>
                <w:szCs w:val="14"/>
                <w:color w:val="auto"/>
              </w:rPr>
              <w:t>Foreign exchange contracts - forwards</w:t>
            </w:r>
          </w:p>
        </w:tc>
        <w:tc>
          <w:tcPr>
            <w:tcW w:w="3900" w:type="dxa"/>
            <w:vAlign w:val="bottom"/>
            <w:gridSpan w:val="2"/>
          </w:tcPr>
          <w:p>
            <w:pPr>
              <w:ind w:left="80"/>
              <w:spacing w:after="0"/>
              <w:rPr>
                <w:sz w:val="20"/>
                <w:szCs w:val="20"/>
                <w:color w:val="auto"/>
              </w:rPr>
            </w:pPr>
            <w:r>
              <w:rPr>
                <w:rFonts w:ascii="Arial" w:cs="Arial" w:eastAsia="Arial" w:hAnsi="Arial"/>
                <w:sz w:val="14"/>
                <w:szCs w:val="14"/>
                <w:color w:val="auto"/>
              </w:rPr>
              <w:t>Other current assets</w:t>
            </w:r>
          </w:p>
        </w:tc>
        <w:tc>
          <w:tcPr>
            <w:tcW w:w="1320" w:type="dxa"/>
            <w:vAlign w:val="bottom"/>
          </w:tcPr>
          <w:p>
            <w:pPr>
              <w:jc w:val="right"/>
              <w:ind w:right="114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7"/>
        </w:trPr>
        <w:tc>
          <w:tcPr>
            <w:tcW w:w="3720" w:type="dxa"/>
            <w:vAlign w:val="bottom"/>
            <w:shd w:val="clear" w:color="auto" w:fill="DDDDDD"/>
          </w:tcPr>
          <w:p>
            <w:pPr>
              <w:spacing w:after="0"/>
              <w:rPr>
                <w:sz w:val="17"/>
                <w:szCs w:val="17"/>
                <w:color w:val="auto"/>
              </w:rPr>
            </w:pPr>
          </w:p>
        </w:tc>
        <w:tc>
          <w:tcPr>
            <w:tcW w:w="3900" w:type="dxa"/>
            <w:vAlign w:val="bottom"/>
            <w:gridSpan w:val="2"/>
            <w:shd w:val="clear" w:color="auto" w:fill="DDDDDD"/>
          </w:tcPr>
          <w:p>
            <w:pPr>
              <w:ind w:left="80"/>
              <w:spacing w:after="0"/>
              <w:rPr>
                <w:sz w:val="20"/>
                <w:szCs w:val="20"/>
                <w:color w:val="auto"/>
              </w:rPr>
            </w:pPr>
            <w:r>
              <w:rPr>
                <w:rFonts w:ascii="Arial" w:cs="Arial" w:eastAsia="Arial" w:hAnsi="Arial"/>
                <w:sz w:val="14"/>
                <w:szCs w:val="14"/>
                <w:color w:val="auto"/>
              </w:rPr>
              <w:t>Accrued expenses and other current liabilities</w:t>
            </w:r>
          </w:p>
        </w:tc>
        <w:tc>
          <w:tcPr>
            <w:tcW w:w="1320" w:type="dxa"/>
            <w:vAlign w:val="bottom"/>
            <w:shd w:val="clear" w:color="auto" w:fill="DDDDDD"/>
          </w:tcPr>
          <w:p>
            <w:pPr>
              <w:spacing w:after="0"/>
              <w:rPr>
                <w:sz w:val="17"/>
                <w:szCs w:val="17"/>
                <w:color w:val="auto"/>
              </w:rPr>
            </w:pPr>
          </w:p>
        </w:tc>
        <w:tc>
          <w:tcPr>
            <w:tcW w:w="4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8"/>
        </w:trPr>
        <w:tc>
          <w:tcPr>
            <w:tcW w:w="3720" w:type="dxa"/>
            <w:vAlign w:val="bottom"/>
            <w:tcBorders>
              <w:bottom w:val="single" w:sz="8" w:color="DDDDDD"/>
            </w:tcBorders>
          </w:tcPr>
          <w:p>
            <w:pPr>
              <w:ind w:left="20"/>
              <w:spacing w:after="0"/>
              <w:rPr>
                <w:sz w:val="20"/>
                <w:szCs w:val="20"/>
                <w:color w:val="auto"/>
              </w:rPr>
            </w:pPr>
            <w:r>
              <w:rPr>
                <w:rFonts w:ascii="Arial" w:cs="Arial" w:eastAsia="Arial" w:hAnsi="Arial"/>
                <w:sz w:val="14"/>
                <w:szCs w:val="14"/>
                <w:color w:val="auto"/>
              </w:rPr>
              <w:t>Interest rate cap</w:t>
            </w:r>
          </w:p>
        </w:tc>
        <w:tc>
          <w:tcPr>
            <w:tcW w:w="3900" w:type="dxa"/>
            <w:vAlign w:val="bottom"/>
            <w:tcBorders>
              <w:bottom w:val="single" w:sz="8" w:color="DDDDDD"/>
            </w:tcBorders>
            <w:gridSpan w:val="2"/>
          </w:tcPr>
          <w:p>
            <w:pPr>
              <w:ind w:left="80"/>
              <w:spacing w:after="0"/>
              <w:rPr>
                <w:sz w:val="20"/>
                <w:szCs w:val="20"/>
                <w:color w:val="auto"/>
              </w:rPr>
            </w:pPr>
            <w:r>
              <w:rPr>
                <w:rFonts w:ascii="Arial" w:cs="Arial" w:eastAsia="Arial" w:hAnsi="Arial"/>
                <w:sz w:val="14"/>
                <w:szCs w:val="14"/>
                <w:color w:val="auto"/>
              </w:rPr>
              <w:t>Other long-term assets</w:t>
            </w:r>
          </w:p>
        </w:tc>
        <w:tc>
          <w:tcPr>
            <w:tcW w:w="1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DDDDD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5"/>
        </w:trPr>
        <w:tc>
          <w:tcPr>
            <w:tcW w:w="3720" w:type="dxa"/>
            <w:vAlign w:val="bottom"/>
            <w:tcBorders>
              <w:bottom w:val="single" w:sz="8" w:color="DDDDDD"/>
            </w:tcBorders>
            <w:shd w:val="clear" w:color="auto" w:fill="DDDDDD"/>
          </w:tcPr>
          <w:p>
            <w:pPr>
              <w:spacing w:after="0"/>
              <w:rPr>
                <w:sz w:val="19"/>
                <w:szCs w:val="19"/>
                <w:color w:val="auto"/>
              </w:rPr>
            </w:pPr>
          </w:p>
        </w:tc>
        <w:tc>
          <w:tcPr>
            <w:tcW w:w="3900" w:type="dxa"/>
            <w:vAlign w:val="bottom"/>
            <w:tcBorders>
              <w:bottom w:val="single" w:sz="8" w:color="DDDDDD"/>
            </w:tcBorders>
            <w:gridSpan w:val="2"/>
            <w:shd w:val="clear" w:color="auto" w:fill="DDDDDD"/>
          </w:tcPr>
          <w:p>
            <w:pPr>
              <w:ind w:left="80"/>
              <w:spacing w:after="0"/>
              <w:rPr>
                <w:sz w:val="20"/>
                <w:szCs w:val="20"/>
                <w:color w:val="auto"/>
              </w:rPr>
            </w:pPr>
            <w:r>
              <w:rPr>
                <w:rFonts w:ascii="Arial" w:cs="Arial" w:eastAsia="Arial" w:hAnsi="Arial"/>
                <w:sz w:val="14"/>
                <w:szCs w:val="14"/>
                <w:b w:val="1"/>
                <w:bCs w:val="1"/>
                <w:color w:val="auto"/>
              </w:rPr>
              <w:t>Net designated derivative liabilities</w:t>
            </w:r>
          </w:p>
        </w:tc>
        <w:tc>
          <w:tcPr>
            <w:tcW w:w="1320" w:type="dxa"/>
            <w:vAlign w:val="bottom"/>
            <w:tcBorders>
              <w:bottom w:val="single" w:sz="8" w:color="auto"/>
            </w:tcBorders>
            <w:shd w:val="clear" w:color="auto" w:fill="DDDDDD"/>
          </w:tcPr>
          <w:p>
            <w:pPr>
              <w:jc w:val="right"/>
              <w:ind w:right="11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DDDDDD"/>
            </w:tcBorders>
            <w:shd w:val="clear" w:color="auto" w:fill="DDDDDD"/>
          </w:tcPr>
          <w:p>
            <w:pPr>
              <w:spacing w:after="0"/>
              <w:rPr>
                <w:sz w:val="19"/>
                <w:szCs w:val="19"/>
                <w:color w:val="auto"/>
              </w:rPr>
            </w:pPr>
          </w:p>
        </w:tc>
        <w:tc>
          <w:tcPr>
            <w:tcW w:w="260" w:type="dxa"/>
            <w:vAlign w:val="bottom"/>
            <w:tcBorders>
              <w:bottom w:val="single" w:sz="8" w:color="auto"/>
            </w:tcBorders>
            <w:shd w:val="clear" w:color="auto" w:fill="DDDDDD"/>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3720" w:type="dxa"/>
            <w:vAlign w:val="bottom"/>
            <w:tcBorders>
              <w:top w:val="single" w:sz="8" w:color="DDDDDD"/>
            </w:tcBorders>
          </w:tcPr>
          <w:p>
            <w:pPr>
              <w:spacing w:after="0" w:line="20" w:lineRule="exact"/>
              <w:rPr>
                <w:sz w:val="1"/>
                <w:szCs w:val="1"/>
                <w:color w:val="auto"/>
              </w:rPr>
            </w:pPr>
          </w:p>
        </w:tc>
        <w:tc>
          <w:tcPr>
            <w:tcW w:w="380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320" w:type="dxa"/>
            <w:vAlign w:val="bottom"/>
            <w:tcBorders>
              <w:top w:val="single" w:sz="8" w:color="DDDDDD"/>
              <w:bottom w:val="single" w:sz="8" w:color="auto"/>
            </w:tcBorders>
          </w:tcPr>
          <w:p>
            <w:pPr>
              <w:spacing w:after="0" w:line="20" w:lineRule="exact"/>
              <w:rPr>
                <w:sz w:val="1"/>
                <w:szCs w:val="1"/>
                <w:color w:val="auto"/>
              </w:rPr>
            </w:pPr>
          </w:p>
        </w:tc>
        <w:tc>
          <w:tcPr>
            <w:tcW w:w="42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DDDDDD"/>
              <w:bottom w:val="single" w:sz="8" w:color="auto"/>
            </w:tcBorders>
          </w:tcPr>
          <w:p>
            <w:pPr>
              <w:spacing w:after="0" w:line="20" w:lineRule="exact"/>
              <w:rPr>
                <w:sz w:val="1"/>
                <w:szCs w:val="1"/>
                <w:color w:val="auto"/>
              </w:rPr>
            </w:pPr>
          </w:p>
        </w:tc>
        <w:tc>
          <w:tcPr>
            <w:tcW w:w="150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8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320" w:type="dxa"/>
            <w:vAlign w:val="bottom"/>
            <w:shd w:val="clear" w:color="auto" w:fill="DDDDDD"/>
          </w:tcPr>
          <w:p>
            <w:pPr>
              <w:spacing w:after="0"/>
              <w:rPr>
                <w:sz w:val="17"/>
                <w:szCs w:val="17"/>
                <w:color w:val="auto"/>
              </w:rPr>
            </w:pPr>
          </w:p>
        </w:tc>
        <w:tc>
          <w:tcPr>
            <w:tcW w:w="4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150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20" w:type="dxa"/>
            <w:vAlign w:val="bottom"/>
          </w:tcPr>
          <w:p>
            <w:pPr>
              <w:ind w:left="20"/>
              <w:spacing w:after="0"/>
              <w:rPr>
                <w:sz w:val="20"/>
                <w:szCs w:val="20"/>
                <w:color w:val="auto"/>
              </w:rPr>
            </w:pPr>
            <w:r>
              <w:rPr>
                <w:rFonts w:ascii="Arial" w:cs="Arial" w:eastAsia="Arial" w:hAnsi="Arial"/>
                <w:sz w:val="14"/>
                <w:szCs w:val="14"/>
                <w:color w:val="auto"/>
              </w:rPr>
              <w:t>Foreign exchange contracts – forwards</w:t>
            </w:r>
          </w:p>
        </w:tc>
        <w:tc>
          <w:tcPr>
            <w:tcW w:w="3900" w:type="dxa"/>
            <w:vAlign w:val="bottom"/>
            <w:gridSpan w:val="2"/>
          </w:tcPr>
          <w:p>
            <w:pPr>
              <w:ind w:left="80"/>
              <w:spacing w:after="0"/>
              <w:rPr>
                <w:sz w:val="20"/>
                <w:szCs w:val="20"/>
                <w:color w:val="auto"/>
              </w:rPr>
            </w:pPr>
            <w:r>
              <w:rPr>
                <w:rFonts w:ascii="Arial" w:cs="Arial" w:eastAsia="Arial" w:hAnsi="Arial"/>
                <w:sz w:val="14"/>
                <w:szCs w:val="14"/>
                <w:color w:val="auto"/>
              </w:rPr>
              <w:t>Other current assets</w:t>
            </w:r>
          </w:p>
        </w:tc>
        <w:tc>
          <w:tcPr>
            <w:tcW w:w="1320" w:type="dxa"/>
            <w:vAlign w:val="bottom"/>
          </w:tcPr>
          <w:p>
            <w:pPr>
              <w:jc w:val="right"/>
              <w:ind w:right="114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3720" w:type="dxa"/>
            <w:vAlign w:val="bottom"/>
            <w:shd w:val="clear" w:color="auto" w:fill="DDDDDD"/>
          </w:tcPr>
          <w:p>
            <w:pPr>
              <w:spacing w:after="0"/>
              <w:rPr>
                <w:sz w:val="17"/>
                <w:szCs w:val="17"/>
                <w:color w:val="auto"/>
              </w:rPr>
            </w:pPr>
          </w:p>
        </w:tc>
        <w:tc>
          <w:tcPr>
            <w:tcW w:w="3900" w:type="dxa"/>
            <w:vAlign w:val="bottom"/>
            <w:gridSpan w:val="2"/>
            <w:shd w:val="clear" w:color="auto" w:fill="DDDDDD"/>
          </w:tcPr>
          <w:p>
            <w:pPr>
              <w:ind w:left="80"/>
              <w:spacing w:after="0"/>
              <w:rPr>
                <w:sz w:val="20"/>
                <w:szCs w:val="20"/>
                <w:color w:val="auto"/>
              </w:rPr>
            </w:pPr>
            <w:r>
              <w:rPr>
                <w:rFonts w:ascii="Arial" w:cs="Arial" w:eastAsia="Arial" w:hAnsi="Arial"/>
                <w:sz w:val="14"/>
                <w:szCs w:val="14"/>
                <w:color w:val="auto"/>
              </w:rPr>
              <w:t>Accrued expenses and other current liabilities</w:t>
            </w:r>
          </w:p>
        </w:tc>
        <w:tc>
          <w:tcPr>
            <w:tcW w:w="1320" w:type="dxa"/>
            <w:vAlign w:val="bottom"/>
            <w:tcBorders>
              <w:bottom w:val="single" w:sz="8" w:color="auto"/>
            </w:tcBorders>
            <w:shd w:val="clear" w:color="auto" w:fill="DDDDDD"/>
          </w:tcPr>
          <w:p>
            <w:pPr>
              <w:spacing w:after="0"/>
              <w:rPr>
                <w:sz w:val="17"/>
                <w:szCs w:val="17"/>
                <w:color w:val="auto"/>
              </w:rPr>
            </w:pPr>
          </w:p>
        </w:tc>
        <w:tc>
          <w:tcPr>
            <w:tcW w:w="4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DDDDDD"/>
          </w:tcPr>
          <w:p>
            <w:pPr>
              <w:spacing w:after="0"/>
              <w:rPr>
                <w:sz w:val="17"/>
                <w:szCs w:val="17"/>
                <w:color w:val="auto"/>
              </w:rPr>
            </w:pPr>
          </w:p>
        </w:tc>
        <w:tc>
          <w:tcPr>
            <w:tcW w:w="260" w:type="dxa"/>
            <w:vAlign w:val="bottom"/>
            <w:tcBorders>
              <w:bottom w:val="single" w:sz="8" w:color="auto"/>
            </w:tcBorders>
            <w:shd w:val="clear" w:color="auto" w:fill="DDDDDD"/>
          </w:tcPr>
          <w:p>
            <w:pPr>
              <w:spacing w:after="0"/>
              <w:rPr>
                <w:sz w:val="17"/>
                <w:szCs w:val="17"/>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0"/>
        </w:trPr>
        <w:tc>
          <w:tcPr>
            <w:tcW w:w="3720" w:type="dxa"/>
            <w:vAlign w:val="bottom"/>
          </w:tcPr>
          <w:p>
            <w:pPr>
              <w:spacing w:after="0"/>
              <w:rPr>
                <w:sz w:val="17"/>
                <w:szCs w:val="17"/>
                <w:color w:val="auto"/>
              </w:rPr>
            </w:pPr>
          </w:p>
        </w:tc>
        <w:tc>
          <w:tcPr>
            <w:tcW w:w="3900" w:type="dxa"/>
            <w:vAlign w:val="bottom"/>
            <w:gridSpan w:val="2"/>
          </w:tcPr>
          <w:p>
            <w:pPr>
              <w:ind w:left="80"/>
              <w:spacing w:after="0"/>
              <w:rPr>
                <w:sz w:val="20"/>
                <w:szCs w:val="20"/>
                <w:color w:val="auto"/>
              </w:rPr>
            </w:pPr>
            <w:r>
              <w:rPr>
                <w:rFonts w:ascii="Arial" w:cs="Arial" w:eastAsia="Arial" w:hAnsi="Arial"/>
                <w:sz w:val="14"/>
                <w:szCs w:val="14"/>
                <w:b w:val="1"/>
                <w:bCs w:val="1"/>
                <w:color w:val="auto"/>
              </w:rPr>
              <w:t>Net undesignated derivative liabilities</w:t>
            </w:r>
          </w:p>
        </w:tc>
        <w:tc>
          <w:tcPr>
            <w:tcW w:w="1320" w:type="dxa"/>
            <w:vAlign w:val="bottom"/>
            <w:tcBorders>
              <w:bottom w:val="single" w:sz="8" w:color="auto"/>
            </w:tcBorders>
          </w:tcPr>
          <w:p>
            <w:pPr>
              <w:jc w:val="right"/>
              <w:ind w:right="11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3720" w:type="dxa"/>
            <w:vAlign w:val="bottom"/>
            <w:tcBorders>
              <w:bottom w:val="single" w:sz="8" w:color="DDDDDD"/>
            </w:tcBorders>
          </w:tcPr>
          <w:p>
            <w:pPr>
              <w:spacing w:after="0" w:line="20" w:lineRule="exact"/>
              <w:rPr>
                <w:sz w:val="1"/>
                <w:szCs w:val="1"/>
                <w:color w:val="auto"/>
              </w:rPr>
            </w:pPr>
          </w:p>
        </w:tc>
        <w:tc>
          <w:tcPr>
            <w:tcW w:w="3800" w:type="dxa"/>
            <w:vAlign w:val="bottom"/>
            <w:tcBorders>
              <w:bottom w:val="single" w:sz="8" w:color="DDDDDD"/>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20" w:type="dxa"/>
            <w:vAlign w:val="bottom"/>
            <w:shd w:val="clear" w:color="auto" w:fill="DDDDDD"/>
          </w:tcPr>
          <w:p>
            <w:pPr>
              <w:spacing w:after="0"/>
              <w:rPr>
                <w:sz w:val="11"/>
                <w:szCs w:val="11"/>
                <w:color w:val="auto"/>
              </w:rPr>
            </w:pPr>
          </w:p>
        </w:tc>
        <w:tc>
          <w:tcPr>
            <w:tcW w:w="380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1320" w:type="dxa"/>
            <w:vAlign w:val="bottom"/>
            <w:shd w:val="clear" w:color="auto" w:fill="DDDDDD"/>
          </w:tcPr>
          <w:p>
            <w:pPr>
              <w:spacing w:after="0"/>
              <w:rPr>
                <w:sz w:val="11"/>
                <w:szCs w:val="11"/>
                <w:color w:val="auto"/>
              </w:rPr>
            </w:pPr>
          </w:p>
        </w:tc>
        <w:tc>
          <w:tcPr>
            <w:tcW w:w="42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260" w:type="dxa"/>
            <w:vAlign w:val="bottom"/>
            <w:shd w:val="clear" w:color="auto" w:fill="DDDDDD"/>
          </w:tcPr>
          <w:p>
            <w:pPr>
              <w:spacing w:after="0"/>
              <w:rPr>
                <w:sz w:val="11"/>
                <w:szCs w:val="11"/>
                <w:color w:val="auto"/>
              </w:rPr>
            </w:pPr>
          </w:p>
        </w:tc>
        <w:tc>
          <w:tcPr>
            <w:tcW w:w="150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Summary of Derivatives</w:t>
            </w:r>
          </w:p>
        </w:tc>
        <w:tc>
          <w:tcPr>
            <w:tcW w:w="3900" w:type="dxa"/>
            <w:vAlign w:val="bottom"/>
            <w:gridSpan w:val="2"/>
          </w:tcPr>
          <w:p>
            <w:pPr>
              <w:ind w:left="80"/>
              <w:spacing w:after="0"/>
              <w:rPr>
                <w:sz w:val="20"/>
                <w:szCs w:val="20"/>
                <w:color w:val="auto"/>
              </w:rPr>
            </w:pPr>
            <w:r>
              <w:rPr>
                <w:rFonts w:ascii="Arial" w:cs="Arial" w:eastAsia="Arial" w:hAnsi="Arial"/>
                <w:sz w:val="14"/>
                <w:szCs w:val="14"/>
                <w:color w:val="auto"/>
              </w:rPr>
              <w:t>Total Derivative assets</w:t>
            </w:r>
          </w:p>
        </w:tc>
        <w:tc>
          <w:tcPr>
            <w:tcW w:w="1320" w:type="dxa"/>
            <w:vAlign w:val="bottom"/>
          </w:tcPr>
          <w:p>
            <w:pPr>
              <w:jc w:val="right"/>
              <w:ind w:right="114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9"/>
        </w:trPr>
        <w:tc>
          <w:tcPr>
            <w:tcW w:w="3720" w:type="dxa"/>
            <w:vAlign w:val="bottom"/>
            <w:shd w:val="clear" w:color="auto" w:fill="DDDDDD"/>
          </w:tcPr>
          <w:p>
            <w:pPr>
              <w:spacing w:after="0"/>
              <w:rPr>
                <w:sz w:val="17"/>
                <w:szCs w:val="17"/>
                <w:color w:val="auto"/>
              </w:rPr>
            </w:pPr>
          </w:p>
        </w:tc>
        <w:tc>
          <w:tcPr>
            <w:tcW w:w="3900" w:type="dxa"/>
            <w:vAlign w:val="bottom"/>
            <w:gridSpan w:val="2"/>
            <w:shd w:val="clear" w:color="auto" w:fill="DDDDDD"/>
          </w:tcPr>
          <w:p>
            <w:pPr>
              <w:ind w:left="80"/>
              <w:spacing w:after="0"/>
              <w:rPr>
                <w:sz w:val="20"/>
                <w:szCs w:val="20"/>
                <w:color w:val="auto"/>
              </w:rPr>
            </w:pPr>
            <w:r>
              <w:rPr>
                <w:rFonts w:ascii="Arial" w:cs="Arial" w:eastAsia="Arial" w:hAnsi="Arial"/>
                <w:sz w:val="14"/>
                <w:szCs w:val="14"/>
                <w:color w:val="auto"/>
              </w:rPr>
              <w:t>Total Derivative liabilities</w:t>
            </w:r>
          </w:p>
        </w:tc>
        <w:tc>
          <w:tcPr>
            <w:tcW w:w="1320" w:type="dxa"/>
            <w:vAlign w:val="bottom"/>
            <w:tcBorders>
              <w:bottom w:val="single" w:sz="8" w:color="auto"/>
            </w:tcBorders>
            <w:shd w:val="clear" w:color="auto" w:fill="DDDDDD"/>
          </w:tcPr>
          <w:p>
            <w:pPr>
              <w:spacing w:after="0"/>
              <w:rPr>
                <w:sz w:val="17"/>
                <w:szCs w:val="17"/>
                <w:color w:val="auto"/>
              </w:rPr>
            </w:pPr>
          </w:p>
        </w:tc>
        <w:tc>
          <w:tcPr>
            <w:tcW w:w="4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DDDDDD"/>
          </w:tcPr>
          <w:p>
            <w:pPr>
              <w:spacing w:after="0"/>
              <w:rPr>
                <w:sz w:val="17"/>
                <w:szCs w:val="17"/>
                <w:color w:val="auto"/>
              </w:rPr>
            </w:pPr>
          </w:p>
        </w:tc>
        <w:tc>
          <w:tcPr>
            <w:tcW w:w="260" w:type="dxa"/>
            <w:vAlign w:val="bottom"/>
            <w:tcBorders>
              <w:bottom w:val="single" w:sz="8" w:color="auto"/>
            </w:tcBorders>
            <w:shd w:val="clear" w:color="auto" w:fill="DDDDDD"/>
          </w:tcPr>
          <w:p>
            <w:pPr>
              <w:spacing w:after="0"/>
              <w:rPr>
                <w:sz w:val="17"/>
                <w:szCs w:val="17"/>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0"/>
        </w:trPr>
        <w:tc>
          <w:tcPr>
            <w:tcW w:w="3720" w:type="dxa"/>
            <w:vAlign w:val="bottom"/>
          </w:tcPr>
          <w:p>
            <w:pPr>
              <w:spacing w:after="0"/>
              <w:rPr>
                <w:sz w:val="17"/>
                <w:szCs w:val="17"/>
                <w:color w:val="auto"/>
              </w:rPr>
            </w:pPr>
          </w:p>
        </w:tc>
        <w:tc>
          <w:tcPr>
            <w:tcW w:w="3900" w:type="dxa"/>
            <w:vAlign w:val="bottom"/>
            <w:gridSpan w:val="2"/>
          </w:tcPr>
          <w:p>
            <w:pPr>
              <w:ind w:left="80"/>
              <w:spacing w:after="0"/>
              <w:rPr>
                <w:sz w:val="20"/>
                <w:szCs w:val="20"/>
                <w:color w:val="auto"/>
              </w:rPr>
            </w:pPr>
            <w:r>
              <w:rPr>
                <w:rFonts w:ascii="Arial" w:cs="Arial" w:eastAsia="Arial" w:hAnsi="Arial"/>
                <w:sz w:val="14"/>
                <w:szCs w:val="14"/>
                <w:b w:val="1"/>
                <w:bCs w:val="1"/>
                <w:color w:val="auto"/>
              </w:rPr>
              <w:t>Net Derivative liabilities</w:t>
            </w:r>
          </w:p>
        </w:tc>
        <w:tc>
          <w:tcPr>
            <w:tcW w:w="1320" w:type="dxa"/>
            <w:vAlign w:val="bottom"/>
            <w:tcBorders>
              <w:bottom w:val="single" w:sz="8" w:color="auto"/>
            </w:tcBorders>
          </w:tcPr>
          <w:p>
            <w:pPr>
              <w:jc w:val="right"/>
              <w:ind w:right="11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Summary of Derivative Instruments Gains (Losses)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Derivative gains and (losses) affect the income statement based on whether such derivatives are designated as hedges of underlying exposures. The following is a summary of derivative gains (losses).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Designated Derivative Instruments Gains (Losses)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gains (losses) on derivative instruments: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gridSpan w:val="3"/>
          </w:tcPr>
          <w:p>
            <w:pPr>
              <w:jc w:val="center"/>
              <w:ind w:left="628"/>
              <w:spacing w:after="0"/>
              <w:rPr>
                <w:sz w:val="20"/>
                <w:szCs w:val="20"/>
                <w:color w:val="auto"/>
              </w:rPr>
            </w:pPr>
            <w:r>
              <w:rPr>
                <w:rFonts w:ascii="Arial" w:cs="Arial" w:eastAsia="Arial" w:hAnsi="Arial"/>
                <w:sz w:val="14"/>
                <w:szCs w:val="14"/>
                <w:color w:val="auto"/>
              </w:rPr>
              <w:t>Three Months Ended</w:t>
            </w:r>
          </w:p>
        </w:tc>
        <w:tc>
          <w:tcPr>
            <w:tcW w:w="1100" w:type="dxa"/>
            <w:vAlign w:val="bottom"/>
          </w:tcPr>
          <w:p>
            <w:pPr>
              <w:spacing w:after="0"/>
              <w:rPr>
                <w:sz w:val="14"/>
                <w:szCs w:val="14"/>
                <w:color w:val="auto"/>
              </w:rPr>
            </w:pPr>
          </w:p>
        </w:tc>
      </w:tr>
      <w:tr>
        <w:trPr>
          <w:trHeight w:val="189"/>
        </w:trPr>
        <w:tc>
          <w:tcPr>
            <w:tcW w:w="76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center"/>
              <w:ind w:left="608"/>
              <w:spacing w:after="0"/>
              <w:rPr>
                <w:sz w:val="20"/>
                <w:szCs w:val="20"/>
                <w:color w:val="auto"/>
              </w:rPr>
            </w:pPr>
            <w:r>
              <w:rPr>
                <w:rFonts w:ascii="Arial" w:cs="Arial" w:eastAsia="Arial" w:hAnsi="Arial"/>
                <w:sz w:val="14"/>
                <w:szCs w:val="14"/>
                <w:color w:val="auto"/>
              </w:rPr>
              <w:t>March 31,</w:t>
            </w:r>
          </w:p>
        </w:tc>
        <w:tc>
          <w:tcPr>
            <w:tcW w:w="1100" w:type="dxa"/>
            <w:vAlign w:val="bottom"/>
            <w:tcBorders>
              <w:bottom w:val="single" w:sz="8" w:color="auto"/>
            </w:tcBorders>
          </w:tcPr>
          <w:p>
            <w:pPr>
              <w:spacing w:after="0"/>
              <w:rPr>
                <w:sz w:val="16"/>
                <w:szCs w:val="16"/>
                <w:color w:val="auto"/>
              </w:rPr>
            </w:pPr>
          </w:p>
        </w:tc>
      </w:tr>
      <w:tr>
        <w:trPr>
          <w:trHeight w:val="195"/>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Loss on Derivative Instruments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E5E5E5"/>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2021</w:t>
            </w:r>
          </w:p>
        </w:tc>
      </w:tr>
      <w:tr>
        <w:trPr>
          <w:trHeight w:val="197"/>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Cash Flow Hedges - Foreign Exchange Forward Contracts and Options</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r>
      <w:tr>
        <w:trPr>
          <w:trHeight w:val="198"/>
        </w:trPr>
        <w:tc>
          <w:tcPr>
            <w:tcW w:w="7600" w:type="dxa"/>
            <w:vAlign w:val="bottom"/>
          </w:tcPr>
          <w:p>
            <w:pPr>
              <w:ind w:left="360"/>
              <w:spacing w:after="0"/>
              <w:rPr>
                <w:sz w:val="20"/>
                <w:szCs w:val="20"/>
                <w:color w:val="auto"/>
              </w:rPr>
            </w:pPr>
            <w:r>
              <w:rPr>
                <w:rFonts w:ascii="Arial" w:cs="Arial" w:eastAsia="Arial" w:hAnsi="Arial"/>
                <w:sz w:val="14"/>
                <w:szCs w:val="14"/>
                <w:color w:val="auto"/>
              </w:rPr>
              <w:t>Derivative loss recognized in OCI (effective portion)</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7"/>
        </w:trPr>
        <w:tc>
          <w:tcPr>
            <w:tcW w:w="7600" w:type="dxa"/>
            <w:vAlign w:val="bottom"/>
            <w:shd w:val="clear" w:color="auto" w:fill="E5E5E5"/>
          </w:tcPr>
          <w:p>
            <w:pPr>
              <w:ind w:left="360"/>
              <w:spacing w:after="0"/>
              <w:rPr>
                <w:sz w:val="20"/>
                <w:szCs w:val="20"/>
                <w:color w:val="auto"/>
              </w:rPr>
            </w:pPr>
            <w:r>
              <w:rPr>
                <w:rFonts w:ascii="Arial" w:cs="Arial" w:eastAsia="Arial" w:hAnsi="Arial"/>
                <w:sz w:val="14"/>
                <w:szCs w:val="14"/>
                <w:color w:val="auto"/>
              </w:rPr>
              <w:t>Derivative loss reclassified from AOCL to income - Cost of sales (effective portion)</w:t>
            </w:r>
          </w:p>
        </w:tc>
        <w:tc>
          <w:tcPr>
            <w:tcW w:w="420" w:type="dxa"/>
            <w:vAlign w:val="bottom"/>
            <w:shd w:val="clear" w:color="auto" w:fill="E5E5E5"/>
          </w:tcPr>
          <w:p>
            <w:pPr>
              <w:spacing w:after="0"/>
              <w:rPr>
                <w:sz w:val="17"/>
                <w:szCs w:val="17"/>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r>
    </w:tbl>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March 31, 2022 and 2021, no amount of ineffectiveness was recorded in the Condensed Consolidated Statements of (Loss) Income for these designated cash flow hedges and all components of each derivative’s gain or (loss) were included in the assessment of hedge effectiveness. In addition, no amount was recorded for an underlying exposure that did not occur or was not expected to occur.</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2022, a net after-tax loss of $13 was recorded in Accumulated other comprehensive loss associated with our cash flow hedging activity. The entire balance is expected to be reclassified into net income within the next 12 months, providing an offsetting economic impact against the underlying anticipated transactions.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Non-Designated Derivative Instruments Gains (Losses)</w:t>
      </w:r>
    </w:p>
    <w:p>
      <w:pPr>
        <w:spacing w:after="0" w:line="10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Non-designated derivative instruments are primarily instruments used to hedge foreign currency-denominated assets and liabilities. They are not designated as hedges since there is a natural offset for the remeasurement of the underlying foreign currency-denominated asset or liability.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gains and (losses) on non-designated derivative instruments:</w:t>
      </w:r>
    </w:p>
    <w:p>
      <w:pPr>
        <w:spacing w:after="0" w:line="113" w:lineRule="exact"/>
        <w:rPr>
          <w:sz w:val="20"/>
          <w:szCs w:val="20"/>
          <w:color w:val="auto"/>
        </w:rPr>
      </w:pPr>
    </w:p>
    <w:p>
      <w:pPr>
        <w:jc w:val="center"/>
        <w:ind w:left="756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jc w:val="center"/>
        <w:ind w:left="756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Derivatives NOT Designated as Hedging Instruments</w:t>
            </w:r>
          </w:p>
        </w:tc>
        <w:tc>
          <w:tcPr>
            <w:tcW w:w="100" w:type="dxa"/>
            <w:vAlign w:val="bottom"/>
            <w:tcBorders>
              <w:bottom w:val="single" w:sz="8" w:color="E5E5E5"/>
            </w:tcBorders>
          </w:tcPr>
          <w:p>
            <w:pPr>
              <w:spacing w:after="0"/>
              <w:rPr>
                <w:sz w:val="16"/>
                <w:szCs w:val="16"/>
                <w:color w:val="auto"/>
              </w:rPr>
            </w:pPr>
          </w:p>
        </w:tc>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Location of Derivative Gain (Loss)</w:t>
            </w:r>
          </w:p>
        </w:tc>
        <w:tc>
          <w:tcPr>
            <w:tcW w:w="100" w:type="dxa"/>
            <w:vAlign w:val="bottom"/>
            <w:tcBorders>
              <w:bottom w:val="single" w:sz="8" w:color="E5E5E5"/>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2022</w:t>
            </w:r>
          </w:p>
        </w:tc>
        <w:tc>
          <w:tcPr>
            <w:tcW w:w="120" w:type="dxa"/>
            <w:vAlign w:val="bottom"/>
            <w:tcBorders>
              <w:top w:val="single" w:sz="8" w:color="auto"/>
              <w:bottom w:val="single" w:sz="8" w:color="E5E5E5"/>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2021</w:t>
            </w:r>
          </w:p>
        </w:tc>
      </w:tr>
      <w:tr>
        <w:trPr>
          <w:trHeight w:val="199"/>
        </w:trPr>
        <w:tc>
          <w:tcPr>
            <w:tcW w:w="38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Foreign exchange contracts – forwards</w:t>
            </w:r>
          </w:p>
        </w:tc>
        <w:tc>
          <w:tcPr>
            <w:tcW w:w="38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Other expense – Currency losses, net</w:t>
            </w:r>
          </w:p>
        </w:tc>
        <w:tc>
          <w:tcPr>
            <w:tcW w:w="42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w:t>
            </w:r>
          </w:p>
        </w:tc>
      </w:tr>
    </w:tbl>
    <w:p>
      <w:pPr>
        <w:spacing w:after="0" w:line="200" w:lineRule="exact"/>
        <w:rPr>
          <w:sz w:val="20"/>
          <w:szCs w:val="20"/>
          <w:color w:val="auto"/>
        </w:rPr>
      </w:pPr>
    </w:p>
    <w:p>
      <w:pPr>
        <w:sectPr>
          <w:pgSz w:w="11900" w:h="16838" w:orient="portrait"/>
          <w:cols w:equalWidth="0" w:num="1">
            <w:col w:w="11240"/>
          </w:cols>
          <w:pgMar w:left="320" w:top="1122"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9520"/>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type w:val="continuous"/>
        </w:sectPr>
      </w:pPr>
    </w:p>
    <w:bookmarkStart w:id="31" w:name="page32"/>
    <w:bookmarkEnd w:id="31"/>
    <w:p>
      <w:pPr>
        <w:jc w:val="both"/>
        <w:spacing w:after="0" w:line="268" w:lineRule="auto"/>
        <w:rPr>
          <w:sz w:val="20"/>
          <w:szCs w:val="20"/>
          <w:color w:val="auto"/>
        </w:rPr>
      </w:pPr>
      <w:r>
        <w:rPr>
          <w:rFonts w:ascii="Arial" w:cs="Arial" w:eastAsia="Arial" w:hAnsi="Arial"/>
          <w:sz w:val="18"/>
          <w:szCs w:val="18"/>
          <w:color w:val="auto"/>
        </w:rPr>
        <w:t>Currency losses, net were $0 and $2 for three months ended March 31, 2022 and 2021, respectively. Net currency gains and losses include the mark-to-market adjustments of the derivatives not designated as hedging instruments and the related cost of those derivatives as well as the remeasurement of foreign currency-denominated assets and liabilities and are included in Other expenses, net.</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DA2031"/>
        </w:rPr>
        <w:t>Note 15 – Fair Value of Financial Assets and Liabilities</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represents assets and liabilities measured at fair value on a recurring basis. The basis for the measurement at fair value in all cases is Level 2 – Significant Other Observable Inputs.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March 31,</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7600" w:type="dxa"/>
            <w:vAlign w:val="bottom"/>
            <w:tcBorders>
              <w:bottom w:val="single" w:sz="8" w:color="E5E5E5"/>
            </w:tcBorders>
          </w:tcPr>
          <w:p>
            <w:pPr>
              <w:spacing w:after="0"/>
              <w:rPr>
                <w:sz w:val="16"/>
                <w:szCs w:val="16"/>
                <w:color w:val="auto"/>
              </w:rPr>
            </w:pPr>
          </w:p>
        </w:tc>
        <w:tc>
          <w:tcPr>
            <w:tcW w:w="13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2022</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83"/>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Assets</w:t>
            </w:r>
          </w:p>
        </w:tc>
        <w:tc>
          <w:tcPr>
            <w:tcW w:w="1380" w:type="dxa"/>
            <w:vAlign w:val="bottom"/>
            <w:shd w:val="clear" w:color="auto" w:fill="E5E5E5"/>
          </w:tcPr>
          <w:p>
            <w:pPr>
              <w:spacing w:after="0"/>
              <w:rPr>
                <w:sz w:val="15"/>
                <w:szCs w:val="15"/>
                <w:color w:val="auto"/>
              </w:rPr>
            </w:pPr>
          </w:p>
        </w:tc>
        <w:tc>
          <w:tcPr>
            <w:tcW w:w="3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15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600" w:type="dxa"/>
            <w:vAlign w:val="bottom"/>
          </w:tcPr>
          <w:p>
            <w:pPr>
              <w:ind w:left="220"/>
              <w:spacing w:after="0"/>
              <w:rPr>
                <w:sz w:val="20"/>
                <w:szCs w:val="20"/>
                <w:color w:val="auto"/>
              </w:rPr>
            </w:pPr>
            <w:r>
              <w:rPr>
                <w:rFonts w:ascii="Arial" w:cs="Arial" w:eastAsia="Arial" w:hAnsi="Arial"/>
                <w:sz w:val="14"/>
                <w:szCs w:val="14"/>
                <w:color w:val="auto"/>
              </w:rPr>
              <w:t>Foreign exchange contracts - forwards</w:t>
            </w:r>
          </w:p>
        </w:tc>
        <w:tc>
          <w:tcPr>
            <w:tcW w:w="1380" w:type="dxa"/>
            <w:vAlign w:val="bottom"/>
          </w:tcPr>
          <w:p>
            <w:pPr>
              <w:jc w:val="right"/>
              <w:ind w:right="120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7600" w:type="dxa"/>
            <w:vAlign w:val="bottom"/>
            <w:shd w:val="clear" w:color="auto" w:fill="E5E5E5"/>
          </w:tcPr>
          <w:p>
            <w:pPr>
              <w:ind w:left="220"/>
              <w:spacing w:after="0"/>
              <w:rPr>
                <w:sz w:val="20"/>
                <w:szCs w:val="20"/>
                <w:color w:val="auto"/>
              </w:rPr>
            </w:pPr>
            <w:r>
              <w:rPr>
                <w:rFonts w:ascii="Arial" w:cs="Arial" w:eastAsia="Arial" w:hAnsi="Arial"/>
                <w:sz w:val="14"/>
                <w:szCs w:val="14"/>
                <w:color w:val="auto"/>
              </w:rPr>
              <w:t>Interest rate cap</w:t>
            </w:r>
          </w:p>
        </w:tc>
        <w:tc>
          <w:tcPr>
            <w:tcW w:w="1380" w:type="dxa"/>
            <w:vAlign w:val="bottom"/>
            <w:shd w:val="clear" w:color="auto" w:fill="E5E5E5"/>
          </w:tcPr>
          <w:p>
            <w:pPr>
              <w:spacing w:after="0"/>
              <w:rPr>
                <w:sz w:val="17"/>
                <w:szCs w:val="17"/>
                <w:color w:val="auto"/>
              </w:rPr>
            </w:pPr>
          </w:p>
        </w:tc>
        <w:tc>
          <w:tcPr>
            <w:tcW w:w="3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7600" w:type="dxa"/>
            <w:vAlign w:val="bottom"/>
            <w:tcBorders>
              <w:bottom w:val="single" w:sz="8" w:color="E5E5E5"/>
            </w:tcBorders>
          </w:tcPr>
          <w:p>
            <w:pPr>
              <w:ind w:left="220"/>
              <w:spacing w:after="0"/>
              <w:rPr>
                <w:sz w:val="20"/>
                <w:szCs w:val="20"/>
                <w:color w:val="auto"/>
              </w:rPr>
            </w:pPr>
            <w:r>
              <w:rPr>
                <w:rFonts w:ascii="Arial" w:cs="Arial" w:eastAsia="Arial" w:hAnsi="Arial"/>
                <w:sz w:val="14"/>
                <w:szCs w:val="14"/>
                <w:color w:val="auto"/>
              </w:rPr>
              <w:t>Deferred compensation plan investments in mutual funds</w:t>
            </w:r>
          </w:p>
        </w:tc>
        <w:tc>
          <w:tcPr>
            <w:tcW w:w="13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25"/>
        </w:trPr>
        <w:tc>
          <w:tcPr>
            <w:tcW w:w="760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Total</w:t>
            </w:r>
          </w:p>
        </w:tc>
        <w:tc>
          <w:tcPr>
            <w:tcW w:w="1380" w:type="dxa"/>
            <w:vAlign w:val="bottom"/>
            <w:tcBorders>
              <w:bottom w:val="single" w:sz="8" w:color="auto"/>
            </w:tcBorders>
            <w:shd w:val="clear" w:color="auto" w:fill="E5E5E5"/>
          </w:tcPr>
          <w:p>
            <w:pPr>
              <w:jc w:val="right"/>
              <w:ind w:right="12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E5E5E5"/>
            </w:tcBorders>
            <w:shd w:val="clear" w:color="auto" w:fill="E5E5E5"/>
          </w:tcPr>
          <w:p>
            <w:pPr>
              <w:spacing w:after="0"/>
              <w:rPr>
                <w:sz w:val="19"/>
                <w:szCs w:val="19"/>
                <w:color w:val="auto"/>
              </w:rPr>
            </w:pPr>
          </w:p>
        </w:tc>
        <w:tc>
          <w:tcPr>
            <w:tcW w:w="260" w:type="dxa"/>
            <w:vAlign w:val="bottom"/>
            <w:tcBorders>
              <w:bottom w:val="single" w:sz="8" w:color="auto"/>
            </w:tcBorders>
            <w:shd w:val="clear" w:color="auto" w:fill="E5E5E5"/>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7600" w:type="dxa"/>
            <w:vAlign w:val="bottom"/>
            <w:tcBorders>
              <w:top w:val="single" w:sz="8" w:color="E5E5E5"/>
              <w:bottom w:val="single" w:sz="8" w:color="E5E5E5"/>
            </w:tcBorders>
            <w:vMerge w:val="restart"/>
          </w:tcPr>
          <w:p>
            <w:pPr>
              <w:ind w:left="20"/>
              <w:spacing w:after="0"/>
              <w:rPr>
                <w:sz w:val="20"/>
                <w:szCs w:val="20"/>
                <w:color w:val="auto"/>
              </w:rPr>
            </w:pPr>
            <w:r>
              <w:rPr>
                <w:rFonts w:ascii="Arial" w:cs="Arial" w:eastAsia="Arial" w:hAnsi="Arial"/>
                <w:sz w:val="14"/>
                <w:szCs w:val="14"/>
                <w:b w:val="1"/>
                <w:bCs w:val="1"/>
                <w:color w:val="auto"/>
              </w:rPr>
              <w:t>Liabilities</w:t>
            </w:r>
          </w:p>
        </w:tc>
        <w:tc>
          <w:tcPr>
            <w:tcW w:w="1380" w:type="dxa"/>
            <w:vAlign w:val="bottom"/>
            <w:tcBorders>
              <w:top w:val="single" w:sz="8" w:color="E5E5E5"/>
              <w:bottom w:val="single" w:sz="8" w:color="auto"/>
            </w:tcBorders>
          </w:tcPr>
          <w:p>
            <w:pPr>
              <w:spacing w:after="0" w:line="20" w:lineRule="exact"/>
              <w:rPr>
                <w:sz w:val="1"/>
                <w:szCs w:val="1"/>
                <w:color w:val="auto"/>
              </w:rPr>
            </w:pPr>
          </w:p>
        </w:tc>
        <w:tc>
          <w:tcPr>
            <w:tcW w:w="3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150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60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ind w:left="220"/>
              <w:spacing w:after="0"/>
              <w:rPr>
                <w:sz w:val="20"/>
                <w:szCs w:val="20"/>
                <w:color w:val="auto"/>
              </w:rPr>
            </w:pPr>
            <w:r>
              <w:rPr>
                <w:rFonts w:ascii="Arial" w:cs="Arial" w:eastAsia="Arial" w:hAnsi="Arial"/>
                <w:sz w:val="14"/>
                <w:szCs w:val="14"/>
                <w:color w:val="auto"/>
              </w:rPr>
              <w:t>Foreign exchange contracts - forwards</w:t>
            </w:r>
          </w:p>
        </w:tc>
        <w:tc>
          <w:tcPr>
            <w:tcW w:w="1380" w:type="dxa"/>
            <w:vAlign w:val="bottom"/>
            <w:shd w:val="clear" w:color="auto" w:fill="E5E5E5"/>
          </w:tcPr>
          <w:p>
            <w:pPr>
              <w:jc w:val="right"/>
              <w:ind w:right="1208"/>
              <w:spacing w:after="0"/>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8"/>
        </w:trPr>
        <w:tc>
          <w:tcPr>
            <w:tcW w:w="7600" w:type="dxa"/>
            <w:vAlign w:val="bottom"/>
            <w:tcBorders>
              <w:bottom w:val="single" w:sz="8" w:color="E5E5E5"/>
            </w:tcBorders>
          </w:tcPr>
          <w:p>
            <w:pPr>
              <w:ind w:left="220"/>
              <w:spacing w:after="0"/>
              <w:rPr>
                <w:sz w:val="20"/>
                <w:szCs w:val="20"/>
                <w:color w:val="auto"/>
              </w:rPr>
            </w:pPr>
            <w:r>
              <w:rPr>
                <w:rFonts w:ascii="Arial" w:cs="Arial" w:eastAsia="Arial" w:hAnsi="Arial"/>
                <w:sz w:val="14"/>
                <w:szCs w:val="14"/>
                <w:color w:val="auto"/>
              </w:rPr>
              <w:t>Deferred compensation plan liabilities</w:t>
            </w:r>
          </w:p>
        </w:tc>
        <w:tc>
          <w:tcPr>
            <w:tcW w:w="13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25"/>
        </w:trPr>
        <w:tc>
          <w:tcPr>
            <w:tcW w:w="760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Total</w:t>
            </w:r>
          </w:p>
        </w:tc>
        <w:tc>
          <w:tcPr>
            <w:tcW w:w="1380" w:type="dxa"/>
            <w:vAlign w:val="bottom"/>
            <w:tcBorders>
              <w:bottom w:val="single" w:sz="8" w:color="auto"/>
            </w:tcBorders>
            <w:shd w:val="clear" w:color="auto" w:fill="E5E5E5"/>
          </w:tcPr>
          <w:p>
            <w:pPr>
              <w:jc w:val="right"/>
              <w:ind w:right="12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E5E5E5"/>
            </w:tcBorders>
            <w:shd w:val="clear" w:color="auto" w:fill="E5E5E5"/>
          </w:tcPr>
          <w:p>
            <w:pPr>
              <w:spacing w:after="0"/>
              <w:rPr>
                <w:sz w:val="19"/>
                <w:szCs w:val="19"/>
                <w:color w:val="auto"/>
              </w:rPr>
            </w:pPr>
          </w:p>
        </w:tc>
        <w:tc>
          <w:tcPr>
            <w:tcW w:w="260" w:type="dxa"/>
            <w:vAlign w:val="bottom"/>
            <w:tcBorders>
              <w:bottom w:val="single" w:sz="8" w:color="auto"/>
            </w:tcBorders>
            <w:shd w:val="clear" w:color="auto" w:fill="E5E5E5"/>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7600" w:type="dxa"/>
            <w:vAlign w:val="bottom"/>
            <w:tcBorders>
              <w:top w:val="single" w:sz="8" w:color="E5E5E5"/>
            </w:tcBorders>
          </w:tcPr>
          <w:p>
            <w:pPr>
              <w:spacing w:after="0" w:line="20" w:lineRule="exact"/>
              <w:rPr>
                <w:sz w:val="1"/>
                <w:szCs w:val="1"/>
                <w:color w:val="auto"/>
              </w:rPr>
            </w:pPr>
          </w:p>
        </w:tc>
        <w:tc>
          <w:tcPr>
            <w:tcW w:w="1380" w:type="dxa"/>
            <w:vAlign w:val="bottom"/>
            <w:tcBorders>
              <w:top w:val="single" w:sz="8" w:color="E5E5E5"/>
              <w:bottom w:val="single" w:sz="8" w:color="auto"/>
            </w:tcBorders>
          </w:tcPr>
          <w:p>
            <w:pPr>
              <w:spacing w:after="0" w:line="20" w:lineRule="exact"/>
              <w:rPr>
                <w:sz w:val="1"/>
                <w:szCs w:val="1"/>
                <w:color w:val="auto"/>
              </w:rPr>
            </w:pPr>
          </w:p>
        </w:tc>
        <w:tc>
          <w:tcPr>
            <w:tcW w:w="3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150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utilize the income approach to measure the fair value for our derivative assets and liabilities. The income approach uses pricing models that rely on market observable inputs such as yield curves, currency exchange rates and forward prices, and therefore are classified as Level 2.</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Fair value for our deferred compensation plan investments in mutual funds is based on quoted market prices for those funds. Fair value for deferred compensation plan liabilities is based on the fair value of investments corresponding to employees’ investment selections.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Summary of Other Financial Assets and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our other financial assets and liabilities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March 31, 2022</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December 31, 2021</w:t>
            </w:r>
          </w:p>
        </w:tc>
        <w:tc>
          <w:tcPr>
            <w:tcW w:w="1120" w:type="dxa"/>
            <w:vAlign w:val="bottom"/>
            <w:tcBorders>
              <w:bottom w:val="single" w:sz="8" w:color="auto"/>
            </w:tcBorders>
          </w:tcPr>
          <w:p>
            <w:pPr>
              <w:spacing w:after="0"/>
              <w:rPr>
                <w:sz w:val="16"/>
                <w:szCs w:val="16"/>
                <w:color w:val="auto"/>
              </w:rPr>
            </w:pPr>
          </w:p>
        </w:tc>
      </w:tr>
      <w:tr>
        <w:trPr>
          <w:trHeight w:val="150"/>
        </w:trPr>
        <w:tc>
          <w:tcPr>
            <w:tcW w:w="3940" w:type="dxa"/>
            <w:vAlign w:val="bottom"/>
          </w:tcPr>
          <w:p>
            <w:pPr>
              <w:spacing w:after="0"/>
              <w:rPr>
                <w:sz w:val="13"/>
                <w:szCs w:val="13"/>
                <w:color w:val="auto"/>
              </w:rPr>
            </w:pPr>
          </w:p>
        </w:tc>
        <w:tc>
          <w:tcPr>
            <w:tcW w:w="1220" w:type="dxa"/>
            <w:vAlign w:val="bottom"/>
          </w:tcPr>
          <w:p>
            <w:pPr>
              <w:jc w:val="right"/>
              <w:ind w:right="8"/>
              <w:spacing w:after="0" w:line="151" w:lineRule="exact"/>
              <w:rPr>
                <w:sz w:val="20"/>
                <w:szCs w:val="20"/>
                <w:color w:val="auto"/>
              </w:rPr>
            </w:pPr>
            <w:r>
              <w:rPr>
                <w:rFonts w:ascii="Arial" w:cs="Arial" w:eastAsia="Arial" w:hAnsi="Arial"/>
                <w:sz w:val="14"/>
                <w:szCs w:val="14"/>
                <w:color w:val="auto"/>
              </w:rPr>
              <w:t>Carrying</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80" w:type="dxa"/>
            <w:vAlign w:val="bottom"/>
            <w:gridSpan w:val="2"/>
          </w:tcPr>
          <w:p>
            <w:pPr>
              <w:jc w:val="center"/>
              <w:ind w:right="680"/>
              <w:spacing w:after="0" w:line="151" w:lineRule="exact"/>
              <w:rPr>
                <w:sz w:val="20"/>
                <w:szCs w:val="20"/>
                <w:color w:val="auto"/>
              </w:rPr>
            </w:pPr>
            <w:r>
              <w:rPr>
                <w:rFonts w:ascii="Arial" w:cs="Arial" w:eastAsia="Arial" w:hAnsi="Arial"/>
                <w:sz w:val="14"/>
                <w:szCs w:val="14"/>
                <w:color w:val="auto"/>
                <w:w w:val="99"/>
              </w:rPr>
              <w:t>Fair</w:t>
            </w:r>
          </w:p>
        </w:tc>
        <w:tc>
          <w:tcPr>
            <w:tcW w:w="340" w:type="dxa"/>
            <w:vAlign w:val="bottom"/>
          </w:tcPr>
          <w:p>
            <w:pPr>
              <w:spacing w:after="0"/>
              <w:rPr>
                <w:sz w:val="13"/>
                <w:szCs w:val="13"/>
                <w:color w:val="auto"/>
              </w:rPr>
            </w:pPr>
          </w:p>
        </w:tc>
        <w:tc>
          <w:tcPr>
            <w:tcW w:w="1500" w:type="dxa"/>
            <w:vAlign w:val="bottom"/>
            <w:gridSpan w:val="2"/>
          </w:tcPr>
          <w:p>
            <w:pPr>
              <w:jc w:val="center"/>
              <w:ind w:right="440"/>
              <w:spacing w:after="0" w:line="151" w:lineRule="exact"/>
              <w:rPr>
                <w:sz w:val="20"/>
                <w:szCs w:val="20"/>
                <w:color w:val="auto"/>
              </w:rPr>
            </w:pPr>
            <w:r>
              <w:rPr>
                <w:rFonts w:ascii="Arial" w:cs="Arial" w:eastAsia="Arial" w:hAnsi="Arial"/>
                <w:sz w:val="14"/>
                <w:szCs w:val="14"/>
                <w:color w:val="auto"/>
              </w:rPr>
              <w:t>Carrying</w:t>
            </w:r>
          </w:p>
        </w:tc>
        <w:tc>
          <w:tcPr>
            <w:tcW w:w="640" w:type="dxa"/>
            <w:vAlign w:val="bottom"/>
          </w:tcPr>
          <w:p>
            <w:pPr>
              <w:spacing w:after="0"/>
              <w:rPr>
                <w:sz w:val="13"/>
                <w:szCs w:val="13"/>
                <w:color w:val="auto"/>
              </w:rPr>
            </w:pPr>
          </w:p>
        </w:tc>
        <w:tc>
          <w:tcPr>
            <w:tcW w:w="1120" w:type="dxa"/>
            <w:vAlign w:val="bottom"/>
          </w:tcPr>
          <w:p>
            <w:pPr>
              <w:jc w:val="right"/>
              <w:ind w:right="688"/>
              <w:spacing w:after="0" w:line="151" w:lineRule="exact"/>
              <w:rPr>
                <w:sz w:val="20"/>
                <w:szCs w:val="20"/>
                <w:color w:val="auto"/>
              </w:rPr>
            </w:pPr>
            <w:r>
              <w:rPr>
                <w:rFonts w:ascii="Arial" w:cs="Arial" w:eastAsia="Arial" w:hAnsi="Arial"/>
                <w:sz w:val="14"/>
                <w:szCs w:val="14"/>
                <w:color w:val="auto"/>
              </w:rPr>
              <w:t>Fair</w:t>
            </w:r>
          </w:p>
        </w:tc>
      </w:tr>
      <w:tr>
        <w:trPr>
          <w:trHeight w:val="185"/>
        </w:trPr>
        <w:tc>
          <w:tcPr>
            <w:tcW w:w="394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Amount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80" w:type="dxa"/>
            <w:vAlign w:val="bottom"/>
            <w:gridSpan w:val="2"/>
          </w:tcPr>
          <w:p>
            <w:pPr>
              <w:jc w:val="center"/>
              <w:ind w:right="680"/>
              <w:spacing w:after="0"/>
              <w:rPr>
                <w:sz w:val="20"/>
                <w:szCs w:val="20"/>
                <w:color w:val="auto"/>
              </w:rPr>
            </w:pPr>
            <w:r>
              <w:rPr>
                <w:rFonts w:ascii="Arial" w:cs="Arial" w:eastAsia="Arial" w:hAnsi="Arial"/>
                <w:sz w:val="14"/>
                <w:szCs w:val="14"/>
                <w:color w:val="auto"/>
              </w:rPr>
              <w:t>Value</w:t>
            </w:r>
          </w:p>
        </w:tc>
        <w:tc>
          <w:tcPr>
            <w:tcW w:w="340" w:type="dxa"/>
            <w:vAlign w:val="bottom"/>
          </w:tcPr>
          <w:p>
            <w:pPr>
              <w:spacing w:after="0"/>
              <w:rPr>
                <w:sz w:val="16"/>
                <w:szCs w:val="16"/>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color w:val="auto"/>
              </w:rPr>
              <w:t>Amount</w:t>
            </w:r>
          </w:p>
        </w:tc>
        <w:tc>
          <w:tcPr>
            <w:tcW w:w="640" w:type="dxa"/>
            <w:vAlign w:val="bottom"/>
          </w:tcPr>
          <w:p>
            <w:pPr>
              <w:spacing w:after="0"/>
              <w:rPr>
                <w:sz w:val="16"/>
                <w:szCs w:val="16"/>
                <w:color w:val="auto"/>
              </w:rPr>
            </w:pPr>
          </w:p>
        </w:tc>
        <w:tc>
          <w:tcPr>
            <w:tcW w:w="1120" w:type="dxa"/>
            <w:vAlign w:val="bottom"/>
          </w:tcPr>
          <w:p>
            <w:pPr>
              <w:jc w:val="right"/>
              <w:ind w:right="628"/>
              <w:spacing w:after="0"/>
              <w:rPr>
                <w:sz w:val="20"/>
                <w:szCs w:val="20"/>
                <w:color w:val="auto"/>
              </w:rPr>
            </w:pPr>
            <w:r>
              <w:rPr>
                <w:rFonts w:ascii="Arial" w:cs="Arial" w:eastAsia="Arial" w:hAnsi="Arial"/>
                <w:sz w:val="14"/>
                <w:szCs w:val="14"/>
                <w:color w:val="auto"/>
              </w:rPr>
              <w:t>Value</w:t>
            </w:r>
          </w:p>
        </w:tc>
      </w:tr>
      <w:tr>
        <w:trPr>
          <w:trHeight w:val="196"/>
        </w:trPr>
        <w:tc>
          <w:tcPr>
            <w:tcW w:w="3940" w:type="dxa"/>
            <w:vAlign w:val="bottom"/>
            <w:tcBorders>
              <w:top w:val="single" w:sz="8" w:color="E5E5E5"/>
            </w:tcBorders>
            <w:shd w:val="clear" w:color="auto" w:fill="E5E5E5"/>
          </w:tcPr>
          <w:p>
            <w:pPr>
              <w:ind w:left="20"/>
              <w:spacing w:after="0"/>
              <w:rPr>
                <w:sz w:val="20"/>
                <w:szCs w:val="20"/>
                <w:color w:val="auto"/>
              </w:rPr>
            </w:pPr>
            <w:r>
              <w:rPr>
                <w:rFonts w:ascii="Arial" w:cs="Arial" w:eastAsia="Arial" w:hAnsi="Arial"/>
                <w:sz w:val="14"/>
                <w:szCs w:val="14"/>
                <w:color w:val="auto"/>
              </w:rPr>
              <w:t>Cash and cash equivalents</w:t>
            </w:r>
          </w:p>
        </w:tc>
        <w:tc>
          <w:tcPr>
            <w:tcW w:w="1220" w:type="dxa"/>
            <w:vAlign w:val="bottom"/>
            <w:tcBorders>
              <w:top w:val="single" w:sz="8" w:color="auto"/>
            </w:tcBorders>
            <w:shd w:val="clear" w:color="auto" w:fill="E5E5E5"/>
          </w:tcPr>
          <w:p>
            <w:pPr>
              <w:jc w:val="right"/>
              <w:ind w:right="104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1,681</w:t>
            </w:r>
          </w:p>
        </w:tc>
        <w:tc>
          <w:tcPr>
            <w:tcW w:w="100" w:type="dxa"/>
            <w:vAlign w:val="bottom"/>
            <w:tcBorders>
              <w:top w:val="single" w:sz="8" w:color="E5E5E5"/>
            </w:tcBorders>
            <w:shd w:val="clear" w:color="auto" w:fill="E5E5E5"/>
          </w:tcPr>
          <w:p>
            <w:pPr>
              <w:spacing w:after="0"/>
              <w:rPr>
                <w:sz w:val="17"/>
                <w:szCs w:val="17"/>
                <w:color w:val="auto"/>
              </w:rPr>
            </w:pPr>
          </w:p>
        </w:tc>
        <w:tc>
          <w:tcPr>
            <w:tcW w:w="580" w:type="dxa"/>
            <w:vAlign w:val="bottom"/>
            <w:tcBorders>
              <w:top w:val="single" w:sz="8" w:color="auto"/>
            </w:tcBorders>
            <w:shd w:val="clear" w:color="auto" w:fill="E5E5E5"/>
          </w:tcPr>
          <w:p>
            <w:pPr>
              <w:jc w:val="right"/>
              <w:ind w:right="40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1,681</w:t>
            </w:r>
          </w:p>
        </w:tc>
        <w:tc>
          <w:tcPr>
            <w:tcW w:w="120" w:type="dxa"/>
            <w:vAlign w:val="bottom"/>
            <w:tcBorders>
              <w:top w:val="single" w:sz="8" w:color="E5E5E5"/>
            </w:tcBorders>
            <w:shd w:val="clear" w:color="auto" w:fill="E5E5E5"/>
          </w:tcPr>
          <w:p>
            <w:pPr>
              <w:spacing w:after="0"/>
              <w:rPr>
                <w:sz w:val="17"/>
                <w:szCs w:val="17"/>
                <w:color w:val="auto"/>
              </w:rPr>
            </w:pPr>
          </w:p>
        </w:tc>
        <w:tc>
          <w:tcPr>
            <w:tcW w:w="340" w:type="dxa"/>
            <w:vAlign w:val="bottom"/>
            <w:tcBorders>
              <w:top w:val="single" w:sz="8" w:color="auto"/>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1,840</w:t>
            </w:r>
          </w:p>
        </w:tc>
        <w:tc>
          <w:tcPr>
            <w:tcW w:w="100" w:type="dxa"/>
            <w:vAlign w:val="bottom"/>
            <w:tcBorders>
              <w:top w:val="single" w:sz="8" w:color="E5E5E5"/>
            </w:tcBorders>
            <w:shd w:val="clear" w:color="auto" w:fill="E5E5E5"/>
          </w:tcPr>
          <w:p>
            <w:pPr>
              <w:spacing w:after="0"/>
              <w:rPr>
                <w:sz w:val="17"/>
                <w:szCs w:val="17"/>
                <w:color w:val="auto"/>
              </w:rPr>
            </w:pPr>
          </w:p>
        </w:tc>
        <w:tc>
          <w:tcPr>
            <w:tcW w:w="640" w:type="dxa"/>
            <w:vAlign w:val="bottom"/>
            <w:tcBorders>
              <w:top w:val="single" w:sz="8" w:color="auto"/>
            </w:tcBorders>
            <w:shd w:val="clear" w:color="auto" w:fill="E5E5E5"/>
          </w:tcPr>
          <w:p>
            <w:pPr>
              <w:jc w:val="right"/>
              <w:ind w:right="4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1,840</w:t>
            </w:r>
          </w:p>
        </w:tc>
      </w:tr>
      <w:tr>
        <w:trPr>
          <w:trHeight w:val="198"/>
        </w:trPr>
        <w:tc>
          <w:tcPr>
            <w:tcW w:w="394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1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807</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807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818</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818</w:t>
            </w:r>
          </w:p>
        </w:tc>
      </w:tr>
      <w:tr>
        <w:trPr>
          <w:trHeight w:val="207"/>
        </w:trPr>
        <w:tc>
          <w:tcPr>
            <w:tcW w:w="3940" w:type="dxa"/>
            <w:vAlign w:val="bottom"/>
            <w:shd w:val="clear" w:color="auto" w:fill="E5E5E5"/>
          </w:tcPr>
          <w:p>
            <w:pPr>
              <w:ind w:left="20"/>
              <w:spacing w:after="0"/>
              <w:rPr>
                <w:sz w:val="20"/>
                <w:szCs w:val="20"/>
                <w:color w:val="auto"/>
              </w:rPr>
            </w:pPr>
            <w:r>
              <w:rPr>
                <w:rFonts w:ascii="Arial" w:cs="Arial" w:eastAsia="Arial" w:hAnsi="Arial"/>
                <w:sz w:val="14"/>
                <w:szCs w:val="14"/>
                <w:color w:val="auto"/>
              </w:rPr>
              <w:t>Short-term debt and current portion of long-term debt</w:t>
            </w:r>
          </w:p>
        </w:tc>
        <w:tc>
          <w:tcPr>
            <w:tcW w:w="122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1,450</w:t>
            </w:r>
          </w:p>
        </w:tc>
        <w:tc>
          <w:tcPr>
            <w:tcW w:w="10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1,459</w:t>
            </w:r>
          </w:p>
        </w:tc>
        <w:tc>
          <w:tcPr>
            <w:tcW w:w="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4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653</w:t>
            </w:r>
          </w:p>
        </w:tc>
      </w:tr>
      <w:tr>
        <w:trPr>
          <w:trHeight w:val="201"/>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Long-term Debt</w:t>
            </w: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3940" w:type="dxa"/>
            <w:vAlign w:val="bottom"/>
            <w:shd w:val="clear" w:color="auto" w:fill="E5E5E5"/>
          </w:tcPr>
          <w:p>
            <w:pPr>
              <w:ind w:left="20"/>
              <w:spacing w:after="0"/>
              <w:rPr>
                <w:sz w:val="20"/>
                <w:szCs w:val="20"/>
                <w:color w:val="auto"/>
              </w:rPr>
            </w:pPr>
            <w:r>
              <w:rPr>
                <w:rFonts w:ascii="Arial" w:cs="Arial" w:eastAsia="Arial" w:hAnsi="Arial"/>
                <w:sz w:val="14"/>
                <w:szCs w:val="14"/>
                <w:color w:val="auto"/>
              </w:rPr>
              <w:t>Xerox Holdings Corporation</w:t>
            </w:r>
          </w:p>
        </w:tc>
        <w:tc>
          <w:tcPr>
            <w:tcW w:w="122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1,495</w:t>
            </w:r>
          </w:p>
        </w:tc>
        <w:tc>
          <w:tcPr>
            <w:tcW w:w="10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1,489</w:t>
            </w:r>
          </w:p>
        </w:tc>
        <w:tc>
          <w:tcPr>
            <w:tcW w:w="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4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1,494</w:t>
            </w:r>
          </w:p>
        </w:tc>
        <w:tc>
          <w:tcPr>
            <w:tcW w:w="10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1,579</w:t>
            </w:r>
          </w:p>
        </w:tc>
      </w:tr>
      <w:tr>
        <w:trPr>
          <w:trHeight w:val="198"/>
        </w:trPr>
        <w:tc>
          <w:tcPr>
            <w:tcW w:w="3940" w:type="dxa"/>
            <w:vAlign w:val="bottom"/>
          </w:tcPr>
          <w:p>
            <w:pPr>
              <w:ind w:left="20"/>
              <w:spacing w:after="0"/>
              <w:rPr>
                <w:sz w:val="20"/>
                <w:szCs w:val="20"/>
                <w:color w:val="auto"/>
              </w:rPr>
            </w:pPr>
            <w:r>
              <w:rPr>
                <w:rFonts w:ascii="Arial" w:cs="Arial" w:eastAsia="Arial" w:hAnsi="Arial"/>
                <w:sz w:val="14"/>
                <w:szCs w:val="14"/>
                <w:color w:val="auto"/>
              </w:rPr>
              <w:t>Xerox Corporation</w:t>
            </w:r>
          </w:p>
        </w:tc>
        <w:tc>
          <w:tcPr>
            <w:tcW w:w="1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894</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864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1,892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1,987</w:t>
            </w:r>
          </w:p>
        </w:tc>
      </w:tr>
      <w:tr>
        <w:trPr>
          <w:trHeight w:val="206"/>
        </w:trPr>
        <w:tc>
          <w:tcPr>
            <w:tcW w:w="3940" w:type="dxa"/>
            <w:vAlign w:val="bottom"/>
            <w:shd w:val="clear" w:color="auto" w:fill="E5E5E5"/>
          </w:tcPr>
          <w:p>
            <w:pPr>
              <w:ind w:left="20"/>
              <w:spacing w:after="0"/>
              <w:rPr>
                <w:sz w:val="20"/>
                <w:szCs w:val="20"/>
                <w:color w:val="auto"/>
              </w:rPr>
            </w:pPr>
            <w:r>
              <w:rPr>
                <w:rFonts w:ascii="Arial" w:cs="Arial" w:eastAsia="Arial" w:hAnsi="Arial"/>
                <w:sz w:val="14"/>
                <w:szCs w:val="14"/>
                <w:color w:val="auto"/>
              </w:rPr>
              <w:t>Xerox - Other Subsidiaries</w:t>
            </w:r>
            <w:r>
              <w:rPr>
                <w:rFonts w:ascii="Arial" w:cs="Arial" w:eastAsia="Arial" w:hAnsi="Arial"/>
                <w:sz w:val="18"/>
                <w:szCs w:val="18"/>
                <w:color w:val="auto"/>
                <w:vertAlign w:val="superscript"/>
              </w:rPr>
              <w:t>(1)</w:t>
            </w:r>
          </w:p>
        </w:tc>
        <w:tc>
          <w:tcPr>
            <w:tcW w:w="1220" w:type="dxa"/>
            <w:vAlign w:val="bottom"/>
            <w:tcBorders>
              <w:bottom w:val="single" w:sz="8" w:color="auto"/>
            </w:tcBorders>
            <w:shd w:val="clear" w:color="auto" w:fill="E5E5E5"/>
          </w:tcPr>
          <w:p>
            <w:pPr>
              <w:spacing w:after="0"/>
              <w:rPr>
                <w:sz w:val="17"/>
                <w:szCs w:val="17"/>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E5E5E5"/>
          </w:tcPr>
          <w:p>
            <w:pPr>
              <w:spacing w:after="0"/>
              <w:rPr>
                <w:sz w:val="17"/>
                <w:szCs w:val="17"/>
                <w:color w:val="auto"/>
              </w:rPr>
            </w:pPr>
          </w:p>
        </w:tc>
        <w:tc>
          <w:tcPr>
            <w:tcW w:w="580" w:type="dxa"/>
            <w:vAlign w:val="bottom"/>
            <w:tcBorders>
              <w:bottom w:val="single" w:sz="8" w:color="auto"/>
            </w:tcBorders>
            <w:shd w:val="clear" w:color="auto" w:fill="E5E5E5"/>
          </w:tcPr>
          <w:p>
            <w:pPr>
              <w:spacing w:after="0"/>
              <w:rPr>
                <w:sz w:val="17"/>
                <w:szCs w:val="17"/>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433</w:t>
            </w:r>
          </w:p>
        </w:tc>
        <w:tc>
          <w:tcPr>
            <w:tcW w:w="120" w:type="dxa"/>
            <w:vAlign w:val="bottom"/>
            <w:shd w:val="clear" w:color="auto" w:fill="E5E5E5"/>
          </w:tcPr>
          <w:p>
            <w:pPr>
              <w:spacing w:after="0"/>
              <w:rPr>
                <w:sz w:val="17"/>
                <w:szCs w:val="17"/>
                <w:color w:val="auto"/>
              </w:rPr>
            </w:pPr>
          </w:p>
        </w:tc>
        <w:tc>
          <w:tcPr>
            <w:tcW w:w="340" w:type="dxa"/>
            <w:vAlign w:val="bottom"/>
            <w:tcBorders>
              <w:bottom w:val="single" w:sz="8" w:color="auto"/>
            </w:tcBorders>
            <w:shd w:val="clear" w:color="auto" w:fill="E5E5E5"/>
          </w:tcPr>
          <w:p>
            <w:pPr>
              <w:spacing w:after="0"/>
              <w:rPr>
                <w:sz w:val="17"/>
                <w:szCs w:val="17"/>
                <w:color w:val="auto"/>
              </w:rPr>
            </w:pPr>
          </w:p>
        </w:tc>
        <w:tc>
          <w:tcPr>
            <w:tcW w:w="1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E5E5E5"/>
          </w:tcPr>
          <w:p>
            <w:pPr>
              <w:spacing w:after="0"/>
              <w:rPr>
                <w:sz w:val="17"/>
                <w:szCs w:val="17"/>
                <w:color w:val="auto"/>
              </w:rPr>
            </w:pPr>
          </w:p>
        </w:tc>
        <w:tc>
          <w:tcPr>
            <w:tcW w:w="640" w:type="dxa"/>
            <w:vAlign w:val="bottom"/>
            <w:tcBorders>
              <w:bottom w:val="single" w:sz="8" w:color="auto"/>
            </w:tcBorders>
            <w:shd w:val="clear" w:color="auto" w:fill="E5E5E5"/>
          </w:tcPr>
          <w:p>
            <w:pPr>
              <w:spacing w:after="0"/>
              <w:rPr>
                <w:sz w:val="17"/>
                <w:szCs w:val="17"/>
                <w:color w:val="auto"/>
              </w:rPr>
            </w:pP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210</w:t>
            </w:r>
          </w:p>
        </w:tc>
      </w:tr>
      <w:tr>
        <w:trPr>
          <w:trHeight w:val="196"/>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Long-term debt</w:t>
            </w:r>
          </w:p>
        </w:tc>
        <w:tc>
          <w:tcPr>
            <w:tcW w:w="122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2,821</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2,786</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3,596</w:t>
            </w:r>
          </w:p>
        </w:tc>
        <w:tc>
          <w:tcPr>
            <w:tcW w:w="100" w:type="dxa"/>
            <w:vAlign w:val="bottom"/>
          </w:tcPr>
          <w:p>
            <w:pPr>
              <w:spacing w:after="0"/>
              <w:rPr>
                <w:sz w:val="17"/>
                <w:szCs w:val="17"/>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3,776</w:t>
            </w:r>
          </w:p>
        </w:tc>
      </w:tr>
      <w:tr>
        <w:trPr>
          <w:trHeight w:val="20"/>
        </w:trPr>
        <w:tc>
          <w:tcPr>
            <w:tcW w:w="39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w:t>
      </w:r>
    </w:p>
    <w:p>
      <w:pPr>
        <w:spacing w:after="0" w:line="5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subsidiaries of Xerox Corporation</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fair value amounts for Cash and cash equivalents and Accounts receivable, net, approximate carrying amounts due to the short maturities of these instruments. The fair value of Short-term debt, including the current portion of long-term debt, and Long-term debt was estimated based on the current rates offered to us for debt of similar maturities (Level 2). The difference between the fair value and the carrying value represents the theoretical net premium or discount we would pay or receive to retire all debt at such date.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color w:val="DA2031"/>
        </w:rPr>
        <w:t>Note 16 – Employee Benefit Plans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and other changes in plan assets and benefit obligations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color w:val="auto"/>
              </w:rPr>
              <w:t>Three Months Ended March 31,</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color w:val="auto"/>
              </w:rPr>
              <w:t>Pension Benefits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U.S. Plans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5"/>
          </w:tcPr>
          <w:p>
            <w:pPr>
              <w:jc w:val="center"/>
              <w:ind w:right="220"/>
              <w:spacing w:after="0"/>
              <w:rPr>
                <w:sz w:val="20"/>
                <w:szCs w:val="20"/>
                <w:color w:val="auto"/>
              </w:rPr>
            </w:pPr>
            <w:r>
              <w:rPr>
                <w:rFonts w:ascii="Arial" w:cs="Arial" w:eastAsia="Arial" w:hAnsi="Arial"/>
                <w:sz w:val="14"/>
                <w:szCs w:val="14"/>
                <w:color w:val="auto"/>
              </w:rPr>
              <w:t>Non-U.S. Plans</w:t>
            </w:r>
          </w:p>
        </w:tc>
        <w:tc>
          <w:tcPr>
            <w:tcW w:w="220" w:type="dxa"/>
            <w:vAlign w:val="bottom"/>
          </w:tcPr>
          <w:p>
            <w:pPr>
              <w:spacing w:after="0"/>
              <w:rPr>
                <w:sz w:val="17"/>
                <w:szCs w:val="17"/>
                <w:color w:val="auto"/>
              </w:rPr>
            </w:pPr>
          </w:p>
        </w:tc>
        <w:tc>
          <w:tcPr>
            <w:tcW w:w="1960" w:type="dxa"/>
            <w:vAlign w:val="bottom"/>
            <w:gridSpan w:val="4"/>
          </w:tcPr>
          <w:p>
            <w:pPr>
              <w:jc w:val="right"/>
              <w:ind w:right="568"/>
              <w:spacing w:after="0"/>
              <w:rPr>
                <w:sz w:val="20"/>
                <w:szCs w:val="20"/>
                <w:color w:val="auto"/>
              </w:rPr>
            </w:pPr>
            <w:r>
              <w:rPr>
                <w:rFonts w:ascii="Arial" w:cs="Arial" w:eastAsia="Arial" w:hAnsi="Arial"/>
                <w:sz w:val="14"/>
                <w:szCs w:val="14"/>
                <w:color w:val="auto"/>
              </w:rPr>
              <w:t>Retiree Health</w:t>
            </w:r>
          </w:p>
        </w:tc>
        <w:tc>
          <w:tcPr>
            <w:tcW w:w="0" w:type="dxa"/>
            <w:vAlign w:val="bottom"/>
          </w:tcPr>
          <w:p>
            <w:pPr>
              <w:spacing w:after="0"/>
              <w:rPr>
                <w:sz w:val="1"/>
                <w:szCs w:val="1"/>
                <w:color w:val="auto"/>
              </w:rPr>
            </w:pPr>
          </w:p>
        </w:tc>
      </w:tr>
      <w:tr>
        <w:trPr>
          <w:trHeight w:val="201"/>
        </w:trPr>
        <w:tc>
          <w:tcPr>
            <w:tcW w:w="4380" w:type="dxa"/>
            <w:vAlign w:val="bottom"/>
            <w:tcBorders>
              <w:bottom w:val="single" w:sz="8" w:color="E5E5E5"/>
            </w:tcBorders>
          </w:tcPr>
          <w:p>
            <w:pPr>
              <w:ind w:left="20"/>
              <w:spacing w:after="0"/>
              <w:rPr>
                <w:sz w:val="20"/>
                <w:szCs w:val="20"/>
                <w:color w:val="auto"/>
              </w:rPr>
            </w:pPr>
            <w:r>
              <w:rPr>
                <w:rFonts w:ascii="Arial" w:cs="Arial" w:eastAsia="Arial" w:hAnsi="Arial"/>
                <w:sz w:val="14"/>
                <w:szCs w:val="14"/>
                <w:b w:val="1"/>
                <w:bCs w:val="1"/>
                <w:color w:val="auto"/>
              </w:rPr>
              <w:t>Components of Net Periodic Benefit Costs:</w:t>
            </w: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2022</w:t>
            </w:r>
          </w:p>
        </w:tc>
        <w:tc>
          <w:tcPr>
            <w:tcW w:w="100" w:type="dxa"/>
            <w:vAlign w:val="bottom"/>
            <w:tcBorders>
              <w:top w:val="single" w:sz="8" w:color="auto"/>
              <w:bottom w:val="single" w:sz="8" w:color="E5E5E5"/>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E5E5E5"/>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2022</w:t>
            </w:r>
          </w:p>
        </w:tc>
        <w:tc>
          <w:tcPr>
            <w:tcW w:w="100" w:type="dxa"/>
            <w:vAlign w:val="bottom"/>
            <w:tcBorders>
              <w:top w:val="single" w:sz="8" w:color="auto"/>
              <w:bottom w:val="single" w:sz="8" w:color="E5E5E5"/>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E5E5E5"/>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2022</w:t>
            </w:r>
          </w:p>
        </w:tc>
        <w:tc>
          <w:tcPr>
            <w:tcW w:w="100" w:type="dxa"/>
            <w:vAlign w:val="bottom"/>
            <w:tcBorders>
              <w:top w:val="single" w:sz="8" w:color="auto"/>
              <w:bottom w:val="single" w:sz="8" w:color="E5E5E5"/>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97"/>
        </w:trPr>
        <w:tc>
          <w:tcPr>
            <w:tcW w:w="4380" w:type="dxa"/>
            <w:vAlign w:val="bottom"/>
            <w:shd w:val="clear" w:color="auto" w:fill="E5E5E5"/>
          </w:tcPr>
          <w:p>
            <w:pPr>
              <w:ind w:left="20"/>
              <w:spacing w:after="0"/>
              <w:rPr>
                <w:sz w:val="20"/>
                <w:szCs w:val="20"/>
                <w:color w:val="auto"/>
              </w:rPr>
            </w:pPr>
            <w:r>
              <w:rPr>
                <w:rFonts w:ascii="Arial" w:cs="Arial" w:eastAsia="Arial" w:hAnsi="Arial"/>
                <w:sz w:val="14"/>
                <w:szCs w:val="14"/>
                <w:color w:val="auto"/>
              </w:rPr>
              <w:t>Service cost</w:t>
            </w: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4380" w:type="dxa"/>
            <w:vAlign w:val="bottom"/>
          </w:tcPr>
          <w:p>
            <w:pPr>
              <w:ind w:left="20"/>
              <w:spacing w:after="0"/>
              <w:rPr>
                <w:sz w:val="20"/>
                <w:szCs w:val="20"/>
                <w:color w:val="auto"/>
              </w:rPr>
            </w:pPr>
            <w:r>
              <w:rPr>
                <w:rFonts w:ascii="Arial" w:cs="Arial" w:eastAsia="Arial" w:hAnsi="Arial"/>
                <w:sz w:val="14"/>
                <w:szCs w:val="14"/>
                <w:color w:val="auto"/>
              </w:rPr>
              <w:t>Interest cost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4380" w:type="dxa"/>
            <w:vAlign w:val="bottom"/>
            <w:shd w:val="clear" w:color="auto" w:fill="E5E5E5"/>
          </w:tcPr>
          <w:p>
            <w:pPr>
              <w:ind w:left="20"/>
              <w:spacing w:after="0"/>
              <w:rPr>
                <w:sz w:val="20"/>
                <w:szCs w:val="20"/>
                <w:color w:val="auto"/>
              </w:rPr>
            </w:pPr>
            <w:r>
              <w:rPr>
                <w:rFonts w:ascii="Arial" w:cs="Arial" w:eastAsia="Arial" w:hAnsi="Arial"/>
                <w:sz w:val="14"/>
                <w:szCs w:val="14"/>
                <w:color w:val="auto"/>
              </w:rPr>
              <w:t>Expected return on plan assets</w:t>
            </w:r>
          </w:p>
        </w:tc>
        <w:tc>
          <w:tcPr>
            <w:tcW w:w="24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380" w:type="dxa"/>
            <w:vAlign w:val="bottom"/>
          </w:tcPr>
          <w:p>
            <w:pPr>
              <w:ind w:left="20"/>
              <w:spacing w:after="0"/>
              <w:rPr>
                <w:sz w:val="20"/>
                <w:szCs w:val="20"/>
                <w:color w:val="auto"/>
              </w:rPr>
            </w:pPr>
            <w:r>
              <w:rPr>
                <w:rFonts w:ascii="Arial" w:cs="Arial" w:eastAsia="Arial" w:hAnsi="Arial"/>
                <w:sz w:val="14"/>
                <w:szCs w:val="14"/>
                <w:color w:val="auto"/>
              </w:rPr>
              <w:t>Recognized net actuarial loss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380" w:type="dxa"/>
            <w:vAlign w:val="bottom"/>
            <w:shd w:val="clear" w:color="auto" w:fill="E5E5E5"/>
          </w:tcPr>
          <w:p>
            <w:pPr>
              <w:ind w:left="20"/>
              <w:spacing w:after="0"/>
              <w:rPr>
                <w:sz w:val="20"/>
                <w:szCs w:val="20"/>
                <w:color w:val="auto"/>
              </w:rPr>
            </w:pPr>
            <w:r>
              <w:rPr>
                <w:rFonts w:ascii="Arial" w:cs="Arial" w:eastAsia="Arial" w:hAnsi="Arial"/>
                <w:sz w:val="14"/>
                <w:szCs w:val="14"/>
                <w:color w:val="auto"/>
              </w:rPr>
              <w:t>Amortization of prior service credit</w:t>
            </w:r>
          </w:p>
        </w:tc>
        <w:tc>
          <w:tcPr>
            <w:tcW w:w="2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8"/>
        </w:trPr>
        <w:tc>
          <w:tcPr>
            <w:tcW w:w="4380" w:type="dxa"/>
            <w:vAlign w:val="bottom"/>
          </w:tcPr>
          <w:p>
            <w:pPr>
              <w:ind w:left="20"/>
              <w:spacing w:after="0"/>
              <w:rPr>
                <w:sz w:val="20"/>
                <w:szCs w:val="20"/>
                <w:color w:val="auto"/>
              </w:rPr>
            </w:pPr>
            <w:r>
              <w:rPr>
                <w:rFonts w:ascii="Arial" w:cs="Arial" w:eastAsia="Arial" w:hAnsi="Arial"/>
                <w:sz w:val="14"/>
                <w:szCs w:val="14"/>
                <w:color w:val="auto"/>
              </w:rPr>
              <w:t>Recognized settlement loss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380" w:type="dxa"/>
            <w:vAlign w:val="bottom"/>
            <w:tcBorders>
              <w:top w:val="single" w:sz="8" w:color="E5E5E5"/>
            </w:tcBorders>
            <w:shd w:val="clear" w:color="auto" w:fill="E5E5E5"/>
          </w:tcPr>
          <w:p>
            <w:pPr>
              <w:ind w:left="140"/>
              <w:spacing w:after="0"/>
              <w:rPr>
                <w:sz w:val="20"/>
                <w:szCs w:val="20"/>
                <w:color w:val="auto"/>
              </w:rPr>
            </w:pPr>
            <w:r>
              <w:rPr>
                <w:rFonts w:ascii="Arial" w:cs="Arial" w:eastAsia="Arial" w:hAnsi="Arial"/>
                <w:sz w:val="14"/>
                <w:szCs w:val="14"/>
                <w:color w:val="auto"/>
              </w:rPr>
              <w:t>Defined benefit plans</w:t>
            </w:r>
          </w:p>
        </w:tc>
        <w:tc>
          <w:tcPr>
            <w:tcW w:w="240" w:type="dxa"/>
            <w:vAlign w:val="bottom"/>
            <w:tcBorders>
              <w:top w:val="single" w:sz="8" w:color="auto"/>
            </w:tcBorders>
            <w:shd w:val="clear" w:color="auto" w:fill="E5E5E5"/>
          </w:tcPr>
          <w:p>
            <w:pPr>
              <w:spacing w:after="0"/>
              <w:rPr>
                <w:sz w:val="17"/>
                <w:szCs w:val="17"/>
                <w:color w:val="auto"/>
              </w:rPr>
            </w:pPr>
          </w:p>
        </w:tc>
        <w:tc>
          <w:tcPr>
            <w:tcW w:w="8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E5E5E5"/>
            </w:tcBorders>
            <w:shd w:val="clear" w:color="auto" w:fill="E5E5E5"/>
          </w:tcPr>
          <w:p>
            <w:pPr>
              <w:spacing w:after="0"/>
              <w:rPr>
                <w:sz w:val="17"/>
                <w:szCs w:val="17"/>
                <w:color w:val="auto"/>
              </w:rPr>
            </w:pPr>
          </w:p>
        </w:tc>
        <w:tc>
          <w:tcPr>
            <w:tcW w:w="340" w:type="dxa"/>
            <w:vAlign w:val="bottom"/>
            <w:tcBorders>
              <w:top w:val="single" w:sz="8" w:color="auto"/>
            </w:tcBorders>
            <w:shd w:val="clear" w:color="auto" w:fill="E5E5E5"/>
          </w:tcPr>
          <w:p>
            <w:pPr>
              <w:spacing w:after="0"/>
              <w:rPr>
                <w:sz w:val="17"/>
                <w:szCs w:val="17"/>
                <w:color w:val="auto"/>
              </w:rPr>
            </w:pPr>
          </w:p>
        </w:tc>
        <w:tc>
          <w:tcPr>
            <w:tcW w:w="7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E5E5E5"/>
            </w:tcBorders>
            <w:shd w:val="clear" w:color="auto" w:fill="E5E5E5"/>
          </w:tcPr>
          <w:p>
            <w:pPr>
              <w:spacing w:after="0"/>
              <w:rPr>
                <w:sz w:val="17"/>
                <w:szCs w:val="17"/>
                <w:color w:val="auto"/>
              </w:rPr>
            </w:pPr>
          </w:p>
        </w:tc>
        <w:tc>
          <w:tcPr>
            <w:tcW w:w="100" w:type="dxa"/>
            <w:vAlign w:val="bottom"/>
            <w:tcBorders>
              <w:top w:val="single" w:sz="8" w:color="auto"/>
            </w:tcBorders>
            <w:shd w:val="clear" w:color="auto" w:fill="E5E5E5"/>
          </w:tcPr>
          <w:p>
            <w:pPr>
              <w:spacing w:after="0"/>
              <w:rPr>
                <w:sz w:val="17"/>
                <w:szCs w:val="17"/>
                <w:color w:val="auto"/>
              </w:rPr>
            </w:pPr>
          </w:p>
        </w:tc>
        <w:tc>
          <w:tcPr>
            <w:tcW w:w="9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top w:val="single" w:sz="8" w:color="E5E5E5"/>
            </w:tcBorders>
            <w:shd w:val="clear" w:color="auto" w:fill="E5E5E5"/>
          </w:tcPr>
          <w:p>
            <w:pPr>
              <w:spacing w:after="0"/>
              <w:rPr>
                <w:sz w:val="17"/>
                <w:szCs w:val="17"/>
                <w:color w:val="auto"/>
              </w:rPr>
            </w:pPr>
          </w:p>
        </w:tc>
        <w:tc>
          <w:tcPr>
            <w:tcW w:w="240" w:type="dxa"/>
            <w:vAlign w:val="bottom"/>
            <w:tcBorders>
              <w:top w:val="single" w:sz="8" w:color="auto"/>
            </w:tcBorders>
            <w:shd w:val="clear" w:color="auto" w:fill="E5E5E5"/>
          </w:tcPr>
          <w:p>
            <w:pPr>
              <w:spacing w:after="0"/>
              <w:rPr>
                <w:sz w:val="17"/>
                <w:szCs w:val="17"/>
                <w:color w:val="auto"/>
              </w:rPr>
            </w:pPr>
          </w:p>
        </w:tc>
        <w:tc>
          <w:tcPr>
            <w:tcW w:w="8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E5E5E5"/>
            </w:tcBorders>
            <w:shd w:val="clear" w:color="auto" w:fill="E5E5E5"/>
          </w:tcPr>
          <w:p>
            <w:pPr>
              <w:spacing w:after="0"/>
              <w:rPr>
                <w:sz w:val="17"/>
                <w:szCs w:val="17"/>
                <w:color w:val="auto"/>
              </w:rPr>
            </w:pPr>
          </w:p>
        </w:tc>
        <w:tc>
          <w:tcPr>
            <w:tcW w:w="220" w:type="dxa"/>
            <w:vAlign w:val="bottom"/>
            <w:tcBorders>
              <w:top w:val="single" w:sz="8" w:color="auto"/>
            </w:tcBorders>
            <w:shd w:val="clear" w:color="auto" w:fill="E5E5E5"/>
          </w:tcPr>
          <w:p>
            <w:pPr>
              <w:spacing w:after="0"/>
              <w:rPr>
                <w:sz w:val="17"/>
                <w:szCs w:val="17"/>
                <w:color w:val="auto"/>
              </w:rPr>
            </w:pPr>
          </w:p>
        </w:tc>
        <w:tc>
          <w:tcPr>
            <w:tcW w:w="8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E5E5E5"/>
            </w:tcBorders>
            <w:shd w:val="clear" w:color="auto" w:fill="E5E5E5"/>
          </w:tcPr>
          <w:p>
            <w:pPr>
              <w:spacing w:after="0"/>
              <w:rPr>
                <w:sz w:val="17"/>
                <w:szCs w:val="17"/>
                <w:color w:val="auto"/>
              </w:rPr>
            </w:pPr>
          </w:p>
        </w:tc>
        <w:tc>
          <w:tcPr>
            <w:tcW w:w="220" w:type="dxa"/>
            <w:vAlign w:val="bottom"/>
            <w:tcBorders>
              <w:top w:val="single" w:sz="8" w:color="auto"/>
            </w:tcBorders>
            <w:shd w:val="clear" w:color="auto" w:fill="E5E5E5"/>
          </w:tcPr>
          <w:p>
            <w:pPr>
              <w:spacing w:after="0"/>
              <w:rPr>
                <w:sz w:val="17"/>
                <w:szCs w:val="17"/>
                <w:color w:val="auto"/>
              </w:rPr>
            </w:pPr>
          </w:p>
        </w:tc>
        <w:tc>
          <w:tcPr>
            <w:tcW w:w="8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9"/>
        </w:trPr>
        <w:tc>
          <w:tcPr>
            <w:tcW w:w="4380" w:type="dxa"/>
            <w:vAlign w:val="bottom"/>
          </w:tcPr>
          <w:p>
            <w:pPr>
              <w:ind w:left="20"/>
              <w:spacing w:after="0"/>
              <w:rPr>
                <w:sz w:val="20"/>
                <w:szCs w:val="20"/>
                <w:color w:val="auto"/>
              </w:rPr>
            </w:pPr>
            <w:r>
              <w:rPr>
                <w:rFonts w:ascii="Arial" w:cs="Arial" w:eastAsia="Arial" w:hAnsi="Arial"/>
                <w:sz w:val="14"/>
                <w:szCs w:val="14"/>
                <w:color w:val="auto"/>
              </w:rPr>
              <w:t>Defined contribution plans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0"/>
        </w:trPr>
        <w:tc>
          <w:tcPr>
            <w:tcW w:w="4380" w:type="dxa"/>
            <w:vAlign w:val="bottom"/>
            <w:tcBorders>
              <w:top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Net Periodic Benefit Cost (Credit)</w:t>
            </w:r>
          </w:p>
        </w:tc>
        <w:tc>
          <w:tcPr>
            <w:tcW w:w="240" w:type="dxa"/>
            <w:vAlign w:val="bottom"/>
            <w:tcBorders>
              <w:top w:val="single" w:sz="8" w:color="auto"/>
            </w:tcBorders>
            <w:shd w:val="clear" w:color="auto" w:fill="E5E5E5"/>
          </w:tcPr>
          <w:p>
            <w:pPr>
              <w:spacing w:after="0"/>
              <w:rPr>
                <w:sz w:val="17"/>
                <w:szCs w:val="17"/>
                <w:color w:val="auto"/>
              </w:rPr>
            </w:pPr>
          </w:p>
        </w:tc>
        <w:tc>
          <w:tcPr>
            <w:tcW w:w="8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top w:val="single" w:sz="8" w:color="E5E5E5"/>
            </w:tcBorders>
            <w:shd w:val="clear" w:color="auto" w:fill="E5E5E5"/>
          </w:tcPr>
          <w:p>
            <w:pPr>
              <w:spacing w:after="0"/>
              <w:rPr>
                <w:sz w:val="17"/>
                <w:szCs w:val="17"/>
                <w:color w:val="auto"/>
              </w:rPr>
            </w:pPr>
          </w:p>
        </w:tc>
        <w:tc>
          <w:tcPr>
            <w:tcW w:w="340" w:type="dxa"/>
            <w:vAlign w:val="bottom"/>
            <w:tcBorders>
              <w:top w:val="single" w:sz="8" w:color="auto"/>
            </w:tcBorders>
            <w:shd w:val="clear" w:color="auto" w:fill="E5E5E5"/>
          </w:tcPr>
          <w:p>
            <w:pPr>
              <w:spacing w:after="0"/>
              <w:rPr>
                <w:sz w:val="17"/>
                <w:szCs w:val="17"/>
                <w:color w:val="auto"/>
              </w:rPr>
            </w:pPr>
          </w:p>
        </w:tc>
        <w:tc>
          <w:tcPr>
            <w:tcW w:w="7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E5E5E5"/>
            </w:tcBorders>
            <w:shd w:val="clear" w:color="auto" w:fill="E5E5E5"/>
          </w:tcPr>
          <w:p>
            <w:pPr>
              <w:spacing w:after="0"/>
              <w:rPr>
                <w:sz w:val="17"/>
                <w:szCs w:val="17"/>
                <w:color w:val="auto"/>
              </w:rPr>
            </w:pPr>
          </w:p>
        </w:tc>
        <w:tc>
          <w:tcPr>
            <w:tcW w:w="100" w:type="dxa"/>
            <w:vAlign w:val="bottom"/>
            <w:tcBorders>
              <w:top w:val="single" w:sz="8" w:color="auto"/>
            </w:tcBorders>
            <w:shd w:val="clear" w:color="auto" w:fill="E5E5E5"/>
          </w:tcPr>
          <w:p>
            <w:pPr>
              <w:spacing w:after="0"/>
              <w:rPr>
                <w:sz w:val="17"/>
                <w:szCs w:val="17"/>
                <w:color w:val="auto"/>
              </w:rPr>
            </w:pPr>
          </w:p>
        </w:tc>
        <w:tc>
          <w:tcPr>
            <w:tcW w:w="9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top w:val="single" w:sz="8" w:color="E5E5E5"/>
            </w:tcBorders>
            <w:shd w:val="clear" w:color="auto" w:fill="E5E5E5"/>
          </w:tcPr>
          <w:p>
            <w:pPr>
              <w:spacing w:after="0"/>
              <w:rPr>
                <w:sz w:val="17"/>
                <w:szCs w:val="17"/>
                <w:color w:val="auto"/>
              </w:rPr>
            </w:pPr>
          </w:p>
        </w:tc>
        <w:tc>
          <w:tcPr>
            <w:tcW w:w="240" w:type="dxa"/>
            <w:vAlign w:val="bottom"/>
            <w:tcBorders>
              <w:top w:val="single" w:sz="8" w:color="auto"/>
            </w:tcBorders>
            <w:shd w:val="clear" w:color="auto" w:fill="E5E5E5"/>
          </w:tcPr>
          <w:p>
            <w:pPr>
              <w:spacing w:after="0"/>
              <w:rPr>
                <w:sz w:val="17"/>
                <w:szCs w:val="17"/>
                <w:color w:val="auto"/>
              </w:rPr>
            </w:pPr>
          </w:p>
        </w:tc>
        <w:tc>
          <w:tcPr>
            <w:tcW w:w="8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top w:val="single" w:sz="8" w:color="E5E5E5"/>
            </w:tcBorders>
            <w:shd w:val="clear" w:color="auto" w:fill="E5E5E5"/>
          </w:tcPr>
          <w:p>
            <w:pPr>
              <w:spacing w:after="0"/>
              <w:rPr>
                <w:sz w:val="17"/>
                <w:szCs w:val="17"/>
                <w:color w:val="auto"/>
              </w:rPr>
            </w:pPr>
          </w:p>
        </w:tc>
        <w:tc>
          <w:tcPr>
            <w:tcW w:w="220" w:type="dxa"/>
            <w:vAlign w:val="bottom"/>
            <w:tcBorders>
              <w:top w:val="single" w:sz="8" w:color="auto"/>
            </w:tcBorders>
            <w:shd w:val="clear" w:color="auto" w:fill="E5E5E5"/>
          </w:tcPr>
          <w:p>
            <w:pPr>
              <w:spacing w:after="0"/>
              <w:rPr>
                <w:sz w:val="17"/>
                <w:szCs w:val="17"/>
                <w:color w:val="auto"/>
              </w:rPr>
            </w:pPr>
          </w:p>
        </w:tc>
        <w:tc>
          <w:tcPr>
            <w:tcW w:w="8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E5E5E5"/>
            </w:tcBorders>
            <w:shd w:val="clear" w:color="auto" w:fill="E5E5E5"/>
          </w:tcPr>
          <w:p>
            <w:pPr>
              <w:spacing w:after="0"/>
              <w:rPr>
                <w:sz w:val="17"/>
                <w:szCs w:val="17"/>
                <w:color w:val="auto"/>
              </w:rPr>
            </w:pPr>
          </w:p>
        </w:tc>
        <w:tc>
          <w:tcPr>
            <w:tcW w:w="220" w:type="dxa"/>
            <w:vAlign w:val="bottom"/>
            <w:tcBorders>
              <w:top w:val="single" w:sz="8" w:color="auto"/>
            </w:tcBorders>
            <w:shd w:val="clear" w:color="auto" w:fill="E5E5E5"/>
          </w:tcPr>
          <w:p>
            <w:pPr>
              <w:spacing w:after="0"/>
              <w:rPr>
                <w:sz w:val="17"/>
                <w:szCs w:val="17"/>
                <w:color w:val="auto"/>
              </w:rPr>
            </w:pPr>
          </w:p>
        </w:tc>
        <w:tc>
          <w:tcPr>
            <w:tcW w:w="8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3"/>
        </w:trPr>
        <w:tc>
          <w:tcPr>
            <w:tcW w:w="438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Other Changes in Plan Assets and Benefit Obligations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Recognized in Other Comprehensive (Loss) Income:</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E5E5E5"/>
          </w:tcPr>
          <w:p>
            <w:pPr>
              <w:ind w:left="20"/>
              <w:spacing w:after="0" w:line="202" w:lineRule="exact"/>
              <w:rPr>
                <w:sz w:val="20"/>
                <w:szCs w:val="20"/>
                <w:color w:val="auto"/>
              </w:rPr>
            </w:pPr>
            <w:r>
              <w:rPr>
                <w:rFonts w:ascii="Arial" w:cs="Arial" w:eastAsia="Arial" w:hAnsi="Arial"/>
                <w:sz w:val="14"/>
                <w:szCs w:val="14"/>
                <w:color w:val="auto"/>
              </w:rPr>
              <w:t>Net actuarial loss (gain)</w:t>
            </w:r>
            <w:r>
              <w:rPr>
                <w:rFonts w:ascii="Arial" w:cs="Arial" w:eastAsia="Arial" w:hAnsi="Arial"/>
                <w:sz w:val="18"/>
                <w:szCs w:val="18"/>
                <w:color w:val="auto"/>
                <w:vertAlign w:val="superscript"/>
              </w:rPr>
              <w:t>(1)</w:t>
            </w:r>
          </w:p>
        </w:tc>
        <w:tc>
          <w:tcPr>
            <w:tcW w:w="24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380" w:type="dxa"/>
            <w:vAlign w:val="bottom"/>
          </w:tcPr>
          <w:p>
            <w:pPr>
              <w:ind w:left="20"/>
              <w:spacing w:after="0"/>
              <w:rPr>
                <w:sz w:val="20"/>
                <w:szCs w:val="20"/>
                <w:color w:val="auto"/>
              </w:rPr>
            </w:pPr>
            <w:r>
              <w:rPr>
                <w:rFonts w:ascii="Arial" w:cs="Arial" w:eastAsia="Arial" w:hAnsi="Arial"/>
                <w:sz w:val="14"/>
                <w:szCs w:val="14"/>
                <w:color w:val="auto"/>
              </w:rPr>
              <w:t>Prior service credit</w:t>
            </w:r>
          </w:p>
        </w:tc>
        <w:tc>
          <w:tcPr>
            <w:tcW w:w="2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380" w:type="dxa"/>
            <w:vAlign w:val="bottom"/>
            <w:shd w:val="clear" w:color="auto" w:fill="E5E5E5"/>
          </w:tcPr>
          <w:p>
            <w:pPr>
              <w:ind w:left="20"/>
              <w:spacing w:after="0"/>
              <w:rPr>
                <w:sz w:val="20"/>
                <w:szCs w:val="20"/>
                <w:color w:val="auto"/>
              </w:rPr>
            </w:pPr>
            <w:r>
              <w:rPr>
                <w:rFonts w:ascii="Arial" w:cs="Arial" w:eastAsia="Arial" w:hAnsi="Arial"/>
                <w:sz w:val="14"/>
                <w:szCs w:val="14"/>
                <w:color w:val="auto"/>
              </w:rPr>
              <w:t>Amortization of net actuarial loss</w:t>
            </w:r>
          </w:p>
        </w:tc>
        <w:tc>
          <w:tcPr>
            <w:tcW w:w="24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380" w:type="dxa"/>
            <w:vAlign w:val="bottom"/>
          </w:tcPr>
          <w:p>
            <w:pPr>
              <w:ind w:left="20"/>
              <w:spacing w:after="0"/>
              <w:rPr>
                <w:sz w:val="20"/>
                <w:szCs w:val="20"/>
                <w:color w:val="auto"/>
              </w:rPr>
            </w:pPr>
            <w:r>
              <w:rPr>
                <w:rFonts w:ascii="Arial" w:cs="Arial" w:eastAsia="Arial" w:hAnsi="Arial"/>
                <w:sz w:val="14"/>
                <w:szCs w:val="14"/>
                <w:color w:val="auto"/>
              </w:rPr>
              <w:t>Amortization of prior service credit</w:t>
            </w:r>
          </w:p>
        </w:tc>
        <w:tc>
          <w:tcPr>
            <w:tcW w:w="2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0"/>
        </w:trPr>
        <w:tc>
          <w:tcPr>
            <w:tcW w:w="4380" w:type="dxa"/>
            <w:vAlign w:val="bottom"/>
            <w:tcBorders>
              <w:top w:val="single" w:sz="8" w:color="E5E5E5"/>
            </w:tcBorders>
            <w:shd w:val="clear" w:color="auto" w:fill="E5E5E5"/>
          </w:tcPr>
          <w:p>
            <w:pPr>
              <w:ind w:left="20"/>
              <w:spacing w:after="0" w:line="200" w:lineRule="exact"/>
              <w:rPr>
                <w:sz w:val="20"/>
                <w:szCs w:val="20"/>
                <w:color w:val="auto"/>
              </w:rPr>
            </w:pPr>
            <w:r>
              <w:rPr>
                <w:rFonts w:ascii="Arial" w:cs="Arial" w:eastAsia="Arial" w:hAnsi="Arial"/>
                <w:sz w:val="14"/>
                <w:szCs w:val="14"/>
                <w:b w:val="1"/>
                <w:bCs w:val="1"/>
                <w:color w:val="auto"/>
              </w:rPr>
              <w:t>Total Recognized in Other Comprehensive (Loss) Income</w:t>
            </w:r>
            <w:r>
              <w:rPr>
                <w:rFonts w:ascii="Arial" w:cs="Arial" w:eastAsia="Arial" w:hAnsi="Arial"/>
                <w:sz w:val="18"/>
                <w:szCs w:val="18"/>
                <w:b w:val="1"/>
                <w:bCs w:val="1"/>
                <w:color w:val="auto"/>
                <w:vertAlign w:val="superscript"/>
              </w:rPr>
              <w:t>(2)</w:t>
            </w:r>
          </w:p>
        </w:tc>
        <w:tc>
          <w:tcPr>
            <w:tcW w:w="240" w:type="dxa"/>
            <w:vAlign w:val="bottom"/>
            <w:tcBorders>
              <w:top w:val="single" w:sz="8" w:color="auto"/>
              <w:bottom w:val="single" w:sz="8" w:color="auto"/>
            </w:tcBorders>
            <w:shd w:val="clear" w:color="auto" w:fill="E5E5E5"/>
          </w:tcPr>
          <w:p>
            <w:pPr>
              <w:spacing w:after="0"/>
              <w:rPr>
                <w:sz w:val="17"/>
                <w:szCs w:val="17"/>
                <w:color w:val="auto"/>
              </w:rPr>
            </w:pPr>
          </w:p>
        </w:tc>
        <w:tc>
          <w:tcPr>
            <w:tcW w:w="8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E5E5E5"/>
            </w:tcBorders>
            <w:shd w:val="clear" w:color="auto" w:fill="E5E5E5"/>
          </w:tcPr>
          <w:p>
            <w:pPr>
              <w:spacing w:after="0"/>
              <w:rPr>
                <w:sz w:val="17"/>
                <w:szCs w:val="17"/>
                <w:color w:val="auto"/>
              </w:rPr>
            </w:pPr>
          </w:p>
        </w:tc>
        <w:tc>
          <w:tcPr>
            <w:tcW w:w="340" w:type="dxa"/>
            <w:vAlign w:val="bottom"/>
            <w:tcBorders>
              <w:top w:val="single" w:sz="8" w:color="auto"/>
              <w:bottom w:val="single" w:sz="8" w:color="auto"/>
            </w:tcBorders>
            <w:shd w:val="clear" w:color="auto" w:fill="E5E5E5"/>
          </w:tcPr>
          <w:p>
            <w:pPr>
              <w:spacing w:after="0"/>
              <w:rPr>
                <w:sz w:val="17"/>
                <w:szCs w:val="17"/>
                <w:color w:val="auto"/>
              </w:rPr>
            </w:pPr>
          </w:p>
        </w:tc>
        <w:tc>
          <w:tcPr>
            <w:tcW w:w="7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(64)</w:t>
            </w:r>
          </w:p>
        </w:tc>
        <w:tc>
          <w:tcPr>
            <w:tcW w:w="120" w:type="dxa"/>
            <w:vAlign w:val="bottom"/>
            <w:tcBorders>
              <w:top w:val="single" w:sz="8" w:color="E5E5E5"/>
            </w:tcBorders>
            <w:shd w:val="clear" w:color="auto" w:fill="E5E5E5"/>
          </w:tcPr>
          <w:p>
            <w:pPr>
              <w:spacing w:after="0"/>
              <w:rPr>
                <w:sz w:val="17"/>
                <w:szCs w:val="17"/>
                <w:color w:val="auto"/>
              </w:rPr>
            </w:pPr>
          </w:p>
        </w:tc>
        <w:tc>
          <w:tcPr>
            <w:tcW w:w="100" w:type="dxa"/>
            <w:vAlign w:val="bottom"/>
            <w:tcBorders>
              <w:top w:val="single" w:sz="8" w:color="auto"/>
              <w:bottom w:val="single" w:sz="8" w:color="auto"/>
            </w:tcBorders>
            <w:shd w:val="clear" w:color="auto" w:fill="E5E5E5"/>
          </w:tcPr>
          <w:p>
            <w:pPr>
              <w:spacing w:after="0"/>
              <w:rPr>
                <w:sz w:val="17"/>
                <w:szCs w:val="17"/>
                <w:color w:val="auto"/>
              </w:rPr>
            </w:pPr>
          </w:p>
        </w:tc>
        <w:tc>
          <w:tcPr>
            <w:tcW w:w="9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E5E5E5"/>
            </w:tcBorders>
            <w:shd w:val="clear" w:color="auto" w:fill="E5E5E5"/>
          </w:tcPr>
          <w:p>
            <w:pPr>
              <w:spacing w:after="0"/>
              <w:rPr>
                <w:sz w:val="17"/>
                <w:szCs w:val="17"/>
                <w:color w:val="auto"/>
              </w:rPr>
            </w:pPr>
          </w:p>
        </w:tc>
        <w:tc>
          <w:tcPr>
            <w:tcW w:w="240" w:type="dxa"/>
            <w:vAlign w:val="bottom"/>
            <w:tcBorders>
              <w:top w:val="single" w:sz="8" w:color="auto"/>
              <w:bottom w:val="single" w:sz="8" w:color="auto"/>
            </w:tcBorders>
            <w:shd w:val="clear" w:color="auto" w:fill="E5E5E5"/>
          </w:tcPr>
          <w:p>
            <w:pPr>
              <w:spacing w:after="0"/>
              <w:rPr>
                <w:sz w:val="17"/>
                <w:szCs w:val="17"/>
                <w:color w:val="auto"/>
              </w:rPr>
            </w:pPr>
          </w:p>
        </w:tc>
        <w:tc>
          <w:tcPr>
            <w:tcW w:w="8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top w:val="single" w:sz="8" w:color="E5E5E5"/>
            </w:tcBorders>
            <w:shd w:val="clear" w:color="auto" w:fill="E5E5E5"/>
          </w:tcPr>
          <w:p>
            <w:pPr>
              <w:spacing w:after="0"/>
              <w:rPr>
                <w:sz w:val="17"/>
                <w:szCs w:val="17"/>
                <w:color w:val="auto"/>
              </w:rPr>
            </w:pPr>
          </w:p>
        </w:tc>
        <w:tc>
          <w:tcPr>
            <w:tcW w:w="220" w:type="dxa"/>
            <w:vAlign w:val="bottom"/>
            <w:tcBorders>
              <w:top w:val="single" w:sz="8" w:color="auto"/>
              <w:bottom w:val="single" w:sz="8" w:color="auto"/>
            </w:tcBorders>
            <w:shd w:val="clear" w:color="auto" w:fill="E5E5E5"/>
          </w:tcPr>
          <w:p>
            <w:pPr>
              <w:spacing w:after="0"/>
              <w:rPr>
                <w:sz w:val="17"/>
                <w:szCs w:val="17"/>
                <w:color w:val="auto"/>
              </w:rPr>
            </w:pPr>
          </w:p>
        </w:tc>
        <w:tc>
          <w:tcPr>
            <w:tcW w:w="8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top w:val="single" w:sz="8" w:color="E5E5E5"/>
            </w:tcBorders>
            <w:shd w:val="clear" w:color="auto" w:fill="E5E5E5"/>
          </w:tcPr>
          <w:p>
            <w:pPr>
              <w:spacing w:after="0"/>
              <w:rPr>
                <w:sz w:val="17"/>
                <w:szCs w:val="17"/>
                <w:color w:val="auto"/>
              </w:rPr>
            </w:pPr>
          </w:p>
        </w:tc>
        <w:tc>
          <w:tcPr>
            <w:tcW w:w="220" w:type="dxa"/>
            <w:vAlign w:val="bottom"/>
            <w:tcBorders>
              <w:top w:val="single" w:sz="8" w:color="auto"/>
              <w:bottom w:val="single" w:sz="8" w:color="auto"/>
            </w:tcBorders>
            <w:shd w:val="clear" w:color="auto" w:fill="E5E5E5"/>
          </w:tcPr>
          <w:p>
            <w:pPr>
              <w:spacing w:after="0"/>
              <w:rPr>
                <w:sz w:val="17"/>
                <w:szCs w:val="17"/>
                <w:color w:val="auto"/>
              </w:rPr>
            </w:pPr>
          </w:p>
        </w:tc>
        <w:tc>
          <w:tcPr>
            <w:tcW w:w="8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3"/>
        </w:trPr>
        <w:tc>
          <w:tcPr>
            <w:tcW w:w="438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Total Recognized in Net Periodic Benefit Cost (Credit) and</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1"/>
                <w:szCs w:val="11"/>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3"/>
        </w:trPr>
        <w:tc>
          <w:tcPr>
            <w:tcW w:w="438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Other Comprehensive (Loss) Income</w:t>
            </w:r>
          </w:p>
        </w:tc>
        <w:tc>
          <w:tcPr>
            <w:tcW w:w="24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27" w:lineRule="exact"/>
        <w:rPr>
          <w:sz w:val="20"/>
          <w:szCs w:val="20"/>
          <w:color w:val="auto"/>
        </w:rPr>
      </w:pPr>
    </w:p>
    <w:p>
      <w:pPr>
        <w:ind w:left="340" w:hanging="332"/>
        <w:spacing w:after="0" w:line="262" w:lineRule="auto"/>
        <w:tabs>
          <w:tab w:leader="none" w:pos="327"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The net actuarial loss (gain) for U.S. Plans primarily reflects the remeasurement of our primary U.S. pension plans as a result of the payment of periodic settlements. The Retiree Health net actuarial gain reflects remeasurement related to the first quarter 2022 Plan Amendment.</w:t>
      </w:r>
    </w:p>
    <w:p>
      <w:pPr>
        <w:ind w:left="340" w:hanging="332"/>
        <w:spacing w:after="0" w:line="282" w:lineRule="auto"/>
        <w:tabs>
          <w:tab w:leader="none" w:pos="327"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pre-tax effect included within Other Comprehensive (Loss) Income. Refer to Note 19 - Other Comprehensive (Loss) Income for related tax effects and the after-tax amounts.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800" w:type="dxa"/>
            <w:vAlign w:val="bottom"/>
          </w:tcPr>
          <w:p>
            <w:pPr>
              <w:spacing w:after="0"/>
              <w:rPr>
                <w:sz w:val="20"/>
                <w:szCs w:val="20"/>
                <w:color w:val="auto"/>
              </w:rPr>
            </w:pPr>
            <w:r>
              <w:rPr>
                <w:rFonts w:ascii="Arial" w:cs="Arial" w:eastAsia="Arial" w:hAnsi="Arial"/>
                <w:sz w:val="18"/>
                <w:szCs w:val="18"/>
                <w:b w:val="1"/>
                <w:bCs w:val="1"/>
                <w:color w:val="DA2031"/>
              </w:rPr>
              <w:t>Contributions</w:t>
            </w:r>
          </w:p>
        </w:tc>
        <w:tc>
          <w:tcPr>
            <w:tcW w:w="3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2"/>
        </w:trPr>
        <w:tc>
          <w:tcPr>
            <w:tcW w:w="1800" w:type="dxa"/>
            <w:vAlign w:val="bottom"/>
          </w:tcPr>
          <w:p>
            <w:pPr>
              <w:spacing w:after="0"/>
              <w:rPr>
                <w:sz w:val="20"/>
                <w:szCs w:val="20"/>
                <w:color w:val="auto"/>
              </w:rPr>
            </w:pPr>
            <w:r>
              <w:rPr>
                <w:rFonts w:ascii="Arial" w:cs="Arial" w:eastAsia="Arial" w:hAnsi="Arial"/>
                <w:sz w:val="18"/>
                <w:szCs w:val="18"/>
                <w:color w:val="auto"/>
              </w:rPr>
              <w:t>The  following  table</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summarizes  cash  contributions  to  our  defined</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benefit</w:t>
            </w:r>
          </w:p>
        </w:tc>
        <w:tc>
          <w:tcPr>
            <w:tcW w:w="720" w:type="dxa"/>
            <w:vAlign w:val="bottom"/>
          </w:tcPr>
          <w:p>
            <w:pPr>
              <w:ind w:left="20"/>
              <w:spacing w:after="0"/>
              <w:rPr>
                <w:sz w:val="20"/>
                <w:szCs w:val="20"/>
                <w:color w:val="auto"/>
              </w:rPr>
            </w:pPr>
            <w:r>
              <w:rPr>
                <w:rFonts w:ascii="Arial" w:cs="Arial" w:eastAsia="Arial" w:hAnsi="Arial"/>
                <w:sz w:val="18"/>
                <w:szCs w:val="18"/>
                <w:color w:val="auto"/>
              </w:rPr>
              <w:t>pension</w:t>
            </w:r>
          </w:p>
        </w:tc>
        <w:tc>
          <w:tcPr>
            <w:tcW w:w="640" w:type="dxa"/>
            <w:vAlign w:val="bottom"/>
          </w:tcPr>
          <w:p>
            <w:pPr>
              <w:jc w:val="right"/>
              <w:ind w:right="45"/>
              <w:spacing w:after="0"/>
              <w:rPr>
                <w:sz w:val="20"/>
                <w:szCs w:val="20"/>
                <w:color w:val="auto"/>
              </w:rPr>
            </w:pPr>
            <w:r>
              <w:rPr>
                <w:rFonts w:ascii="Arial" w:cs="Arial" w:eastAsia="Arial" w:hAnsi="Arial"/>
                <w:sz w:val="18"/>
                <w:szCs w:val="18"/>
                <w:color w:val="auto"/>
              </w:rPr>
              <w:t>plans</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and</w:t>
            </w:r>
          </w:p>
        </w:tc>
        <w:tc>
          <w:tcPr>
            <w:tcW w:w="1340" w:type="dxa"/>
            <w:vAlign w:val="bottom"/>
            <w:gridSpan w:val="3"/>
          </w:tcPr>
          <w:p>
            <w:pPr>
              <w:jc w:val="right"/>
              <w:ind w:right="28"/>
              <w:spacing w:after="0"/>
              <w:rPr>
                <w:sz w:val="20"/>
                <w:szCs w:val="20"/>
                <w:color w:val="auto"/>
              </w:rPr>
            </w:pPr>
            <w:r>
              <w:rPr>
                <w:rFonts w:ascii="Arial" w:cs="Arial" w:eastAsia="Arial" w:hAnsi="Arial"/>
                <w:sz w:val="18"/>
                <w:szCs w:val="18"/>
                <w:color w:val="auto"/>
              </w:rPr>
              <w:t>retiree  health</w:t>
            </w:r>
          </w:p>
        </w:tc>
        <w:tc>
          <w:tcPr>
            <w:tcW w:w="1220" w:type="dxa"/>
            <w:vAlign w:val="bottom"/>
          </w:tcPr>
          <w:p>
            <w:pPr>
              <w:jc w:val="right"/>
              <w:spacing w:after="0"/>
              <w:rPr>
                <w:sz w:val="20"/>
                <w:szCs w:val="20"/>
                <w:color w:val="auto"/>
              </w:rPr>
            </w:pPr>
            <w:r>
              <w:rPr>
                <w:rFonts w:ascii="Arial" w:cs="Arial" w:eastAsia="Arial" w:hAnsi="Arial"/>
                <w:sz w:val="18"/>
                <w:szCs w:val="18"/>
                <w:color w:val="auto"/>
              </w:rPr>
              <w:t>benefit  plans.</w:t>
            </w:r>
          </w:p>
        </w:tc>
      </w:tr>
      <w:tr>
        <w:trPr>
          <w:trHeight w:val="176"/>
        </w:trPr>
        <w:tc>
          <w:tcPr>
            <w:tcW w:w="18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color w:val="auto"/>
              </w:rPr>
              <w:t>Three Months Ended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60" w:type="dxa"/>
            <w:vAlign w:val="bottom"/>
            <w:gridSpan w:val="4"/>
          </w:tcPr>
          <w:p>
            <w:pPr>
              <w:jc w:val="right"/>
              <w:ind w:right="985"/>
              <w:spacing w:after="0"/>
              <w:rPr>
                <w:sz w:val="20"/>
                <w:szCs w:val="20"/>
                <w:color w:val="auto"/>
              </w:rPr>
            </w:pPr>
            <w:r>
              <w:rPr>
                <w:rFonts w:ascii="Arial" w:cs="Arial" w:eastAsia="Arial" w:hAnsi="Arial"/>
                <w:sz w:val="14"/>
                <w:szCs w:val="14"/>
                <w:color w:val="auto"/>
              </w:rPr>
              <w:t>Year Ended</w:t>
            </w:r>
          </w:p>
        </w:tc>
      </w:tr>
      <w:tr>
        <w:trPr>
          <w:trHeight w:val="185"/>
        </w:trPr>
        <w:tc>
          <w:tcPr>
            <w:tcW w:w="18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March 31,</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905"/>
              <w:spacing w:after="0"/>
              <w:rPr>
                <w:sz w:val="20"/>
                <w:szCs w:val="20"/>
                <w:color w:val="auto"/>
              </w:rPr>
            </w:pPr>
            <w:r>
              <w:rPr>
                <w:rFonts w:ascii="Arial" w:cs="Arial" w:eastAsia="Arial" w:hAnsi="Arial"/>
                <w:sz w:val="14"/>
                <w:szCs w:val="14"/>
                <w:color w:val="auto"/>
              </w:rPr>
              <w:t>December 31,</w:t>
            </w:r>
          </w:p>
        </w:tc>
      </w:tr>
      <w:tr>
        <w:trPr>
          <w:trHeight w:val="192"/>
        </w:trPr>
        <w:tc>
          <w:tcPr>
            <w:tcW w:w="1800" w:type="dxa"/>
            <w:vAlign w:val="bottom"/>
            <w:tcBorders>
              <w:bottom w:val="single" w:sz="8" w:color="E5E5E5"/>
            </w:tcBorders>
          </w:tcPr>
          <w:p>
            <w:pPr>
              <w:spacing w:after="0"/>
              <w:rPr>
                <w:sz w:val="16"/>
                <w:szCs w:val="16"/>
                <w:color w:val="auto"/>
              </w:rPr>
            </w:pPr>
          </w:p>
        </w:tc>
        <w:tc>
          <w:tcPr>
            <w:tcW w:w="3600" w:type="dxa"/>
            <w:vAlign w:val="bottom"/>
            <w:tcBorders>
              <w:bottom w:val="single" w:sz="8" w:color="E5E5E5"/>
            </w:tcBorders>
          </w:tcPr>
          <w:p>
            <w:pPr>
              <w:spacing w:after="0"/>
              <w:rPr>
                <w:sz w:val="16"/>
                <w:szCs w:val="16"/>
                <w:color w:val="auto"/>
              </w:rPr>
            </w:pPr>
          </w:p>
        </w:tc>
        <w:tc>
          <w:tcPr>
            <w:tcW w:w="1380" w:type="dxa"/>
            <w:vAlign w:val="bottom"/>
            <w:tcBorders>
              <w:bottom w:val="single" w:sz="8" w:color="auto"/>
            </w:tcBorders>
            <w:gridSpan w:val="2"/>
          </w:tcPr>
          <w:p>
            <w:pPr>
              <w:jc w:val="right"/>
              <w:ind w:right="466"/>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E5E5E5"/>
            </w:tcBorders>
          </w:tcPr>
          <w:p>
            <w:pPr>
              <w:spacing w:after="0"/>
              <w:rPr>
                <w:sz w:val="16"/>
                <w:szCs w:val="16"/>
                <w:color w:val="auto"/>
              </w:rPr>
            </w:pPr>
          </w:p>
        </w:tc>
        <w:tc>
          <w:tcPr>
            <w:tcW w:w="1360" w:type="dxa"/>
            <w:vAlign w:val="bottom"/>
            <w:tcBorders>
              <w:bottom w:val="single" w:sz="8" w:color="auto"/>
            </w:tcBorders>
            <w:gridSpan w:val="2"/>
          </w:tcPr>
          <w:p>
            <w:pPr>
              <w:jc w:val="right"/>
              <w:ind w:right="445"/>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E5E5E5"/>
            </w:tcBorders>
          </w:tcPr>
          <w:p>
            <w:pPr>
              <w:spacing w:after="0"/>
              <w:rPr>
                <w:sz w:val="16"/>
                <w:szCs w:val="16"/>
                <w:color w:val="auto"/>
              </w:rPr>
            </w:pPr>
          </w:p>
        </w:tc>
        <w:tc>
          <w:tcPr>
            <w:tcW w:w="136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4"/>
                <w:szCs w:val="14"/>
                <w:color w:val="auto"/>
              </w:rPr>
              <w:t>Estimated 2022</w:t>
            </w:r>
          </w:p>
        </w:tc>
        <w:tc>
          <w:tcPr>
            <w:tcW w:w="120" w:type="dxa"/>
            <w:vAlign w:val="bottom"/>
            <w:tcBorders>
              <w:bottom w:val="single" w:sz="8" w:color="E5E5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color w:val="auto"/>
              </w:rPr>
              <w:t>2021</w:t>
            </w:r>
          </w:p>
        </w:tc>
      </w:tr>
      <w:tr>
        <w:trPr>
          <w:trHeight w:val="200"/>
        </w:trPr>
        <w:tc>
          <w:tcPr>
            <w:tcW w:w="1800" w:type="dxa"/>
            <w:vAlign w:val="bottom"/>
            <w:shd w:val="clear" w:color="auto" w:fill="E5E5E5"/>
          </w:tcPr>
          <w:p>
            <w:pPr>
              <w:ind w:left="20"/>
              <w:spacing w:after="0"/>
              <w:rPr>
                <w:sz w:val="20"/>
                <w:szCs w:val="20"/>
                <w:color w:val="auto"/>
              </w:rPr>
            </w:pPr>
            <w:r>
              <w:rPr>
                <w:rFonts w:ascii="Arial" w:cs="Arial" w:eastAsia="Arial" w:hAnsi="Arial"/>
                <w:sz w:val="14"/>
                <w:szCs w:val="14"/>
                <w:color w:val="auto"/>
              </w:rPr>
              <w:t>U.S. plans</w:t>
            </w:r>
          </w:p>
        </w:tc>
        <w:tc>
          <w:tcPr>
            <w:tcW w:w="4300" w:type="dxa"/>
            <w:vAlign w:val="bottom"/>
            <w:gridSpan w:val="2"/>
            <w:shd w:val="clear" w:color="auto" w:fill="E5E5E5"/>
          </w:tcPr>
          <w:p>
            <w:pPr>
              <w:jc w:val="right"/>
              <w:ind w:right="528"/>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ind w:right="6"/>
              <w:spacing w:after="0"/>
              <w:rPr>
                <w:sz w:val="20"/>
                <w:szCs w:val="20"/>
                <w:color w:val="auto"/>
              </w:rPr>
            </w:pPr>
            <w:r>
              <w:rPr>
                <w:rFonts w:ascii="Arial" w:cs="Arial" w:eastAsia="Arial" w:hAnsi="Arial"/>
                <w:sz w:val="14"/>
                <w:szCs w:val="14"/>
                <w:color w:val="auto"/>
              </w:rPr>
              <w:t>6</w:t>
            </w:r>
          </w:p>
        </w:tc>
        <w:tc>
          <w:tcPr>
            <w:tcW w:w="100" w:type="dxa"/>
            <w:vAlign w:val="bottom"/>
            <w:shd w:val="clear" w:color="auto" w:fill="E5E5E5"/>
          </w:tcPr>
          <w:p>
            <w:pPr>
              <w:spacing w:after="0"/>
              <w:rPr>
                <w:sz w:val="17"/>
                <w:szCs w:val="17"/>
                <w:color w:val="auto"/>
              </w:rPr>
            </w:pPr>
          </w:p>
        </w:tc>
        <w:tc>
          <w:tcPr>
            <w:tcW w:w="720" w:type="dxa"/>
            <w:vAlign w:val="bottom"/>
            <w:shd w:val="clear" w:color="auto" w:fill="E5E5E5"/>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w:t>
            </w:r>
          </w:p>
        </w:tc>
        <w:tc>
          <w:tcPr>
            <w:tcW w:w="420" w:type="dxa"/>
            <w:vAlign w:val="bottom"/>
            <w:gridSpan w:val="2"/>
            <w:shd w:val="clear" w:color="auto" w:fill="E5E5E5"/>
          </w:tcPr>
          <w:p>
            <w:pPr>
              <w:jc w:val="center"/>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E5E5E5"/>
          </w:tcPr>
          <w:p>
            <w:pPr>
              <w:jc w:val="right"/>
              <w:ind w:right="5"/>
              <w:spacing w:after="0"/>
              <w:rPr>
                <w:sz w:val="20"/>
                <w:szCs w:val="20"/>
                <w:color w:val="auto"/>
              </w:rPr>
            </w:pPr>
            <w:r>
              <w:rPr>
                <w:rFonts w:ascii="Arial" w:cs="Arial" w:eastAsia="Arial" w:hAnsi="Arial"/>
                <w:sz w:val="14"/>
                <w:szCs w:val="14"/>
                <w:color w:val="auto"/>
              </w:rPr>
              <w:t>24</w:t>
            </w:r>
          </w:p>
        </w:tc>
      </w:tr>
      <w:tr>
        <w:trPr>
          <w:trHeight w:val="199"/>
        </w:trPr>
        <w:tc>
          <w:tcPr>
            <w:tcW w:w="180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Non-U.S. plans</w:t>
            </w:r>
          </w:p>
        </w:tc>
        <w:tc>
          <w:tcPr>
            <w:tcW w:w="3600" w:type="dxa"/>
            <w:vAlign w:val="bottom"/>
            <w:tcBorders>
              <w:bottom w:val="single" w:sz="8" w:color="E5E5E5"/>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E5E5E5"/>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E5E5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Borders>
              <w:bottom w:val="single" w:sz="8" w:color="E5E5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111</w:t>
            </w:r>
          </w:p>
        </w:tc>
      </w:tr>
      <w:tr>
        <w:trPr>
          <w:trHeight w:val="200"/>
        </w:trPr>
        <w:tc>
          <w:tcPr>
            <w:tcW w:w="18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Total Pension plans</w:t>
            </w:r>
          </w:p>
        </w:tc>
        <w:tc>
          <w:tcPr>
            <w:tcW w:w="360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680" w:type="dxa"/>
            <w:vAlign w:val="bottom"/>
            <w:shd w:val="clear" w:color="auto" w:fill="E5E5E5"/>
          </w:tcPr>
          <w:p>
            <w:pPr>
              <w:jc w:val="right"/>
              <w:ind w:right="6"/>
              <w:spacing w:after="0"/>
              <w:rPr>
                <w:sz w:val="20"/>
                <w:szCs w:val="20"/>
                <w:color w:val="auto"/>
              </w:rPr>
            </w:pPr>
            <w:r>
              <w:rPr>
                <w:rFonts w:ascii="Arial" w:cs="Arial" w:eastAsia="Arial" w:hAnsi="Arial"/>
                <w:sz w:val="14"/>
                <w:szCs w:val="14"/>
                <w:color w:val="auto"/>
              </w:rPr>
              <w:t>32</w:t>
            </w:r>
          </w:p>
        </w:tc>
        <w:tc>
          <w:tcPr>
            <w:tcW w:w="10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220" w:type="dxa"/>
            <w:vAlign w:val="bottom"/>
            <w:shd w:val="clear" w:color="auto" w:fill="E5E5E5"/>
          </w:tcPr>
          <w:p>
            <w:pPr>
              <w:jc w:val="right"/>
              <w:ind w:right="5"/>
              <w:spacing w:after="0"/>
              <w:rPr>
                <w:sz w:val="20"/>
                <w:szCs w:val="20"/>
                <w:color w:val="auto"/>
              </w:rPr>
            </w:pPr>
            <w:r>
              <w:rPr>
                <w:rFonts w:ascii="Arial" w:cs="Arial" w:eastAsia="Arial" w:hAnsi="Arial"/>
                <w:sz w:val="14"/>
                <w:szCs w:val="14"/>
                <w:color w:val="auto"/>
              </w:rPr>
              <w:t>135</w:t>
            </w:r>
          </w:p>
        </w:tc>
      </w:tr>
      <w:tr>
        <w:trPr>
          <w:trHeight w:val="198"/>
        </w:trPr>
        <w:tc>
          <w:tcPr>
            <w:tcW w:w="180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Retiree Health</w:t>
            </w:r>
          </w:p>
        </w:tc>
        <w:tc>
          <w:tcPr>
            <w:tcW w:w="3600" w:type="dxa"/>
            <w:vAlign w:val="bottom"/>
            <w:tcBorders>
              <w:bottom w:val="single" w:sz="8" w:color="E5E5E5"/>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E5E5E5"/>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E5E5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E5E5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25</w:t>
            </w:r>
          </w:p>
        </w:tc>
      </w:tr>
      <w:tr>
        <w:trPr>
          <w:trHeight w:val="220"/>
        </w:trPr>
        <w:tc>
          <w:tcPr>
            <w:tcW w:w="18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Total Retirement plans</w:t>
            </w:r>
          </w:p>
        </w:tc>
        <w:tc>
          <w:tcPr>
            <w:tcW w:w="4300" w:type="dxa"/>
            <w:vAlign w:val="bottom"/>
            <w:gridSpan w:val="2"/>
            <w:shd w:val="clear" w:color="auto" w:fill="E5E5E5"/>
          </w:tcPr>
          <w:p>
            <w:pPr>
              <w:jc w:val="right"/>
              <w:ind w:right="528"/>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ind w:right="6"/>
              <w:spacing w:after="0"/>
              <w:rPr>
                <w:sz w:val="20"/>
                <w:szCs w:val="20"/>
                <w:color w:val="auto"/>
              </w:rPr>
            </w:pPr>
            <w:r>
              <w:rPr>
                <w:rFonts w:ascii="Arial" w:cs="Arial" w:eastAsia="Arial" w:hAnsi="Arial"/>
                <w:sz w:val="14"/>
                <w:szCs w:val="14"/>
                <w:color w:val="auto"/>
              </w:rPr>
              <w:t>38</w:t>
            </w:r>
          </w:p>
        </w:tc>
        <w:tc>
          <w:tcPr>
            <w:tcW w:w="100" w:type="dxa"/>
            <w:vAlign w:val="bottom"/>
            <w:shd w:val="clear" w:color="auto" w:fill="E5E5E5"/>
          </w:tcPr>
          <w:p>
            <w:pPr>
              <w:spacing w:after="0"/>
              <w:rPr>
                <w:sz w:val="19"/>
                <w:szCs w:val="19"/>
                <w:color w:val="auto"/>
              </w:rPr>
            </w:pPr>
          </w:p>
        </w:tc>
        <w:tc>
          <w:tcPr>
            <w:tcW w:w="720" w:type="dxa"/>
            <w:vAlign w:val="bottom"/>
            <w:shd w:val="clear" w:color="auto" w:fill="E5E5E5"/>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41</w:t>
            </w:r>
          </w:p>
        </w:tc>
        <w:tc>
          <w:tcPr>
            <w:tcW w:w="420" w:type="dxa"/>
            <w:vAlign w:val="bottom"/>
            <w:gridSpan w:val="2"/>
            <w:shd w:val="clear" w:color="auto" w:fill="E5E5E5"/>
          </w:tcPr>
          <w:p>
            <w:pPr>
              <w:jc w:val="center"/>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E5E5E5"/>
          </w:tcPr>
          <w:p>
            <w:pPr>
              <w:spacing w:after="0"/>
              <w:rPr>
                <w:sz w:val="19"/>
                <w:szCs w:val="19"/>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E5E5E5"/>
          </w:tcPr>
          <w:p>
            <w:pPr>
              <w:jc w:val="right"/>
              <w:ind w:right="5"/>
              <w:spacing w:after="0"/>
              <w:rPr>
                <w:sz w:val="20"/>
                <w:szCs w:val="20"/>
                <w:color w:val="auto"/>
              </w:rPr>
            </w:pPr>
            <w:r>
              <w:rPr>
                <w:rFonts w:ascii="Arial" w:cs="Arial" w:eastAsia="Arial" w:hAnsi="Arial"/>
                <w:sz w:val="14"/>
                <w:szCs w:val="14"/>
                <w:color w:val="auto"/>
              </w:rPr>
              <w:t>160</w:t>
            </w:r>
          </w:p>
        </w:tc>
      </w:tr>
      <w:tr>
        <w:trPr>
          <w:trHeight w:val="20"/>
        </w:trPr>
        <w:tc>
          <w:tcPr>
            <w:tcW w:w="1800" w:type="dxa"/>
            <w:vAlign w:val="bottom"/>
            <w:tcBorders>
              <w:top w:val="single" w:sz="8" w:color="E5E5E5"/>
            </w:tcBorders>
          </w:tcPr>
          <w:p>
            <w:pPr>
              <w:spacing w:after="0" w:line="20" w:lineRule="exact"/>
              <w:rPr>
                <w:sz w:val="1"/>
                <w:szCs w:val="1"/>
                <w:color w:val="auto"/>
              </w:rPr>
            </w:pPr>
          </w:p>
        </w:tc>
        <w:tc>
          <w:tcPr>
            <w:tcW w:w="3600" w:type="dxa"/>
            <w:vAlign w:val="bottom"/>
            <w:tcBorders>
              <w:top w:val="single" w:sz="8" w:color="E5E5E5"/>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are no mandatory contributions required in 2022 for our U.S. tax-qualified defined benefit plans to meet the minimum funding requirements.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Retiree Health Plan Amendment</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first quarter of 2022, we amended our U.S. Retiree Health Plan to reduce certain benefits for existing union retirees through the reduction or elimination of coverage or cost-sharing subsidies for retiree health care and life insurance costs. This negative plan amendment resulted in a reduction of approximately $23 in the Company's postretirement benefit obligation. The amount for the plan amendment will be amortized to future net periodic benefit costs as a prior service credit.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DA2031"/>
        </w:rPr>
        <w:t>Note 17 – Shareholders’ Equity of Xerox Holdings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DA2031"/>
        </w:rPr>
        <w:t>(shares in thousands)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equity information presented below reflects the consolidated activity of Xerox Holdings.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Common</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Treasury</w:t>
            </w:r>
          </w:p>
        </w:tc>
        <w:tc>
          <w:tcPr>
            <w:tcW w:w="16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color w:val="auto"/>
              </w:rPr>
              <w:t>Retained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auto"/>
              </w:rPr>
              <w:t>Xerox Holdings</w:t>
            </w: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rPr>
              <w:t>Non-</w:t>
            </w:r>
          </w:p>
        </w:tc>
        <w:tc>
          <w:tcPr>
            <w:tcW w:w="200" w:type="dxa"/>
            <w:vAlign w:val="bottom"/>
          </w:tcPr>
          <w:p>
            <w:pPr>
              <w:spacing w:after="0"/>
              <w:rPr>
                <w:sz w:val="14"/>
                <w:szCs w:val="14"/>
                <w:color w:val="auto"/>
              </w:rPr>
            </w:pPr>
          </w:p>
        </w:tc>
        <w:tc>
          <w:tcPr>
            <w:tcW w:w="780" w:type="dxa"/>
            <w:vAlign w:val="bottom"/>
            <w:vMerge w:val="restart"/>
          </w:tcPr>
          <w:p>
            <w:pPr>
              <w:jc w:val="center"/>
              <w:ind w:right="128"/>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rPr>
              <w:t>Paid-in</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color w:val="auto"/>
              </w:rPr>
              <w:t>AOCL</w:t>
            </w:r>
            <w:r>
              <w:rPr>
                <w:rFonts w:ascii="Arial" w:cs="Arial" w:eastAsia="Arial" w:hAnsi="Arial"/>
                <w:sz w:val="18"/>
                <w:szCs w:val="18"/>
                <w:color w:val="auto"/>
                <w:vertAlign w:val="superscript"/>
              </w:rPr>
              <w:t>(2)</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rPr>
              <w:t>Shareholders’</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rPr>
              <w:t>controlling</w:t>
            </w: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60"/>
              <w:spacing w:after="0" w:line="189" w:lineRule="exact"/>
              <w:rPr>
                <w:sz w:val="20"/>
                <w:szCs w:val="20"/>
                <w:color w:val="auto"/>
              </w:rPr>
            </w:pPr>
            <w:r>
              <w:rPr>
                <w:rFonts w:ascii="Arial" w:cs="Arial" w:eastAsia="Arial" w:hAnsi="Arial"/>
                <w:sz w:val="14"/>
                <w:szCs w:val="14"/>
                <w:color w:val="auto"/>
                <w:w w:val="92"/>
              </w:rPr>
              <w:t>Stock</w:t>
            </w:r>
            <w:r>
              <w:rPr>
                <w:rFonts w:ascii="Arial" w:cs="Arial" w:eastAsia="Arial" w:hAnsi="Arial"/>
                <w:sz w:val="18"/>
                <w:szCs w:val="18"/>
                <w:color w:val="auto"/>
                <w:w w:val="92"/>
                <w:vertAlign w:val="superscript"/>
              </w:rPr>
              <w:t>(1)</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color w:val="auto"/>
              </w:rPr>
              <w:t>Stock</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Earnings</w:t>
            </w: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auto"/>
              </w:rPr>
              <w:t>Equity</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rPr>
              <w:t>Interests</w:t>
            </w:r>
          </w:p>
        </w:tc>
        <w:tc>
          <w:tcPr>
            <w:tcW w:w="200" w:type="dxa"/>
            <w:vAlign w:val="bottom"/>
          </w:tcPr>
          <w:p>
            <w:pPr>
              <w:spacing w:after="0"/>
              <w:rPr>
                <w:sz w:val="16"/>
                <w:szCs w:val="16"/>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6"/>
        </w:trPr>
        <w:tc>
          <w:tcPr>
            <w:tcW w:w="2420" w:type="dxa"/>
            <w:vAlign w:val="bottom"/>
            <w:tcBorders>
              <w:top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168</w:t>
            </w:r>
          </w:p>
        </w:tc>
        <w:tc>
          <w:tcPr>
            <w:tcW w:w="100" w:type="dxa"/>
            <w:vAlign w:val="bottom"/>
            <w:tcBorders>
              <w:top w:val="single" w:sz="8" w:color="E5E5E5"/>
            </w:tcBorders>
            <w:shd w:val="clear" w:color="auto" w:fill="E5E5E5"/>
          </w:tcPr>
          <w:p>
            <w:pPr>
              <w:spacing w:after="0"/>
              <w:rPr>
                <w:sz w:val="17"/>
                <w:szCs w:val="17"/>
                <w:color w:val="auto"/>
              </w:rPr>
            </w:pPr>
          </w:p>
        </w:tc>
        <w:tc>
          <w:tcPr>
            <w:tcW w:w="1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1,802</w:t>
            </w:r>
          </w:p>
        </w:tc>
        <w:tc>
          <w:tcPr>
            <w:tcW w:w="100" w:type="dxa"/>
            <w:vAlign w:val="bottom"/>
            <w:tcBorders>
              <w:top w:val="single" w:sz="8" w:color="E5E5E5"/>
            </w:tcBorders>
            <w:shd w:val="clear" w:color="auto" w:fill="E5E5E5"/>
          </w:tcPr>
          <w:p>
            <w:pPr>
              <w:spacing w:after="0"/>
              <w:rPr>
                <w:sz w:val="17"/>
                <w:szCs w:val="17"/>
                <w:color w:val="auto"/>
              </w:rPr>
            </w:pPr>
          </w:p>
        </w:tc>
        <w:tc>
          <w:tcPr>
            <w:tcW w:w="1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Borders>
              <w:top w:val="single" w:sz="8" w:color="E5E5E5"/>
            </w:tcBorders>
            <w:shd w:val="clear" w:color="auto" w:fill="E5E5E5"/>
          </w:tcPr>
          <w:p>
            <w:pPr>
              <w:spacing w:after="0"/>
              <w:rPr>
                <w:sz w:val="17"/>
                <w:szCs w:val="17"/>
                <w:color w:val="auto"/>
              </w:rPr>
            </w:pPr>
          </w:p>
        </w:tc>
        <w:tc>
          <w:tcPr>
            <w:tcW w:w="1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5,631</w:t>
            </w:r>
          </w:p>
        </w:tc>
        <w:tc>
          <w:tcPr>
            <w:tcW w:w="100" w:type="dxa"/>
            <w:vAlign w:val="bottom"/>
            <w:tcBorders>
              <w:top w:val="single" w:sz="8" w:color="E5E5E5"/>
            </w:tcBorders>
            <w:shd w:val="clear" w:color="auto" w:fill="E5E5E5"/>
          </w:tcPr>
          <w:p>
            <w:pPr>
              <w:spacing w:after="0"/>
              <w:rPr>
                <w:sz w:val="17"/>
                <w:szCs w:val="17"/>
                <w:color w:val="auto"/>
              </w:rPr>
            </w:pPr>
          </w:p>
        </w:tc>
        <w:tc>
          <w:tcPr>
            <w:tcW w:w="180" w:type="dxa"/>
            <w:vAlign w:val="bottom"/>
            <w:tcBorders>
              <w:top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(2,988)</w:t>
            </w:r>
          </w:p>
        </w:tc>
        <w:tc>
          <w:tcPr>
            <w:tcW w:w="100" w:type="dxa"/>
            <w:vAlign w:val="bottom"/>
            <w:tcBorders>
              <w:top w:val="single" w:sz="8" w:color="E5E5E5"/>
            </w:tcBorders>
            <w:shd w:val="clear" w:color="auto" w:fill="E5E5E5"/>
          </w:tcPr>
          <w:p>
            <w:pPr>
              <w:spacing w:after="0"/>
              <w:rPr>
                <w:sz w:val="17"/>
                <w:szCs w:val="17"/>
                <w:color w:val="auto"/>
              </w:rPr>
            </w:pPr>
          </w:p>
        </w:tc>
        <w:tc>
          <w:tcPr>
            <w:tcW w:w="1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4,436</w:t>
            </w:r>
          </w:p>
        </w:tc>
        <w:tc>
          <w:tcPr>
            <w:tcW w:w="100" w:type="dxa"/>
            <w:vAlign w:val="bottom"/>
            <w:tcBorders>
              <w:top w:val="single" w:sz="8" w:color="E5E5E5"/>
            </w:tcBorders>
            <w:shd w:val="clear" w:color="auto" w:fill="E5E5E5"/>
          </w:tcPr>
          <w:p>
            <w:pPr>
              <w:spacing w:after="0"/>
              <w:rPr>
                <w:sz w:val="17"/>
                <w:szCs w:val="17"/>
                <w:color w:val="auto"/>
              </w:rPr>
            </w:pPr>
          </w:p>
        </w:tc>
        <w:tc>
          <w:tcPr>
            <w:tcW w:w="1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top w:val="single" w:sz="8" w:color="E5E5E5"/>
            </w:tcBorders>
            <w:shd w:val="clear" w:color="auto" w:fill="E5E5E5"/>
          </w:tcPr>
          <w:p>
            <w:pPr>
              <w:spacing w:after="0"/>
              <w:rPr>
                <w:sz w:val="17"/>
                <w:szCs w:val="17"/>
                <w:color w:val="auto"/>
              </w:rPr>
            </w:pPr>
          </w:p>
        </w:tc>
        <w:tc>
          <w:tcPr>
            <w:tcW w:w="200" w:type="dxa"/>
            <w:vAlign w:val="bottom"/>
            <w:tcBorders>
              <w:top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4,443</w:t>
            </w:r>
          </w:p>
        </w:tc>
        <w:tc>
          <w:tcPr>
            <w:tcW w:w="0" w:type="dxa"/>
            <w:vAlign w:val="bottom"/>
          </w:tcPr>
          <w:p>
            <w:pPr>
              <w:spacing w:after="0"/>
              <w:rPr>
                <w:sz w:val="1"/>
                <w:szCs w:val="1"/>
                <w:color w:val="auto"/>
              </w:rPr>
            </w:pPr>
          </w:p>
        </w:tc>
      </w:tr>
      <w:tr>
        <w:trPr>
          <w:trHeight w:val="198"/>
        </w:trPr>
        <w:tc>
          <w:tcPr>
            <w:tcW w:w="2420" w:type="dxa"/>
            <w:vAlign w:val="bottom"/>
          </w:tcPr>
          <w:p>
            <w:pPr>
              <w:ind w:left="20"/>
              <w:spacing w:after="0"/>
              <w:rPr>
                <w:sz w:val="20"/>
                <w:szCs w:val="20"/>
                <w:color w:val="auto"/>
              </w:rPr>
            </w:pPr>
            <w:r>
              <w:rPr>
                <w:rFonts w:ascii="Arial" w:cs="Arial" w:eastAsia="Arial" w:hAnsi="Arial"/>
                <w:sz w:val="14"/>
                <w:szCs w:val="14"/>
                <w:color w:val="auto"/>
              </w:rPr>
              <w:t>Comprehensive loss, net</w:t>
            </w:r>
          </w:p>
        </w:tc>
        <w:tc>
          <w:tcPr>
            <w:tcW w:w="1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7"/>
        </w:trPr>
        <w:tc>
          <w:tcPr>
            <w:tcW w:w="2420" w:type="dxa"/>
            <w:vAlign w:val="bottom"/>
            <w:shd w:val="clear" w:color="auto" w:fill="E5E5E5"/>
          </w:tcPr>
          <w:p>
            <w:pPr>
              <w:ind w:left="20"/>
              <w:spacing w:after="0"/>
              <w:rPr>
                <w:sz w:val="20"/>
                <w:szCs w:val="20"/>
                <w:color w:val="auto"/>
              </w:rPr>
            </w:pPr>
            <w:r>
              <w:rPr>
                <w:rFonts w:ascii="Arial" w:cs="Arial" w:eastAsia="Arial" w:hAnsi="Arial"/>
                <w:sz w:val="14"/>
                <w:szCs w:val="14"/>
                <w:color w:val="auto"/>
              </w:rPr>
              <w:t>Cash dividends declared - common</w:t>
            </w:r>
            <w:r>
              <w:rPr>
                <w:rFonts w:ascii="Arial" w:cs="Arial" w:eastAsia="Arial" w:hAnsi="Arial"/>
                <w:sz w:val="18"/>
                <w:szCs w:val="18"/>
                <w:color w:val="auto"/>
                <w:vertAlign w:val="superscript"/>
              </w:rPr>
              <w:t>(3)</w:t>
            </w:r>
          </w:p>
        </w:tc>
        <w:tc>
          <w:tcPr>
            <w:tcW w:w="1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00" w:type="dxa"/>
            <w:vAlign w:val="bottom"/>
            <w:gridSpan w:val="2"/>
            <w:shd w:val="clear" w:color="auto" w:fill="E5E5E5"/>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50"/>
        </w:trPr>
        <w:tc>
          <w:tcPr>
            <w:tcW w:w="2420" w:type="dxa"/>
            <w:vAlign w:val="bottom"/>
          </w:tcPr>
          <w:p>
            <w:pPr>
              <w:ind w:left="20"/>
              <w:spacing w:after="0" w:line="151" w:lineRule="exact"/>
              <w:rPr>
                <w:sz w:val="20"/>
                <w:szCs w:val="20"/>
                <w:color w:val="auto"/>
              </w:rPr>
            </w:pPr>
            <w:r>
              <w:rPr>
                <w:rFonts w:ascii="Arial" w:cs="Arial" w:eastAsia="Arial" w:hAnsi="Arial"/>
                <w:sz w:val="14"/>
                <w:szCs w:val="14"/>
                <w:color w:val="auto"/>
              </w:rPr>
              <w:t>Cash dividends declared -</w:t>
            </w:r>
          </w:p>
        </w:tc>
        <w:tc>
          <w:tcPr>
            <w:tcW w:w="16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1"/>
        </w:trPr>
        <w:tc>
          <w:tcPr>
            <w:tcW w:w="2420" w:type="dxa"/>
            <w:vAlign w:val="bottom"/>
          </w:tcPr>
          <w:p>
            <w:pPr>
              <w:ind w:left="20"/>
              <w:spacing w:after="0" w:line="201" w:lineRule="exact"/>
              <w:rPr>
                <w:sz w:val="20"/>
                <w:szCs w:val="20"/>
                <w:color w:val="auto"/>
              </w:rPr>
            </w:pPr>
            <w:r>
              <w:rPr>
                <w:rFonts w:ascii="Arial" w:cs="Arial" w:eastAsia="Arial" w:hAnsi="Arial"/>
                <w:sz w:val="14"/>
                <w:szCs w:val="14"/>
                <w:color w:val="auto"/>
              </w:rPr>
              <w:t>preferred</w:t>
            </w:r>
            <w:r>
              <w:rPr>
                <w:rFonts w:ascii="Arial" w:cs="Arial" w:eastAsia="Arial" w:hAnsi="Arial"/>
                <w:sz w:val="18"/>
                <w:szCs w:val="18"/>
                <w:color w:val="auto"/>
                <w:vertAlign w:val="superscript"/>
              </w:rPr>
              <w:t>(4)</w:t>
            </w: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E5E5E5"/>
          </w:tcPr>
          <w:p>
            <w:pPr>
              <w:ind w:left="20"/>
              <w:spacing w:after="0"/>
              <w:rPr>
                <w:sz w:val="20"/>
                <w:szCs w:val="20"/>
                <w:color w:val="auto"/>
              </w:rPr>
            </w:pPr>
            <w:r>
              <w:rPr>
                <w:rFonts w:ascii="Arial" w:cs="Arial" w:eastAsia="Arial" w:hAnsi="Arial"/>
                <w:sz w:val="14"/>
                <w:szCs w:val="14"/>
                <w:color w:val="auto"/>
              </w:rPr>
              <w:t>Stock option and incentive plans, net</w:t>
            </w:r>
          </w:p>
        </w:tc>
        <w:tc>
          <w:tcPr>
            <w:tcW w:w="1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7"/>
                <w:szCs w:val="17"/>
                <w:color w:val="auto"/>
              </w:rPr>
            </w:pP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7"/>
                <w:szCs w:val="17"/>
                <w:color w:val="auto"/>
              </w:rPr>
            </w:pPr>
          </w:p>
        </w:tc>
        <w:tc>
          <w:tcPr>
            <w:tcW w:w="900" w:type="dxa"/>
            <w:vAlign w:val="bottom"/>
            <w:gridSpan w:val="2"/>
            <w:shd w:val="clear" w:color="auto" w:fill="E5E5E5"/>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spacing w:after="0"/>
              <w:rPr>
                <w:sz w:val="17"/>
                <w:szCs w:val="17"/>
                <w:color w:val="auto"/>
              </w:rPr>
            </w:pPr>
          </w:p>
        </w:tc>
        <w:tc>
          <w:tcPr>
            <w:tcW w:w="11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3"/>
        </w:trPr>
        <w:tc>
          <w:tcPr>
            <w:tcW w:w="2420" w:type="dxa"/>
            <w:vAlign w:val="bottom"/>
          </w:tcPr>
          <w:p>
            <w:pPr>
              <w:ind w:left="20"/>
              <w:spacing w:after="0" w:line="153" w:lineRule="exact"/>
              <w:rPr>
                <w:sz w:val="20"/>
                <w:szCs w:val="20"/>
                <w:color w:val="auto"/>
              </w:rPr>
            </w:pPr>
            <w:r>
              <w:rPr>
                <w:rFonts w:ascii="Arial" w:cs="Arial" w:eastAsia="Arial" w:hAnsi="Arial"/>
                <w:sz w:val="14"/>
                <w:szCs w:val="14"/>
                <w:color w:val="auto"/>
              </w:rPr>
              <w:t>Payments to acquire treasury stock,</w:t>
            </w:r>
          </w:p>
        </w:tc>
        <w:tc>
          <w:tcPr>
            <w:tcW w:w="16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0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5"/>
        </w:trPr>
        <w:tc>
          <w:tcPr>
            <w:tcW w:w="2420" w:type="dxa"/>
            <w:vAlign w:val="bottom"/>
          </w:tcPr>
          <w:p>
            <w:pPr>
              <w:ind w:left="20"/>
              <w:spacing w:after="0"/>
              <w:rPr>
                <w:sz w:val="20"/>
                <w:szCs w:val="20"/>
                <w:color w:val="auto"/>
              </w:rPr>
            </w:pPr>
            <w:r>
              <w:rPr>
                <w:rFonts w:ascii="Arial" w:cs="Arial" w:eastAsia="Arial" w:hAnsi="Arial"/>
                <w:sz w:val="14"/>
                <w:szCs w:val="14"/>
                <w:color w:val="auto"/>
              </w:rPr>
              <w:t>including fees</w:t>
            </w: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E5E5E5"/>
          </w:tcPr>
          <w:p>
            <w:pPr>
              <w:ind w:left="20"/>
              <w:spacing w:after="0"/>
              <w:rPr>
                <w:sz w:val="20"/>
                <w:szCs w:val="20"/>
                <w:color w:val="auto"/>
              </w:rPr>
            </w:pPr>
            <w:r>
              <w:rPr>
                <w:rFonts w:ascii="Arial" w:cs="Arial" w:eastAsia="Arial" w:hAnsi="Arial"/>
                <w:sz w:val="14"/>
                <w:szCs w:val="14"/>
                <w:color w:val="auto"/>
              </w:rPr>
              <w:t>Cancellation of treasury stock</w:t>
            </w:r>
          </w:p>
        </w:tc>
        <w:tc>
          <w:tcPr>
            <w:tcW w:w="16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7"/>
                <w:szCs w:val="17"/>
                <w:color w:val="auto"/>
              </w:rPr>
            </w:pPr>
          </w:p>
        </w:tc>
        <w:tc>
          <w:tcPr>
            <w:tcW w:w="900" w:type="dxa"/>
            <w:vAlign w:val="bottom"/>
            <w:gridSpan w:val="2"/>
            <w:shd w:val="clear" w:color="auto" w:fill="E5E5E5"/>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420" w:type="dxa"/>
            <w:vAlign w:val="bottom"/>
          </w:tcPr>
          <w:p>
            <w:pPr>
              <w:ind w:left="20"/>
              <w:spacing w:after="0" w:line="153" w:lineRule="exact"/>
              <w:rPr>
                <w:sz w:val="20"/>
                <w:szCs w:val="20"/>
                <w:color w:val="auto"/>
              </w:rPr>
            </w:pPr>
            <w:r>
              <w:rPr>
                <w:rFonts w:ascii="Arial" w:cs="Arial" w:eastAsia="Arial" w:hAnsi="Arial"/>
                <w:sz w:val="14"/>
                <w:szCs w:val="14"/>
                <w:color w:val="auto"/>
              </w:rPr>
              <w:t>Distributions to noncontrolling</w:t>
            </w:r>
          </w:p>
        </w:tc>
        <w:tc>
          <w:tcPr>
            <w:tcW w:w="16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0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5"/>
        </w:trPr>
        <w:tc>
          <w:tcPr>
            <w:tcW w:w="2420" w:type="dxa"/>
            <w:vAlign w:val="bottom"/>
          </w:tcPr>
          <w:p>
            <w:pPr>
              <w:ind w:left="20"/>
              <w:spacing w:after="0"/>
              <w:rPr>
                <w:sz w:val="20"/>
                <w:szCs w:val="20"/>
                <w:color w:val="auto"/>
              </w:rPr>
            </w:pPr>
            <w:r>
              <w:rPr>
                <w:rFonts w:ascii="Arial" w:cs="Arial" w:eastAsia="Arial" w:hAnsi="Arial"/>
                <w:sz w:val="14"/>
                <w:szCs w:val="14"/>
                <w:color w:val="auto"/>
              </w:rPr>
              <w:t>interests</w:t>
            </w: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420" w:type="dxa"/>
            <w:vAlign w:val="bottom"/>
            <w:tcBorders>
              <w:top w:val="single" w:sz="8" w:color="E5E5E5"/>
              <w:bottom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1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156</w:t>
            </w:r>
          </w:p>
        </w:tc>
        <w:tc>
          <w:tcPr>
            <w:tcW w:w="100" w:type="dxa"/>
            <w:vAlign w:val="bottom"/>
            <w:tcBorders>
              <w:top w:val="single" w:sz="8" w:color="E5E5E5"/>
              <w:bottom w:val="single" w:sz="8" w:color="E5E5E5"/>
            </w:tcBorders>
            <w:shd w:val="clear" w:color="auto" w:fill="E5E5E5"/>
          </w:tcPr>
          <w:p>
            <w:pPr>
              <w:spacing w:after="0"/>
              <w:rPr>
                <w:sz w:val="18"/>
                <w:szCs w:val="18"/>
                <w:color w:val="auto"/>
              </w:rPr>
            </w:pPr>
          </w:p>
        </w:tc>
        <w:tc>
          <w:tcPr>
            <w:tcW w:w="1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1,560</w:t>
            </w:r>
          </w:p>
        </w:tc>
        <w:tc>
          <w:tcPr>
            <w:tcW w:w="100" w:type="dxa"/>
            <w:vAlign w:val="bottom"/>
            <w:tcBorders>
              <w:top w:val="single" w:sz="8" w:color="E5E5E5"/>
              <w:bottom w:val="single" w:sz="8" w:color="E5E5E5"/>
            </w:tcBorders>
            <w:shd w:val="clear" w:color="auto" w:fill="E5E5E5"/>
          </w:tcPr>
          <w:p>
            <w:pPr>
              <w:spacing w:after="0"/>
              <w:rPr>
                <w:sz w:val="18"/>
                <w:szCs w:val="18"/>
                <w:color w:val="auto"/>
              </w:rPr>
            </w:pPr>
          </w:p>
        </w:tc>
        <w:tc>
          <w:tcPr>
            <w:tcW w:w="1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top w:val="single" w:sz="8" w:color="E5E5E5"/>
              <w:bottom w:val="single" w:sz="8" w:color="E5E5E5"/>
            </w:tcBorders>
            <w:shd w:val="clear" w:color="auto" w:fill="E5E5E5"/>
          </w:tcPr>
          <w:p>
            <w:pPr>
              <w:spacing w:after="0"/>
              <w:rPr>
                <w:sz w:val="18"/>
                <w:szCs w:val="18"/>
                <w:color w:val="auto"/>
              </w:rPr>
            </w:pPr>
          </w:p>
        </w:tc>
        <w:tc>
          <w:tcPr>
            <w:tcW w:w="1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5,532</w:t>
            </w:r>
          </w:p>
        </w:tc>
        <w:tc>
          <w:tcPr>
            <w:tcW w:w="100" w:type="dxa"/>
            <w:vAlign w:val="bottom"/>
            <w:tcBorders>
              <w:top w:val="single" w:sz="8" w:color="E5E5E5"/>
              <w:bottom w:val="single" w:sz="8" w:color="E5E5E5"/>
            </w:tcBorders>
            <w:shd w:val="clear" w:color="auto" w:fill="E5E5E5"/>
          </w:tcPr>
          <w:p>
            <w:pPr>
              <w:spacing w:after="0"/>
              <w:rPr>
                <w:sz w:val="18"/>
                <w:szCs w:val="18"/>
                <w:color w:val="auto"/>
              </w:rPr>
            </w:pPr>
          </w:p>
        </w:tc>
        <w:tc>
          <w:tcPr>
            <w:tcW w:w="180" w:type="dxa"/>
            <w:vAlign w:val="bottom"/>
            <w:tcBorders>
              <w:top w:val="single" w:sz="8" w:color="auto"/>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(3,032)</w:t>
            </w:r>
          </w:p>
        </w:tc>
        <w:tc>
          <w:tcPr>
            <w:tcW w:w="100" w:type="dxa"/>
            <w:vAlign w:val="bottom"/>
            <w:tcBorders>
              <w:top w:val="single" w:sz="8" w:color="E5E5E5"/>
              <w:bottom w:val="single" w:sz="8" w:color="E5E5E5"/>
            </w:tcBorders>
            <w:shd w:val="clear" w:color="auto" w:fill="E5E5E5"/>
          </w:tcPr>
          <w:p>
            <w:pPr>
              <w:spacing w:after="0"/>
              <w:rPr>
                <w:sz w:val="18"/>
                <w:szCs w:val="18"/>
                <w:color w:val="auto"/>
              </w:rPr>
            </w:pPr>
          </w:p>
        </w:tc>
        <w:tc>
          <w:tcPr>
            <w:tcW w:w="1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4,184</w:t>
            </w:r>
          </w:p>
        </w:tc>
        <w:tc>
          <w:tcPr>
            <w:tcW w:w="100" w:type="dxa"/>
            <w:vAlign w:val="bottom"/>
            <w:tcBorders>
              <w:top w:val="single" w:sz="8" w:color="E5E5E5"/>
              <w:bottom w:val="single" w:sz="8" w:color="E5E5E5"/>
            </w:tcBorders>
            <w:shd w:val="clear" w:color="auto" w:fill="E5E5E5"/>
          </w:tcPr>
          <w:p>
            <w:pPr>
              <w:spacing w:after="0"/>
              <w:rPr>
                <w:sz w:val="18"/>
                <w:szCs w:val="18"/>
                <w:color w:val="auto"/>
              </w:rPr>
            </w:pPr>
          </w:p>
        </w:tc>
        <w:tc>
          <w:tcPr>
            <w:tcW w:w="1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E5E5E5"/>
              <w:bottom w:val="single" w:sz="8" w:color="E5E5E5"/>
            </w:tcBorders>
            <w:shd w:val="clear" w:color="auto" w:fill="E5E5E5"/>
          </w:tcPr>
          <w:p>
            <w:pPr>
              <w:spacing w:after="0"/>
              <w:rPr>
                <w:sz w:val="18"/>
                <w:szCs w:val="18"/>
                <w:color w:val="auto"/>
              </w:rPr>
            </w:pPr>
          </w:p>
        </w:tc>
        <w:tc>
          <w:tcPr>
            <w:tcW w:w="20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4,189</w:t>
            </w:r>
          </w:p>
        </w:tc>
        <w:tc>
          <w:tcPr>
            <w:tcW w:w="0" w:type="dxa"/>
            <w:vAlign w:val="bottom"/>
          </w:tcPr>
          <w:p>
            <w:pPr>
              <w:spacing w:after="0"/>
              <w:rPr>
                <w:sz w:val="1"/>
                <w:szCs w:val="1"/>
                <w:color w:val="auto"/>
              </w:rPr>
            </w:pPr>
          </w:p>
        </w:tc>
      </w:tr>
      <w:tr>
        <w:trPr>
          <w:trHeight w:val="20"/>
        </w:trPr>
        <w:tc>
          <w:tcPr>
            <w:tcW w:w="242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E5E5E5"/>
              <w:bottom w:val="single" w:sz="8" w:color="auto"/>
            </w:tcBorders>
          </w:tcPr>
          <w:p>
            <w:pPr>
              <w:spacing w:after="0" w:line="20" w:lineRule="exact"/>
              <w:rPr>
                <w:sz w:val="1"/>
                <w:szCs w:val="1"/>
                <w:color w:val="auto"/>
              </w:rPr>
            </w:pPr>
          </w:p>
        </w:tc>
        <w:tc>
          <w:tcPr>
            <w:tcW w:w="8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E5E5E5"/>
              <w:bottom w:val="single" w:sz="8" w:color="auto"/>
            </w:tcBorders>
          </w:tcPr>
          <w:p>
            <w:pPr>
              <w:spacing w:after="0" w:line="20" w:lineRule="exact"/>
              <w:rPr>
                <w:sz w:val="1"/>
                <w:szCs w:val="1"/>
                <w:color w:val="auto"/>
              </w:rPr>
            </w:pPr>
          </w:p>
        </w:tc>
        <w:tc>
          <w:tcPr>
            <w:tcW w:w="8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E5E5E5"/>
              <w:bottom w:val="single" w:sz="8" w:color="auto"/>
            </w:tcBorders>
          </w:tcPr>
          <w:p>
            <w:pPr>
              <w:spacing w:after="0" w:line="20" w:lineRule="exact"/>
              <w:rPr>
                <w:sz w:val="1"/>
                <w:szCs w:val="1"/>
                <w:color w:val="auto"/>
              </w:rPr>
            </w:pPr>
          </w:p>
        </w:tc>
        <w:tc>
          <w:tcPr>
            <w:tcW w:w="8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E5E5E5"/>
              <w:bottom w:val="single" w:sz="8" w:color="auto"/>
            </w:tcBorders>
          </w:tcPr>
          <w:p>
            <w:pPr>
              <w:spacing w:after="0" w:line="20" w:lineRule="exact"/>
              <w:rPr>
                <w:sz w:val="1"/>
                <w:szCs w:val="1"/>
                <w:color w:val="auto"/>
              </w:rPr>
            </w:pPr>
          </w:p>
        </w:tc>
        <w:tc>
          <w:tcPr>
            <w:tcW w:w="8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8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bottom w:val="single" w:sz="8" w:color="auto"/>
            </w:tcBorders>
          </w:tcPr>
          <w:p>
            <w:pPr>
              <w:spacing w:after="0" w:line="20" w:lineRule="exact"/>
              <w:rPr>
                <w:sz w:val="1"/>
                <w:szCs w:val="1"/>
                <w:color w:val="auto"/>
              </w:rPr>
            </w:pPr>
          </w:p>
        </w:tc>
        <w:tc>
          <w:tcPr>
            <w:tcW w:w="11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E5E5E5"/>
              <w:bottom w:val="single" w:sz="8" w:color="auto"/>
            </w:tcBorders>
          </w:tcPr>
          <w:p>
            <w:pPr>
              <w:spacing w:after="0" w:line="20" w:lineRule="exact"/>
              <w:rPr>
                <w:sz w:val="1"/>
                <w:szCs w:val="1"/>
                <w:color w:val="auto"/>
              </w:rPr>
            </w:pPr>
          </w:p>
        </w:tc>
        <w:tc>
          <w:tcPr>
            <w:tcW w:w="8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78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Common</w:t>
            </w:r>
          </w:p>
        </w:tc>
        <w:tc>
          <w:tcPr>
            <w:tcW w:w="14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24"/>
                <w:szCs w:val="2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Treasury</w:t>
            </w:r>
          </w:p>
        </w:tc>
        <w:tc>
          <w:tcPr>
            <w:tcW w:w="160" w:type="dxa"/>
            <w:vAlign w:val="bottom"/>
          </w:tcPr>
          <w:p>
            <w:pPr>
              <w:spacing w:after="0"/>
              <w:rPr>
                <w:sz w:val="24"/>
                <w:szCs w:val="2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color w:val="auto"/>
              </w:rPr>
              <w:t>Retained</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auto"/>
              </w:rPr>
              <w:t>Xerox Holdings</w:t>
            </w:r>
          </w:p>
        </w:tc>
        <w:tc>
          <w:tcPr>
            <w:tcW w:w="14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rPr>
              <w:t>Non-</w:t>
            </w:r>
          </w:p>
        </w:tc>
        <w:tc>
          <w:tcPr>
            <w:tcW w:w="200" w:type="dxa"/>
            <w:vAlign w:val="bottom"/>
          </w:tcPr>
          <w:p>
            <w:pPr>
              <w:spacing w:after="0"/>
              <w:rPr>
                <w:sz w:val="24"/>
                <w:szCs w:val="24"/>
                <w:color w:val="auto"/>
              </w:rPr>
            </w:pPr>
          </w:p>
        </w:tc>
        <w:tc>
          <w:tcPr>
            <w:tcW w:w="780" w:type="dxa"/>
            <w:vAlign w:val="bottom"/>
            <w:vMerge w:val="restart"/>
          </w:tcPr>
          <w:p>
            <w:pPr>
              <w:jc w:val="center"/>
              <w:ind w:right="128"/>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rPr>
              <w:t>Paid-in</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ind w:left="60"/>
              <w:spacing w:after="0"/>
              <w:rPr>
                <w:sz w:val="20"/>
                <w:szCs w:val="20"/>
                <w:color w:val="auto"/>
              </w:rPr>
            </w:pPr>
            <w:r>
              <w:rPr>
                <w:rFonts w:ascii="Arial" w:cs="Arial" w:eastAsia="Arial" w:hAnsi="Arial"/>
                <w:sz w:val="14"/>
                <w:szCs w:val="14"/>
                <w:color w:val="auto"/>
              </w:rPr>
              <w:t>AOCL</w:t>
            </w:r>
            <w:r>
              <w:rPr>
                <w:rFonts w:ascii="Arial" w:cs="Arial" w:eastAsia="Arial" w:hAnsi="Arial"/>
                <w:sz w:val="18"/>
                <w:szCs w:val="18"/>
                <w:color w:val="auto"/>
                <w:vertAlign w:val="superscript"/>
              </w:rPr>
              <w:t>(2)</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rPr>
              <w:t>Shareholders’</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rPr>
              <w:t>controlling</w:t>
            </w: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20" w:type="dxa"/>
            <w:vAlign w:val="bottom"/>
            <w:tcBorders>
              <w:bottom w:val="single" w:sz="8" w:color="E5E5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8"/>
              <w:spacing w:after="0" w:line="189" w:lineRule="exact"/>
              <w:rPr>
                <w:sz w:val="20"/>
                <w:szCs w:val="20"/>
                <w:color w:val="auto"/>
              </w:rPr>
            </w:pPr>
            <w:r>
              <w:rPr>
                <w:rFonts w:ascii="Arial" w:cs="Arial" w:eastAsia="Arial" w:hAnsi="Arial"/>
                <w:sz w:val="14"/>
                <w:szCs w:val="14"/>
                <w:color w:val="auto"/>
                <w:w w:val="92"/>
              </w:rPr>
              <w:t>Stock</w:t>
            </w:r>
            <w:r>
              <w:rPr>
                <w:rFonts w:ascii="Arial" w:cs="Arial" w:eastAsia="Arial" w:hAnsi="Arial"/>
                <w:sz w:val="18"/>
                <w:szCs w:val="18"/>
                <w:color w:val="auto"/>
                <w:w w:val="92"/>
                <w:vertAlign w:val="superscript"/>
              </w:rPr>
              <w:t>(1)</w:t>
            </w:r>
          </w:p>
        </w:tc>
        <w:tc>
          <w:tcPr>
            <w:tcW w:w="100" w:type="dxa"/>
            <w:vAlign w:val="bottom"/>
            <w:tcBorders>
              <w:bottom w:val="single" w:sz="8" w:color="E5E5E5"/>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Capital</w:t>
            </w:r>
          </w:p>
        </w:tc>
        <w:tc>
          <w:tcPr>
            <w:tcW w:w="100" w:type="dxa"/>
            <w:vAlign w:val="bottom"/>
            <w:tcBorders>
              <w:bottom w:val="single" w:sz="8" w:color="E5E5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Stock</w:t>
            </w:r>
          </w:p>
        </w:tc>
        <w:tc>
          <w:tcPr>
            <w:tcW w:w="100" w:type="dxa"/>
            <w:vAlign w:val="bottom"/>
            <w:tcBorders>
              <w:bottom w:val="single" w:sz="8" w:color="E5E5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Earnings</w:t>
            </w:r>
          </w:p>
        </w:tc>
        <w:tc>
          <w:tcPr>
            <w:tcW w:w="100" w:type="dxa"/>
            <w:vAlign w:val="bottom"/>
            <w:tcBorders>
              <w:bottom w:val="single" w:sz="8" w:color="E5E5E5"/>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5E5E5"/>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Equity</w:t>
            </w:r>
          </w:p>
        </w:tc>
        <w:tc>
          <w:tcPr>
            <w:tcW w:w="100" w:type="dxa"/>
            <w:vAlign w:val="bottom"/>
            <w:tcBorders>
              <w:bottom w:val="single" w:sz="8" w:color="E5E5E5"/>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Interests</w:t>
            </w:r>
          </w:p>
        </w:tc>
        <w:tc>
          <w:tcPr>
            <w:tcW w:w="100" w:type="dxa"/>
            <w:vAlign w:val="bottom"/>
            <w:tcBorders>
              <w:bottom w:val="single" w:sz="8" w:color="E5E5E5"/>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6"/>
        </w:trPr>
        <w:tc>
          <w:tcPr>
            <w:tcW w:w="242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2,445</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6,281</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(3,332)</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5,592</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5E5E5"/>
          </w:tcPr>
          <w:p>
            <w:pPr>
              <w:spacing w:after="0"/>
              <w:rPr>
                <w:sz w:val="17"/>
                <w:szCs w:val="17"/>
                <w:color w:val="auto"/>
              </w:rPr>
            </w:pPr>
          </w:p>
        </w:tc>
        <w:tc>
          <w:tcPr>
            <w:tcW w:w="2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5,596</w:t>
            </w:r>
          </w:p>
        </w:tc>
        <w:tc>
          <w:tcPr>
            <w:tcW w:w="0" w:type="dxa"/>
            <w:vAlign w:val="bottom"/>
          </w:tcPr>
          <w:p>
            <w:pPr>
              <w:spacing w:after="0"/>
              <w:rPr>
                <w:sz w:val="1"/>
                <w:szCs w:val="1"/>
                <w:color w:val="auto"/>
              </w:rPr>
            </w:pPr>
          </w:p>
        </w:tc>
      </w:tr>
      <w:tr>
        <w:trPr>
          <w:trHeight w:val="198"/>
        </w:trPr>
        <w:tc>
          <w:tcPr>
            <w:tcW w:w="2420" w:type="dxa"/>
            <w:vAlign w:val="bottom"/>
          </w:tcPr>
          <w:p>
            <w:pPr>
              <w:ind w:left="20"/>
              <w:spacing w:after="0"/>
              <w:rPr>
                <w:sz w:val="20"/>
                <w:szCs w:val="20"/>
                <w:color w:val="auto"/>
              </w:rPr>
            </w:pPr>
            <w:r>
              <w:rPr>
                <w:rFonts w:ascii="Arial" w:cs="Arial" w:eastAsia="Arial" w:hAnsi="Arial"/>
                <w:sz w:val="14"/>
                <w:szCs w:val="14"/>
                <w:color w:val="auto"/>
              </w:rPr>
              <w:t>Comprehensive income (loss), net</w:t>
            </w:r>
          </w:p>
        </w:tc>
        <w:tc>
          <w:tcPr>
            <w:tcW w:w="1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7"/>
        </w:trPr>
        <w:tc>
          <w:tcPr>
            <w:tcW w:w="2420" w:type="dxa"/>
            <w:vAlign w:val="bottom"/>
            <w:shd w:val="clear" w:color="auto" w:fill="E5E5E5"/>
          </w:tcPr>
          <w:p>
            <w:pPr>
              <w:ind w:left="20"/>
              <w:spacing w:after="0"/>
              <w:rPr>
                <w:sz w:val="20"/>
                <w:szCs w:val="20"/>
                <w:color w:val="auto"/>
              </w:rPr>
            </w:pPr>
            <w:r>
              <w:rPr>
                <w:rFonts w:ascii="Arial" w:cs="Arial" w:eastAsia="Arial" w:hAnsi="Arial"/>
                <w:sz w:val="14"/>
                <w:szCs w:val="14"/>
                <w:color w:val="auto"/>
              </w:rPr>
              <w:t>Cash dividends declared - common</w:t>
            </w:r>
            <w:r>
              <w:rPr>
                <w:rFonts w:ascii="Arial" w:cs="Arial" w:eastAsia="Arial" w:hAnsi="Arial"/>
                <w:sz w:val="18"/>
                <w:szCs w:val="18"/>
                <w:color w:val="auto"/>
                <w:vertAlign w:val="superscript"/>
              </w:rPr>
              <w:t>(3)</w:t>
            </w:r>
          </w:p>
        </w:tc>
        <w:tc>
          <w:tcPr>
            <w:tcW w:w="1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00" w:type="dxa"/>
            <w:vAlign w:val="bottom"/>
            <w:gridSpan w:val="2"/>
            <w:shd w:val="clear" w:color="auto" w:fill="E5E5E5"/>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50"/>
        </w:trPr>
        <w:tc>
          <w:tcPr>
            <w:tcW w:w="2420" w:type="dxa"/>
            <w:vAlign w:val="bottom"/>
          </w:tcPr>
          <w:p>
            <w:pPr>
              <w:ind w:left="20"/>
              <w:spacing w:after="0" w:line="151" w:lineRule="exact"/>
              <w:rPr>
                <w:sz w:val="20"/>
                <w:szCs w:val="20"/>
                <w:color w:val="auto"/>
              </w:rPr>
            </w:pPr>
            <w:r>
              <w:rPr>
                <w:rFonts w:ascii="Arial" w:cs="Arial" w:eastAsia="Arial" w:hAnsi="Arial"/>
                <w:sz w:val="14"/>
                <w:szCs w:val="14"/>
                <w:color w:val="auto"/>
              </w:rPr>
              <w:t>Cash dividends declared -</w:t>
            </w:r>
          </w:p>
        </w:tc>
        <w:tc>
          <w:tcPr>
            <w:tcW w:w="16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1"/>
        </w:trPr>
        <w:tc>
          <w:tcPr>
            <w:tcW w:w="2420" w:type="dxa"/>
            <w:vAlign w:val="bottom"/>
          </w:tcPr>
          <w:p>
            <w:pPr>
              <w:ind w:left="20"/>
              <w:spacing w:after="0" w:line="201" w:lineRule="exact"/>
              <w:rPr>
                <w:sz w:val="20"/>
                <w:szCs w:val="20"/>
                <w:color w:val="auto"/>
              </w:rPr>
            </w:pPr>
            <w:r>
              <w:rPr>
                <w:rFonts w:ascii="Arial" w:cs="Arial" w:eastAsia="Arial" w:hAnsi="Arial"/>
                <w:sz w:val="14"/>
                <w:szCs w:val="14"/>
                <w:color w:val="auto"/>
              </w:rPr>
              <w:t>preferred</w:t>
            </w:r>
            <w:r>
              <w:rPr>
                <w:rFonts w:ascii="Arial" w:cs="Arial" w:eastAsia="Arial" w:hAnsi="Arial"/>
                <w:sz w:val="18"/>
                <w:szCs w:val="18"/>
                <w:color w:val="auto"/>
                <w:vertAlign w:val="superscript"/>
              </w:rPr>
              <w:t>(4)</w:t>
            </w: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E5E5E5"/>
          </w:tcPr>
          <w:p>
            <w:pPr>
              <w:ind w:left="20"/>
              <w:spacing w:after="0"/>
              <w:rPr>
                <w:sz w:val="20"/>
                <w:szCs w:val="20"/>
                <w:color w:val="auto"/>
              </w:rPr>
            </w:pPr>
            <w:r>
              <w:rPr>
                <w:rFonts w:ascii="Arial" w:cs="Arial" w:eastAsia="Arial" w:hAnsi="Arial"/>
                <w:sz w:val="14"/>
                <w:szCs w:val="14"/>
                <w:color w:val="auto"/>
              </w:rPr>
              <w:t>Stock option and incentive plans, net</w:t>
            </w:r>
          </w:p>
        </w:tc>
        <w:tc>
          <w:tcPr>
            <w:tcW w:w="160" w:type="dxa"/>
            <w:vAlign w:val="bottom"/>
            <w:shd w:val="clear" w:color="auto" w:fill="E5E5E5"/>
          </w:tcPr>
          <w:p>
            <w:pPr>
              <w:spacing w:after="0"/>
              <w:rPr>
                <w:sz w:val="17"/>
                <w:szCs w:val="17"/>
                <w:color w:val="auto"/>
              </w:rPr>
            </w:pPr>
          </w:p>
        </w:tc>
        <w:tc>
          <w:tcPr>
            <w:tcW w:w="8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7"/>
                <w:szCs w:val="17"/>
                <w:color w:val="auto"/>
              </w:rPr>
            </w:pPr>
          </w:p>
        </w:tc>
        <w:tc>
          <w:tcPr>
            <w:tcW w:w="900" w:type="dxa"/>
            <w:vAlign w:val="bottom"/>
            <w:gridSpan w:val="2"/>
            <w:shd w:val="clear" w:color="auto" w:fill="E5E5E5"/>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spacing w:after="0"/>
              <w:rPr>
                <w:sz w:val="17"/>
                <w:szCs w:val="17"/>
                <w:color w:val="auto"/>
              </w:rPr>
            </w:pPr>
          </w:p>
        </w:tc>
        <w:tc>
          <w:tcPr>
            <w:tcW w:w="11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3"/>
        </w:trPr>
        <w:tc>
          <w:tcPr>
            <w:tcW w:w="2420" w:type="dxa"/>
            <w:vAlign w:val="bottom"/>
          </w:tcPr>
          <w:p>
            <w:pPr>
              <w:ind w:left="20"/>
              <w:spacing w:after="0" w:line="153" w:lineRule="exact"/>
              <w:rPr>
                <w:sz w:val="20"/>
                <w:szCs w:val="20"/>
                <w:color w:val="auto"/>
              </w:rPr>
            </w:pPr>
            <w:r>
              <w:rPr>
                <w:rFonts w:ascii="Arial" w:cs="Arial" w:eastAsia="Arial" w:hAnsi="Arial"/>
                <w:sz w:val="14"/>
                <w:szCs w:val="14"/>
                <w:color w:val="auto"/>
              </w:rPr>
              <w:t>Payments to acquire treasury stock,</w:t>
            </w:r>
          </w:p>
        </w:tc>
        <w:tc>
          <w:tcPr>
            <w:tcW w:w="16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0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85"/>
        </w:trPr>
        <w:tc>
          <w:tcPr>
            <w:tcW w:w="2420" w:type="dxa"/>
            <w:vAlign w:val="bottom"/>
          </w:tcPr>
          <w:p>
            <w:pPr>
              <w:ind w:left="20"/>
              <w:spacing w:after="0"/>
              <w:rPr>
                <w:sz w:val="20"/>
                <w:szCs w:val="20"/>
                <w:color w:val="auto"/>
              </w:rPr>
            </w:pPr>
            <w:r>
              <w:rPr>
                <w:rFonts w:ascii="Arial" w:cs="Arial" w:eastAsia="Arial" w:hAnsi="Arial"/>
                <w:sz w:val="14"/>
                <w:szCs w:val="14"/>
                <w:color w:val="auto"/>
              </w:rPr>
              <w:t>including fees</w:t>
            </w: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420" w:type="dxa"/>
            <w:vAlign w:val="bottom"/>
            <w:tcBorders>
              <w:top w:val="single" w:sz="8" w:color="E5E5E5"/>
              <w:bottom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1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199</w:t>
            </w:r>
          </w:p>
        </w:tc>
        <w:tc>
          <w:tcPr>
            <w:tcW w:w="100" w:type="dxa"/>
            <w:vAlign w:val="bottom"/>
            <w:tcBorders>
              <w:top w:val="single" w:sz="8" w:color="E5E5E5"/>
              <w:bottom w:val="single" w:sz="8" w:color="E5E5E5"/>
            </w:tcBorders>
            <w:shd w:val="clear" w:color="auto" w:fill="E5E5E5"/>
          </w:tcPr>
          <w:p>
            <w:pPr>
              <w:spacing w:after="0"/>
              <w:rPr>
                <w:sz w:val="18"/>
                <w:szCs w:val="18"/>
                <w:color w:val="auto"/>
              </w:rPr>
            </w:pPr>
          </w:p>
        </w:tc>
        <w:tc>
          <w:tcPr>
            <w:tcW w:w="1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2,456</w:t>
            </w:r>
          </w:p>
        </w:tc>
        <w:tc>
          <w:tcPr>
            <w:tcW w:w="100" w:type="dxa"/>
            <w:vAlign w:val="bottom"/>
            <w:tcBorders>
              <w:top w:val="single" w:sz="8" w:color="E5E5E5"/>
              <w:bottom w:val="single" w:sz="8" w:color="E5E5E5"/>
            </w:tcBorders>
            <w:shd w:val="clear" w:color="auto" w:fill="E5E5E5"/>
          </w:tcPr>
          <w:p>
            <w:pPr>
              <w:spacing w:after="0"/>
              <w:rPr>
                <w:sz w:val="18"/>
                <w:szCs w:val="18"/>
                <w:color w:val="auto"/>
              </w:rPr>
            </w:pPr>
          </w:p>
        </w:tc>
        <w:tc>
          <w:tcPr>
            <w:tcW w:w="1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Borders>
              <w:top w:val="single" w:sz="8" w:color="E5E5E5"/>
              <w:bottom w:val="single" w:sz="8" w:color="E5E5E5"/>
            </w:tcBorders>
            <w:shd w:val="clear" w:color="auto" w:fill="E5E5E5"/>
          </w:tcPr>
          <w:p>
            <w:pPr>
              <w:spacing w:after="0"/>
              <w:rPr>
                <w:sz w:val="18"/>
                <w:szCs w:val="18"/>
                <w:color w:val="auto"/>
              </w:rPr>
            </w:pPr>
          </w:p>
        </w:tc>
        <w:tc>
          <w:tcPr>
            <w:tcW w:w="1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6,267</w:t>
            </w:r>
          </w:p>
        </w:tc>
        <w:tc>
          <w:tcPr>
            <w:tcW w:w="100" w:type="dxa"/>
            <w:vAlign w:val="bottom"/>
            <w:tcBorders>
              <w:top w:val="single" w:sz="8" w:color="E5E5E5"/>
              <w:bottom w:val="single" w:sz="8" w:color="E5E5E5"/>
            </w:tcBorders>
            <w:shd w:val="clear" w:color="auto" w:fill="E5E5E5"/>
          </w:tcPr>
          <w:p>
            <w:pPr>
              <w:spacing w:after="0"/>
              <w:rPr>
                <w:sz w:val="18"/>
                <w:szCs w:val="18"/>
                <w:color w:val="auto"/>
              </w:rPr>
            </w:pPr>
          </w:p>
        </w:tc>
        <w:tc>
          <w:tcPr>
            <w:tcW w:w="180" w:type="dxa"/>
            <w:vAlign w:val="bottom"/>
            <w:tcBorders>
              <w:top w:val="single" w:sz="8" w:color="auto"/>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(3,335)</w:t>
            </w:r>
          </w:p>
        </w:tc>
        <w:tc>
          <w:tcPr>
            <w:tcW w:w="100" w:type="dxa"/>
            <w:vAlign w:val="bottom"/>
            <w:tcBorders>
              <w:top w:val="single" w:sz="8" w:color="E5E5E5"/>
              <w:bottom w:val="single" w:sz="8" w:color="E5E5E5"/>
            </w:tcBorders>
            <w:shd w:val="clear" w:color="auto" w:fill="E5E5E5"/>
          </w:tcPr>
          <w:p>
            <w:pPr>
              <w:spacing w:after="0"/>
              <w:rPr>
                <w:sz w:val="18"/>
                <w:szCs w:val="18"/>
                <w:color w:val="auto"/>
              </w:rPr>
            </w:pPr>
          </w:p>
        </w:tc>
        <w:tc>
          <w:tcPr>
            <w:tcW w:w="1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5,425</w:t>
            </w:r>
          </w:p>
        </w:tc>
        <w:tc>
          <w:tcPr>
            <w:tcW w:w="100" w:type="dxa"/>
            <w:vAlign w:val="bottom"/>
            <w:tcBorders>
              <w:top w:val="single" w:sz="8" w:color="E5E5E5"/>
              <w:bottom w:val="single" w:sz="8" w:color="E5E5E5"/>
            </w:tcBorders>
            <w:shd w:val="clear" w:color="auto" w:fill="E5E5E5"/>
          </w:tcPr>
          <w:p>
            <w:pPr>
              <w:spacing w:after="0"/>
              <w:rPr>
                <w:sz w:val="18"/>
                <w:szCs w:val="18"/>
                <w:color w:val="auto"/>
              </w:rPr>
            </w:pPr>
          </w:p>
        </w:tc>
        <w:tc>
          <w:tcPr>
            <w:tcW w:w="1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E5E5E5"/>
              <w:bottom w:val="single" w:sz="8" w:color="E5E5E5"/>
            </w:tcBorders>
            <w:shd w:val="clear" w:color="auto" w:fill="E5E5E5"/>
          </w:tcPr>
          <w:p>
            <w:pPr>
              <w:spacing w:after="0"/>
              <w:rPr>
                <w:sz w:val="18"/>
                <w:szCs w:val="18"/>
                <w:color w:val="auto"/>
              </w:rPr>
            </w:pPr>
          </w:p>
        </w:tc>
        <w:tc>
          <w:tcPr>
            <w:tcW w:w="20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5,429</w:t>
            </w:r>
          </w:p>
        </w:tc>
        <w:tc>
          <w:tcPr>
            <w:tcW w:w="0" w:type="dxa"/>
            <w:vAlign w:val="bottom"/>
          </w:tcPr>
          <w:p>
            <w:pPr>
              <w:spacing w:after="0"/>
              <w:rPr>
                <w:sz w:val="1"/>
                <w:szCs w:val="1"/>
                <w:color w:val="auto"/>
              </w:rPr>
            </w:pPr>
          </w:p>
        </w:tc>
      </w:tr>
      <w:tr>
        <w:trPr>
          <w:trHeight w:val="20"/>
        </w:trPr>
        <w:tc>
          <w:tcPr>
            <w:tcW w:w="242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E5E5E5"/>
              <w:bottom w:val="single" w:sz="8" w:color="auto"/>
            </w:tcBorders>
          </w:tcPr>
          <w:p>
            <w:pPr>
              <w:spacing w:after="0" w:line="20" w:lineRule="exact"/>
              <w:rPr>
                <w:sz w:val="1"/>
                <w:szCs w:val="1"/>
                <w:color w:val="auto"/>
              </w:rPr>
            </w:pPr>
          </w:p>
        </w:tc>
        <w:tc>
          <w:tcPr>
            <w:tcW w:w="8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E5E5E5"/>
              <w:bottom w:val="single" w:sz="8" w:color="auto"/>
            </w:tcBorders>
          </w:tcPr>
          <w:p>
            <w:pPr>
              <w:spacing w:after="0" w:line="20" w:lineRule="exact"/>
              <w:rPr>
                <w:sz w:val="1"/>
                <w:szCs w:val="1"/>
                <w:color w:val="auto"/>
              </w:rPr>
            </w:pPr>
          </w:p>
        </w:tc>
        <w:tc>
          <w:tcPr>
            <w:tcW w:w="8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E5E5E5"/>
              <w:bottom w:val="single" w:sz="8" w:color="auto"/>
            </w:tcBorders>
          </w:tcPr>
          <w:p>
            <w:pPr>
              <w:spacing w:after="0" w:line="20" w:lineRule="exact"/>
              <w:rPr>
                <w:sz w:val="1"/>
                <w:szCs w:val="1"/>
                <w:color w:val="auto"/>
              </w:rPr>
            </w:pPr>
          </w:p>
        </w:tc>
        <w:tc>
          <w:tcPr>
            <w:tcW w:w="8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E5E5E5"/>
              <w:bottom w:val="single" w:sz="8" w:color="auto"/>
            </w:tcBorders>
          </w:tcPr>
          <w:p>
            <w:pPr>
              <w:spacing w:after="0" w:line="20" w:lineRule="exact"/>
              <w:rPr>
                <w:sz w:val="1"/>
                <w:szCs w:val="1"/>
                <w:color w:val="auto"/>
              </w:rPr>
            </w:pPr>
          </w:p>
        </w:tc>
        <w:tc>
          <w:tcPr>
            <w:tcW w:w="8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8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bottom w:val="single" w:sz="8" w:color="auto"/>
            </w:tcBorders>
          </w:tcPr>
          <w:p>
            <w:pPr>
              <w:spacing w:after="0" w:line="20" w:lineRule="exact"/>
              <w:rPr>
                <w:sz w:val="1"/>
                <w:szCs w:val="1"/>
                <w:color w:val="auto"/>
              </w:rPr>
            </w:pPr>
          </w:p>
        </w:tc>
        <w:tc>
          <w:tcPr>
            <w:tcW w:w="11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E5E5E5"/>
              <w:bottom w:val="single" w:sz="8" w:color="auto"/>
            </w:tcBorders>
          </w:tcPr>
          <w:p>
            <w:pPr>
              <w:spacing w:after="0" w:line="20" w:lineRule="exact"/>
              <w:rPr>
                <w:sz w:val="1"/>
                <w:szCs w:val="1"/>
                <w:color w:val="auto"/>
              </w:rPr>
            </w:pPr>
          </w:p>
        </w:tc>
        <w:tc>
          <w:tcPr>
            <w:tcW w:w="8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78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13"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Common Stock has a par value of $1 per share.</w:t>
      </w:r>
    </w:p>
    <w:p>
      <w:pPr>
        <w:spacing w:after="0" w:line="14" w:lineRule="exact"/>
        <w:rPr>
          <w:rFonts w:ascii="Arial" w:cs="Arial" w:eastAsia="Arial" w:hAnsi="Arial"/>
          <w:sz w:val="14"/>
          <w:szCs w:val="14"/>
          <w:i w:val="1"/>
          <w:iCs w:val="1"/>
          <w:color w:val="auto"/>
        </w:rPr>
      </w:pPr>
    </w:p>
    <w:p>
      <w:pPr>
        <w:ind w:left="320" w:hanging="312"/>
        <w:spacing w:after="0"/>
        <w:tabs>
          <w:tab w:leader="none" w:pos="32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Refer to Note 19 - Other Comprehensive (Loss) Income for the components of AOCL.</w:t>
      </w:r>
    </w:p>
    <w:p>
      <w:pPr>
        <w:spacing w:after="0" w:line="14" w:lineRule="exact"/>
        <w:rPr>
          <w:rFonts w:ascii="Arial" w:cs="Arial" w:eastAsia="Arial" w:hAnsi="Arial"/>
          <w:sz w:val="14"/>
          <w:szCs w:val="14"/>
          <w:i w:val="1"/>
          <w:iCs w:val="1"/>
          <w:color w:val="auto"/>
        </w:rPr>
      </w:pPr>
    </w:p>
    <w:p>
      <w:pPr>
        <w:ind w:left="320" w:hanging="312"/>
        <w:spacing w:after="0"/>
        <w:tabs>
          <w:tab w:leader="none" w:pos="32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Cash dividends declared on common stock for the three months ended March 31, 2022 and 2021 were $0.25 per share, respectively.</w:t>
      </w:r>
    </w:p>
    <w:p>
      <w:pPr>
        <w:spacing w:after="0" w:line="14" w:lineRule="exact"/>
        <w:rPr>
          <w:rFonts w:ascii="Arial" w:cs="Arial" w:eastAsia="Arial" w:hAnsi="Arial"/>
          <w:sz w:val="14"/>
          <w:szCs w:val="14"/>
          <w:i w:val="1"/>
          <w:iCs w:val="1"/>
          <w:color w:val="auto"/>
        </w:rPr>
      </w:pPr>
    </w:p>
    <w:p>
      <w:pPr>
        <w:ind w:left="320" w:hanging="312"/>
        <w:spacing w:after="0"/>
        <w:tabs>
          <w:tab w:leader="none" w:pos="32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Cash dividends declared on preferred stock for the three months ended March 31, 2022 and 2021 were $20.00 per share,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Common Stock and Treasury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Common and Treasury stock shares: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20" w:type="dxa"/>
            <w:vAlign w:val="bottom"/>
          </w:tcPr>
          <w:p>
            <w:pPr>
              <w:spacing w:after="0"/>
              <w:rPr>
                <w:sz w:val="16"/>
                <w:szCs w:val="16"/>
                <w:color w:val="auto"/>
              </w:rPr>
            </w:pPr>
          </w:p>
        </w:tc>
        <w:tc>
          <w:tcPr>
            <w:tcW w:w="1820" w:type="dxa"/>
            <w:vAlign w:val="bottom"/>
            <w:gridSpan w:val="2"/>
          </w:tcPr>
          <w:p>
            <w:pPr>
              <w:ind w:left="120"/>
              <w:spacing w:after="0"/>
              <w:rPr>
                <w:sz w:val="20"/>
                <w:szCs w:val="20"/>
                <w:color w:val="auto"/>
              </w:rPr>
            </w:pPr>
            <w:r>
              <w:rPr>
                <w:rFonts w:ascii="Arial" w:cs="Arial" w:eastAsia="Arial" w:hAnsi="Arial"/>
                <w:sz w:val="14"/>
                <w:szCs w:val="14"/>
                <w:color w:val="auto"/>
              </w:rPr>
              <w:t>Common Stock Shares</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Treasury Stock Shares</w:t>
            </w:r>
          </w:p>
        </w:tc>
      </w:tr>
      <w:tr>
        <w:trPr>
          <w:trHeight w:val="200"/>
        </w:trPr>
        <w:tc>
          <w:tcPr>
            <w:tcW w:w="7720" w:type="dxa"/>
            <w:vAlign w:val="bottom"/>
            <w:tcBorders>
              <w:top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720" w:type="dxa"/>
            <w:vAlign w:val="bottom"/>
            <w:tcBorders>
              <w:top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168,069</w:t>
            </w:r>
          </w:p>
        </w:tc>
        <w:tc>
          <w:tcPr>
            <w:tcW w:w="100" w:type="dxa"/>
            <w:vAlign w:val="bottom"/>
            <w:tcBorders>
              <w:top w:val="single" w:sz="8" w:color="E5E5E5"/>
            </w:tcBorders>
            <w:shd w:val="clear" w:color="auto" w:fill="E5E5E5"/>
          </w:tcPr>
          <w:p>
            <w:pPr>
              <w:spacing w:after="0"/>
              <w:rPr>
                <w:sz w:val="17"/>
                <w:szCs w:val="17"/>
                <w:color w:val="auto"/>
              </w:rPr>
            </w:pPr>
          </w:p>
        </w:tc>
        <w:tc>
          <w:tcPr>
            <w:tcW w:w="17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8,675</w:t>
            </w: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Stock based compensation plans, net</w:t>
            </w:r>
          </w:p>
        </w:tc>
        <w:tc>
          <w:tcPr>
            <w:tcW w:w="1720" w:type="dxa"/>
            <w:vAlign w:val="bottom"/>
          </w:tcPr>
          <w:p>
            <w:pPr>
              <w:jc w:val="right"/>
              <w:ind w:right="8"/>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720" w:type="dxa"/>
            <w:vAlign w:val="bottom"/>
            <w:shd w:val="clear" w:color="auto" w:fill="E5E5E5"/>
          </w:tcPr>
          <w:p>
            <w:pPr>
              <w:ind w:left="20"/>
              <w:spacing w:after="0"/>
              <w:rPr>
                <w:sz w:val="20"/>
                <w:szCs w:val="20"/>
                <w:color w:val="auto"/>
              </w:rPr>
            </w:pPr>
            <w:r>
              <w:rPr>
                <w:rFonts w:ascii="Arial" w:cs="Arial" w:eastAsia="Arial" w:hAnsi="Arial"/>
                <w:sz w:val="14"/>
                <w:szCs w:val="14"/>
                <w:color w:val="auto"/>
              </w:rPr>
              <w:t>Acquisition of Treasury stock</w:t>
            </w:r>
          </w:p>
        </w:tc>
        <w:tc>
          <w:tcPr>
            <w:tcW w:w="182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1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5,174</w:t>
            </w:r>
          </w:p>
        </w:tc>
      </w:tr>
      <w:tr>
        <w:trPr>
          <w:trHeight w:val="198"/>
        </w:trPr>
        <w:tc>
          <w:tcPr>
            <w:tcW w:w="772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Cancellation of Treasury stock</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(12,341)</w:t>
            </w:r>
          </w:p>
        </w:tc>
        <w:tc>
          <w:tcPr>
            <w:tcW w:w="100" w:type="dxa"/>
            <w:vAlign w:val="bottom"/>
            <w:tcBorders>
              <w:bottom w:val="single" w:sz="8" w:color="E5E5E5"/>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(12,341)</w:t>
            </w:r>
          </w:p>
        </w:tc>
      </w:tr>
      <w:tr>
        <w:trPr>
          <w:trHeight w:val="199"/>
        </w:trPr>
        <w:tc>
          <w:tcPr>
            <w:tcW w:w="772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172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156,358</w:t>
            </w:r>
          </w:p>
        </w:tc>
        <w:tc>
          <w:tcPr>
            <w:tcW w:w="100" w:type="dxa"/>
            <w:vAlign w:val="bottom"/>
            <w:shd w:val="clear" w:color="auto" w:fill="E5E5E5"/>
          </w:tcPr>
          <w:p>
            <w:pPr>
              <w:spacing w:after="0"/>
              <w:rPr>
                <w:sz w:val="17"/>
                <w:szCs w:val="17"/>
                <w:color w:val="auto"/>
              </w:rPr>
            </w:pPr>
          </w:p>
        </w:tc>
        <w:tc>
          <w:tcPr>
            <w:tcW w:w="1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1,508</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DA2031"/>
        </w:rPr>
        <w:t>Note 18 – Shareholder's Equity of Xerox</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equity information presented below reflects the consolidated activity of Xerox.</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Additional Paid-in</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color w:val="auto"/>
              </w:rPr>
              <w:t>Xerox</w:t>
            </w:r>
          </w:p>
        </w:tc>
        <w:tc>
          <w:tcPr>
            <w:tcW w:w="120" w:type="dxa"/>
            <w:vAlign w:val="bottom"/>
          </w:tcPr>
          <w:p>
            <w:pPr>
              <w:spacing w:after="0"/>
              <w:rPr>
                <w:sz w:val="14"/>
                <w:szCs w:val="14"/>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Non- controlling</w:t>
            </w:r>
          </w:p>
        </w:tc>
        <w:tc>
          <w:tcPr>
            <w:tcW w:w="260" w:type="dxa"/>
            <w:vAlign w:val="bottom"/>
          </w:tcPr>
          <w:p>
            <w:pPr>
              <w:spacing w:after="0"/>
              <w:rPr>
                <w:sz w:val="14"/>
                <w:szCs w:val="14"/>
                <w:color w:val="auto"/>
              </w:rPr>
            </w:pPr>
          </w:p>
        </w:tc>
        <w:tc>
          <w:tcPr>
            <w:tcW w:w="1040" w:type="dxa"/>
            <w:vAlign w:val="bottom"/>
            <w:vMerge w:val="restart"/>
          </w:tcPr>
          <w:p>
            <w:pPr>
              <w:jc w:val="center"/>
              <w:ind w:right="188"/>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color w:val="auto"/>
              </w:rPr>
              <w:t>AOCL</w:t>
            </w:r>
            <w:r>
              <w:rPr>
                <w:rFonts w:ascii="Arial" w:cs="Arial" w:eastAsia="Arial" w:hAnsi="Arial"/>
                <w:sz w:val="18"/>
                <w:szCs w:val="18"/>
                <w:color w:val="auto"/>
                <w:vertAlign w:val="superscript"/>
              </w:rPr>
              <w:t>(1)</w:t>
            </w: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rPr>
              <w:t>Shareholder's</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color w:val="auto"/>
              </w:rPr>
              <w:t>Capital</w:t>
            </w:r>
          </w:p>
        </w:tc>
        <w:tc>
          <w:tcPr>
            <w:tcW w:w="14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rPr>
              <w:t>Equity</w:t>
            </w: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color w:val="auto"/>
              </w:rPr>
              <w:t>Interests</w:t>
            </w:r>
          </w:p>
        </w:tc>
        <w:tc>
          <w:tcPr>
            <w:tcW w:w="260" w:type="dxa"/>
            <w:vAlign w:val="bottom"/>
          </w:tcPr>
          <w:p>
            <w:pPr>
              <w:spacing w:after="0"/>
              <w:rPr>
                <w:sz w:val="16"/>
                <w:szCs w:val="16"/>
                <w:color w:val="auto"/>
              </w:rPr>
            </w:pPr>
          </w:p>
        </w:tc>
        <w:tc>
          <w:tcPr>
            <w:tcW w:w="1040" w:type="dxa"/>
            <w:vAlign w:val="bottom"/>
          </w:tcPr>
          <w:p>
            <w:pPr>
              <w:jc w:val="center"/>
              <w:ind w:right="208"/>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6"/>
        </w:trPr>
        <w:tc>
          <w:tcPr>
            <w:tcW w:w="286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260" w:type="dxa"/>
            <w:vAlign w:val="bottom"/>
            <w:tcBorders>
              <w:top w:val="single" w:sz="8" w:color="auto"/>
            </w:tcBorders>
            <w:shd w:val="clear" w:color="auto" w:fill="DDDDDD"/>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3,202</w:t>
            </w:r>
          </w:p>
        </w:tc>
        <w:tc>
          <w:tcPr>
            <w:tcW w:w="120" w:type="dxa"/>
            <w:vAlign w:val="bottom"/>
            <w:tcBorders>
              <w:top w:val="single" w:sz="8" w:color="DDDDDD"/>
            </w:tcBorders>
            <w:shd w:val="clear" w:color="auto" w:fill="DDDDDD"/>
          </w:tcPr>
          <w:p>
            <w:pPr>
              <w:spacing w:after="0"/>
              <w:rPr>
                <w:sz w:val="17"/>
                <w:szCs w:val="17"/>
                <w:color w:val="auto"/>
              </w:rPr>
            </w:pPr>
          </w:p>
        </w:tc>
        <w:tc>
          <w:tcPr>
            <w:tcW w:w="480" w:type="dxa"/>
            <w:vAlign w:val="bottom"/>
            <w:tcBorders>
              <w:top w:val="single" w:sz="8" w:color="auto"/>
            </w:tcBorders>
            <w:shd w:val="clear" w:color="auto" w:fill="DDDDDD"/>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4,476</w:t>
            </w:r>
          </w:p>
        </w:tc>
        <w:tc>
          <w:tcPr>
            <w:tcW w:w="120" w:type="dxa"/>
            <w:vAlign w:val="bottom"/>
            <w:tcBorders>
              <w:top w:val="single" w:sz="8" w:color="DDDDDD"/>
            </w:tcBorders>
            <w:shd w:val="clear" w:color="auto" w:fill="DDDDDD"/>
          </w:tcPr>
          <w:p>
            <w:pPr>
              <w:spacing w:after="0"/>
              <w:rPr>
                <w:sz w:val="17"/>
                <w:szCs w:val="17"/>
                <w:color w:val="auto"/>
              </w:rPr>
            </w:pPr>
          </w:p>
        </w:tc>
        <w:tc>
          <w:tcPr>
            <w:tcW w:w="240" w:type="dxa"/>
            <w:vAlign w:val="bottom"/>
            <w:tcBorders>
              <w:top w:val="single" w:sz="8" w:color="auto"/>
            </w:tcBorders>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(2,988)</w:t>
            </w:r>
          </w:p>
        </w:tc>
        <w:tc>
          <w:tcPr>
            <w:tcW w:w="100" w:type="dxa"/>
            <w:vAlign w:val="bottom"/>
            <w:tcBorders>
              <w:top w:val="single" w:sz="8" w:color="DDDDDD"/>
            </w:tcBorders>
            <w:shd w:val="clear" w:color="auto" w:fill="DDDDDD"/>
          </w:tcPr>
          <w:p>
            <w:pPr>
              <w:spacing w:after="0"/>
              <w:rPr>
                <w:sz w:val="17"/>
                <w:szCs w:val="17"/>
                <w:color w:val="auto"/>
              </w:rPr>
            </w:pPr>
          </w:p>
        </w:tc>
        <w:tc>
          <w:tcPr>
            <w:tcW w:w="1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4,690</w:t>
            </w:r>
          </w:p>
        </w:tc>
        <w:tc>
          <w:tcPr>
            <w:tcW w:w="120" w:type="dxa"/>
            <w:vAlign w:val="bottom"/>
            <w:tcBorders>
              <w:top w:val="single" w:sz="8" w:color="DDDDDD"/>
            </w:tcBorders>
            <w:shd w:val="clear" w:color="auto" w:fill="DDDDDD"/>
          </w:tcPr>
          <w:p>
            <w:pPr>
              <w:spacing w:after="0"/>
              <w:rPr>
                <w:sz w:val="17"/>
                <w:szCs w:val="17"/>
                <w:color w:val="auto"/>
              </w:rPr>
            </w:pPr>
          </w:p>
        </w:tc>
        <w:tc>
          <w:tcPr>
            <w:tcW w:w="12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top w:val="single" w:sz="8" w:color="DDDDDD"/>
            </w:tcBorders>
            <w:shd w:val="clear" w:color="auto" w:fill="DDDDDD"/>
          </w:tcPr>
          <w:p>
            <w:pPr>
              <w:spacing w:after="0"/>
              <w:rPr>
                <w:sz w:val="17"/>
                <w:szCs w:val="17"/>
                <w:color w:val="auto"/>
              </w:rPr>
            </w:pPr>
          </w:p>
        </w:tc>
        <w:tc>
          <w:tcPr>
            <w:tcW w:w="260" w:type="dxa"/>
            <w:vAlign w:val="bottom"/>
            <w:tcBorders>
              <w:top w:val="single" w:sz="8" w:color="auto"/>
            </w:tcBorders>
            <w:shd w:val="clear" w:color="auto" w:fill="DDDDDD"/>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4,697</w:t>
            </w:r>
          </w:p>
        </w:tc>
        <w:tc>
          <w:tcPr>
            <w:tcW w:w="0" w:type="dxa"/>
            <w:vAlign w:val="bottom"/>
          </w:tcPr>
          <w:p>
            <w:pPr>
              <w:spacing w:after="0"/>
              <w:rPr>
                <w:sz w:val="1"/>
                <w:szCs w:val="1"/>
                <w:color w:val="auto"/>
              </w:rPr>
            </w:pPr>
          </w:p>
        </w:tc>
      </w:tr>
      <w:tr>
        <w:trPr>
          <w:trHeight w:val="198"/>
        </w:trPr>
        <w:tc>
          <w:tcPr>
            <w:tcW w:w="2860" w:type="dxa"/>
            <w:vAlign w:val="bottom"/>
          </w:tcPr>
          <w:p>
            <w:pPr>
              <w:ind w:left="20"/>
              <w:spacing w:after="0"/>
              <w:rPr>
                <w:sz w:val="20"/>
                <w:szCs w:val="20"/>
                <w:color w:val="auto"/>
              </w:rPr>
            </w:pPr>
            <w:r>
              <w:rPr>
                <w:rFonts w:ascii="Arial" w:cs="Arial" w:eastAsia="Arial" w:hAnsi="Arial"/>
                <w:sz w:val="14"/>
                <w:szCs w:val="14"/>
                <w:color w:val="auto"/>
              </w:rPr>
              <w:t>Comprehensive loss, net</w:t>
            </w:r>
          </w:p>
        </w:tc>
        <w:tc>
          <w:tcPr>
            <w:tcW w:w="2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7"/>
        </w:trPr>
        <w:tc>
          <w:tcPr>
            <w:tcW w:w="2860" w:type="dxa"/>
            <w:vAlign w:val="bottom"/>
            <w:shd w:val="clear" w:color="auto" w:fill="DDDDDD"/>
          </w:tcPr>
          <w:p>
            <w:pPr>
              <w:ind w:left="20"/>
              <w:spacing w:after="0"/>
              <w:rPr>
                <w:sz w:val="20"/>
                <w:szCs w:val="20"/>
                <w:color w:val="auto"/>
              </w:rPr>
            </w:pPr>
            <w:r>
              <w:rPr>
                <w:rFonts w:ascii="Arial" w:cs="Arial" w:eastAsia="Arial" w:hAnsi="Arial"/>
                <w:sz w:val="14"/>
                <w:szCs w:val="14"/>
                <w:color w:val="auto"/>
              </w:rPr>
              <w:t>Dividends declared to parent</w:t>
            </w:r>
          </w:p>
        </w:tc>
        <w:tc>
          <w:tcPr>
            <w:tcW w:w="260" w:type="dxa"/>
            <w:vAlign w:val="bottom"/>
            <w:shd w:val="clear" w:color="auto" w:fill="DDDDDD"/>
          </w:tcPr>
          <w:p>
            <w:pPr>
              <w:spacing w:after="0"/>
              <w:rPr>
                <w:sz w:val="17"/>
                <w:szCs w:val="17"/>
                <w:color w:val="auto"/>
              </w:rPr>
            </w:pPr>
          </w:p>
        </w:tc>
        <w:tc>
          <w:tcPr>
            <w:tcW w:w="116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(549)</w:t>
            </w:r>
          </w:p>
        </w:tc>
        <w:tc>
          <w:tcPr>
            <w:tcW w:w="12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1160" w:type="dxa"/>
            <w:vAlign w:val="bottom"/>
            <w:gridSpan w:val="2"/>
            <w:shd w:val="clear" w:color="auto" w:fill="DDDDDD"/>
          </w:tcPr>
          <w:p>
            <w:pPr>
              <w:ind w:left="840"/>
              <w:spacing w:after="0"/>
              <w:rPr>
                <w:sz w:val="20"/>
                <w:szCs w:val="20"/>
                <w:color w:val="auto"/>
              </w:rPr>
            </w:pPr>
            <w:r>
              <w:rPr>
                <w:rFonts w:ascii="Arial" w:cs="Arial" w:eastAsia="Arial" w:hAnsi="Arial"/>
                <w:sz w:val="14"/>
                <w:szCs w:val="14"/>
                <w:color w:val="auto"/>
              </w:rPr>
              <w:t>—</w:t>
            </w:r>
          </w:p>
        </w:tc>
        <w:tc>
          <w:tcPr>
            <w:tcW w:w="160" w:type="dxa"/>
            <w:vAlign w:val="bottom"/>
            <w:shd w:val="clear" w:color="auto" w:fill="DDDDDD"/>
          </w:tcPr>
          <w:p>
            <w:pPr>
              <w:spacing w:after="0"/>
              <w:rPr>
                <w:sz w:val="17"/>
                <w:szCs w:val="17"/>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(549)</w:t>
            </w: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30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DDDDDD"/>
          </w:tcPr>
          <w:p>
            <w:pPr>
              <w:spacing w:after="0"/>
              <w:rPr>
                <w:sz w:val="17"/>
                <w:szCs w:val="17"/>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198"/>
        </w:trPr>
        <w:tc>
          <w:tcPr>
            <w:tcW w:w="2860" w:type="dxa"/>
            <w:vAlign w:val="bottom"/>
          </w:tcPr>
          <w:p>
            <w:pPr>
              <w:ind w:left="20"/>
              <w:spacing w:after="0"/>
              <w:rPr>
                <w:sz w:val="20"/>
                <w:szCs w:val="20"/>
                <w:color w:val="auto"/>
              </w:rPr>
            </w:pPr>
            <w:r>
              <w:rPr>
                <w:rFonts w:ascii="Arial" w:cs="Arial" w:eastAsia="Arial" w:hAnsi="Arial"/>
                <w:sz w:val="14"/>
                <w:szCs w:val="14"/>
                <w:color w:val="auto"/>
              </w:rPr>
              <w:t>Transfers from parent</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03"/>
        </w:trPr>
        <w:tc>
          <w:tcPr>
            <w:tcW w:w="2860" w:type="dxa"/>
            <w:vAlign w:val="bottom"/>
            <w:shd w:val="clear" w:color="auto" w:fill="DDDDDD"/>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260" w:type="dxa"/>
            <w:vAlign w:val="bottom"/>
            <w:shd w:val="clear" w:color="auto" w:fill="DDDDDD"/>
          </w:tcPr>
          <w:p>
            <w:pPr>
              <w:spacing w:after="0"/>
              <w:rPr>
                <w:sz w:val="17"/>
                <w:szCs w:val="17"/>
                <w:color w:val="auto"/>
              </w:rPr>
            </w:pPr>
          </w:p>
        </w:tc>
        <w:tc>
          <w:tcPr>
            <w:tcW w:w="116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DDDDDD"/>
          </w:tcPr>
          <w:p>
            <w:pPr>
              <w:spacing w:after="0"/>
              <w:rPr>
                <w:sz w:val="17"/>
                <w:szCs w:val="17"/>
                <w:color w:val="auto"/>
              </w:rPr>
            </w:pPr>
          </w:p>
        </w:tc>
        <w:tc>
          <w:tcPr>
            <w:tcW w:w="92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DDDDDD"/>
          </w:tcPr>
          <w:p>
            <w:pPr>
              <w:spacing w:after="0"/>
              <w:rPr>
                <w:sz w:val="17"/>
                <w:szCs w:val="17"/>
                <w:color w:val="auto"/>
              </w:rPr>
            </w:pPr>
          </w:p>
        </w:tc>
        <w:tc>
          <w:tcPr>
            <w:tcW w:w="1160" w:type="dxa"/>
            <w:vAlign w:val="bottom"/>
            <w:gridSpan w:val="2"/>
            <w:shd w:val="clear" w:color="auto" w:fill="DDDDDD"/>
          </w:tcPr>
          <w:p>
            <w:pPr>
              <w:ind w:left="840"/>
              <w:spacing w:after="0"/>
              <w:rPr>
                <w:sz w:val="20"/>
                <w:szCs w:val="20"/>
                <w:color w:val="auto"/>
              </w:rPr>
            </w:pPr>
            <w:r>
              <w:rPr>
                <w:rFonts w:ascii="Arial" w:cs="Arial" w:eastAsia="Arial" w:hAnsi="Arial"/>
                <w:sz w:val="14"/>
                <w:szCs w:val="14"/>
                <w:color w:val="auto"/>
              </w:rPr>
              <w:t>—</w:t>
            </w:r>
          </w:p>
        </w:tc>
        <w:tc>
          <w:tcPr>
            <w:tcW w:w="160" w:type="dxa"/>
            <w:vAlign w:val="bottom"/>
            <w:shd w:val="clear" w:color="auto" w:fill="DDDDDD"/>
          </w:tcPr>
          <w:p>
            <w:pPr>
              <w:spacing w:after="0"/>
              <w:rPr>
                <w:sz w:val="17"/>
                <w:szCs w:val="17"/>
                <w:color w:val="auto"/>
              </w:rPr>
            </w:pPr>
          </w:p>
        </w:tc>
        <w:tc>
          <w:tcPr>
            <w:tcW w:w="128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DDDDDD"/>
          </w:tcPr>
          <w:p>
            <w:pPr>
              <w:spacing w:after="0"/>
              <w:rPr>
                <w:sz w:val="17"/>
                <w:szCs w:val="17"/>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3,592</w:t>
            </w:r>
          </w:p>
        </w:tc>
        <w:tc>
          <w:tcPr>
            <w:tcW w:w="12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3,871</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(3,032)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4,431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4,436</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6"/>
        </w:trPr>
        <w:tc>
          <w:tcPr>
            <w:tcW w:w="2860" w:type="dxa"/>
            <w:vAlign w:val="bottom"/>
          </w:tcPr>
          <w:p>
            <w:pPr>
              <w:spacing w:after="0"/>
              <w:rPr>
                <w:sz w:val="24"/>
                <w:szCs w:val="24"/>
                <w:color w:val="auto"/>
              </w:rPr>
            </w:pP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Additional Paid-in</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color w:val="auto"/>
              </w:rPr>
              <w:t>Xerox</w:t>
            </w:r>
          </w:p>
        </w:tc>
        <w:tc>
          <w:tcPr>
            <w:tcW w:w="120" w:type="dxa"/>
            <w:vAlign w:val="bottom"/>
          </w:tcPr>
          <w:p>
            <w:pPr>
              <w:spacing w:after="0"/>
              <w:rPr>
                <w:sz w:val="24"/>
                <w:szCs w:val="24"/>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Non- controlling</w:t>
            </w:r>
          </w:p>
        </w:tc>
        <w:tc>
          <w:tcPr>
            <w:tcW w:w="260" w:type="dxa"/>
            <w:vAlign w:val="bottom"/>
          </w:tcPr>
          <w:p>
            <w:pPr>
              <w:spacing w:after="0"/>
              <w:rPr>
                <w:sz w:val="24"/>
                <w:szCs w:val="24"/>
                <w:color w:val="auto"/>
              </w:rPr>
            </w:pPr>
          </w:p>
        </w:tc>
        <w:tc>
          <w:tcPr>
            <w:tcW w:w="1040" w:type="dxa"/>
            <w:vAlign w:val="bottom"/>
            <w:vMerge w:val="restart"/>
          </w:tcPr>
          <w:p>
            <w:pPr>
              <w:jc w:val="center"/>
              <w:ind w:right="188"/>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4"/>
        </w:trPr>
        <w:tc>
          <w:tcPr>
            <w:tcW w:w="28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color w:val="auto"/>
              </w:rPr>
              <w:t>AOCL</w:t>
            </w:r>
            <w:r>
              <w:rPr>
                <w:rFonts w:ascii="Arial" w:cs="Arial" w:eastAsia="Arial" w:hAnsi="Arial"/>
                <w:sz w:val="18"/>
                <w:szCs w:val="18"/>
                <w:color w:val="auto"/>
                <w:vertAlign w:val="superscript"/>
              </w:rPr>
              <w:t>(1)</w:t>
            </w: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Arial" w:cs="Arial" w:eastAsia="Arial" w:hAnsi="Arial"/>
                <w:sz w:val="14"/>
                <w:szCs w:val="14"/>
                <w:color w:val="auto"/>
              </w:rPr>
              <w:t>Shareholder's</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color w:val="auto"/>
              </w:rPr>
              <w:t>Capital</w:t>
            </w:r>
          </w:p>
        </w:tc>
        <w:tc>
          <w:tcPr>
            <w:tcW w:w="14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rPr>
              <w:t>Equity</w:t>
            </w: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color w:val="auto"/>
              </w:rPr>
              <w:t>Interests</w:t>
            </w:r>
          </w:p>
        </w:tc>
        <w:tc>
          <w:tcPr>
            <w:tcW w:w="260" w:type="dxa"/>
            <w:vAlign w:val="bottom"/>
          </w:tcPr>
          <w:p>
            <w:pPr>
              <w:spacing w:after="0"/>
              <w:rPr>
                <w:sz w:val="16"/>
                <w:szCs w:val="16"/>
                <w:color w:val="auto"/>
              </w:rPr>
            </w:pPr>
          </w:p>
        </w:tc>
        <w:tc>
          <w:tcPr>
            <w:tcW w:w="1040" w:type="dxa"/>
            <w:vAlign w:val="bottom"/>
          </w:tcPr>
          <w:p>
            <w:pPr>
              <w:jc w:val="center"/>
              <w:ind w:right="208"/>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6"/>
        </w:trPr>
        <w:tc>
          <w:tcPr>
            <w:tcW w:w="286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260" w:type="dxa"/>
            <w:vAlign w:val="bottom"/>
            <w:tcBorders>
              <w:top w:val="single" w:sz="8" w:color="auto"/>
            </w:tcBorders>
            <w:shd w:val="clear" w:color="auto" w:fill="DDDDDD"/>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4,888</w:t>
            </w:r>
          </w:p>
        </w:tc>
        <w:tc>
          <w:tcPr>
            <w:tcW w:w="120" w:type="dxa"/>
            <w:vAlign w:val="bottom"/>
            <w:tcBorders>
              <w:top w:val="single" w:sz="8" w:color="DDDDDD"/>
            </w:tcBorders>
            <w:shd w:val="clear" w:color="auto" w:fill="DDDDDD"/>
          </w:tcPr>
          <w:p>
            <w:pPr>
              <w:spacing w:after="0"/>
              <w:rPr>
                <w:sz w:val="17"/>
                <w:szCs w:val="17"/>
                <w:color w:val="auto"/>
              </w:rPr>
            </w:pPr>
          </w:p>
        </w:tc>
        <w:tc>
          <w:tcPr>
            <w:tcW w:w="480" w:type="dxa"/>
            <w:vAlign w:val="bottom"/>
            <w:tcBorders>
              <w:top w:val="single" w:sz="8" w:color="auto"/>
            </w:tcBorders>
            <w:shd w:val="clear" w:color="auto" w:fill="DDDDDD"/>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5,834</w:t>
            </w:r>
          </w:p>
        </w:tc>
        <w:tc>
          <w:tcPr>
            <w:tcW w:w="120" w:type="dxa"/>
            <w:vAlign w:val="bottom"/>
            <w:tcBorders>
              <w:top w:val="single" w:sz="8" w:color="DDDDDD"/>
            </w:tcBorders>
            <w:shd w:val="clear" w:color="auto" w:fill="DDDDDD"/>
          </w:tcPr>
          <w:p>
            <w:pPr>
              <w:spacing w:after="0"/>
              <w:rPr>
                <w:sz w:val="17"/>
                <w:szCs w:val="17"/>
                <w:color w:val="auto"/>
              </w:rPr>
            </w:pPr>
          </w:p>
        </w:tc>
        <w:tc>
          <w:tcPr>
            <w:tcW w:w="240" w:type="dxa"/>
            <w:vAlign w:val="bottom"/>
            <w:tcBorders>
              <w:top w:val="single" w:sz="8" w:color="auto"/>
            </w:tcBorders>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(3,332)</w:t>
            </w:r>
          </w:p>
        </w:tc>
        <w:tc>
          <w:tcPr>
            <w:tcW w:w="100" w:type="dxa"/>
            <w:vAlign w:val="bottom"/>
            <w:tcBorders>
              <w:top w:val="single" w:sz="8" w:color="DDDDDD"/>
            </w:tcBorders>
            <w:shd w:val="clear" w:color="auto" w:fill="DDDDDD"/>
          </w:tcPr>
          <w:p>
            <w:pPr>
              <w:spacing w:after="0"/>
              <w:rPr>
                <w:sz w:val="17"/>
                <w:szCs w:val="17"/>
                <w:color w:val="auto"/>
              </w:rPr>
            </w:pPr>
          </w:p>
        </w:tc>
        <w:tc>
          <w:tcPr>
            <w:tcW w:w="1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7,390</w:t>
            </w:r>
          </w:p>
        </w:tc>
        <w:tc>
          <w:tcPr>
            <w:tcW w:w="120" w:type="dxa"/>
            <w:vAlign w:val="bottom"/>
            <w:tcBorders>
              <w:top w:val="single" w:sz="8" w:color="DDDDDD"/>
            </w:tcBorders>
            <w:shd w:val="clear" w:color="auto" w:fill="DDDDDD"/>
          </w:tcPr>
          <w:p>
            <w:pPr>
              <w:spacing w:after="0"/>
              <w:rPr>
                <w:sz w:val="17"/>
                <w:szCs w:val="17"/>
                <w:color w:val="auto"/>
              </w:rPr>
            </w:pPr>
          </w:p>
        </w:tc>
        <w:tc>
          <w:tcPr>
            <w:tcW w:w="12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DDDDDD"/>
            </w:tcBorders>
            <w:shd w:val="clear" w:color="auto" w:fill="DDDDDD"/>
          </w:tcPr>
          <w:p>
            <w:pPr>
              <w:spacing w:after="0"/>
              <w:rPr>
                <w:sz w:val="17"/>
                <w:szCs w:val="17"/>
                <w:color w:val="auto"/>
              </w:rPr>
            </w:pPr>
          </w:p>
        </w:tc>
        <w:tc>
          <w:tcPr>
            <w:tcW w:w="260" w:type="dxa"/>
            <w:vAlign w:val="bottom"/>
            <w:tcBorders>
              <w:top w:val="single" w:sz="8" w:color="auto"/>
            </w:tcBorders>
            <w:shd w:val="clear" w:color="auto" w:fill="DDDDDD"/>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7,394</w:t>
            </w:r>
          </w:p>
        </w:tc>
        <w:tc>
          <w:tcPr>
            <w:tcW w:w="0" w:type="dxa"/>
            <w:vAlign w:val="bottom"/>
          </w:tcPr>
          <w:p>
            <w:pPr>
              <w:spacing w:after="0"/>
              <w:rPr>
                <w:sz w:val="1"/>
                <w:szCs w:val="1"/>
                <w:color w:val="auto"/>
              </w:rPr>
            </w:pPr>
          </w:p>
        </w:tc>
      </w:tr>
      <w:tr>
        <w:trPr>
          <w:trHeight w:val="198"/>
        </w:trPr>
        <w:tc>
          <w:tcPr>
            <w:tcW w:w="2860" w:type="dxa"/>
            <w:vAlign w:val="bottom"/>
          </w:tcPr>
          <w:p>
            <w:pPr>
              <w:ind w:left="20"/>
              <w:spacing w:after="0"/>
              <w:rPr>
                <w:sz w:val="20"/>
                <w:szCs w:val="20"/>
                <w:color w:val="auto"/>
              </w:rPr>
            </w:pPr>
            <w:r>
              <w:rPr>
                <w:rFonts w:ascii="Arial" w:cs="Arial" w:eastAsia="Arial" w:hAnsi="Arial"/>
                <w:sz w:val="14"/>
                <w:szCs w:val="14"/>
                <w:color w:val="auto"/>
              </w:rPr>
              <w:t>Comprehensive income (loss), net</w:t>
            </w:r>
          </w:p>
        </w:tc>
        <w:tc>
          <w:tcPr>
            <w:tcW w:w="2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7"/>
        </w:trPr>
        <w:tc>
          <w:tcPr>
            <w:tcW w:w="2860" w:type="dxa"/>
            <w:vAlign w:val="bottom"/>
            <w:shd w:val="clear" w:color="auto" w:fill="DDDDDD"/>
          </w:tcPr>
          <w:p>
            <w:pPr>
              <w:ind w:left="20"/>
              <w:spacing w:after="0"/>
              <w:rPr>
                <w:sz w:val="20"/>
                <w:szCs w:val="20"/>
                <w:color w:val="auto"/>
              </w:rPr>
            </w:pPr>
            <w:r>
              <w:rPr>
                <w:rFonts w:ascii="Arial" w:cs="Arial" w:eastAsia="Arial" w:hAnsi="Arial"/>
                <w:sz w:val="14"/>
                <w:szCs w:val="14"/>
                <w:color w:val="auto"/>
              </w:rPr>
              <w:t>Dividends declared to parent</w:t>
            </w:r>
          </w:p>
        </w:tc>
        <w:tc>
          <w:tcPr>
            <w:tcW w:w="260" w:type="dxa"/>
            <w:vAlign w:val="bottom"/>
            <w:shd w:val="clear" w:color="auto" w:fill="DDDDDD"/>
          </w:tcPr>
          <w:p>
            <w:pPr>
              <w:spacing w:after="0"/>
              <w:rPr>
                <w:sz w:val="17"/>
                <w:szCs w:val="17"/>
                <w:color w:val="auto"/>
              </w:rPr>
            </w:pPr>
          </w:p>
        </w:tc>
        <w:tc>
          <w:tcPr>
            <w:tcW w:w="116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1160" w:type="dxa"/>
            <w:vAlign w:val="bottom"/>
            <w:gridSpan w:val="2"/>
            <w:shd w:val="clear" w:color="auto" w:fill="DDDDDD"/>
          </w:tcPr>
          <w:p>
            <w:pPr>
              <w:ind w:left="840"/>
              <w:spacing w:after="0"/>
              <w:rPr>
                <w:sz w:val="20"/>
                <w:szCs w:val="20"/>
                <w:color w:val="auto"/>
              </w:rPr>
            </w:pPr>
            <w:r>
              <w:rPr>
                <w:rFonts w:ascii="Arial" w:cs="Arial" w:eastAsia="Arial" w:hAnsi="Arial"/>
                <w:sz w:val="14"/>
                <w:szCs w:val="14"/>
                <w:color w:val="auto"/>
              </w:rPr>
              <w:t>—</w:t>
            </w:r>
          </w:p>
        </w:tc>
        <w:tc>
          <w:tcPr>
            <w:tcW w:w="160" w:type="dxa"/>
            <w:vAlign w:val="bottom"/>
            <w:shd w:val="clear" w:color="auto" w:fill="DDDDDD"/>
          </w:tcPr>
          <w:p>
            <w:pPr>
              <w:spacing w:after="0"/>
              <w:rPr>
                <w:sz w:val="17"/>
                <w:szCs w:val="17"/>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30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DDDDDD"/>
          </w:tcPr>
          <w:p>
            <w:pPr>
              <w:spacing w:after="0"/>
              <w:rPr>
                <w:sz w:val="17"/>
                <w:szCs w:val="17"/>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98"/>
        </w:trPr>
        <w:tc>
          <w:tcPr>
            <w:tcW w:w="2860" w:type="dxa"/>
            <w:vAlign w:val="bottom"/>
          </w:tcPr>
          <w:p>
            <w:pPr>
              <w:ind w:left="20"/>
              <w:spacing w:after="0"/>
              <w:rPr>
                <w:sz w:val="20"/>
                <w:szCs w:val="20"/>
                <w:color w:val="auto"/>
              </w:rPr>
            </w:pPr>
            <w:r>
              <w:rPr>
                <w:rFonts w:ascii="Arial" w:cs="Arial" w:eastAsia="Arial" w:hAnsi="Arial"/>
                <w:sz w:val="14"/>
                <w:szCs w:val="14"/>
                <w:color w:val="auto"/>
              </w:rPr>
              <w:t>Intercompany loan capitalization</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(1,494)</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(1,494)</w:t>
            </w:r>
          </w:p>
        </w:tc>
        <w:tc>
          <w:tcPr>
            <w:tcW w:w="0" w:type="dxa"/>
            <w:vAlign w:val="bottom"/>
          </w:tcPr>
          <w:p>
            <w:pPr>
              <w:spacing w:after="0"/>
              <w:rPr>
                <w:sz w:val="1"/>
                <w:szCs w:val="1"/>
                <w:color w:val="auto"/>
              </w:rPr>
            </w:pPr>
          </w:p>
        </w:tc>
      </w:tr>
      <w:tr>
        <w:trPr>
          <w:trHeight w:val="203"/>
        </w:trPr>
        <w:tc>
          <w:tcPr>
            <w:tcW w:w="2860" w:type="dxa"/>
            <w:vAlign w:val="bottom"/>
            <w:shd w:val="clear" w:color="auto" w:fill="DDDDDD"/>
          </w:tcPr>
          <w:p>
            <w:pPr>
              <w:ind w:left="20"/>
              <w:spacing w:after="0"/>
              <w:rPr>
                <w:sz w:val="20"/>
                <w:szCs w:val="20"/>
                <w:color w:val="auto"/>
              </w:rPr>
            </w:pPr>
            <w:r>
              <w:rPr>
                <w:rFonts w:ascii="Arial" w:cs="Arial" w:eastAsia="Arial" w:hAnsi="Arial"/>
                <w:sz w:val="14"/>
                <w:szCs w:val="14"/>
                <w:color w:val="auto"/>
              </w:rPr>
              <w:t>Transfers to parent</w:t>
            </w:r>
          </w:p>
        </w:tc>
        <w:tc>
          <w:tcPr>
            <w:tcW w:w="260" w:type="dxa"/>
            <w:vAlign w:val="bottom"/>
            <w:shd w:val="clear" w:color="auto" w:fill="DDDDDD"/>
          </w:tcPr>
          <w:p>
            <w:pPr>
              <w:spacing w:after="0"/>
              <w:rPr>
                <w:sz w:val="17"/>
                <w:szCs w:val="17"/>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DDDDDD"/>
          </w:tcPr>
          <w:p>
            <w:pPr>
              <w:spacing w:after="0"/>
              <w:rPr>
                <w:sz w:val="17"/>
                <w:szCs w:val="17"/>
                <w:color w:val="auto"/>
              </w:rPr>
            </w:pPr>
          </w:p>
        </w:tc>
        <w:tc>
          <w:tcPr>
            <w:tcW w:w="480" w:type="dxa"/>
            <w:vAlign w:val="bottom"/>
            <w:shd w:val="clear" w:color="auto" w:fill="DDDDDD"/>
          </w:tcPr>
          <w:p>
            <w:pPr>
              <w:spacing w:after="0"/>
              <w:rPr>
                <w:sz w:val="17"/>
                <w:szCs w:val="17"/>
                <w:color w:val="auto"/>
              </w:rPr>
            </w:pPr>
          </w:p>
        </w:tc>
        <w:tc>
          <w:tcPr>
            <w:tcW w:w="92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DDDDDD"/>
          </w:tcPr>
          <w:p>
            <w:pPr>
              <w:spacing w:after="0"/>
              <w:rPr>
                <w:sz w:val="17"/>
                <w:szCs w:val="17"/>
                <w:color w:val="auto"/>
              </w:rPr>
            </w:pPr>
          </w:p>
        </w:tc>
        <w:tc>
          <w:tcPr>
            <w:tcW w:w="1160" w:type="dxa"/>
            <w:vAlign w:val="bottom"/>
            <w:gridSpan w:val="2"/>
            <w:shd w:val="clear" w:color="auto" w:fill="DDDDDD"/>
          </w:tcPr>
          <w:p>
            <w:pPr>
              <w:ind w:left="840"/>
              <w:spacing w:after="0"/>
              <w:rPr>
                <w:sz w:val="20"/>
                <w:szCs w:val="20"/>
                <w:color w:val="auto"/>
              </w:rPr>
            </w:pPr>
            <w:r>
              <w:rPr>
                <w:rFonts w:ascii="Arial" w:cs="Arial" w:eastAsia="Arial" w:hAnsi="Arial"/>
                <w:sz w:val="14"/>
                <w:szCs w:val="14"/>
                <w:color w:val="auto"/>
              </w:rPr>
              <w:t>—</w:t>
            </w:r>
          </w:p>
        </w:tc>
        <w:tc>
          <w:tcPr>
            <w:tcW w:w="160" w:type="dxa"/>
            <w:vAlign w:val="bottom"/>
            <w:shd w:val="clear" w:color="auto" w:fill="DDDDDD"/>
          </w:tcPr>
          <w:p>
            <w:pPr>
              <w:spacing w:after="0"/>
              <w:rPr>
                <w:sz w:val="17"/>
                <w:szCs w:val="17"/>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30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DDDDDD"/>
          </w:tcPr>
          <w:p>
            <w:pPr>
              <w:spacing w:after="0"/>
              <w:rPr>
                <w:sz w:val="17"/>
                <w:szCs w:val="17"/>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0"/>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3,360</w:t>
            </w:r>
          </w:p>
        </w:tc>
        <w:tc>
          <w:tcPr>
            <w:tcW w:w="12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5,672</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(3,335)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5,697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5,701</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5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Refer to Note 19 - Other Comprehensive (Loss) Income for the components of AOCL.</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color w:val="DA2031"/>
        </w:rPr>
        <w:t>Note 19 - Other Comprehensive (Loss) Income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 Income is comprised of the following:</w:t>
      </w:r>
    </w:p>
    <w:p>
      <w:pPr>
        <w:spacing w:after="0" w:line="167" w:lineRule="exact"/>
        <w:rPr>
          <w:sz w:val="20"/>
          <w:szCs w:val="20"/>
          <w:color w:val="auto"/>
        </w:rPr>
      </w:pPr>
    </w:p>
    <w:p>
      <w:pPr>
        <w:jc w:val="center"/>
        <w:ind w:left="522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jc w:val="center"/>
        <w:ind w:left="522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40" w:type="dxa"/>
            <w:vAlign w:val="bottom"/>
            <w:tcBorders>
              <w:bottom w:val="single" w:sz="8" w:color="E5E5E5"/>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rPr>
              <w:t>2022</w:t>
            </w:r>
          </w:p>
        </w:tc>
        <w:tc>
          <w:tcPr>
            <w:tcW w:w="11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E5E5E5"/>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rPr>
              <w:t>2021</w:t>
            </w:r>
          </w:p>
        </w:tc>
        <w:tc>
          <w:tcPr>
            <w:tcW w:w="11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240" w:type="dxa"/>
            <w:vAlign w:val="bottom"/>
            <w:shd w:val="clear" w:color="auto" w:fill="E5E5E5"/>
          </w:tcPr>
          <w:p>
            <w:pPr>
              <w:spacing w:after="0"/>
              <w:rPr>
                <w:sz w:val="17"/>
                <w:szCs w:val="17"/>
                <w:color w:val="auto"/>
              </w:rPr>
            </w:pPr>
          </w:p>
        </w:tc>
        <w:tc>
          <w:tcPr>
            <w:tcW w:w="10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Pre-tax</w:t>
            </w:r>
          </w:p>
        </w:tc>
        <w:tc>
          <w:tcPr>
            <w:tcW w:w="3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ind w:left="140"/>
              <w:spacing w:after="0"/>
              <w:rPr>
                <w:sz w:val="20"/>
                <w:szCs w:val="20"/>
                <w:color w:val="auto"/>
              </w:rPr>
            </w:pPr>
            <w:r>
              <w:rPr>
                <w:rFonts w:ascii="Arial" w:cs="Arial" w:eastAsia="Arial" w:hAnsi="Arial"/>
                <w:sz w:val="14"/>
                <w:szCs w:val="14"/>
                <w:color w:val="auto"/>
              </w:rPr>
              <w:t>Net of Tax</w:t>
            </w:r>
          </w:p>
        </w:tc>
        <w:tc>
          <w:tcPr>
            <w:tcW w:w="28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ind w:left="200"/>
              <w:spacing w:after="0"/>
              <w:rPr>
                <w:sz w:val="20"/>
                <w:szCs w:val="20"/>
                <w:color w:val="auto"/>
              </w:rPr>
            </w:pPr>
            <w:r>
              <w:rPr>
                <w:rFonts w:ascii="Arial" w:cs="Arial" w:eastAsia="Arial" w:hAnsi="Arial"/>
                <w:sz w:val="14"/>
                <w:szCs w:val="14"/>
                <w:color w:val="auto"/>
              </w:rPr>
              <w:t>Pre-tax</w:t>
            </w:r>
          </w:p>
        </w:tc>
        <w:tc>
          <w:tcPr>
            <w:tcW w:w="240" w:type="dxa"/>
            <w:vAlign w:val="bottom"/>
            <w:shd w:val="clear" w:color="auto" w:fill="E5E5E5"/>
          </w:tcPr>
          <w:p>
            <w:pPr>
              <w:spacing w:after="0"/>
              <w:rPr>
                <w:sz w:val="17"/>
                <w:szCs w:val="17"/>
                <w:color w:val="auto"/>
              </w:rPr>
            </w:pPr>
          </w:p>
        </w:tc>
        <w:tc>
          <w:tcPr>
            <w:tcW w:w="118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195"/>
        </w:trPr>
        <w:tc>
          <w:tcPr>
            <w:tcW w:w="5240" w:type="dxa"/>
            <w:vAlign w:val="bottom"/>
            <w:tcBorders>
              <w:bottom w:val="single" w:sz="8" w:color="E5E5E5"/>
            </w:tcBorders>
          </w:tcPr>
          <w:p>
            <w:pPr>
              <w:ind w:left="20"/>
              <w:spacing w:after="0"/>
              <w:rPr>
                <w:sz w:val="20"/>
                <w:szCs w:val="20"/>
                <w:color w:val="auto"/>
              </w:rPr>
            </w:pPr>
            <w:r>
              <w:rPr>
                <w:rFonts w:ascii="Arial" w:cs="Arial" w:eastAsia="Arial" w:hAnsi="Arial"/>
                <w:sz w:val="14"/>
                <w:szCs w:val="14"/>
                <w:b w:val="1"/>
                <w:bCs w:val="1"/>
                <w:color w:val="auto"/>
              </w:rPr>
              <w:t>Translation Adjustments Losses</w:t>
            </w:r>
          </w:p>
        </w:tc>
        <w:tc>
          <w:tcPr>
            <w:tcW w:w="1040" w:type="dxa"/>
            <w:vAlign w:val="bottom"/>
            <w:tcBorders>
              <w:top w:val="single" w:sz="8" w:color="auto"/>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E5E5E5"/>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20" w:type="dxa"/>
            <w:vAlign w:val="bottom"/>
            <w:tcBorders>
              <w:bottom w:val="single" w:sz="8" w:color="E5E5E5"/>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E5E5E5"/>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3"/>
        </w:trPr>
        <w:tc>
          <w:tcPr>
            <w:tcW w:w="524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Unrealized (Losses) Gains</w:t>
            </w:r>
          </w:p>
        </w:tc>
        <w:tc>
          <w:tcPr>
            <w:tcW w:w="1040" w:type="dxa"/>
            <w:vAlign w:val="bottom"/>
            <w:shd w:val="clear" w:color="auto" w:fill="E5E5E5"/>
          </w:tcPr>
          <w:p>
            <w:pPr>
              <w:spacing w:after="0"/>
              <w:rPr>
                <w:sz w:val="15"/>
                <w:szCs w:val="15"/>
                <w:color w:val="auto"/>
              </w:rPr>
            </w:pPr>
          </w:p>
        </w:tc>
        <w:tc>
          <w:tcPr>
            <w:tcW w:w="3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11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11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118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240" w:type="dxa"/>
            <w:vAlign w:val="bottom"/>
          </w:tcPr>
          <w:p>
            <w:pPr>
              <w:ind w:left="140"/>
              <w:spacing w:after="0"/>
              <w:rPr>
                <w:sz w:val="20"/>
                <w:szCs w:val="20"/>
                <w:color w:val="auto"/>
              </w:rPr>
            </w:pPr>
            <w:r>
              <w:rPr>
                <w:rFonts w:ascii="Arial" w:cs="Arial" w:eastAsia="Arial" w:hAnsi="Arial"/>
                <w:sz w:val="14"/>
                <w:szCs w:val="14"/>
                <w:color w:val="auto"/>
              </w:rPr>
              <w:t>Changes in fair value of cash flow hedges losses</w:t>
            </w:r>
          </w:p>
        </w:tc>
        <w:tc>
          <w:tcPr>
            <w:tcW w:w="10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7"/>
        </w:trPr>
        <w:tc>
          <w:tcPr>
            <w:tcW w:w="5240" w:type="dxa"/>
            <w:vAlign w:val="bottom"/>
            <w:shd w:val="clear" w:color="auto" w:fill="E5E5E5"/>
          </w:tcPr>
          <w:p>
            <w:pPr>
              <w:ind w:left="140"/>
              <w:spacing w:after="0"/>
              <w:rPr>
                <w:sz w:val="20"/>
                <w:szCs w:val="20"/>
                <w:color w:val="auto"/>
              </w:rPr>
            </w:pPr>
            <w:r>
              <w:rPr>
                <w:rFonts w:ascii="Arial" w:cs="Arial" w:eastAsia="Arial" w:hAnsi="Arial"/>
                <w:sz w:val="14"/>
                <w:szCs w:val="14"/>
                <w:color w:val="auto"/>
              </w:rPr>
              <w:t>Changes in cash flow hedges reclassed to earnings</w:t>
            </w:r>
            <w:r>
              <w:rPr>
                <w:rFonts w:ascii="Arial" w:cs="Arial" w:eastAsia="Arial" w:hAnsi="Arial"/>
                <w:sz w:val="18"/>
                <w:szCs w:val="18"/>
                <w:color w:val="auto"/>
                <w:vertAlign w:val="superscript"/>
              </w:rPr>
              <w:t>(1)</w:t>
            </w:r>
          </w:p>
        </w:tc>
        <w:tc>
          <w:tcPr>
            <w:tcW w:w="1040" w:type="dxa"/>
            <w:vAlign w:val="bottom"/>
            <w:tcBorders>
              <w:bottom w:val="single" w:sz="8" w:color="auto"/>
            </w:tcBorders>
            <w:shd w:val="clear" w:color="auto" w:fill="E5E5E5"/>
          </w:tcPr>
          <w:p>
            <w:pPr>
              <w:spacing w:after="0"/>
              <w:rPr>
                <w:sz w:val="17"/>
                <w:szCs w:val="17"/>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E5E5E5"/>
          </w:tcPr>
          <w:p>
            <w:pPr>
              <w:spacing w:after="0"/>
              <w:rPr>
                <w:sz w:val="17"/>
                <w:szCs w:val="17"/>
                <w:color w:val="auto"/>
              </w:rPr>
            </w:pPr>
          </w:p>
        </w:tc>
        <w:tc>
          <w:tcPr>
            <w:tcW w:w="240" w:type="dxa"/>
            <w:vAlign w:val="bottom"/>
            <w:tcBorders>
              <w:bottom w:val="single" w:sz="8" w:color="auto"/>
            </w:tcBorders>
            <w:shd w:val="clear" w:color="auto" w:fill="E5E5E5"/>
          </w:tcPr>
          <w:p>
            <w:pPr>
              <w:spacing w:after="0"/>
              <w:rPr>
                <w:sz w:val="17"/>
                <w:szCs w:val="17"/>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E5E5E5"/>
          </w:tcPr>
          <w:p>
            <w:pPr>
              <w:spacing w:after="0"/>
              <w:rPr>
                <w:sz w:val="17"/>
                <w:szCs w:val="17"/>
                <w:color w:val="auto"/>
              </w:rPr>
            </w:pPr>
          </w:p>
        </w:tc>
        <w:tc>
          <w:tcPr>
            <w:tcW w:w="280" w:type="dxa"/>
            <w:vAlign w:val="bottom"/>
            <w:tcBorders>
              <w:bottom w:val="single" w:sz="8" w:color="auto"/>
            </w:tcBorders>
            <w:shd w:val="clear" w:color="auto" w:fill="E5E5E5"/>
          </w:tcPr>
          <w:p>
            <w:pPr>
              <w:spacing w:after="0"/>
              <w:rPr>
                <w:sz w:val="17"/>
                <w:szCs w:val="17"/>
                <w:color w:val="auto"/>
              </w:rPr>
            </w:pPr>
          </w:p>
        </w:tc>
        <w:tc>
          <w:tcPr>
            <w:tcW w:w="114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E5E5E5"/>
          </w:tcPr>
          <w:p>
            <w:pPr>
              <w:spacing w:after="0"/>
              <w:rPr>
                <w:sz w:val="17"/>
                <w:szCs w:val="17"/>
                <w:color w:val="auto"/>
              </w:rPr>
            </w:pPr>
          </w:p>
        </w:tc>
        <w:tc>
          <w:tcPr>
            <w:tcW w:w="240" w:type="dxa"/>
            <w:vAlign w:val="bottom"/>
            <w:tcBorders>
              <w:bottom w:val="single" w:sz="8" w:color="auto"/>
            </w:tcBorders>
            <w:shd w:val="clear" w:color="auto" w:fill="E5E5E5"/>
          </w:tcPr>
          <w:p>
            <w:pPr>
              <w:spacing w:after="0"/>
              <w:rPr>
                <w:sz w:val="17"/>
                <w:szCs w:val="17"/>
                <w:color w:val="auto"/>
              </w:rPr>
            </w:pP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5"/>
        </w:trPr>
        <w:tc>
          <w:tcPr>
            <w:tcW w:w="5240" w:type="dxa"/>
            <w:vAlign w:val="bottom"/>
            <w:tcBorders>
              <w:bottom w:val="single" w:sz="8" w:color="E5E5E5"/>
            </w:tcBorders>
          </w:tcPr>
          <w:p>
            <w:pPr>
              <w:ind w:left="20"/>
              <w:spacing w:after="0"/>
              <w:rPr>
                <w:sz w:val="20"/>
                <w:szCs w:val="20"/>
                <w:color w:val="auto"/>
              </w:rPr>
            </w:pPr>
            <w:r>
              <w:rPr>
                <w:rFonts w:ascii="Arial" w:cs="Arial" w:eastAsia="Arial" w:hAnsi="Arial"/>
                <w:sz w:val="14"/>
                <w:szCs w:val="14"/>
                <w:b w:val="1"/>
                <w:bCs w:val="1"/>
                <w:color w:val="auto"/>
              </w:rPr>
              <w:t>Net Unrealized Losses</w:t>
            </w:r>
          </w:p>
        </w:tc>
        <w:tc>
          <w:tcPr>
            <w:tcW w:w="1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E5E5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7"/>
        </w:trPr>
        <w:tc>
          <w:tcPr>
            <w:tcW w:w="524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Defined Benefit Plans Gains (Losses)</w:t>
            </w: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E5E5E5"/>
          </w:tcPr>
          <w:p>
            <w:pPr>
              <w:ind w:left="140"/>
              <w:spacing w:after="0"/>
              <w:rPr>
                <w:sz w:val="20"/>
                <w:szCs w:val="20"/>
                <w:color w:val="auto"/>
              </w:rPr>
            </w:pPr>
            <w:r>
              <w:rPr>
                <w:rFonts w:ascii="Arial" w:cs="Arial" w:eastAsia="Arial" w:hAnsi="Arial"/>
                <w:sz w:val="14"/>
                <w:szCs w:val="14"/>
                <w:color w:val="auto"/>
              </w:rPr>
              <w:t>Net actuarial/prior service gains</w:t>
            </w:r>
          </w:p>
        </w:tc>
        <w:tc>
          <w:tcPr>
            <w:tcW w:w="1040" w:type="dxa"/>
            <w:vAlign w:val="bottom"/>
            <w:shd w:val="clear" w:color="auto" w:fill="E5E5E5"/>
          </w:tcPr>
          <w:p>
            <w:pPr>
              <w:spacing w:after="0"/>
              <w:rPr>
                <w:sz w:val="17"/>
                <w:szCs w:val="17"/>
                <w:color w:val="auto"/>
              </w:rPr>
            </w:pPr>
          </w:p>
        </w:tc>
        <w:tc>
          <w:tcPr>
            <w:tcW w:w="3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1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3"/>
        </w:trPr>
        <w:tc>
          <w:tcPr>
            <w:tcW w:w="5240" w:type="dxa"/>
            <w:vAlign w:val="bottom"/>
          </w:tcPr>
          <w:p>
            <w:pPr>
              <w:ind w:left="140"/>
              <w:spacing w:after="0" w:line="202" w:lineRule="exact"/>
              <w:rPr>
                <w:sz w:val="20"/>
                <w:szCs w:val="20"/>
                <w:color w:val="auto"/>
              </w:rPr>
            </w:pPr>
            <w:r>
              <w:rPr>
                <w:rFonts w:ascii="Arial" w:cs="Arial" w:eastAsia="Arial" w:hAnsi="Arial"/>
                <w:sz w:val="14"/>
                <w:szCs w:val="14"/>
                <w:color w:val="auto"/>
              </w:rPr>
              <w:t>Prior service amortization</w:t>
            </w:r>
            <w:r>
              <w:rPr>
                <w:rFonts w:ascii="Arial" w:cs="Arial" w:eastAsia="Arial" w:hAnsi="Arial"/>
                <w:sz w:val="18"/>
                <w:szCs w:val="18"/>
                <w:color w:val="auto"/>
                <w:vertAlign w:val="superscript"/>
              </w:rPr>
              <w:t>(2)</w:t>
            </w:r>
          </w:p>
        </w:tc>
        <w:tc>
          <w:tcPr>
            <w:tcW w:w="10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3"/>
        </w:trPr>
        <w:tc>
          <w:tcPr>
            <w:tcW w:w="5240" w:type="dxa"/>
            <w:vAlign w:val="bottom"/>
            <w:shd w:val="clear" w:color="auto" w:fill="E5E5E5"/>
          </w:tcPr>
          <w:p>
            <w:pPr>
              <w:ind w:left="140"/>
              <w:spacing w:after="0" w:line="202" w:lineRule="exact"/>
              <w:rPr>
                <w:sz w:val="20"/>
                <w:szCs w:val="20"/>
                <w:color w:val="auto"/>
              </w:rPr>
            </w:pPr>
            <w:r>
              <w:rPr>
                <w:rFonts w:ascii="Arial" w:cs="Arial" w:eastAsia="Arial" w:hAnsi="Arial"/>
                <w:sz w:val="14"/>
                <w:szCs w:val="14"/>
                <w:color w:val="auto"/>
              </w:rPr>
              <w:t>Actuarial loss amortization/settlement</w:t>
            </w:r>
            <w:r>
              <w:rPr>
                <w:rFonts w:ascii="Arial" w:cs="Arial" w:eastAsia="Arial" w:hAnsi="Arial"/>
                <w:sz w:val="18"/>
                <w:szCs w:val="18"/>
                <w:color w:val="auto"/>
                <w:vertAlign w:val="superscript"/>
              </w:rPr>
              <w:t>(2)</w:t>
            </w:r>
          </w:p>
        </w:tc>
        <w:tc>
          <w:tcPr>
            <w:tcW w:w="1040" w:type="dxa"/>
            <w:vAlign w:val="bottom"/>
            <w:shd w:val="clear" w:color="auto" w:fill="E5E5E5"/>
          </w:tcPr>
          <w:p>
            <w:pPr>
              <w:spacing w:after="0"/>
              <w:rPr>
                <w:sz w:val="17"/>
                <w:szCs w:val="17"/>
                <w:color w:val="auto"/>
              </w:rPr>
            </w:pPr>
          </w:p>
        </w:tc>
        <w:tc>
          <w:tcPr>
            <w:tcW w:w="3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1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3"/>
        </w:trPr>
        <w:tc>
          <w:tcPr>
            <w:tcW w:w="5240" w:type="dxa"/>
            <w:vAlign w:val="bottom"/>
            <w:tcBorders>
              <w:bottom w:val="single" w:sz="8" w:color="E5E5E5"/>
            </w:tcBorders>
          </w:tcPr>
          <w:p>
            <w:pPr>
              <w:ind w:left="140"/>
              <w:spacing w:after="0" w:line="202" w:lineRule="exact"/>
              <w:rPr>
                <w:sz w:val="20"/>
                <w:szCs w:val="20"/>
                <w:color w:val="auto"/>
              </w:rPr>
            </w:pPr>
            <w:r>
              <w:rPr>
                <w:rFonts w:ascii="Arial" w:cs="Arial" w:eastAsia="Arial" w:hAnsi="Arial"/>
                <w:sz w:val="14"/>
                <w:szCs w:val="14"/>
                <w:color w:val="auto"/>
              </w:rPr>
              <w:t>Other gains</w:t>
            </w:r>
            <w:r>
              <w:rPr>
                <w:rFonts w:ascii="Arial" w:cs="Arial" w:eastAsia="Arial" w:hAnsi="Arial"/>
                <w:sz w:val="18"/>
                <w:szCs w:val="18"/>
                <w:color w:val="auto"/>
                <w:vertAlign w:val="superscript"/>
              </w:rPr>
              <w:t>(3)</w:t>
            </w:r>
          </w:p>
        </w:tc>
        <w:tc>
          <w:tcPr>
            <w:tcW w:w="1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E5E5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E5E5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E5E5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5"/>
        </w:trPr>
        <w:tc>
          <w:tcPr>
            <w:tcW w:w="524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Changes in Defined Benefit Plans Gains</w:t>
            </w:r>
          </w:p>
        </w:tc>
        <w:tc>
          <w:tcPr>
            <w:tcW w:w="1040" w:type="dxa"/>
            <w:vAlign w:val="bottom"/>
            <w:tcBorders>
              <w:bottom w:val="single" w:sz="8" w:color="auto"/>
            </w:tcBorders>
            <w:shd w:val="clear" w:color="auto" w:fill="E5E5E5"/>
          </w:tcPr>
          <w:p>
            <w:pPr>
              <w:spacing w:after="0"/>
              <w:rPr>
                <w:sz w:val="16"/>
                <w:szCs w:val="16"/>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E5E5E5"/>
          </w:tcPr>
          <w:p>
            <w:pPr>
              <w:spacing w:after="0"/>
              <w:rPr>
                <w:sz w:val="16"/>
                <w:szCs w:val="16"/>
                <w:color w:val="auto"/>
              </w:rPr>
            </w:pPr>
          </w:p>
        </w:tc>
        <w:tc>
          <w:tcPr>
            <w:tcW w:w="240" w:type="dxa"/>
            <w:vAlign w:val="bottom"/>
            <w:tcBorders>
              <w:bottom w:val="single" w:sz="8" w:color="auto"/>
            </w:tcBorders>
            <w:shd w:val="clear" w:color="auto" w:fill="E5E5E5"/>
          </w:tcPr>
          <w:p>
            <w:pPr>
              <w:spacing w:after="0"/>
              <w:rPr>
                <w:sz w:val="16"/>
                <w:szCs w:val="16"/>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E5E5E5"/>
          </w:tcPr>
          <w:p>
            <w:pPr>
              <w:spacing w:after="0"/>
              <w:rPr>
                <w:sz w:val="16"/>
                <w:szCs w:val="16"/>
                <w:color w:val="auto"/>
              </w:rPr>
            </w:pPr>
          </w:p>
        </w:tc>
        <w:tc>
          <w:tcPr>
            <w:tcW w:w="280" w:type="dxa"/>
            <w:vAlign w:val="bottom"/>
            <w:tcBorders>
              <w:bottom w:val="single" w:sz="8" w:color="auto"/>
            </w:tcBorders>
            <w:shd w:val="clear" w:color="auto" w:fill="E5E5E5"/>
          </w:tcPr>
          <w:p>
            <w:pPr>
              <w:spacing w:after="0"/>
              <w:rPr>
                <w:sz w:val="16"/>
                <w:szCs w:val="16"/>
                <w:color w:val="auto"/>
              </w:rPr>
            </w:pPr>
          </w:p>
        </w:tc>
        <w:tc>
          <w:tcPr>
            <w:tcW w:w="114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E5E5E5"/>
          </w:tcPr>
          <w:p>
            <w:pPr>
              <w:spacing w:after="0"/>
              <w:rPr>
                <w:sz w:val="16"/>
                <w:szCs w:val="16"/>
                <w:color w:val="auto"/>
              </w:rPr>
            </w:pPr>
          </w:p>
        </w:tc>
        <w:tc>
          <w:tcPr>
            <w:tcW w:w="240" w:type="dxa"/>
            <w:vAlign w:val="bottom"/>
            <w:tcBorders>
              <w:bottom w:val="single" w:sz="8" w:color="auto"/>
            </w:tcBorders>
            <w:shd w:val="clear" w:color="auto" w:fill="E5E5E5"/>
          </w:tcPr>
          <w:p>
            <w:pPr>
              <w:spacing w:after="0"/>
              <w:rPr>
                <w:sz w:val="16"/>
                <w:szCs w:val="16"/>
                <w:color w:val="auto"/>
              </w:rPr>
            </w:pP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7"/>
        </w:trPr>
        <w:tc>
          <w:tcPr>
            <w:tcW w:w="5240" w:type="dxa"/>
            <w:vAlign w:val="bottom"/>
            <w:tcBorders>
              <w:bottom w:val="single" w:sz="8" w:color="E5E5E5"/>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E5E5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E5E5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E5E5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24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Other Comprehensive (Loss) Income Attributable to Xerox Holdings/Xerox</w:t>
            </w:r>
          </w:p>
        </w:tc>
        <w:tc>
          <w:tcPr>
            <w:tcW w:w="1040" w:type="dxa"/>
            <w:vAlign w:val="bottom"/>
            <w:tcBorders>
              <w:bottom w:val="single" w:sz="8" w:color="auto"/>
            </w:tcBorders>
            <w:shd w:val="clear" w:color="auto" w:fill="E5E5E5"/>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E5E5E5"/>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E5E5E5"/>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E5E5E5"/>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5240" w:type="dxa"/>
            <w:vAlign w:val="bottom"/>
            <w:tcBorders>
              <w:top w:val="single" w:sz="8" w:color="E5E5E5"/>
              <w:bottom w:val="single" w:sz="8" w:color="E5E5E5"/>
            </w:tcBorders>
            <w:vMerge w:val="restart"/>
          </w:tcPr>
          <w:p>
            <w:pPr>
              <w:spacing w:after="0"/>
              <w:rPr>
                <w:sz w:val="20"/>
                <w:szCs w:val="20"/>
                <w:color w:val="auto"/>
              </w:rPr>
            </w:pPr>
            <w:r>
              <w:rPr>
                <w:rFonts w:ascii="Arial" w:cs="Arial" w:eastAsia="Arial" w:hAnsi="Arial"/>
                <w:sz w:val="14"/>
                <w:szCs w:val="14"/>
                <w:i w:val="1"/>
                <w:iCs w:val="1"/>
                <w:color w:val="auto"/>
              </w:rPr>
              <w:t>____________</w:t>
            </w:r>
          </w:p>
        </w:tc>
        <w:tc>
          <w:tcPr>
            <w:tcW w:w="1040" w:type="dxa"/>
            <w:vAlign w:val="bottom"/>
            <w:tcBorders>
              <w:top w:val="single" w:sz="8" w:color="E5E5E5"/>
              <w:bottom w:val="single" w:sz="8" w:color="auto"/>
            </w:tcBorders>
          </w:tcPr>
          <w:p>
            <w:pPr>
              <w:spacing w:after="0" w:line="20" w:lineRule="exact"/>
              <w:rPr>
                <w:sz w:val="1"/>
                <w:szCs w:val="1"/>
                <w:color w:val="auto"/>
              </w:rPr>
            </w:pPr>
          </w:p>
        </w:tc>
        <w:tc>
          <w:tcPr>
            <w:tcW w:w="3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80" w:type="dxa"/>
            <w:vAlign w:val="bottom"/>
            <w:tcBorders>
              <w:top w:val="single" w:sz="8" w:color="E5E5E5"/>
              <w:bottom w:val="single" w:sz="8" w:color="auto"/>
            </w:tcBorders>
          </w:tcPr>
          <w:p>
            <w:pPr>
              <w:spacing w:after="0" w:line="20" w:lineRule="exact"/>
              <w:rPr>
                <w:sz w:val="1"/>
                <w:szCs w:val="1"/>
                <w:color w:val="auto"/>
              </w:rPr>
            </w:pPr>
          </w:p>
        </w:tc>
        <w:tc>
          <w:tcPr>
            <w:tcW w:w="11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E5E5E5"/>
              <w:bottom w:val="single" w:sz="8" w:color="auto"/>
            </w:tcBorders>
          </w:tcPr>
          <w:p>
            <w:pPr>
              <w:spacing w:after="0" w:line="20" w:lineRule="exact"/>
              <w:rPr>
                <w:sz w:val="1"/>
                <w:szCs w:val="1"/>
                <w:color w:val="auto"/>
              </w:rPr>
            </w:pPr>
          </w:p>
        </w:tc>
        <w:tc>
          <w:tcPr>
            <w:tcW w:w="118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40" w:type="dxa"/>
            <w:vAlign w:val="bottom"/>
            <w:vMerge w:val="continue"/>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Reclassified to Cost of sales - refer to Note 14 - Financial Instruments for additional information regarding our cash flow hedges.</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Reclassified to Total Net Periodic Benefit Cost - refer to Note 16 - Employee Benefit Plans for additional information.</w:t>
      </w:r>
    </w:p>
    <w:p>
      <w:pPr>
        <w:spacing w:after="0" w:line="14" w:lineRule="exact"/>
        <w:rPr>
          <w:rFonts w:ascii="Arial" w:cs="Arial" w:eastAsia="Arial" w:hAnsi="Arial"/>
          <w:sz w:val="14"/>
          <w:szCs w:val="14"/>
          <w:i w:val="1"/>
          <w:iCs w:val="1"/>
          <w:color w:val="auto"/>
        </w:rPr>
      </w:pPr>
    </w:p>
    <w:p>
      <w:pPr>
        <w:ind w:left="320" w:hanging="312"/>
        <w:spacing w:after="0"/>
        <w:tabs>
          <w:tab w:leader="none" w:pos="32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Primarily represents currency impact on cumulative amount of benefit plan net actuarial losses and prior service credits in AOCL.</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Accumulated Other Comprehensive Loss (AOCL)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AOCL is comprised of the following:</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March 31,</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December 31,</w:t>
            </w:r>
          </w:p>
        </w:tc>
      </w:tr>
      <w:tr>
        <w:trPr>
          <w:trHeight w:val="185"/>
        </w:trPr>
        <w:tc>
          <w:tcPr>
            <w:tcW w:w="7600" w:type="dxa"/>
            <w:vAlign w:val="bottom"/>
            <w:tcBorders>
              <w:bottom w:val="single" w:sz="8" w:color="E5E5E5"/>
            </w:tcBorders>
          </w:tcPr>
          <w:p>
            <w:pPr>
              <w:spacing w:after="0"/>
              <w:rPr>
                <w:sz w:val="16"/>
                <w:szCs w:val="16"/>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2021</w:t>
            </w:r>
          </w:p>
        </w:tc>
      </w:tr>
      <w:tr>
        <w:trPr>
          <w:trHeight w:val="196"/>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Cumulative translation adjustments</w:t>
            </w:r>
          </w:p>
        </w:tc>
        <w:tc>
          <w:tcPr>
            <w:tcW w:w="1240" w:type="dxa"/>
            <w:vAlign w:val="bottom"/>
            <w:shd w:val="clear" w:color="auto" w:fill="E5E5E5"/>
          </w:tcPr>
          <w:p>
            <w:pPr>
              <w:jc w:val="right"/>
              <w:ind w:right="1068"/>
              <w:spacing w:after="0"/>
              <w:rPr>
                <w:sz w:val="20"/>
                <w:szCs w:val="20"/>
                <w:color w:val="auto"/>
              </w:rPr>
            </w:pPr>
            <w:r>
              <w:rPr>
                <w:rFonts w:ascii="Arial" w:cs="Arial" w:eastAsia="Arial" w:hAnsi="Arial"/>
                <w:sz w:val="14"/>
                <w:szCs w:val="14"/>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(1,933)</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(1,861)</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Other unrealized losses, net</w:t>
            </w:r>
          </w:p>
        </w:tc>
        <w:tc>
          <w:tcPr>
            <w:tcW w:w="1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3"/>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Benefit plans net actuarial losses and prior service credits</w:t>
            </w:r>
          </w:p>
        </w:tc>
        <w:tc>
          <w:tcPr>
            <w:tcW w:w="1240" w:type="dxa"/>
            <w:vAlign w:val="bottom"/>
            <w:tcBorders>
              <w:bottom w:val="single" w:sz="8" w:color="auto"/>
            </w:tcBorders>
            <w:shd w:val="clear" w:color="auto" w:fill="E5E5E5"/>
          </w:tcPr>
          <w:p>
            <w:pPr>
              <w:spacing w:after="0"/>
              <w:rPr>
                <w:sz w:val="17"/>
                <w:szCs w:val="17"/>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(1,086)</w:t>
            </w:r>
          </w:p>
        </w:tc>
        <w:tc>
          <w:tcPr>
            <w:tcW w:w="120" w:type="dxa"/>
            <w:vAlign w:val="bottom"/>
            <w:shd w:val="clear" w:color="auto" w:fill="E5E5E5"/>
          </w:tcPr>
          <w:p>
            <w:pPr>
              <w:spacing w:after="0"/>
              <w:rPr>
                <w:sz w:val="17"/>
                <w:szCs w:val="17"/>
                <w:color w:val="auto"/>
              </w:rPr>
            </w:pPr>
          </w:p>
        </w:tc>
        <w:tc>
          <w:tcPr>
            <w:tcW w:w="260" w:type="dxa"/>
            <w:vAlign w:val="bottom"/>
            <w:tcBorders>
              <w:bottom w:val="single" w:sz="8" w:color="auto"/>
            </w:tcBorders>
            <w:shd w:val="clear" w:color="auto" w:fill="E5E5E5"/>
          </w:tcPr>
          <w:p>
            <w:pPr>
              <w:spacing w:after="0"/>
              <w:rPr>
                <w:sz w:val="17"/>
                <w:szCs w:val="17"/>
                <w:color w:val="auto"/>
              </w:rPr>
            </w:pPr>
          </w:p>
        </w:tc>
        <w:tc>
          <w:tcPr>
            <w:tcW w:w="1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(1,125)</w:t>
            </w:r>
          </w:p>
        </w:tc>
      </w:tr>
      <w:tr>
        <w:trPr>
          <w:trHeight w:val="200"/>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Total Accumulated Other Comprehensive Loss Attributable to Xerox Holdings/Xerox</w:t>
            </w:r>
          </w:p>
        </w:tc>
        <w:tc>
          <w:tcPr>
            <w:tcW w:w="12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(3,032)</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(2,988)</w:t>
            </w:r>
          </w:p>
        </w:tc>
      </w:tr>
      <w:tr>
        <w:trPr>
          <w:trHeight w:val="20"/>
        </w:trPr>
        <w:tc>
          <w:tcPr>
            <w:tcW w:w="76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36" w:name="page37"/>
    <w:bookmarkEnd w:id="36"/>
    <w:p>
      <w:pPr>
        <w:spacing w:after="0"/>
        <w:rPr>
          <w:sz w:val="20"/>
          <w:szCs w:val="20"/>
          <w:color w:val="auto"/>
        </w:rPr>
      </w:pPr>
      <w:r>
        <w:rPr>
          <w:rFonts w:ascii="Arial" w:cs="Arial" w:eastAsia="Arial" w:hAnsi="Arial"/>
          <w:sz w:val="22"/>
          <w:szCs w:val="22"/>
          <w:b w:val="1"/>
          <w:bCs w:val="1"/>
          <w:color w:val="DA2031"/>
        </w:rPr>
        <w:t>Note 20 – (Loss) Earnings per Share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DA2031"/>
        </w:rPr>
        <w:t>(shares in thousands)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of Xerox Holdings Corporation's common stock:</w:t>
      </w:r>
    </w:p>
    <w:p>
      <w:pPr>
        <w:spacing w:after="0" w:line="167" w:lineRule="exact"/>
        <w:rPr>
          <w:sz w:val="20"/>
          <w:szCs w:val="20"/>
          <w:color w:val="auto"/>
        </w:rPr>
      </w:pPr>
    </w:p>
    <w:p>
      <w:pPr>
        <w:jc w:val="center"/>
        <w:ind w:left="758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jc w:val="center"/>
        <w:ind w:left="758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Borders>
              <w:bottom w:val="single" w:sz="8" w:color="DDDDDD"/>
            </w:tcBorders>
          </w:tcPr>
          <w:p>
            <w:pPr>
              <w:spacing w:after="0"/>
              <w:rPr>
                <w:sz w:val="16"/>
                <w:szCs w:val="16"/>
                <w:color w:val="auto"/>
              </w:rPr>
            </w:pPr>
          </w:p>
        </w:tc>
        <w:tc>
          <w:tcPr>
            <w:tcW w:w="2220" w:type="dxa"/>
            <w:vAlign w:val="bottom"/>
            <w:tcBorders>
              <w:bottom w:val="single" w:sz="8" w:color="DDDDDD"/>
            </w:tcBorders>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320" w:type="dxa"/>
            <w:vAlign w:val="bottom"/>
            <w:tcBorders>
              <w:bottom w:val="single" w:sz="8" w:color="DDDDDD"/>
            </w:tcBorders>
          </w:tcPr>
          <w:p>
            <w:pPr>
              <w:spacing w:after="0"/>
              <w:rPr>
                <w:sz w:val="16"/>
                <w:szCs w:val="16"/>
                <w:color w:val="auto"/>
              </w:rPr>
            </w:pPr>
          </w:p>
        </w:tc>
        <w:tc>
          <w:tcPr>
            <w:tcW w:w="4940" w:type="dxa"/>
            <w:vAlign w:val="bottom"/>
            <w:tcBorders>
              <w:bottom w:val="single" w:sz="8" w:color="DDDDDD"/>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2022</w:t>
            </w:r>
          </w:p>
        </w:tc>
        <w:tc>
          <w:tcPr>
            <w:tcW w:w="6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DDDDDD"/>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2021</w:t>
            </w:r>
          </w:p>
        </w:tc>
      </w:tr>
      <w:tr>
        <w:trPr>
          <w:trHeight w:val="145"/>
        </w:trPr>
        <w:tc>
          <w:tcPr>
            <w:tcW w:w="20" w:type="dxa"/>
            <w:vAlign w:val="bottom"/>
            <w:shd w:val="clear" w:color="auto" w:fill="DDDDDD"/>
          </w:tcPr>
          <w:p>
            <w:pPr>
              <w:spacing w:after="0"/>
              <w:rPr>
                <w:sz w:val="12"/>
                <w:szCs w:val="12"/>
                <w:color w:val="auto"/>
              </w:rPr>
            </w:pPr>
          </w:p>
        </w:tc>
        <w:tc>
          <w:tcPr>
            <w:tcW w:w="7580" w:type="dxa"/>
            <w:vAlign w:val="bottom"/>
            <w:gridSpan w:val="4"/>
            <w:shd w:val="clear" w:color="auto" w:fill="DDDDDD"/>
          </w:tcPr>
          <w:p>
            <w:pPr>
              <w:spacing w:after="0" w:line="145" w:lineRule="exact"/>
              <w:rPr>
                <w:sz w:val="20"/>
                <w:szCs w:val="20"/>
                <w:color w:val="auto"/>
              </w:rPr>
            </w:pPr>
            <w:r>
              <w:rPr>
                <w:rFonts w:ascii="Arial" w:cs="Arial" w:eastAsia="Arial" w:hAnsi="Arial"/>
                <w:sz w:val="14"/>
                <w:szCs w:val="14"/>
                <w:b w:val="1"/>
                <w:bCs w:val="1"/>
                <w:color w:val="auto"/>
              </w:rPr>
              <w:t>Basic (Loss) Earnings per Share</w:t>
            </w:r>
          </w:p>
        </w:tc>
        <w:tc>
          <w:tcPr>
            <w:tcW w:w="1120" w:type="dxa"/>
            <w:vAlign w:val="bottom"/>
            <w:shd w:val="clear" w:color="auto" w:fill="DDDDDD"/>
          </w:tcPr>
          <w:p>
            <w:pPr>
              <w:spacing w:after="0"/>
              <w:rPr>
                <w:sz w:val="12"/>
                <w:szCs w:val="12"/>
                <w:color w:val="auto"/>
              </w:rPr>
            </w:pPr>
          </w:p>
        </w:tc>
        <w:tc>
          <w:tcPr>
            <w:tcW w:w="6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400" w:type="dxa"/>
            <w:vAlign w:val="bottom"/>
            <w:shd w:val="clear" w:color="auto" w:fill="DDDDDD"/>
          </w:tcPr>
          <w:p>
            <w:pPr>
              <w:spacing w:after="0"/>
              <w:rPr>
                <w:sz w:val="12"/>
                <w:szCs w:val="12"/>
                <w:color w:val="auto"/>
              </w:rPr>
            </w:pPr>
          </w:p>
        </w:tc>
        <w:tc>
          <w:tcPr>
            <w:tcW w:w="1360" w:type="dxa"/>
            <w:vAlign w:val="bottom"/>
            <w:shd w:val="clear" w:color="auto" w:fill="DDDDDD"/>
          </w:tcPr>
          <w:p>
            <w:pPr>
              <w:spacing w:after="0"/>
              <w:rPr>
                <w:sz w:val="12"/>
                <w:szCs w:val="12"/>
                <w:color w:val="auto"/>
              </w:rPr>
            </w:pPr>
          </w:p>
        </w:tc>
      </w:tr>
      <w:tr>
        <w:trPr>
          <w:trHeight w:val="21"/>
        </w:trPr>
        <w:tc>
          <w:tcPr>
            <w:tcW w:w="20" w:type="dxa"/>
            <w:vAlign w:val="bottom"/>
            <w:tcBorders>
              <w:top w:val="single" w:sz="8" w:color="DDDDDD"/>
            </w:tcBorders>
            <w:shd w:val="clear" w:color="auto" w:fill="DDDDDD"/>
          </w:tcPr>
          <w:p>
            <w:pPr>
              <w:spacing w:after="0" w:line="20" w:lineRule="exact"/>
              <w:rPr>
                <w:sz w:val="1"/>
                <w:szCs w:val="1"/>
                <w:color w:val="auto"/>
              </w:rPr>
            </w:pPr>
          </w:p>
        </w:tc>
        <w:tc>
          <w:tcPr>
            <w:tcW w:w="2220" w:type="dxa"/>
            <w:vAlign w:val="bottom"/>
            <w:tcBorders>
              <w:top w:val="single" w:sz="8" w:color="auto"/>
            </w:tcBorders>
            <w:shd w:val="clear" w:color="auto" w:fill="DDDDDD"/>
          </w:tcPr>
          <w:p>
            <w:pPr>
              <w:spacing w:after="0" w:line="20" w:lineRule="exact"/>
              <w:rPr>
                <w:sz w:val="1"/>
                <w:szCs w:val="1"/>
                <w:color w:val="auto"/>
              </w:rPr>
            </w:pPr>
          </w:p>
        </w:tc>
        <w:tc>
          <w:tcPr>
            <w:tcW w:w="100" w:type="dxa"/>
            <w:vAlign w:val="bottom"/>
            <w:tcBorders>
              <w:top w:val="single" w:sz="8" w:color="DDDDDD"/>
            </w:tcBorders>
            <w:shd w:val="clear" w:color="auto" w:fill="DDDDDD"/>
          </w:tcPr>
          <w:p>
            <w:pPr>
              <w:spacing w:after="0" w:line="20" w:lineRule="exact"/>
              <w:rPr>
                <w:sz w:val="1"/>
                <w:szCs w:val="1"/>
                <w:color w:val="auto"/>
              </w:rPr>
            </w:pPr>
          </w:p>
        </w:tc>
        <w:tc>
          <w:tcPr>
            <w:tcW w:w="320" w:type="dxa"/>
            <w:vAlign w:val="bottom"/>
            <w:tcBorders>
              <w:top w:val="single" w:sz="8" w:color="DDDDDD"/>
            </w:tcBorders>
            <w:shd w:val="clear" w:color="auto" w:fill="DDDDDD"/>
          </w:tcPr>
          <w:p>
            <w:pPr>
              <w:spacing w:after="0" w:line="20" w:lineRule="exact"/>
              <w:rPr>
                <w:sz w:val="1"/>
                <w:szCs w:val="1"/>
                <w:color w:val="auto"/>
              </w:rPr>
            </w:pPr>
          </w:p>
        </w:tc>
        <w:tc>
          <w:tcPr>
            <w:tcW w:w="4940" w:type="dxa"/>
            <w:vAlign w:val="bottom"/>
            <w:tcBorders>
              <w:top w:val="single" w:sz="8" w:color="DDDDDD"/>
            </w:tcBorders>
            <w:shd w:val="clear" w:color="auto" w:fill="DDDDDD"/>
          </w:tcPr>
          <w:p>
            <w:pPr>
              <w:spacing w:after="0" w:line="20" w:lineRule="exact"/>
              <w:rPr>
                <w:sz w:val="1"/>
                <w:szCs w:val="1"/>
                <w:color w:val="auto"/>
              </w:rPr>
            </w:pPr>
          </w:p>
        </w:tc>
        <w:tc>
          <w:tcPr>
            <w:tcW w:w="1120" w:type="dxa"/>
            <w:vAlign w:val="bottom"/>
            <w:tcBorders>
              <w:top w:val="single" w:sz="8" w:color="DDDDDD"/>
            </w:tcBorders>
            <w:shd w:val="clear" w:color="auto" w:fill="DDDDDD"/>
          </w:tcPr>
          <w:p>
            <w:pPr>
              <w:spacing w:after="0" w:line="20" w:lineRule="exact"/>
              <w:rPr>
                <w:sz w:val="1"/>
                <w:szCs w:val="1"/>
                <w:color w:val="auto"/>
              </w:rPr>
            </w:pPr>
          </w:p>
        </w:tc>
        <w:tc>
          <w:tcPr>
            <w:tcW w:w="640" w:type="dxa"/>
            <w:vAlign w:val="bottom"/>
            <w:tcBorders>
              <w:top w:val="single" w:sz="8" w:color="DDDDDD"/>
            </w:tcBorders>
            <w:shd w:val="clear" w:color="auto" w:fill="DDDDDD"/>
          </w:tcPr>
          <w:p>
            <w:pPr>
              <w:spacing w:after="0" w:line="20" w:lineRule="exact"/>
              <w:rPr>
                <w:sz w:val="1"/>
                <w:szCs w:val="1"/>
                <w:color w:val="auto"/>
              </w:rPr>
            </w:pPr>
          </w:p>
        </w:tc>
        <w:tc>
          <w:tcPr>
            <w:tcW w:w="120" w:type="dxa"/>
            <w:vAlign w:val="bottom"/>
            <w:tcBorders>
              <w:top w:val="single" w:sz="8" w:color="DDDDDD"/>
            </w:tcBorders>
            <w:shd w:val="clear" w:color="auto" w:fill="DDDDDD"/>
          </w:tcPr>
          <w:p>
            <w:pPr>
              <w:spacing w:after="0" w:line="20" w:lineRule="exact"/>
              <w:rPr>
                <w:sz w:val="1"/>
                <w:szCs w:val="1"/>
                <w:color w:val="auto"/>
              </w:rPr>
            </w:pPr>
          </w:p>
        </w:tc>
        <w:tc>
          <w:tcPr>
            <w:tcW w:w="400" w:type="dxa"/>
            <w:vAlign w:val="bottom"/>
            <w:tcBorders>
              <w:top w:val="single" w:sz="8" w:color="DDDDDD"/>
            </w:tcBorders>
            <w:shd w:val="clear" w:color="auto" w:fill="DDDDDD"/>
          </w:tcPr>
          <w:p>
            <w:pPr>
              <w:spacing w:after="0" w:line="20" w:lineRule="exact"/>
              <w:rPr>
                <w:sz w:val="1"/>
                <w:szCs w:val="1"/>
                <w:color w:val="auto"/>
              </w:rPr>
            </w:pPr>
          </w:p>
        </w:tc>
        <w:tc>
          <w:tcPr>
            <w:tcW w:w="1360" w:type="dxa"/>
            <w:vAlign w:val="bottom"/>
            <w:tcBorders>
              <w:top w:val="single" w:sz="8" w:color="DDDDDD"/>
            </w:tcBorders>
            <w:shd w:val="clear" w:color="auto" w:fill="DDDDDD"/>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7580" w:type="dxa"/>
            <w:vAlign w:val="bottom"/>
            <w:gridSpan w:val="4"/>
          </w:tcPr>
          <w:p>
            <w:pPr>
              <w:spacing w:after="0"/>
              <w:rPr>
                <w:sz w:val="20"/>
                <w:szCs w:val="20"/>
                <w:color w:val="auto"/>
              </w:rPr>
            </w:pPr>
            <w:r>
              <w:rPr>
                <w:rFonts w:ascii="Arial" w:cs="Arial" w:eastAsia="Arial" w:hAnsi="Arial"/>
                <w:sz w:val="14"/>
                <w:szCs w:val="14"/>
                <w:color w:val="auto"/>
              </w:rPr>
              <w:t>Net (Loss) Income Attributable to Xerox Holdings</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7"/>
                <w:szCs w:val="17"/>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3"/>
        </w:trPr>
        <w:tc>
          <w:tcPr>
            <w:tcW w:w="20" w:type="dxa"/>
            <w:vAlign w:val="bottom"/>
            <w:shd w:val="clear" w:color="auto" w:fill="DDDDDD"/>
          </w:tcPr>
          <w:p>
            <w:pPr>
              <w:spacing w:after="0"/>
              <w:rPr>
                <w:sz w:val="17"/>
                <w:szCs w:val="17"/>
                <w:color w:val="auto"/>
              </w:rPr>
            </w:pPr>
          </w:p>
        </w:tc>
        <w:tc>
          <w:tcPr>
            <w:tcW w:w="7580" w:type="dxa"/>
            <w:vAlign w:val="bottom"/>
            <w:gridSpan w:val="4"/>
            <w:shd w:val="clear" w:color="auto" w:fill="DDDDDD"/>
          </w:tcPr>
          <w:p>
            <w:pPr>
              <w:spacing w:after="0"/>
              <w:rPr>
                <w:sz w:val="20"/>
                <w:szCs w:val="20"/>
                <w:color w:val="auto"/>
              </w:rPr>
            </w:pPr>
            <w:r>
              <w:rPr>
                <w:rFonts w:ascii="Arial" w:cs="Arial" w:eastAsia="Arial" w:hAnsi="Arial"/>
                <w:sz w:val="14"/>
                <w:szCs w:val="14"/>
                <w:color w:val="auto"/>
              </w:rPr>
              <w:t>Accrued dividends on preferred stock</w:t>
            </w:r>
          </w:p>
        </w:tc>
        <w:tc>
          <w:tcPr>
            <w:tcW w:w="1120" w:type="dxa"/>
            <w:vAlign w:val="bottom"/>
            <w:tcBorders>
              <w:bottom w:val="single" w:sz="8" w:color="auto"/>
            </w:tcBorders>
            <w:shd w:val="clear" w:color="auto" w:fill="DDDDDD"/>
          </w:tcPr>
          <w:p>
            <w:pPr>
              <w:spacing w:after="0"/>
              <w:rPr>
                <w:sz w:val="17"/>
                <w:szCs w:val="17"/>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DDDDDD"/>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w:t>
            </w:r>
          </w:p>
        </w:tc>
      </w:tr>
      <w:tr>
        <w:trPr>
          <w:trHeight w:val="200"/>
        </w:trPr>
        <w:tc>
          <w:tcPr>
            <w:tcW w:w="20" w:type="dxa"/>
            <w:vAlign w:val="bottom"/>
          </w:tcPr>
          <w:p>
            <w:pPr>
              <w:spacing w:after="0"/>
              <w:rPr>
                <w:sz w:val="17"/>
                <w:szCs w:val="17"/>
                <w:color w:val="auto"/>
              </w:rPr>
            </w:pPr>
          </w:p>
        </w:tc>
        <w:tc>
          <w:tcPr>
            <w:tcW w:w="7580" w:type="dxa"/>
            <w:vAlign w:val="bottom"/>
            <w:gridSpan w:val="4"/>
          </w:tcPr>
          <w:p>
            <w:pPr>
              <w:spacing w:after="0"/>
              <w:rPr>
                <w:sz w:val="20"/>
                <w:szCs w:val="20"/>
                <w:color w:val="auto"/>
              </w:rPr>
            </w:pPr>
            <w:r>
              <w:rPr>
                <w:rFonts w:ascii="Arial" w:cs="Arial" w:eastAsia="Arial" w:hAnsi="Arial"/>
                <w:sz w:val="14"/>
                <w:szCs w:val="14"/>
                <w:color w:val="auto"/>
              </w:rPr>
              <w:t>Adjusted Net (loss) income available to common shareholders</w:t>
            </w:r>
          </w:p>
        </w:tc>
        <w:tc>
          <w:tcPr>
            <w:tcW w:w="112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r>
      <w:tr>
        <w:trPr>
          <w:trHeight w:val="20"/>
        </w:trPr>
        <w:tc>
          <w:tcPr>
            <w:tcW w:w="20" w:type="dxa"/>
            <w:vAlign w:val="bottom"/>
            <w:tcBorders>
              <w:bottom w:val="single" w:sz="8" w:color="DDDDDD"/>
            </w:tcBorders>
          </w:tcPr>
          <w:p>
            <w:pPr>
              <w:spacing w:after="0" w:line="20" w:lineRule="exact"/>
              <w:rPr>
                <w:sz w:val="1"/>
                <w:szCs w:val="1"/>
                <w:color w:val="auto"/>
              </w:rPr>
            </w:pPr>
          </w:p>
        </w:tc>
        <w:tc>
          <w:tcPr>
            <w:tcW w:w="2220" w:type="dxa"/>
            <w:vAlign w:val="bottom"/>
            <w:tcBorders>
              <w:bottom w:val="single" w:sz="8" w:color="DDDDDD"/>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320" w:type="dxa"/>
            <w:vAlign w:val="bottom"/>
            <w:tcBorders>
              <w:bottom w:val="single" w:sz="8" w:color="DDDDDD"/>
            </w:tcBorders>
          </w:tcPr>
          <w:p>
            <w:pPr>
              <w:spacing w:after="0" w:line="20" w:lineRule="exact"/>
              <w:rPr>
                <w:sz w:val="1"/>
                <w:szCs w:val="1"/>
                <w:color w:val="auto"/>
              </w:rPr>
            </w:pPr>
          </w:p>
        </w:tc>
        <w:tc>
          <w:tcPr>
            <w:tcW w:w="4940" w:type="dxa"/>
            <w:vAlign w:val="bottom"/>
            <w:tcBorders>
              <w:bottom w:val="single" w:sz="8" w:color="DDDDDD"/>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DDDDDD"/>
          </w:tcPr>
          <w:p>
            <w:pPr>
              <w:spacing w:after="0"/>
              <w:rPr>
                <w:sz w:val="15"/>
                <w:szCs w:val="15"/>
                <w:color w:val="auto"/>
              </w:rPr>
            </w:pPr>
          </w:p>
        </w:tc>
        <w:tc>
          <w:tcPr>
            <w:tcW w:w="22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320" w:type="dxa"/>
            <w:vAlign w:val="bottom"/>
            <w:shd w:val="clear" w:color="auto" w:fill="DDDDDD"/>
          </w:tcPr>
          <w:p>
            <w:pPr>
              <w:spacing w:after="0"/>
              <w:rPr>
                <w:sz w:val="15"/>
                <w:szCs w:val="15"/>
                <w:color w:val="auto"/>
              </w:rPr>
            </w:pPr>
          </w:p>
        </w:tc>
        <w:tc>
          <w:tcPr>
            <w:tcW w:w="4940" w:type="dxa"/>
            <w:vAlign w:val="bottom"/>
            <w:shd w:val="clear" w:color="auto" w:fill="DDDDDD"/>
          </w:tcPr>
          <w:p>
            <w:pPr>
              <w:spacing w:after="0"/>
              <w:rPr>
                <w:sz w:val="15"/>
                <w:szCs w:val="15"/>
                <w:color w:val="auto"/>
              </w:rPr>
            </w:pPr>
          </w:p>
        </w:tc>
        <w:tc>
          <w:tcPr>
            <w:tcW w:w="1120" w:type="dxa"/>
            <w:vAlign w:val="bottom"/>
            <w:shd w:val="clear" w:color="auto" w:fill="DDDDDD"/>
          </w:tcPr>
          <w:p>
            <w:pPr>
              <w:spacing w:after="0"/>
              <w:rPr>
                <w:sz w:val="15"/>
                <w:szCs w:val="15"/>
                <w:color w:val="auto"/>
              </w:rPr>
            </w:pPr>
          </w:p>
        </w:tc>
        <w:tc>
          <w:tcPr>
            <w:tcW w:w="64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400" w:type="dxa"/>
            <w:vAlign w:val="bottom"/>
            <w:shd w:val="clear" w:color="auto" w:fill="DDDDDD"/>
          </w:tcPr>
          <w:p>
            <w:pPr>
              <w:spacing w:after="0"/>
              <w:rPr>
                <w:sz w:val="15"/>
                <w:szCs w:val="15"/>
                <w:color w:val="auto"/>
              </w:rPr>
            </w:pPr>
          </w:p>
        </w:tc>
        <w:tc>
          <w:tcPr>
            <w:tcW w:w="1360" w:type="dxa"/>
            <w:vAlign w:val="bottom"/>
            <w:shd w:val="clear" w:color="auto" w:fill="DDDDDD"/>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7580" w:type="dxa"/>
            <w:vAlign w:val="bottom"/>
            <w:gridSpan w:val="4"/>
          </w:tcPr>
          <w:p>
            <w:pPr>
              <w:spacing w:after="0"/>
              <w:rPr>
                <w:sz w:val="20"/>
                <w:szCs w:val="20"/>
                <w:color w:val="auto"/>
              </w:rPr>
            </w:pPr>
            <w:r>
              <w:rPr>
                <w:rFonts w:ascii="Arial" w:cs="Arial" w:eastAsia="Arial" w:hAnsi="Arial"/>
                <w:sz w:val="14"/>
                <w:szCs w:val="14"/>
                <w:color w:val="auto"/>
              </w:rPr>
              <w:t>Weighted average common shares outstanding</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156,362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195,985</w:t>
            </w:r>
          </w:p>
        </w:tc>
      </w:tr>
      <w:tr>
        <w:trPr>
          <w:trHeight w:val="220"/>
        </w:trPr>
        <w:tc>
          <w:tcPr>
            <w:tcW w:w="20" w:type="dxa"/>
            <w:vAlign w:val="bottom"/>
            <w:shd w:val="clear" w:color="auto" w:fill="DDDDDD"/>
          </w:tcPr>
          <w:p>
            <w:pPr>
              <w:spacing w:after="0"/>
              <w:rPr>
                <w:sz w:val="19"/>
                <w:szCs w:val="19"/>
                <w:color w:val="auto"/>
              </w:rPr>
            </w:pPr>
          </w:p>
        </w:tc>
        <w:tc>
          <w:tcPr>
            <w:tcW w:w="22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494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c>
          <w:tcPr>
            <w:tcW w:w="6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400" w:type="dxa"/>
            <w:vAlign w:val="bottom"/>
            <w:shd w:val="clear" w:color="auto" w:fill="DDDDDD"/>
          </w:tcPr>
          <w:p>
            <w:pPr>
              <w:spacing w:after="0"/>
              <w:rPr>
                <w:sz w:val="19"/>
                <w:szCs w:val="19"/>
                <w:color w:val="auto"/>
              </w:rPr>
            </w:pPr>
          </w:p>
        </w:tc>
        <w:tc>
          <w:tcPr>
            <w:tcW w:w="1360" w:type="dxa"/>
            <w:vAlign w:val="bottom"/>
            <w:shd w:val="clear" w:color="auto" w:fill="DDDDDD"/>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7580" w:type="dxa"/>
            <w:vAlign w:val="bottom"/>
            <w:gridSpan w:val="4"/>
          </w:tcPr>
          <w:p>
            <w:pPr>
              <w:spacing w:after="0"/>
              <w:rPr>
                <w:sz w:val="20"/>
                <w:szCs w:val="20"/>
                <w:color w:val="auto"/>
              </w:rPr>
            </w:pPr>
            <w:r>
              <w:rPr>
                <w:rFonts w:ascii="Arial" w:cs="Arial" w:eastAsia="Arial" w:hAnsi="Arial"/>
                <w:sz w:val="14"/>
                <w:szCs w:val="14"/>
                <w:b w:val="1"/>
                <w:bCs w:val="1"/>
                <w:color w:val="auto"/>
              </w:rPr>
              <w:t>Basic (Loss) Earnings per Share</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(0.38)</w:t>
            </w:r>
          </w:p>
        </w:tc>
        <w:tc>
          <w:tcPr>
            <w:tcW w:w="120" w:type="dxa"/>
            <w:vAlign w:val="bottom"/>
          </w:tcPr>
          <w:p>
            <w:pPr>
              <w:spacing w:after="0"/>
              <w:rPr>
                <w:sz w:val="17"/>
                <w:szCs w:val="17"/>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0.18</w:t>
            </w:r>
          </w:p>
        </w:tc>
      </w:tr>
      <w:tr>
        <w:trPr>
          <w:trHeight w:val="217"/>
        </w:trPr>
        <w:tc>
          <w:tcPr>
            <w:tcW w:w="20" w:type="dxa"/>
            <w:vAlign w:val="bottom"/>
            <w:shd w:val="clear" w:color="auto" w:fill="DDDDDD"/>
          </w:tcPr>
          <w:p>
            <w:pPr>
              <w:spacing w:after="0"/>
              <w:rPr>
                <w:sz w:val="18"/>
                <w:szCs w:val="18"/>
                <w:color w:val="auto"/>
              </w:rPr>
            </w:pPr>
          </w:p>
        </w:tc>
        <w:tc>
          <w:tcPr>
            <w:tcW w:w="22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4940" w:type="dxa"/>
            <w:vAlign w:val="bottom"/>
            <w:shd w:val="clear" w:color="auto" w:fill="DDDDDD"/>
          </w:tcPr>
          <w:p>
            <w:pPr>
              <w:spacing w:after="0"/>
              <w:rPr>
                <w:sz w:val="18"/>
                <w:szCs w:val="18"/>
                <w:color w:val="auto"/>
              </w:rPr>
            </w:pPr>
          </w:p>
        </w:tc>
        <w:tc>
          <w:tcPr>
            <w:tcW w:w="1120" w:type="dxa"/>
            <w:vAlign w:val="bottom"/>
            <w:shd w:val="clear" w:color="auto" w:fill="DDDDDD"/>
          </w:tcPr>
          <w:p>
            <w:pPr>
              <w:spacing w:after="0"/>
              <w:rPr>
                <w:sz w:val="18"/>
                <w:szCs w:val="18"/>
                <w:color w:val="auto"/>
              </w:rPr>
            </w:pPr>
          </w:p>
        </w:tc>
        <w:tc>
          <w:tcPr>
            <w:tcW w:w="6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60" w:type="dxa"/>
            <w:vAlign w:val="bottom"/>
            <w:shd w:val="clear" w:color="auto" w:fill="DDDDDD"/>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7580" w:type="dxa"/>
            <w:vAlign w:val="bottom"/>
            <w:gridSpan w:val="4"/>
          </w:tcPr>
          <w:p>
            <w:pPr>
              <w:spacing w:after="0"/>
              <w:rPr>
                <w:sz w:val="20"/>
                <w:szCs w:val="20"/>
                <w:color w:val="auto"/>
              </w:rPr>
            </w:pPr>
            <w:r>
              <w:rPr>
                <w:rFonts w:ascii="Arial" w:cs="Arial" w:eastAsia="Arial" w:hAnsi="Arial"/>
                <w:sz w:val="14"/>
                <w:szCs w:val="14"/>
                <w:b w:val="1"/>
                <w:bCs w:val="1"/>
                <w:color w:val="auto"/>
              </w:rPr>
              <w:t>Diluted (Loss) Earnings per Share</w:t>
            </w: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3"/>
        </w:trPr>
        <w:tc>
          <w:tcPr>
            <w:tcW w:w="20" w:type="dxa"/>
            <w:vAlign w:val="bottom"/>
            <w:shd w:val="clear" w:color="auto" w:fill="DDDDDD"/>
          </w:tcPr>
          <w:p>
            <w:pPr>
              <w:spacing w:after="0"/>
              <w:rPr>
                <w:sz w:val="17"/>
                <w:szCs w:val="17"/>
                <w:color w:val="auto"/>
              </w:rPr>
            </w:pPr>
          </w:p>
        </w:tc>
        <w:tc>
          <w:tcPr>
            <w:tcW w:w="7580" w:type="dxa"/>
            <w:vAlign w:val="bottom"/>
            <w:gridSpan w:val="4"/>
            <w:shd w:val="clear" w:color="auto" w:fill="DDDDDD"/>
          </w:tcPr>
          <w:p>
            <w:pPr>
              <w:spacing w:after="0"/>
              <w:rPr>
                <w:sz w:val="20"/>
                <w:szCs w:val="20"/>
                <w:color w:val="auto"/>
              </w:rPr>
            </w:pPr>
            <w:r>
              <w:rPr>
                <w:rFonts w:ascii="Arial" w:cs="Arial" w:eastAsia="Arial" w:hAnsi="Arial"/>
                <w:sz w:val="14"/>
                <w:szCs w:val="14"/>
                <w:color w:val="auto"/>
              </w:rPr>
              <w:t>Net (Loss) Income Attributable to Xerox Holdings</w:t>
            </w:r>
          </w:p>
        </w:tc>
        <w:tc>
          <w:tcPr>
            <w:tcW w:w="1120" w:type="dxa"/>
            <w:vAlign w:val="bottom"/>
            <w:shd w:val="clear" w:color="auto" w:fill="DDDDDD"/>
          </w:tcPr>
          <w:p>
            <w:pPr>
              <w:jc w:val="right"/>
              <w:ind w:right="948"/>
              <w:spacing w:after="0"/>
              <w:rPr>
                <w:sz w:val="20"/>
                <w:szCs w:val="20"/>
                <w:color w:val="auto"/>
              </w:rPr>
            </w:pPr>
            <w:r>
              <w:rPr>
                <w:rFonts w:ascii="Arial" w:cs="Arial" w:eastAsia="Arial" w:hAnsi="Arial"/>
                <w:sz w:val="14"/>
                <w:szCs w:val="14"/>
                <w:color w:val="auto"/>
              </w:rPr>
              <w:t>$</w:t>
            </w:r>
          </w:p>
        </w:tc>
        <w:tc>
          <w:tcPr>
            <w:tcW w:w="6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DDDDDD"/>
          </w:tcPr>
          <w:p>
            <w:pPr>
              <w:spacing w:after="0"/>
              <w:rPr>
                <w:sz w:val="17"/>
                <w:szCs w:val="17"/>
                <w:color w:val="auto"/>
              </w:rPr>
            </w:pPr>
          </w:p>
        </w:tc>
        <w:tc>
          <w:tcPr>
            <w:tcW w:w="400" w:type="dxa"/>
            <w:vAlign w:val="bottom"/>
            <w:shd w:val="clear" w:color="auto" w:fill="DDDDDD"/>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39</w:t>
            </w:r>
          </w:p>
        </w:tc>
      </w:tr>
      <w:tr>
        <w:trPr>
          <w:trHeight w:val="198"/>
        </w:trPr>
        <w:tc>
          <w:tcPr>
            <w:tcW w:w="20" w:type="dxa"/>
            <w:vAlign w:val="bottom"/>
            <w:tcBorders>
              <w:bottom w:val="single" w:sz="8" w:color="DDDDDD"/>
            </w:tcBorders>
          </w:tcPr>
          <w:p>
            <w:pPr>
              <w:spacing w:after="0"/>
              <w:rPr>
                <w:sz w:val="17"/>
                <w:szCs w:val="17"/>
                <w:color w:val="auto"/>
              </w:rPr>
            </w:pPr>
          </w:p>
        </w:tc>
        <w:tc>
          <w:tcPr>
            <w:tcW w:w="7580" w:type="dxa"/>
            <w:vAlign w:val="bottom"/>
            <w:tcBorders>
              <w:bottom w:val="single" w:sz="8" w:color="DDDDDD"/>
            </w:tcBorders>
            <w:gridSpan w:val="4"/>
          </w:tcPr>
          <w:p>
            <w:pPr>
              <w:spacing w:after="0"/>
              <w:rPr>
                <w:sz w:val="20"/>
                <w:szCs w:val="20"/>
                <w:color w:val="auto"/>
              </w:rPr>
            </w:pPr>
            <w:r>
              <w:rPr>
                <w:rFonts w:ascii="Arial" w:cs="Arial" w:eastAsia="Arial" w:hAnsi="Arial"/>
                <w:sz w:val="14"/>
                <w:szCs w:val="14"/>
                <w:color w:val="auto"/>
              </w:rPr>
              <w:t>Accrued dividends on preferred stock</w:t>
            </w:r>
          </w:p>
        </w:tc>
        <w:tc>
          <w:tcPr>
            <w:tcW w:w="1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DDDDDD"/>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25"/>
        </w:trPr>
        <w:tc>
          <w:tcPr>
            <w:tcW w:w="20" w:type="dxa"/>
            <w:vAlign w:val="bottom"/>
            <w:tcBorders>
              <w:bottom w:val="single" w:sz="8" w:color="DDDDDD"/>
            </w:tcBorders>
            <w:shd w:val="clear" w:color="auto" w:fill="DDDDDD"/>
          </w:tcPr>
          <w:p>
            <w:pPr>
              <w:spacing w:after="0"/>
              <w:rPr>
                <w:sz w:val="19"/>
                <w:szCs w:val="19"/>
                <w:color w:val="auto"/>
              </w:rPr>
            </w:pPr>
          </w:p>
        </w:tc>
        <w:tc>
          <w:tcPr>
            <w:tcW w:w="7580" w:type="dxa"/>
            <w:vAlign w:val="bottom"/>
            <w:tcBorders>
              <w:bottom w:val="single" w:sz="8" w:color="DDDDDD"/>
            </w:tcBorders>
            <w:gridSpan w:val="4"/>
            <w:shd w:val="clear" w:color="auto" w:fill="DDDDDD"/>
          </w:tcPr>
          <w:p>
            <w:pPr>
              <w:spacing w:after="0"/>
              <w:rPr>
                <w:sz w:val="20"/>
                <w:szCs w:val="20"/>
                <w:color w:val="auto"/>
              </w:rPr>
            </w:pPr>
            <w:r>
              <w:rPr>
                <w:rFonts w:ascii="Arial" w:cs="Arial" w:eastAsia="Arial" w:hAnsi="Arial"/>
                <w:sz w:val="14"/>
                <w:szCs w:val="14"/>
                <w:color w:val="auto"/>
              </w:rPr>
              <w:t>Adjusted Net (loss) income available to common shareholders</w:t>
            </w:r>
          </w:p>
        </w:tc>
        <w:tc>
          <w:tcPr>
            <w:tcW w:w="1120" w:type="dxa"/>
            <w:vAlign w:val="bottom"/>
            <w:tcBorders>
              <w:bottom w:val="single" w:sz="8" w:color="auto"/>
            </w:tcBorders>
            <w:shd w:val="clear" w:color="auto" w:fill="DDDDDD"/>
          </w:tcPr>
          <w:p>
            <w:pPr>
              <w:jc w:val="right"/>
              <w:ind w:right="9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DDDDDD"/>
            </w:tcBorders>
            <w:shd w:val="clear" w:color="auto" w:fill="DDDDDD"/>
          </w:tcPr>
          <w:p>
            <w:pPr>
              <w:spacing w:after="0"/>
              <w:rPr>
                <w:sz w:val="19"/>
                <w:szCs w:val="19"/>
                <w:color w:val="auto"/>
              </w:rPr>
            </w:pPr>
          </w:p>
        </w:tc>
        <w:tc>
          <w:tcPr>
            <w:tcW w:w="400" w:type="dxa"/>
            <w:vAlign w:val="bottom"/>
            <w:tcBorders>
              <w:bottom w:val="single" w:sz="8" w:color="auto"/>
            </w:tcBorders>
            <w:shd w:val="clear" w:color="auto" w:fill="DDDDDD"/>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35</w:t>
            </w:r>
          </w:p>
        </w:tc>
      </w:tr>
      <w:tr>
        <w:trPr>
          <w:trHeight w:val="20"/>
        </w:trPr>
        <w:tc>
          <w:tcPr>
            <w:tcW w:w="20" w:type="dxa"/>
            <w:vAlign w:val="bottom"/>
            <w:tcBorders>
              <w:top w:val="single" w:sz="8" w:color="DDDDDD"/>
            </w:tcBorders>
          </w:tcPr>
          <w:p>
            <w:pPr>
              <w:spacing w:after="0" w:line="20" w:lineRule="exact"/>
              <w:rPr>
                <w:sz w:val="1"/>
                <w:szCs w:val="1"/>
                <w:color w:val="auto"/>
              </w:rPr>
            </w:pPr>
          </w:p>
        </w:tc>
        <w:tc>
          <w:tcPr>
            <w:tcW w:w="222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20" w:type="dxa"/>
            <w:vAlign w:val="bottom"/>
            <w:tcBorders>
              <w:top w:val="single" w:sz="8" w:color="DDDDDD"/>
            </w:tcBorders>
          </w:tcPr>
          <w:p>
            <w:pPr>
              <w:spacing w:after="0" w:line="20" w:lineRule="exact"/>
              <w:rPr>
                <w:sz w:val="1"/>
                <w:szCs w:val="1"/>
                <w:color w:val="auto"/>
              </w:rPr>
            </w:pPr>
          </w:p>
        </w:tc>
        <w:tc>
          <w:tcPr>
            <w:tcW w:w="4940" w:type="dxa"/>
            <w:vAlign w:val="bottom"/>
            <w:tcBorders>
              <w:top w:val="single" w:sz="8" w:color="DDDDDD"/>
            </w:tcBorders>
          </w:tcPr>
          <w:p>
            <w:pPr>
              <w:spacing w:after="0" w:line="20" w:lineRule="exact"/>
              <w:rPr>
                <w:sz w:val="1"/>
                <w:szCs w:val="1"/>
                <w:color w:val="auto"/>
              </w:rPr>
            </w:pPr>
          </w:p>
        </w:tc>
        <w:tc>
          <w:tcPr>
            <w:tcW w:w="1120" w:type="dxa"/>
            <w:vAlign w:val="bottom"/>
            <w:tcBorders>
              <w:top w:val="single" w:sz="8" w:color="DDDDDD"/>
              <w:bottom w:val="single" w:sz="8" w:color="auto"/>
            </w:tcBorders>
          </w:tcPr>
          <w:p>
            <w:pPr>
              <w:spacing w:after="0" w:line="20" w:lineRule="exact"/>
              <w:rPr>
                <w:sz w:val="1"/>
                <w:szCs w:val="1"/>
                <w:color w:val="auto"/>
              </w:rPr>
            </w:pPr>
          </w:p>
        </w:tc>
        <w:tc>
          <w:tcPr>
            <w:tcW w:w="64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400" w:type="dxa"/>
            <w:vAlign w:val="bottom"/>
            <w:tcBorders>
              <w:top w:val="single" w:sz="8" w:color="DDDDDD"/>
              <w:bottom w:val="single" w:sz="8" w:color="auto"/>
            </w:tcBorders>
          </w:tcPr>
          <w:p>
            <w:pPr>
              <w:spacing w:after="0" w:line="20" w:lineRule="exact"/>
              <w:rPr>
                <w:sz w:val="1"/>
                <w:szCs w:val="1"/>
                <w:color w:val="auto"/>
              </w:rPr>
            </w:pPr>
          </w:p>
        </w:tc>
        <w:tc>
          <w:tcPr>
            <w:tcW w:w="1360" w:type="dxa"/>
            <w:vAlign w:val="bottom"/>
            <w:tcBorders>
              <w:top w:val="single" w:sz="8" w:color="DDDDDD"/>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3"/>
        </w:trPr>
        <w:tc>
          <w:tcPr>
            <w:tcW w:w="20" w:type="dxa"/>
            <w:vAlign w:val="bottom"/>
            <w:shd w:val="clear" w:color="auto" w:fill="DDDDDD"/>
          </w:tcPr>
          <w:p>
            <w:pPr>
              <w:spacing w:after="0"/>
              <w:rPr>
                <w:sz w:val="17"/>
                <w:szCs w:val="17"/>
                <w:color w:val="auto"/>
              </w:rPr>
            </w:pPr>
          </w:p>
        </w:tc>
        <w:tc>
          <w:tcPr>
            <w:tcW w:w="7580" w:type="dxa"/>
            <w:vAlign w:val="bottom"/>
            <w:gridSpan w:val="4"/>
            <w:shd w:val="clear" w:color="auto" w:fill="DDDDDD"/>
          </w:tcPr>
          <w:p>
            <w:pPr>
              <w:spacing w:after="0"/>
              <w:rPr>
                <w:sz w:val="20"/>
                <w:szCs w:val="20"/>
                <w:color w:val="auto"/>
              </w:rPr>
            </w:pPr>
            <w:r>
              <w:rPr>
                <w:rFonts w:ascii="Arial" w:cs="Arial" w:eastAsia="Arial" w:hAnsi="Arial"/>
                <w:sz w:val="14"/>
                <w:szCs w:val="14"/>
                <w:color w:val="auto"/>
              </w:rPr>
              <w:t>Weighted average common shares outstanding</w:t>
            </w:r>
          </w:p>
        </w:tc>
        <w:tc>
          <w:tcPr>
            <w:tcW w:w="1120" w:type="dxa"/>
            <w:vAlign w:val="bottom"/>
            <w:shd w:val="clear" w:color="auto" w:fill="DDDDDD"/>
          </w:tcPr>
          <w:p>
            <w:pPr>
              <w:spacing w:after="0"/>
              <w:rPr>
                <w:sz w:val="17"/>
                <w:szCs w:val="17"/>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156,362</w:t>
            </w:r>
          </w:p>
        </w:tc>
        <w:tc>
          <w:tcPr>
            <w:tcW w:w="12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195,985</w:t>
            </w:r>
          </w:p>
        </w:tc>
      </w:tr>
      <w:tr>
        <w:trPr>
          <w:trHeight w:val="162"/>
        </w:trPr>
        <w:tc>
          <w:tcPr>
            <w:tcW w:w="20" w:type="dxa"/>
            <w:vAlign w:val="bottom"/>
          </w:tcPr>
          <w:p>
            <w:pPr>
              <w:spacing w:after="0"/>
              <w:rPr>
                <w:sz w:val="14"/>
                <w:szCs w:val="14"/>
                <w:color w:val="auto"/>
              </w:rPr>
            </w:pPr>
          </w:p>
        </w:tc>
        <w:tc>
          <w:tcPr>
            <w:tcW w:w="7580" w:type="dxa"/>
            <w:vAlign w:val="bottom"/>
            <w:gridSpan w:val="4"/>
          </w:tcPr>
          <w:p>
            <w:pPr>
              <w:spacing w:after="0"/>
              <w:rPr>
                <w:sz w:val="20"/>
                <w:szCs w:val="20"/>
                <w:color w:val="auto"/>
              </w:rPr>
            </w:pPr>
            <w:r>
              <w:rPr>
                <w:rFonts w:ascii="Arial" w:cs="Arial" w:eastAsia="Arial" w:hAnsi="Arial"/>
                <w:sz w:val="14"/>
                <w:szCs w:val="14"/>
                <w:color w:val="auto"/>
              </w:rPr>
              <w:t>Common shares issuable with respect to:</w:t>
            </w: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3"/>
        </w:trPr>
        <w:tc>
          <w:tcPr>
            <w:tcW w:w="20" w:type="dxa"/>
            <w:vAlign w:val="bottom"/>
            <w:shd w:val="clear" w:color="auto" w:fill="DDDDDD"/>
          </w:tcPr>
          <w:p>
            <w:pPr>
              <w:spacing w:after="0"/>
              <w:rPr>
                <w:sz w:val="17"/>
                <w:szCs w:val="17"/>
                <w:color w:val="auto"/>
              </w:rPr>
            </w:pPr>
          </w:p>
        </w:tc>
        <w:tc>
          <w:tcPr>
            <w:tcW w:w="7580" w:type="dxa"/>
            <w:vAlign w:val="bottom"/>
            <w:gridSpan w:val="4"/>
            <w:shd w:val="clear" w:color="auto" w:fill="DDDDDD"/>
          </w:tcPr>
          <w:p>
            <w:pPr>
              <w:ind w:left="120"/>
              <w:spacing w:after="0"/>
              <w:rPr>
                <w:sz w:val="20"/>
                <w:szCs w:val="20"/>
                <w:color w:val="auto"/>
              </w:rPr>
            </w:pPr>
            <w:r>
              <w:rPr>
                <w:rFonts w:ascii="Arial" w:cs="Arial" w:eastAsia="Arial" w:hAnsi="Arial"/>
                <w:sz w:val="14"/>
                <w:szCs w:val="14"/>
                <w:color w:val="auto"/>
              </w:rPr>
              <w:t>Stock options</w:t>
            </w:r>
          </w:p>
        </w:tc>
        <w:tc>
          <w:tcPr>
            <w:tcW w:w="1120" w:type="dxa"/>
            <w:vAlign w:val="bottom"/>
            <w:shd w:val="clear" w:color="auto" w:fill="DDDDDD"/>
          </w:tcPr>
          <w:p>
            <w:pPr>
              <w:spacing w:after="0"/>
              <w:rPr>
                <w:sz w:val="17"/>
                <w:szCs w:val="17"/>
                <w:color w:val="auto"/>
              </w:rPr>
            </w:pPr>
          </w:p>
        </w:tc>
        <w:tc>
          <w:tcPr>
            <w:tcW w:w="76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DDDDDD"/>
          </w:tcPr>
          <w:p>
            <w:pPr>
              <w:spacing w:after="0"/>
              <w:rPr>
                <w:sz w:val="17"/>
                <w:szCs w:val="17"/>
                <w:color w:val="auto"/>
              </w:rPr>
            </w:pP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7580" w:type="dxa"/>
            <w:vAlign w:val="bottom"/>
            <w:gridSpan w:val="4"/>
          </w:tcPr>
          <w:p>
            <w:pPr>
              <w:ind w:left="120"/>
              <w:spacing w:after="0"/>
              <w:rPr>
                <w:sz w:val="20"/>
                <w:szCs w:val="20"/>
                <w:color w:val="auto"/>
              </w:rPr>
            </w:pPr>
            <w:r>
              <w:rPr>
                <w:rFonts w:ascii="Arial" w:cs="Arial" w:eastAsia="Arial" w:hAnsi="Arial"/>
                <w:sz w:val="14"/>
                <w:szCs w:val="14"/>
                <w:color w:val="auto"/>
              </w:rPr>
              <w:t>Restricted stock and performance shares</w:t>
            </w:r>
          </w:p>
        </w:tc>
        <w:tc>
          <w:tcPr>
            <w:tcW w:w="1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2,181</w:t>
            </w:r>
          </w:p>
        </w:tc>
      </w:tr>
      <w:tr>
        <w:trPr>
          <w:trHeight w:val="203"/>
        </w:trPr>
        <w:tc>
          <w:tcPr>
            <w:tcW w:w="20" w:type="dxa"/>
            <w:vAlign w:val="bottom"/>
            <w:shd w:val="clear" w:color="auto" w:fill="DDDDDD"/>
          </w:tcPr>
          <w:p>
            <w:pPr>
              <w:spacing w:after="0"/>
              <w:rPr>
                <w:sz w:val="17"/>
                <w:szCs w:val="17"/>
                <w:color w:val="auto"/>
              </w:rPr>
            </w:pPr>
          </w:p>
        </w:tc>
        <w:tc>
          <w:tcPr>
            <w:tcW w:w="7580" w:type="dxa"/>
            <w:vAlign w:val="bottom"/>
            <w:gridSpan w:val="4"/>
            <w:shd w:val="clear" w:color="auto" w:fill="DDDDDD"/>
          </w:tcPr>
          <w:p>
            <w:pPr>
              <w:ind w:left="120"/>
              <w:spacing w:after="0"/>
              <w:rPr>
                <w:sz w:val="20"/>
                <w:szCs w:val="20"/>
                <w:color w:val="auto"/>
              </w:rPr>
            </w:pPr>
            <w:r>
              <w:rPr>
                <w:rFonts w:ascii="Arial" w:cs="Arial" w:eastAsia="Arial" w:hAnsi="Arial"/>
                <w:sz w:val="14"/>
                <w:szCs w:val="14"/>
                <w:color w:val="auto"/>
              </w:rPr>
              <w:t>Convertible preferred stock</w:t>
            </w:r>
          </w:p>
        </w:tc>
        <w:tc>
          <w:tcPr>
            <w:tcW w:w="1120" w:type="dxa"/>
            <w:vAlign w:val="bottom"/>
            <w:shd w:val="clear" w:color="auto" w:fill="DDDDDD"/>
          </w:tcPr>
          <w:p>
            <w:pPr>
              <w:spacing w:after="0"/>
              <w:rPr>
                <w:sz w:val="17"/>
                <w:szCs w:val="17"/>
                <w:color w:val="auto"/>
              </w:rPr>
            </w:pPr>
          </w:p>
        </w:tc>
        <w:tc>
          <w:tcPr>
            <w:tcW w:w="76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DDDDDD"/>
          </w:tcPr>
          <w:p>
            <w:pPr>
              <w:spacing w:after="0"/>
              <w:rPr>
                <w:sz w:val="17"/>
                <w:szCs w:val="17"/>
                <w:color w:val="auto"/>
              </w:rPr>
            </w:pP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20" w:type="dxa"/>
            <w:vAlign w:val="bottom"/>
          </w:tcPr>
          <w:p>
            <w:pPr>
              <w:spacing w:after="0"/>
              <w:rPr>
                <w:sz w:val="17"/>
                <w:szCs w:val="17"/>
                <w:color w:val="auto"/>
              </w:rPr>
            </w:pPr>
          </w:p>
        </w:tc>
        <w:tc>
          <w:tcPr>
            <w:tcW w:w="7580" w:type="dxa"/>
            <w:vAlign w:val="bottom"/>
            <w:gridSpan w:val="4"/>
          </w:tcPr>
          <w:p>
            <w:pPr>
              <w:spacing w:after="0"/>
              <w:rPr>
                <w:sz w:val="20"/>
                <w:szCs w:val="20"/>
                <w:color w:val="auto"/>
              </w:rPr>
            </w:pPr>
            <w:r>
              <w:rPr>
                <w:rFonts w:ascii="Arial" w:cs="Arial" w:eastAsia="Arial" w:hAnsi="Arial"/>
                <w:sz w:val="14"/>
                <w:szCs w:val="14"/>
                <w:color w:val="auto"/>
              </w:rPr>
              <w:t>Adjusted weighted average common shares outstanding</w:t>
            </w:r>
          </w:p>
        </w:tc>
        <w:tc>
          <w:tcPr>
            <w:tcW w:w="1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156,362</w:t>
            </w: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198,166</w:t>
            </w:r>
          </w:p>
        </w:tc>
      </w:tr>
      <w:tr>
        <w:trPr>
          <w:trHeight w:val="20"/>
        </w:trPr>
        <w:tc>
          <w:tcPr>
            <w:tcW w:w="20" w:type="dxa"/>
            <w:vAlign w:val="bottom"/>
            <w:tcBorders>
              <w:bottom w:val="single" w:sz="8" w:color="DDDDDD"/>
            </w:tcBorders>
          </w:tcPr>
          <w:p>
            <w:pPr>
              <w:spacing w:after="0" w:line="20" w:lineRule="exact"/>
              <w:rPr>
                <w:sz w:val="1"/>
                <w:szCs w:val="1"/>
                <w:color w:val="auto"/>
              </w:rPr>
            </w:pPr>
          </w:p>
        </w:tc>
        <w:tc>
          <w:tcPr>
            <w:tcW w:w="2220" w:type="dxa"/>
            <w:vAlign w:val="bottom"/>
            <w:tcBorders>
              <w:bottom w:val="single" w:sz="8" w:color="DDDDDD"/>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320" w:type="dxa"/>
            <w:vAlign w:val="bottom"/>
            <w:tcBorders>
              <w:bottom w:val="single" w:sz="8" w:color="DDDDDD"/>
            </w:tcBorders>
          </w:tcPr>
          <w:p>
            <w:pPr>
              <w:spacing w:after="0" w:line="20" w:lineRule="exact"/>
              <w:rPr>
                <w:sz w:val="1"/>
                <w:szCs w:val="1"/>
                <w:color w:val="auto"/>
              </w:rPr>
            </w:pPr>
          </w:p>
        </w:tc>
        <w:tc>
          <w:tcPr>
            <w:tcW w:w="4940" w:type="dxa"/>
            <w:vAlign w:val="bottom"/>
            <w:tcBorders>
              <w:bottom w:val="single" w:sz="8" w:color="DDDDDD"/>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DDDDDD"/>
          </w:tcPr>
          <w:p>
            <w:pPr>
              <w:spacing w:after="0"/>
              <w:rPr>
                <w:sz w:val="15"/>
                <w:szCs w:val="15"/>
                <w:color w:val="auto"/>
              </w:rPr>
            </w:pPr>
          </w:p>
        </w:tc>
        <w:tc>
          <w:tcPr>
            <w:tcW w:w="22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320" w:type="dxa"/>
            <w:vAlign w:val="bottom"/>
            <w:shd w:val="clear" w:color="auto" w:fill="DDDDDD"/>
          </w:tcPr>
          <w:p>
            <w:pPr>
              <w:spacing w:after="0"/>
              <w:rPr>
                <w:sz w:val="15"/>
                <w:szCs w:val="15"/>
                <w:color w:val="auto"/>
              </w:rPr>
            </w:pPr>
          </w:p>
        </w:tc>
        <w:tc>
          <w:tcPr>
            <w:tcW w:w="4940" w:type="dxa"/>
            <w:vAlign w:val="bottom"/>
            <w:shd w:val="clear" w:color="auto" w:fill="DDDDDD"/>
          </w:tcPr>
          <w:p>
            <w:pPr>
              <w:spacing w:after="0"/>
              <w:rPr>
                <w:sz w:val="15"/>
                <w:szCs w:val="15"/>
                <w:color w:val="auto"/>
              </w:rPr>
            </w:pPr>
          </w:p>
        </w:tc>
        <w:tc>
          <w:tcPr>
            <w:tcW w:w="1120" w:type="dxa"/>
            <w:vAlign w:val="bottom"/>
            <w:shd w:val="clear" w:color="auto" w:fill="DDDDDD"/>
          </w:tcPr>
          <w:p>
            <w:pPr>
              <w:spacing w:after="0"/>
              <w:rPr>
                <w:sz w:val="15"/>
                <w:szCs w:val="15"/>
                <w:color w:val="auto"/>
              </w:rPr>
            </w:pPr>
          </w:p>
        </w:tc>
        <w:tc>
          <w:tcPr>
            <w:tcW w:w="64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400" w:type="dxa"/>
            <w:vAlign w:val="bottom"/>
            <w:shd w:val="clear" w:color="auto" w:fill="DDDDDD"/>
          </w:tcPr>
          <w:p>
            <w:pPr>
              <w:spacing w:after="0"/>
              <w:rPr>
                <w:sz w:val="15"/>
                <w:szCs w:val="15"/>
                <w:color w:val="auto"/>
              </w:rPr>
            </w:pPr>
          </w:p>
        </w:tc>
        <w:tc>
          <w:tcPr>
            <w:tcW w:w="1360" w:type="dxa"/>
            <w:vAlign w:val="bottom"/>
            <w:shd w:val="clear" w:color="auto" w:fill="DDDDDD"/>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7580" w:type="dxa"/>
            <w:vAlign w:val="bottom"/>
            <w:gridSpan w:val="4"/>
          </w:tcPr>
          <w:p>
            <w:pPr>
              <w:spacing w:after="0"/>
              <w:rPr>
                <w:sz w:val="20"/>
                <w:szCs w:val="20"/>
                <w:color w:val="auto"/>
              </w:rPr>
            </w:pPr>
            <w:r>
              <w:rPr>
                <w:rFonts w:ascii="Arial" w:cs="Arial" w:eastAsia="Arial" w:hAnsi="Arial"/>
                <w:sz w:val="14"/>
                <w:szCs w:val="14"/>
                <w:b w:val="1"/>
                <w:bCs w:val="1"/>
                <w:color w:val="auto"/>
              </w:rPr>
              <w:t>Diluted (Loss) Earnings per Share</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(0.38)</w:t>
            </w:r>
          </w:p>
        </w:tc>
        <w:tc>
          <w:tcPr>
            <w:tcW w:w="120" w:type="dxa"/>
            <w:vAlign w:val="bottom"/>
          </w:tcPr>
          <w:p>
            <w:pPr>
              <w:spacing w:after="0"/>
              <w:rPr>
                <w:sz w:val="17"/>
                <w:szCs w:val="17"/>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0.18</w:t>
            </w:r>
          </w:p>
        </w:tc>
      </w:tr>
      <w:tr>
        <w:trPr>
          <w:trHeight w:val="217"/>
        </w:trPr>
        <w:tc>
          <w:tcPr>
            <w:tcW w:w="20" w:type="dxa"/>
            <w:vAlign w:val="bottom"/>
            <w:shd w:val="clear" w:color="auto" w:fill="DDDDDD"/>
          </w:tcPr>
          <w:p>
            <w:pPr>
              <w:spacing w:after="0"/>
              <w:rPr>
                <w:sz w:val="18"/>
                <w:szCs w:val="18"/>
                <w:color w:val="auto"/>
              </w:rPr>
            </w:pPr>
          </w:p>
        </w:tc>
        <w:tc>
          <w:tcPr>
            <w:tcW w:w="22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4940" w:type="dxa"/>
            <w:vAlign w:val="bottom"/>
            <w:shd w:val="clear" w:color="auto" w:fill="DDDDDD"/>
          </w:tcPr>
          <w:p>
            <w:pPr>
              <w:spacing w:after="0"/>
              <w:rPr>
                <w:sz w:val="18"/>
                <w:szCs w:val="18"/>
                <w:color w:val="auto"/>
              </w:rPr>
            </w:pPr>
          </w:p>
        </w:tc>
        <w:tc>
          <w:tcPr>
            <w:tcW w:w="1120" w:type="dxa"/>
            <w:vAlign w:val="bottom"/>
            <w:shd w:val="clear" w:color="auto" w:fill="DDDDDD"/>
          </w:tcPr>
          <w:p>
            <w:pPr>
              <w:spacing w:after="0"/>
              <w:rPr>
                <w:sz w:val="18"/>
                <w:szCs w:val="18"/>
                <w:color w:val="auto"/>
              </w:rPr>
            </w:pPr>
          </w:p>
        </w:tc>
        <w:tc>
          <w:tcPr>
            <w:tcW w:w="6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60" w:type="dxa"/>
            <w:vAlign w:val="bottom"/>
            <w:shd w:val="clear" w:color="auto" w:fill="DDDDDD"/>
          </w:tcPr>
          <w:p>
            <w:pPr>
              <w:spacing w:after="0"/>
              <w:rPr>
                <w:sz w:val="18"/>
                <w:szCs w:val="18"/>
                <w:color w:val="auto"/>
              </w:rPr>
            </w:pPr>
          </w:p>
        </w:tc>
      </w:tr>
    </w:tbl>
    <w:p>
      <w:pPr>
        <w:spacing w:after="0" w:line="4" w:lineRule="exact"/>
        <w:rPr>
          <w:sz w:val="20"/>
          <w:szCs w:val="20"/>
          <w:color w:val="auto"/>
        </w:rPr>
      </w:pPr>
    </w:p>
    <w:p>
      <w:pPr>
        <w:ind w:left="20" w:right="340"/>
        <w:spacing w:after="0" w:line="256" w:lineRule="auto"/>
        <w:rPr>
          <w:sz w:val="20"/>
          <w:szCs w:val="20"/>
          <w:color w:val="auto"/>
        </w:rPr>
      </w:pPr>
      <w:r>
        <w:rPr>
          <w:rFonts w:ascii="Arial" w:cs="Arial" w:eastAsia="Arial" w:hAnsi="Arial"/>
          <w:sz w:val="14"/>
          <w:szCs w:val="14"/>
          <w:color w:val="auto"/>
        </w:rPr>
        <w:t>The following securities were not included in the computation of diluted earnings per share as they were either contingently issuable shares or shares that if included would have been anti-dilutive: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00" w:type="dxa"/>
            <w:vAlign w:val="bottom"/>
            <w:shd w:val="clear" w:color="auto" w:fill="DDDDDD"/>
          </w:tcPr>
          <w:p>
            <w:pPr>
              <w:ind w:left="20"/>
              <w:spacing w:after="0"/>
              <w:rPr>
                <w:sz w:val="20"/>
                <w:szCs w:val="20"/>
                <w:color w:val="auto"/>
              </w:rPr>
            </w:pPr>
            <w:r>
              <w:rPr>
                <w:rFonts w:ascii="Arial" w:cs="Arial" w:eastAsia="Arial" w:hAnsi="Arial"/>
                <w:sz w:val="14"/>
                <w:szCs w:val="14"/>
                <w:color w:val="auto"/>
              </w:rPr>
              <w:t>Stock options</w:t>
            </w:r>
          </w:p>
        </w:tc>
        <w:tc>
          <w:tcPr>
            <w:tcW w:w="680" w:type="dxa"/>
            <w:vAlign w:val="bottom"/>
            <w:shd w:val="clear" w:color="auto" w:fill="DDDDDD"/>
          </w:tcPr>
          <w:p>
            <w:pPr>
              <w:spacing w:after="0"/>
              <w:rPr>
                <w:sz w:val="15"/>
                <w:szCs w:val="15"/>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612</w:t>
            </w:r>
          </w:p>
        </w:tc>
        <w:tc>
          <w:tcPr>
            <w:tcW w:w="120" w:type="dxa"/>
            <w:vAlign w:val="bottom"/>
            <w:shd w:val="clear" w:color="auto" w:fill="DDDDDD"/>
          </w:tcPr>
          <w:p>
            <w:pPr>
              <w:spacing w:after="0"/>
              <w:rPr>
                <w:sz w:val="15"/>
                <w:szCs w:val="15"/>
                <w:color w:val="auto"/>
              </w:rPr>
            </w:pPr>
          </w:p>
        </w:tc>
        <w:tc>
          <w:tcPr>
            <w:tcW w:w="680" w:type="dxa"/>
            <w:vAlign w:val="bottom"/>
            <w:shd w:val="clear" w:color="auto" w:fill="DDDDDD"/>
          </w:tcPr>
          <w:p>
            <w:pPr>
              <w:spacing w:after="0"/>
              <w:rPr>
                <w:sz w:val="15"/>
                <w:szCs w:val="15"/>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693</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Restricted stock and performance shares</w:t>
            </w: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6,470</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5,327</w:t>
            </w:r>
          </w:p>
        </w:tc>
      </w:tr>
      <w:tr>
        <w:trPr>
          <w:trHeight w:val="203"/>
        </w:trPr>
        <w:tc>
          <w:tcPr>
            <w:tcW w:w="7600" w:type="dxa"/>
            <w:vAlign w:val="bottom"/>
            <w:shd w:val="clear" w:color="auto" w:fill="DDDDDD"/>
          </w:tcPr>
          <w:p>
            <w:pPr>
              <w:ind w:left="20"/>
              <w:spacing w:after="0"/>
              <w:rPr>
                <w:sz w:val="20"/>
                <w:szCs w:val="20"/>
                <w:color w:val="auto"/>
              </w:rPr>
            </w:pPr>
            <w:r>
              <w:rPr>
                <w:rFonts w:ascii="Arial" w:cs="Arial" w:eastAsia="Arial" w:hAnsi="Arial"/>
                <w:sz w:val="14"/>
                <w:szCs w:val="14"/>
                <w:color w:val="auto"/>
              </w:rPr>
              <w:t>Convertible preferred stock</w:t>
            </w:r>
          </w:p>
        </w:tc>
        <w:tc>
          <w:tcPr>
            <w:tcW w:w="680" w:type="dxa"/>
            <w:vAlign w:val="bottom"/>
            <w:tcBorders>
              <w:bottom w:val="single" w:sz="8" w:color="auto"/>
            </w:tcBorders>
            <w:shd w:val="clear" w:color="auto" w:fill="DDDDDD"/>
          </w:tcPr>
          <w:p>
            <w:pPr>
              <w:spacing w:after="0"/>
              <w:rPr>
                <w:sz w:val="17"/>
                <w:szCs w:val="17"/>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6,742</w:t>
            </w:r>
          </w:p>
        </w:tc>
        <w:tc>
          <w:tcPr>
            <w:tcW w:w="120" w:type="dxa"/>
            <w:vAlign w:val="bottom"/>
            <w:shd w:val="clear" w:color="auto" w:fill="DDDDDD"/>
          </w:tcPr>
          <w:p>
            <w:pPr>
              <w:spacing w:after="0"/>
              <w:rPr>
                <w:sz w:val="17"/>
                <w:szCs w:val="17"/>
                <w:color w:val="auto"/>
              </w:rPr>
            </w:pPr>
          </w:p>
        </w:tc>
        <w:tc>
          <w:tcPr>
            <w:tcW w:w="680" w:type="dxa"/>
            <w:vAlign w:val="bottom"/>
            <w:tcBorders>
              <w:bottom w:val="single" w:sz="8" w:color="auto"/>
            </w:tcBorders>
            <w:shd w:val="clear" w:color="auto" w:fill="DDDDDD"/>
          </w:tcPr>
          <w:p>
            <w:pPr>
              <w:spacing w:after="0"/>
              <w:rPr>
                <w:sz w:val="17"/>
                <w:szCs w:val="17"/>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6,742</w:t>
            </w:r>
          </w:p>
        </w:tc>
      </w:tr>
      <w:tr>
        <w:trPr>
          <w:trHeight w:val="200"/>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Total Anti-Dilutive Securities</w:t>
            </w: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13,824</w:t>
            </w:r>
          </w:p>
        </w:tc>
        <w:tc>
          <w:tcPr>
            <w:tcW w:w="1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12,762</w:t>
            </w:r>
          </w:p>
        </w:tc>
      </w:tr>
      <w:tr>
        <w:trPr>
          <w:trHeight w:val="20"/>
        </w:trPr>
        <w:tc>
          <w:tcPr>
            <w:tcW w:w="7600" w:type="dxa"/>
            <w:vAlign w:val="bottom"/>
            <w:tcBorders>
              <w:bottom w:val="single" w:sz="8" w:color="DDDDDD"/>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DDDDDD"/>
          </w:tcPr>
          <w:p>
            <w:pPr>
              <w:spacing w:after="0"/>
              <w:rPr>
                <w:sz w:val="15"/>
                <w:szCs w:val="15"/>
                <w:color w:val="auto"/>
              </w:rPr>
            </w:pPr>
          </w:p>
        </w:tc>
        <w:tc>
          <w:tcPr>
            <w:tcW w:w="680" w:type="dxa"/>
            <w:vAlign w:val="bottom"/>
            <w:shd w:val="clear" w:color="auto" w:fill="DDDDDD"/>
          </w:tcPr>
          <w:p>
            <w:pPr>
              <w:spacing w:after="0"/>
              <w:rPr>
                <w:sz w:val="15"/>
                <w:szCs w:val="15"/>
                <w:color w:val="auto"/>
              </w:rPr>
            </w:pPr>
          </w:p>
        </w:tc>
        <w:tc>
          <w:tcPr>
            <w:tcW w:w="108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680" w:type="dxa"/>
            <w:vAlign w:val="bottom"/>
            <w:shd w:val="clear" w:color="auto" w:fill="DDDDDD"/>
          </w:tcPr>
          <w:p>
            <w:pPr>
              <w:spacing w:after="0"/>
              <w:rPr>
                <w:sz w:val="15"/>
                <w:szCs w:val="15"/>
                <w:color w:val="auto"/>
              </w:rPr>
            </w:pPr>
          </w:p>
        </w:tc>
        <w:tc>
          <w:tcPr>
            <w:tcW w:w="1080" w:type="dxa"/>
            <w:vAlign w:val="bottom"/>
            <w:shd w:val="clear" w:color="auto" w:fill="DDDDDD"/>
          </w:tcPr>
          <w:p>
            <w:pPr>
              <w:spacing w:after="0"/>
              <w:rPr>
                <w:sz w:val="15"/>
                <w:szCs w:val="15"/>
                <w:color w:val="auto"/>
              </w:rPr>
            </w:pPr>
          </w:p>
        </w:tc>
      </w:tr>
      <w:tr>
        <w:trPr>
          <w:trHeight w:val="203"/>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Dividends per Common Share</w:t>
            </w:r>
          </w:p>
        </w:tc>
        <w:tc>
          <w:tcPr>
            <w:tcW w:w="6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c>
          <w:tcPr>
            <w:tcW w:w="120" w:type="dxa"/>
            <w:vAlign w:val="bottom"/>
          </w:tcPr>
          <w:p>
            <w:pPr>
              <w:spacing w:after="0"/>
              <w:rPr>
                <w:sz w:val="17"/>
                <w:szCs w:val="17"/>
                <w:color w:val="auto"/>
              </w:rPr>
            </w:pPr>
          </w:p>
        </w:tc>
        <w:tc>
          <w:tcPr>
            <w:tcW w:w="6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r>
      <w:tr>
        <w:trPr>
          <w:trHeight w:val="20"/>
        </w:trPr>
        <w:tc>
          <w:tcPr>
            <w:tcW w:w="7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DA2031"/>
        </w:rPr>
        <w:t>Note 21 – Contingencies and Litigation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Legal Matters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involved in a variety of claims, lawsuits, investigations and proceedings concerning: securities law; governmental entity contracting; servicing and procurement law; intellectual property law; environmental law; employment law; the Employee Retirement Income Security Act (ERISA); and other laws and regulations. We determine whether an estimated loss from a contingency should be accrued by assessing whether a loss is deemed probable and can be reasonably estimated. We assess our potential liability by analyzing our litigation and regulatory matters using available information. We develop our views on estimated losses in consultation with outside counsel handling our defense in these matters, which involves an analysis of potential results, assuming a combination of litigation and settlement strategies. Should developments in any of these matters cause a change in our determination as to an unfavorable outcome and result in the need to recognize a material accrual, or should any of these matters result in a final adverse judgment or be settled for significant amounts, they could have a material adverse effect on our results of operations, cash flows and financial position in the period or periods in which such change in determination, judgment or settlement occurs.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Brazil Contingencies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Brazilian operations have received or been the subject of numerous governmental assessments related to indirect and other taxes. The tax matters principally relate to claims for taxes on the internal transfer of inventory, municipal service taxes on rentals and gross revenue taxes. We are disputing these tax matters and intend to vigorously defend our positions. Based on the opinion of legal counsel and current reserves for those matters deemed probable of loss, we do not believe that the ultimate resolution of these matters will materially impact our results of operations, financial position or cash flows. Below is a summary of our Brazilian tax contingencies: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340" w:type="dxa"/>
            <w:vAlign w:val="bottom"/>
          </w:tcPr>
          <w:p>
            <w:pPr>
              <w:jc w:val="center"/>
              <w:ind w:left="348"/>
              <w:spacing w:after="0"/>
              <w:rPr>
                <w:sz w:val="20"/>
                <w:szCs w:val="20"/>
                <w:color w:val="auto"/>
              </w:rPr>
            </w:pPr>
            <w:r>
              <w:rPr>
                <w:rFonts w:ascii="Arial" w:cs="Arial" w:eastAsia="Arial" w:hAnsi="Arial"/>
                <w:sz w:val="14"/>
                <w:szCs w:val="14"/>
                <w:color w:val="auto"/>
              </w:rPr>
              <w:t>March 31,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Arial" w:cs="Arial" w:eastAsia="Arial" w:hAnsi="Arial"/>
                <w:sz w:val="14"/>
                <w:szCs w:val="14"/>
                <w:color w:val="auto"/>
              </w:rPr>
              <w:t>December 31,</w:t>
            </w:r>
          </w:p>
        </w:tc>
      </w:tr>
      <w:tr>
        <w:trPr>
          <w:trHeight w:val="185"/>
        </w:trPr>
        <w:tc>
          <w:tcPr>
            <w:tcW w:w="7600" w:type="dxa"/>
            <w:vAlign w:val="bottom"/>
            <w:tcBorders>
              <w:bottom w:val="single" w:sz="8" w:color="E5E5E5"/>
            </w:tcBorders>
          </w:tcPr>
          <w:p>
            <w:pPr>
              <w:spacing w:after="0"/>
              <w:rPr>
                <w:sz w:val="16"/>
                <w:szCs w:val="16"/>
                <w:color w:val="auto"/>
              </w:rPr>
            </w:pPr>
          </w:p>
        </w:tc>
        <w:tc>
          <w:tcPr>
            <w:tcW w:w="13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2022</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2021</w:t>
            </w:r>
          </w:p>
        </w:tc>
      </w:tr>
      <w:tr>
        <w:trPr>
          <w:trHeight w:val="196"/>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Tax contingency - unreserved</w:t>
            </w:r>
          </w:p>
        </w:tc>
        <w:tc>
          <w:tcPr>
            <w:tcW w:w="1340" w:type="dxa"/>
            <w:vAlign w:val="bottom"/>
            <w:shd w:val="clear" w:color="auto" w:fill="E5E5E5"/>
          </w:tcPr>
          <w:p>
            <w:pPr>
              <w:jc w:val="right"/>
              <w:ind w:right="1168"/>
              <w:spacing w:after="0"/>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368</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292</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Escrow cash deposits</w:t>
            </w:r>
          </w:p>
        </w:tc>
        <w:tc>
          <w:tcPr>
            <w:tcW w:w="13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07"/>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Surety bonds</w:t>
            </w:r>
          </w:p>
        </w:tc>
        <w:tc>
          <w:tcPr>
            <w:tcW w:w="1340" w:type="dxa"/>
            <w:vAlign w:val="bottom"/>
            <w:shd w:val="clear" w:color="auto" w:fill="E5E5E5"/>
          </w:tcPr>
          <w:p>
            <w:pPr>
              <w:spacing w:after="0"/>
              <w:rPr>
                <w:sz w:val="17"/>
                <w:szCs w:val="17"/>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96</w:t>
            </w:r>
          </w:p>
        </w:tc>
      </w:tr>
      <w:tr>
        <w:trPr>
          <w:trHeight w:val="199"/>
        </w:trPr>
        <w:tc>
          <w:tcPr>
            <w:tcW w:w="7600" w:type="dxa"/>
            <w:vAlign w:val="bottom"/>
          </w:tcPr>
          <w:p>
            <w:pPr>
              <w:ind w:left="20"/>
              <w:spacing w:after="0"/>
              <w:rPr>
                <w:sz w:val="20"/>
                <w:szCs w:val="20"/>
                <w:color w:val="auto"/>
              </w:rPr>
            </w:pPr>
            <w:r>
              <w:rPr>
                <w:rFonts w:ascii="Arial" w:cs="Arial" w:eastAsia="Arial" w:hAnsi="Arial"/>
                <w:sz w:val="14"/>
                <w:szCs w:val="14"/>
                <w:color w:val="auto"/>
              </w:rPr>
              <w:t>Letters of credit</w:t>
            </w:r>
          </w:p>
        </w:tc>
        <w:tc>
          <w:tcPr>
            <w:tcW w:w="13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206"/>
        </w:trPr>
        <w:tc>
          <w:tcPr>
            <w:tcW w:w="7600" w:type="dxa"/>
            <w:vAlign w:val="bottom"/>
            <w:shd w:val="clear" w:color="auto" w:fill="E5E5E5"/>
          </w:tcPr>
          <w:p>
            <w:pPr>
              <w:ind w:left="20"/>
              <w:spacing w:after="0"/>
              <w:rPr>
                <w:sz w:val="20"/>
                <w:szCs w:val="20"/>
                <w:color w:val="auto"/>
              </w:rPr>
            </w:pPr>
            <w:r>
              <w:rPr>
                <w:rFonts w:ascii="Arial" w:cs="Arial" w:eastAsia="Arial" w:hAnsi="Arial"/>
                <w:sz w:val="14"/>
                <w:szCs w:val="14"/>
                <w:color w:val="auto"/>
              </w:rPr>
              <w:t>Liens on Brazilian assets</w:t>
            </w:r>
          </w:p>
        </w:tc>
        <w:tc>
          <w:tcPr>
            <w:tcW w:w="1340" w:type="dxa"/>
            <w:vAlign w:val="bottom"/>
            <w:shd w:val="clear" w:color="auto" w:fill="E5E5E5"/>
          </w:tcPr>
          <w:p>
            <w:pPr>
              <w:spacing w:after="0"/>
              <w:rPr>
                <w:sz w:val="17"/>
                <w:szCs w:val="17"/>
                <w:color w:val="auto"/>
              </w:rPr>
            </w:pPr>
          </w:p>
        </w:tc>
        <w:tc>
          <w:tcPr>
            <w:tcW w:w="54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E5E5E5"/>
          </w:tcPr>
          <w:p>
            <w:pPr>
              <w:spacing w:after="0"/>
              <w:rPr>
                <w:sz w:val="17"/>
                <w:szCs w:val="17"/>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r>
    </w:tbl>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the unreserved portion of the tax contingency, inclusive of any related interest, was primarily due to currency, as well as interest. With respect to the unreserved tax contingency, the majority has been assessed by management as being remote as to the likelihood of ultimately resulting in a loss to the Company. In connection with the above proceedings, customary local regulations may require us to make escrow cash deposits or post other security of up to half of the total amount in dispute, as well as, additional surety bonds and letters of credit, which include associated indexation. Generally, any escrowed amounts would be refundable and any liens on assets would be removed to the extent the matters are resolved in our favor. We are also involved in certain disputes with contract and former employees. Exposures related to labor matters are not material to the financial statements as of March 31, 2022 and December 31, 2021. We routinely assess all these matters as to the probability of ultimately incurring a liability against our Brazilian operations and record our best estimate of the ultimate loss in situations where we assess the likelihood of an ultimate loss as probable.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Litigation Against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DA2031"/>
        </w:rPr>
        <w:t>Miami Firefighters’ Relief &amp; Pension Fund v. Icahn, et al.:</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13, 2019, alleged shareholder Miami Firefighters’ Relief &amp; Pension Fund (“Miami Firefighters”) filed a purported derivative complaint in New York State Supreme Court, New York County on behalf of Xerox Holdings Corporation ("Xerox Holdings") (as nominal defendant) against Carl Icahn and his affiliated entities High River Limited Partnership and Icahn Capital LP (the "Icahn defendants"), Xerox Holdings, and all then-current Xerox Holdings directors (the "Directors"). Plaintiff made no demand on the Board before bringing the action, but instead alleges that doing so would be futile because the Directors lack independence due to alleged direct or indirect relationships with Icahn. Among other things, the complaint alleges that Icahn controls and dominates Xerox Holdings and therefore owes a fiduciary duty of loyalty to Xerox Holdings, which he breached by acquiring HP stock at a time when he knew that Xerox Holdings was considering an offer to acquire HP or had knowledge of the "obvious merits" of such potential acquisition, and that the Icahn defendants’ holdings of HP common stock have risen in market value by approximately $128 since disclosure of the offer. The complaint includes four causes of action: breach of fiduciary duty of loyalty against the Icahn defendants; breach of contract against the Icahn</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38" w:name="page39"/>
    <w:bookmarkEnd w:id="38"/>
    <w:p>
      <w:pPr>
        <w:jc w:val="both"/>
        <w:spacing w:after="0" w:line="255" w:lineRule="auto"/>
        <w:rPr>
          <w:sz w:val="20"/>
          <w:szCs w:val="20"/>
          <w:color w:val="auto"/>
        </w:rPr>
      </w:pPr>
      <w:r>
        <w:rPr>
          <w:rFonts w:ascii="Arial" w:cs="Arial" w:eastAsia="Arial" w:hAnsi="Arial"/>
          <w:sz w:val="18"/>
          <w:szCs w:val="18"/>
          <w:color w:val="auto"/>
        </w:rPr>
        <w:t xml:space="preserve">defendants (for purchasing HP stock in violation of Icahn’s confidentiality agreement with Xerox Holdings); unjust enrichment against the Icahn defendants; and breach of fiduciary duty of loyalty against the Directors (for any consent to the Icahn defendants’ purchases of HP common stock while Xerox Holdings was considering acquiring HP). The complaint seeks a judgment of breach of fiduciary duties against the Icahn defendants and the Directors; a declaration that Icahn breached his confidentiality agreement with Xerox Holdings; a constructive trust on Icahn Capital and High River's investments in HP securities; disgorgement to Xerox Holdings of profits Icahn Capital and High River earned from trading in HP stock; payment of unspecified damages by the Directors for breaching fiduciary duties; and attorneys' fees, costs, and other relief the Court deems just and proper. On January 15, 2020, the Court entered an order granting plaintiff’s unopposed motion to consolidate with </w:t>
      </w:r>
      <w:r>
        <w:rPr>
          <w:rFonts w:ascii="Arial" w:cs="Arial" w:eastAsia="Arial" w:hAnsi="Arial"/>
          <w:sz w:val="18"/>
          <w:szCs w:val="18"/>
          <w:u w:val="single" w:color="auto"/>
          <w:color w:val="auto"/>
        </w:rPr>
        <w:t>Miami Firefighters</w:t>
      </w:r>
      <w:r>
        <w:rPr>
          <w:rFonts w:ascii="Arial" w:cs="Arial" w:eastAsia="Arial" w:hAnsi="Arial"/>
          <w:sz w:val="18"/>
          <w:szCs w:val="18"/>
          <w:color w:val="auto"/>
        </w:rPr>
        <w:t xml:space="preserve"> a similar action filed on December 26, 2019 by alleged shareholder Steven J. Reynolds against the same parties in the same court, and designating Miami Firefighters’ counsel as lead counsel in the consolidated action.</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Discovery commenced. On August 10, 2020, the Xerox defendants and the Icahn defendants filed separate motions to dismiss. Briefing on the motions was completed on October 21, 2020. On December 14, 2020, following oral argument, the Court issued a decision and order granting defendants’ motions and dismissing the action in its entirety as to all defendants. Dismissal as to the Icahn defendants was conditioned on the filing of an affidavit, which the Icahn defendants filed on December 16, 2020, indicating whether defendant Icahn gained a profit or incurred a loss on purchases of HP stock during the relevant time period.</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December 23, 2020, plaintiff filed a motion seeking discovery related to the Icahn defendants’ losses resulting from their investment in HP. The motion was fully briefed on January 7, 2021. On January 15, 2021, the Court issued a decision and order denying the motion.</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Also on January 15, 2021, plaintiff filed a notice of appeal of the December 14, 2020 dismissal order to the Appellate Division, First Department. On January 20, 2021, plaintiff filed a notice of appeal of the January 15, 2021 order denying its motion for discovery to the Appellate Division, First Department. On July 15, 2021, plaintiff filed its brief in connection with the appeals of the December 14, 2020 dismissal order and the January 15, 2021 discovery order.</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18, 2021, the Appellate Division issued its decision. The Court reversed the lower court’s ruling to the extent that it dismissed the claims asserted against the Icahn defendants. The claims asserted against the Directors remain dismissed. On December 8, 2021, the Xerox Board approved the formation of a Special Litigation Committee to investigate and evaluate the claims and allegations asserted in the Miami Firefighters’ case and determine the course of action that would be in the best interests of the Company and its shareholders. The Special Litigation Committee moved to stay the litigation pending its investigation and on January 25, 2022, the Court issued an order staying all discovery until February 28, 2022, except as related to the issue of the alleged damages sustained by Xerox.</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18, 2022, following the conclusion of its investigation, the Special Litigation Committee filed a motion to dismiss plaintiffs’ claims on the grounds that the derivative claims are without merit and pursuing the claims would not be in the best interest of Xerox or its shareholders. One week later the Icahn Defendants filed a motion for summary judgment. On April 4, 2022, Miami Firefighters filed papers in opposition to the pending motions and cross-moved to, among other things, seek discovery regarding the Special Litigation Committee’s investigation. Miami Firefighters also cross-moved seeking an order granting partial summary judgment against the Icahn Defendants for disgorgement of alleged unrealized profits in the amount of $18.12. Oral argument on the pending motions is scheduled for May 26, 2022.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DA2031"/>
        </w:rPr>
        <w:t>Xerox Holdings Corporation v. Factory Mutual Insurance Company and Related Actions:</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10, 2021, Xerox Holdings Corporation (“Xerox Holdings”) filed a complaint for breach of contract and declaratory judgment against Factory Mutual Insurance Company in Rhode Island Superior Court, Providence County seeking insurance coverage for business interruption losses resulting from the coronavirus/COVID-19 pandemic. The complaint alleges that defendant agreed to provide Xerox Holdings with up to $1 billion in per-occurrence coverage for losses resulting from pandemic-related loss or damage to certain real and other property, including business interruption loss resulting from insured property damage; that the pandemic had inflicted significant physical loss or damage to property of Xerox Holdings and its direct and indirect customers; that Xerox Holdings’ worldwide actual and projected losses through the end of 2020 totaled in excess of $300 (and is still increasing); and that following Xerox Holdings' timely and proper claim in March 2020 for coverage under the “all risk” commercial property insurance policy it had purchased from defendant, defendant improperly denied and rejected coverage for most of the claim. The complaint seeks a jury trial, a declaratory judgment against defendant declaring that Xerox is entitled to full coverage of costs and losses under defendant’s policy and declaring that defendant is required to pay for such costs and losses, subject to any applicable limits; damages in an amount to be</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9" w:name="page40"/>
    <w:bookmarkEnd w:id="39"/>
    <w:p>
      <w:pPr>
        <w:jc w:val="both"/>
        <w:spacing w:after="0" w:line="268" w:lineRule="auto"/>
        <w:rPr>
          <w:sz w:val="20"/>
          <w:szCs w:val="20"/>
          <w:color w:val="auto"/>
        </w:rPr>
      </w:pPr>
      <w:r>
        <w:rPr>
          <w:rFonts w:ascii="Arial" w:cs="Arial" w:eastAsia="Arial" w:hAnsi="Arial"/>
          <w:sz w:val="18"/>
          <w:szCs w:val="18"/>
          <w:color w:val="auto"/>
        </w:rPr>
        <w:t>determined at trial; consequential damages; attorneys’ fees and costs; pre- and post-judgment interest; and other relief the Court deems just and proper. Also on March 10, 2021, subsidiaries of Xerox Holdings filed similar complaints and related requests for arbitration in Toronto, London, and Amsterdam for Canadian, UK and European losses.</w:t>
      </w:r>
    </w:p>
    <w:p>
      <w:pPr>
        <w:spacing w:after="0" w:line="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Xerox Holdings consented to defendant’s request for an extension of its time in which to answer or otherwise respond to the complaint. On May 6, 2021, FMG filed its answer to the complaint. The parties thereafter agreed to stay all non-U.S. proceedings pending the outcome of the U.S. litigation.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Guarantees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have issued or provided approximately $279 of guarantees as of March 31, 2022 in the form of letters of credit or surety bonds issued to</w:t>
      </w:r>
    </w:p>
    <w:p>
      <w:pPr>
        <w:spacing w:after="0" w:line="27" w:lineRule="exact"/>
        <w:rPr>
          <w:sz w:val="20"/>
          <w:szCs w:val="20"/>
          <w:color w:val="auto"/>
        </w:rPr>
      </w:pPr>
    </w:p>
    <w:p>
      <w:pPr>
        <w:jc w:val="both"/>
        <w:ind w:firstLine="8"/>
        <w:spacing w:after="0" w:line="258" w:lineRule="auto"/>
        <w:tabs>
          <w:tab w:leader="none" w:pos="1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support certain insurance programs; ii) support our obligations related to the Brazil contingencies; and iii) support certain contracts, primarily with public sector customers, which require us to provide a surety bond as a guarantee of our performance of contractual obligations.</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general, we would only be liable for the amount of these guarantees in the event we defaulted in performing our obligations under each contract, the probability of which we believe is remote. We believe that our capacity in the surety markets as well as under various credit arrangements (including our Credit Facility) is sufficient to allow us to respond to future requests for proposals that require such credit support.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DA2031"/>
        </w:rPr>
        <w:t>Note 22 – Subsequent Events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Pension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2022, our U.K. defined benefit pension plan was amended, at the sole discretion of the Plan Trustees as legally allowed, to increase the capped inflation indexation for the April 2022 pension increase award to 7.5% in line with the December 2021 UK Retail Price Index (RPI). This plan amendment is expected to result in an increase of approximately $53 (GBP 40 million) in the projected benefit obligation (PBO) for this plan (approximately 1.4% of the plan PBO as of December 31, 2021). However, at this stage, we are still evaluating the full impact of this amendment including the associated impacts from the required remeasurement of the plan assets and obligations for updates to discount rates, actual returns and actuarial experience as of the effective date of the amendment. Refer to Note 19 - Employee Benefit Plans in the Consolidated Financial Statements included in the 2021 Annual Report for additional information regarding our U.K. defined benefit pension plan including its funding status as of December 31, 2021.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Secured Borrowing</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2022, we entered into a secured loan agreement with a financial institution where we sold $94 (119 million CAD) of finance receivables of our Canadian subsidiary to a special purpose entity (SPE). The purchase by the SPE was funded through an $85 (108 million CAD) amortizing secured loan to the SPE from the financial institution. The transaction was accounted for as a secured borrowing and the SPE is fully consolidated in our financial statements. As a result, the assets of the SPE are not available to satisfy any of our other obligations. Conversely, the credit holder of this SPE does not have legal recourse to the Company’s general credit.</w:t>
      </w:r>
    </w:p>
    <w:p>
      <w:pPr>
        <w:spacing w:after="0" w:line="5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loan has a variable interest rate that was swapped to a fixed interest rate of 3.32% and it has an expected life of less than 3 years, with half of the loan projected to be repaid within the first year based on collections of the underlying portfolio of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DA2031"/>
        </w:rPr>
        <w:t>ITEM 2 — MANAGEMENT’S DISCUSSION AND ANALYSIS OF FINANCIAL CONDITION AND RESULTS OF OPERATIONS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Throughout the Management’s Discussion and Analysis (MD&amp;A), references to “Xerox Holdings” refer to Xerox Holdings Corporation and its consolidated subsidiaries while references to “Xerox” refer to Xerox Corporation and its consolidated subsidiaries. References herein to “we,” “us,” “our,” the “Company” refer collectively to both Xerox Holdings and Xerox unless the context suggests otherwise. References to "Xerox Holdings Corporation" refer to the stand-alone parent company and do not include its subsidiaries. References to "Xerox Corporation" refer to the stand-alone company and do not include its subsidiaries.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Xerox Holdings' primary direct operating subsidiary is Xerox and Xerox reflects nearly all of Xerox Holdings' operations. Accordingly, the following MD&amp;A primarily focuses on the operations of Xerox and is intended to help the reader understand Xerox's business and its results of operations and financial condition. The MD&amp;A is provided as a supplement to, and should be read in conjunction with, the Condensed Consolidated Financial Statements and the accompanying notes. Throughout this MD&amp;A, references are made to various notes in the Condensed Consolidated Financial Statements which appear in Item 1 of this Combined Quarterly Report on Form 10-Q, and the information contained in such notes is incorporated by reference into the MD&amp;A in the places where such references are made.</w:t>
      </w:r>
    </w:p>
    <w:p>
      <w:pPr>
        <w:spacing w:after="0" w:line="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Xerox Holdings' other direct subsidiary is Xerox Ventures LLC, which was established in 2021 solely to invest in startups and early/mid-stage growth companies aligned with the Company’s innovation focus areas and targeted adjacencies. Xerox Ventures LLC had investments of approximately $13 million at March 31, 2022. Due to its immaterial nature, and for ease of discussion, Xerox Ventures LLC's results are included within the following discussion.</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Currency Impact</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understand the trends in the business, we believe that it is helpful to analyze the impact of changes in the translation of foreign currencies into U.S. Dollars on revenue and expenses. We refer to this analysis as "constant currency", “currency impact” or “the impact from currency.” This impact is calculated by translating current period activity in local currency using the comparable prior year period's currency translation rate. This impact is calculated for all countries where the functional currency is the local country currency. We do not hedge the translation effect of revenues or expenses denominated in currencies where the local currency is the functional currency. Management believes the constant currency measure provides investors an additional perspective on revenue trends. Currency impact can be determined as the difference between actual growth rates and constant currency growth rates.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Overview</w:t>
      </w:r>
    </w:p>
    <w:p>
      <w:pPr>
        <w:spacing w:after="0" w:line="9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the first quarter 2022, our business faced several challenges. Supply constraints continued to inhibit our ability to fulfill demand, negatively impacting our Equipment Sales Revenue but resulting in the growth of our backlog</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to $422 million, a 21% sequential increase and nearly three times the prior year period’s levels. As demand and backlog grow, we are focused on maintaining our level of client satisfaction. We continue to expect supply chain constraints to begin easing in the second half of the year and we did see slight improvements in page volumes and volume-driven post sale revenue in the first quarter 2022, particularly in March, as the Omicron variant waned and more employees returned to the office. Third-party</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data points to gathering momentum in return to office trends. Progressive improvement in workplace attendance is expected each month, with a broader return of employees to the office in the second half of the year. Lastly, in the first quarter 2022, we also saw an acceleration of inflationary pressure on costs throughout our business, particularly for logistics and labor. The Company is enacting a series of price increases with the intent to offset these inflation-related cost increases over time as price adjustments are enforced within our contractual business and we further rationalize our cost base.</w:t>
      </w:r>
    </w:p>
    <w:p>
      <w:pPr>
        <w:spacing w:after="0" w:line="4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13" w:lineRule="exact"/>
        <w:rPr>
          <w:sz w:val="20"/>
          <w:szCs w:val="20"/>
          <w:color w:val="auto"/>
        </w:rPr>
      </w:pPr>
    </w:p>
    <w:p>
      <w:pPr>
        <w:ind w:left="340" w:right="2220" w:hanging="332"/>
        <w:spacing w:after="0" w:line="261" w:lineRule="auto"/>
        <w:tabs>
          <w:tab w:leader="none" w:pos="327"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Order backlog is measured as the value of unfulfilled sales orders, shipped and non-shipped, received from our customers waiting to be installed, including orders with future installation dates. It includes printing devices as well as IT hardware associated with our IT services</w:t>
      </w:r>
    </w:p>
    <w:p>
      <w:pPr>
        <w:ind w:left="340"/>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offerings. First quarter 2022 backlog of $422 million excludes sales orders from Russia and Powerland, which was acquired in the first quarter of 2022.</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Third party data is Kastle Systems U.S. offices badge swipe data metric.</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color w:val="DA2031"/>
        </w:rPr>
        <w:t>Russia-Ukraine Conflict</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With respect to the war in Ukraine, in the first quarter 2022, we halted shipments to Russia when sanctions were imposed. The resulting financial impact has thus far been minimal. The Eurasian region in total comprised a low single digit percentage of our revenue and operating profits in 2021. As of March 31, 2022 the net assets of our Eurasian operations were approximately $20 million (approximately $35 million of assets) and comprised approximately 0.5% of consolidated net assets.</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Reportable Segment Change</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first quarter of 2022, the Company made a change to its reportable segments from one reportable segment to two reportable segments - Print and Other, and Financing (FITTLE) to align with a change in how the Chief Operating Decision Maker (CODM), our Chief Executive Officer (CEO) allocates resources and assesses performance against the Company’s key growth strategies. As such, prior period reportable segment results and related disclosures have been conformed to reflect the Company’s current reportable segments.</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First Quarter 2022 Review</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Total revenue of $1.67 billion for first quarter 2022 decreased 2.5% from first quarter 2021, including a 1.8-percentage point adverse impact from currency. Total revenue reflected an increase of 1.9% in Post sale revenue, including a 1.8-percentage point adverse impact from currency, and a decrease of 17.6% in Equipment sales revenue, including a 1.5-percentage point adverse impact from currency. The benefits from slightly higher page volumes on post-sale revenues were offset by the continued impacts from a constrained supply chain.</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Print and Other segment revenues of $1.55 billion, which represented 93% of total revenue, decreased 2.0%. Print and Other segment loss of $20 million, decreased $91 million as compared to the first quarter 2021. Financing segment (FITTLE) revenues of $158 million, which represented 9% of total revenue, decreased 12.2%. Financing segment (FITTLE) profit of $17 million, decreased $1 million as compared to the first quarter of 2021.</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Net (loss) income attributable to Xerox Holdings and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Net (loss) income attributable to Xerox Holdings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color w:val="auto"/>
              </w:rPr>
              <w:t>Three Months Ended March 31,</w:t>
            </w:r>
          </w:p>
        </w:tc>
        <w:tc>
          <w:tcPr>
            <w:tcW w:w="1060" w:type="dxa"/>
            <w:vAlign w:val="bottom"/>
            <w:tcBorders>
              <w:bottom w:val="single" w:sz="8" w:color="auto"/>
            </w:tcBorders>
          </w:tcPr>
          <w:p>
            <w:pPr>
              <w:spacing w:after="0"/>
              <w:rPr>
                <w:sz w:val="16"/>
                <w:szCs w:val="16"/>
                <w:color w:val="auto"/>
              </w:rPr>
            </w:pPr>
          </w:p>
        </w:tc>
      </w:tr>
      <w:tr>
        <w:trPr>
          <w:trHeight w:val="159"/>
        </w:trPr>
        <w:tc>
          <w:tcPr>
            <w:tcW w:w="20" w:type="dxa"/>
            <w:vAlign w:val="bottom"/>
          </w:tcPr>
          <w:p>
            <w:pPr>
              <w:spacing w:after="0"/>
              <w:rPr>
                <w:sz w:val="13"/>
                <w:szCs w:val="13"/>
                <w:color w:val="auto"/>
              </w:rPr>
            </w:pPr>
          </w:p>
        </w:tc>
        <w:tc>
          <w:tcPr>
            <w:tcW w:w="67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20" w:type="dxa"/>
            <w:vAlign w:val="bottom"/>
          </w:tcPr>
          <w:p>
            <w:pPr>
              <w:spacing w:after="0"/>
              <w:rPr>
                <w:sz w:val="13"/>
                <w:szCs w:val="13"/>
                <w:color w:val="auto"/>
              </w:rPr>
            </w:pPr>
          </w:p>
        </w:tc>
        <w:tc>
          <w:tcPr>
            <w:tcW w:w="1100" w:type="dxa"/>
            <w:vAlign w:val="bottom"/>
          </w:tcPr>
          <w:p>
            <w:pPr>
              <w:jc w:val="right"/>
              <w:ind w:right="468"/>
              <w:spacing w:after="0" w:line="159"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88"/>
              <w:spacing w:after="0" w:line="15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ind w:right="468"/>
              <w:spacing w:after="0" w:line="159" w:lineRule="exact"/>
              <w:rPr>
                <w:sz w:val="20"/>
                <w:szCs w:val="20"/>
                <w:color w:val="auto"/>
              </w:rPr>
            </w:pPr>
            <w:r>
              <w:rPr>
                <w:rFonts w:ascii="Arial" w:cs="Arial" w:eastAsia="Arial" w:hAnsi="Arial"/>
                <w:sz w:val="14"/>
                <w:szCs w:val="14"/>
                <w:color w:val="auto"/>
              </w:rPr>
              <w:t>B/(W)</w:t>
            </w:r>
          </w:p>
        </w:tc>
      </w:tr>
      <w:tr>
        <w:trPr>
          <w:trHeight w:val="20"/>
        </w:trPr>
        <w:tc>
          <w:tcPr>
            <w:tcW w:w="20" w:type="dxa"/>
            <w:vAlign w:val="bottom"/>
            <w:tcBorders>
              <w:bottom w:val="single" w:sz="8" w:color="E5E5E5"/>
            </w:tcBorders>
          </w:tcPr>
          <w:p>
            <w:pPr>
              <w:spacing w:after="0" w:line="20" w:lineRule="exact"/>
              <w:rPr>
                <w:sz w:val="1"/>
                <w:szCs w:val="1"/>
                <w:color w:val="auto"/>
              </w:rPr>
            </w:pPr>
          </w:p>
        </w:tc>
        <w:tc>
          <w:tcPr>
            <w:tcW w:w="640" w:type="dxa"/>
            <w:vAlign w:val="bottom"/>
            <w:tcBorders>
              <w:top w:val="single" w:sz="8" w:color="auto"/>
              <w:bottom w:val="single" w:sz="8" w:color="E5E5E5"/>
            </w:tcBorders>
          </w:tcPr>
          <w:p>
            <w:pPr>
              <w:spacing w:after="0" w:line="20" w:lineRule="exact"/>
              <w:rPr>
                <w:sz w:val="1"/>
                <w:szCs w:val="1"/>
                <w:color w:val="auto"/>
              </w:rPr>
            </w:pPr>
          </w:p>
        </w:tc>
        <w:tc>
          <w:tcPr>
            <w:tcW w:w="608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E5E5E5"/>
          </w:tcPr>
          <w:p>
            <w:pPr>
              <w:spacing w:after="0"/>
              <w:rPr>
                <w:sz w:val="17"/>
                <w:szCs w:val="17"/>
                <w:color w:val="auto"/>
              </w:rPr>
            </w:pPr>
          </w:p>
        </w:tc>
        <w:tc>
          <w:tcPr>
            <w:tcW w:w="672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Net (loss) income attributable to Xerox Holdings</w:t>
            </w: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E5E5E5"/>
          </w:tcPr>
          <w:p>
            <w:pPr>
              <w:spacing w:after="0"/>
              <w:rPr>
                <w:sz w:val="17"/>
                <w:szCs w:val="17"/>
                <w:color w:val="auto"/>
              </w:rPr>
            </w:pPr>
          </w:p>
        </w:tc>
        <w:tc>
          <w:tcPr>
            <w:tcW w:w="3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E5E5E5"/>
          </w:tcPr>
          <w:p>
            <w:pPr>
              <w:spacing w:after="0"/>
              <w:rPr>
                <w:sz w:val="17"/>
                <w:szCs w:val="17"/>
                <w:color w:val="auto"/>
              </w:rPr>
            </w:pPr>
          </w:p>
        </w:tc>
        <w:tc>
          <w:tcPr>
            <w:tcW w:w="3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(95)</w:t>
            </w:r>
          </w:p>
        </w:tc>
      </w:tr>
      <w:tr>
        <w:trPr>
          <w:trHeight w:val="252"/>
        </w:trPr>
        <w:tc>
          <w:tcPr>
            <w:tcW w:w="20" w:type="dxa"/>
            <w:vAlign w:val="bottom"/>
          </w:tcPr>
          <w:p>
            <w:pPr>
              <w:spacing w:after="0"/>
              <w:rPr>
                <w:sz w:val="21"/>
                <w:szCs w:val="21"/>
                <w:color w:val="auto"/>
              </w:rPr>
            </w:pPr>
          </w:p>
        </w:tc>
        <w:tc>
          <w:tcPr>
            <w:tcW w:w="6720" w:type="dxa"/>
            <w:vAlign w:val="bottom"/>
            <w:gridSpan w:val="2"/>
          </w:tcPr>
          <w:p>
            <w:pPr>
              <w:spacing w:after="0"/>
              <w:rPr>
                <w:sz w:val="20"/>
                <w:szCs w:val="20"/>
                <w:color w:val="auto"/>
              </w:rPr>
            </w:pPr>
            <w:r>
              <w:rPr>
                <w:rFonts w:ascii="Arial" w:cs="Arial" w:eastAsia="Arial" w:hAnsi="Arial"/>
                <w:sz w:val="14"/>
                <w:szCs w:val="14"/>
                <w:color w:val="auto"/>
              </w:rPr>
              <w:t>Adjusted</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Net (loss) income attributable to Xerox Holdings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(61)</w:t>
            </w:r>
          </w:p>
        </w:tc>
      </w:tr>
    </w:tbl>
    <w:p>
      <w:pPr>
        <w:spacing w:after="0" w:line="5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First </w:t>
      </w:r>
      <w:r>
        <w:rPr>
          <w:rFonts w:ascii="Arial" w:cs="Arial" w:eastAsia="Arial" w:hAnsi="Arial"/>
          <w:sz w:val="18"/>
          <w:szCs w:val="18"/>
          <w:color w:val="212121"/>
        </w:rPr>
        <w:t>quarter 2022</w:t>
      </w:r>
      <w:r>
        <w:rPr>
          <w:rFonts w:ascii="Arial" w:cs="Arial" w:eastAsia="Arial" w:hAnsi="Arial"/>
          <w:sz w:val="18"/>
          <w:szCs w:val="18"/>
          <w:color w:val="auto"/>
        </w:rPr>
        <w:t xml:space="preserve"> Net loss attributable to Xerox Holdings of $(56) million decreased $ 95 million as compared to first quarter 2021 primarily reflecting lower gross margin, as a result of unfavorable mix as well as higher logistics costs associated with product supply constraints and higher Selling, administrative and general expenses. Other expenses, net were $ 53 million higher primarily due to a $33 million charge ($25 million after-tax) associated with the termination of a product supply agreement, higher non-financing interest expense, and a lower benefit from non-service retirement costs. These negative impacts were partially offset by income tax benefits. First </w:t>
      </w:r>
      <w:r>
        <w:rPr>
          <w:rFonts w:ascii="Arial" w:cs="Arial" w:eastAsia="Arial" w:hAnsi="Arial"/>
          <w:sz w:val="18"/>
          <w:szCs w:val="18"/>
          <w:color w:val="212121"/>
        </w:rPr>
        <w:t>quarter 2022 A</w:t>
      </w:r>
      <w:r>
        <w:rPr>
          <w:rFonts w:ascii="Arial" w:cs="Arial" w:eastAsia="Arial" w:hAnsi="Arial"/>
          <w:sz w:val="18"/>
          <w:szCs w:val="18"/>
          <w:color w:val="auto"/>
        </w:rPr>
        <w:t>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net loss attributable to Xerox Holdings of $14 million decreased $61 million as compared to the prior year, primarily reflecting lower gross margin, as a result of unfavorable mix as well as higher logistics costs associated with product supply constraints, and higher Selling, administrative and general expenses, and Other expenses, net. These negative impacts were partially offset by income tax benefits.</w:t>
      </w:r>
    </w:p>
    <w:p>
      <w:pPr>
        <w:spacing w:after="0" w:line="7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Cash flows provided by operating activities during the first quarter </w:t>
      </w:r>
      <w:r>
        <w:rPr>
          <w:rFonts w:ascii="Arial" w:cs="Arial" w:eastAsia="Arial" w:hAnsi="Arial"/>
          <w:sz w:val="18"/>
          <w:szCs w:val="18"/>
          <w:color w:val="212121"/>
        </w:rPr>
        <w:t>2022</w:t>
      </w:r>
      <w:r>
        <w:rPr>
          <w:rFonts w:ascii="Arial" w:cs="Arial" w:eastAsia="Arial" w:hAnsi="Arial"/>
          <w:sz w:val="18"/>
          <w:szCs w:val="18"/>
          <w:color w:val="auto"/>
        </w:rPr>
        <w:t xml:space="preserve"> were $ 66 million, as compared to $ 117 million in the prior year period, as lower earnings, which included investments in our new businesses, and lower royalty payments, were offset by decreased working capital</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and lower restructuring payments. Working capital</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was a source of cash of $93 million this quarter, $50 million higher than the prior year, entirely driven by accounts payable. Cash used in investing activities during the first quarter </w:t>
      </w:r>
      <w:r>
        <w:rPr>
          <w:rFonts w:ascii="Arial" w:cs="Arial" w:eastAsia="Arial" w:hAnsi="Arial"/>
          <w:sz w:val="18"/>
          <w:szCs w:val="18"/>
          <w:color w:val="212121"/>
        </w:rPr>
        <w:t>2022</w:t>
      </w:r>
      <w:r>
        <w:rPr>
          <w:rFonts w:ascii="Arial" w:cs="Arial" w:eastAsia="Arial" w:hAnsi="Arial"/>
          <w:sz w:val="18"/>
          <w:szCs w:val="18"/>
          <w:color w:val="auto"/>
        </w:rPr>
        <w:t xml:space="preserve"> was $75 million reflecting capital expenditures of $16 million, acquisitions of $54 million and $ 5 million of noncontrolling investments as part of our corporate venture capital fund. Cash used in financing activities during the first quarter </w:t>
      </w:r>
      <w:r>
        <w:rPr>
          <w:rFonts w:ascii="Arial" w:cs="Arial" w:eastAsia="Arial" w:hAnsi="Arial"/>
          <w:sz w:val="18"/>
          <w:szCs w:val="18"/>
          <w:color w:val="212121"/>
        </w:rPr>
        <w:t>2022</w:t>
      </w:r>
      <w:r>
        <w:rPr>
          <w:rFonts w:ascii="Arial" w:cs="Arial" w:eastAsia="Arial" w:hAnsi="Arial"/>
          <w:sz w:val="18"/>
          <w:szCs w:val="18"/>
          <w:color w:val="auto"/>
        </w:rPr>
        <w:t xml:space="preserve"> was $149 million reflecting $113 million for repurchases of our Common Stock, proceeds of $668 million on a new secured financing arrangement, partially offset by payments of $346 million on existing secured financing arrangements and $300 million on Senior Notes, and dividend payments of $46 million.</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42" w:name="page43"/>
    <w:bookmarkEnd w:id="42"/>
    <w:p>
      <w:pPr>
        <w:spacing w:after="0"/>
        <w:rPr>
          <w:sz w:val="20"/>
          <w:szCs w:val="20"/>
          <w:color w:val="auto"/>
        </w:rPr>
      </w:pPr>
      <w:r>
        <w:rPr>
          <w:rFonts w:ascii="Arial" w:cs="Arial" w:eastAsia="Arial" w:hAnsi="Arial"/>
          <w:sz w:val="20"/>
          <w:szCs w:val="20"/>
          <w:b w:val="1"/>
          <w:bCs w:val="1"/>
          <w:color w:val="DA2031"/>
        </w:rPr>
        <w:t>2022 Outlook</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the continuing uncertainties encountered in the first quarter 2022, we are maintaining our revenue and cash flow outlook, as we continue to expect supply chain constraints and office trends to improve in the second half of the year, and we are implementing counteractive measures in response to geopolitical uncertainty and inflationary pressures. These measures include generating additional savings through Project Own It, which may include additional restructuring actions, with a planned 50% increase in our targeted savings amount for the year.</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we continue to expect revenue to grow to $7.1 billion in actual currency, and expect that profitability will be weighted to the second half of the year. We are confident in our ability to generate cash and plan to continue our capital allocation policy of returning at least 50% of our annual free cash flow to shareholders and expect full year Operating cash flows to be at least $475 million (excluding the payments associated with the first quarter 2022 contract termination charge), and capital expenditures of at least $75 million.</w:t>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15"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See the “Non-GAAP Financial Measures” section for an explanation of the non-GAAP financial measure.</w:t>
      </w:r>
    </w:p>
    <w:p>
      <w:pPr>
        <w:spacing w:after="0" w:line="25" w:lineRule="exact"/>
        <w:rPr>
          <w:rFonts w:ascii="Arial" w:cs="Arial" w:eastAsia="Arial" w:hAnsi="Arial"/>
          <w:sz w:val="14"/>
          <w:szCs w:val="14"/>
          <w:i w:val="1"/>
          <w:iCs w:val="1"/>
          <w:color w:val="auto"/>
        </w:rPr>
      </w:pPr>
    </w:p>
    <w:p>
      <w:pPr>
        <w:ind w:left="320" w:hanging="312"/>
        <w:spacing w:after="0"/>
        <w:tabs>
          <w:tab w:leader="none" w:pos="32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Working capital, net reflects Accounts receivable, net, Inventories and Accounts payable.</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Critical Accounting Policies and Estimates - Update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Goodwill - Interim Impairment Evaluation – Change in Segments</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goodwill balance was $ 3.3 billion at March 31, 2022 and December 31, 2021, respectively. The balance at December 31, 2021 reflects a pre-tax impairment charge of $781 million recorded in the fourth quarter 2021 after completion of our fourth quarter annual goodwill impairment assessment. We assess goodwill for impairment at least annually during the fourth quarter and whenever events or changes in circumstances indicate that the carrying value may not be recoverable.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2022, the Company made a change to its operating and reportable segments from one operating/reportable segment</w:t>
      </w:r>
    </w:p>
    <w:p>
      <w:pPr>
        <w:spacing w:after="0" w:line="27" w:lineRule="exact"/>
        <w:rPr>
          <w:sz w:val="20"/>
          <w:szCs w:val="20"/>
          <w:color w:val="auto"/>
        </w:rPr>
      </w:pPr>
    </w:p>
    <w:p>
      <w:pPr>
        <w:jc w:val="both"/>
        <w:ind w:firstLine="8"/>
        <w:spacing w:after="0" w:line="254" w:lineRule="auto"/>
        <w:tabs>
          <w:tab w:leader="none" w:pos="1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Printing - to two operating/reportable segments - Print and Other, and Financing (FITTLE). As a result of the new operating and reportable segments, we also reassessed our reporting units for the evaluation of goodwill. Prior to this change, consistent with the determination that we had one operating/reportable segment, we determined that we had one reporting unit for goodwill assessment purposes. Our reassessment during the first quarter of 2022 determined that likewise consistent with the determination that we had two operating/reportable segments, we now have two reporting units for goodwill assessment purposes – Print and Other, and Financing (FITTLE).</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the change in reporting units, effective January 1, 2022, we estimated the fair value of our new reporting units and, based on an assessment of the relative fair values of our new reporting units after the change, we determined that no goodwill was allocable to the Financing (FITTLE) segment. This determination was largely based on the fact that at this stage in the stand-up of the Financing (FITTLE) business, its separate valuation is constrained and limited because the operation is significantly integrated with the Print and Other segment and is primarily an extension or enabler to facilitate the sale of the Company’s products. The change in reporting units was also considered a triggering event indicating a test for goodwill impairment was required as of January 1, 2022 before and after the change in reporting units. The Company performed those impairment tests, which did not result in the identification of an impairment loss as of January 1, 2022.</w:t>
      </w:r>
    </w:p>
    <w:p>
      <w:pPr>
        <w:spacing w:after="0" w:line="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perform an assessment of goodwill, utilizing either a qualitative or quantitative impairment test. As a result of our impairment charge in the fourth quarter 2021, we elected to bypass the qualitative impairment test and proceed to the quantitative test for the assessment of the recoverability of our Goodwill balance effective January 1, 2022 before and after the change in segments.</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estimating the fair value of our single reporting unit before the change in segments, our analysis reflected a 75/25 allocation between the income and market approach and the application of a discount rate applied to our projected cash flows of approximately 7.50%. The weighting between the income and market approach was consistent with our assessment in the fourth quarter 2021. The applied discount rate was 25 basis points lower than the rate applied in the fourth quarter 2021 assessment largely due to changes in market inputs with respect to the Cost of Equity as well as a slightly higher Cost of Debt weighting, which carries a lower cost. We continue to believe that the discount rate applied was reasonable based on the estimated capital costs of applicable market participants and an appropriate company-specific risk premium that reflected current market and industry conditions.</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estimating the fair value of our reporting unit with goodwill after the change in segments (Print and Other), our analysis likewise reflected a 75/25 allocation between the income and market approach but the discount rate applied to our projected cash flows was increased to approximately 8.75%. The increase in the discount rate was largely due to an increase in the Company Specific Risk Premium to balance the overall Company valuation and to</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43" w:name="page44"/>
    <w:bookmarkEnd w:id="43"/>
    <w:p>
      <w:pPr>
        <w:jc w:val="both"/>
        <w:spacing w:after="0" w:line="259" w:lineRule="auto"/>
        <w:rPr>
          <w:sz w:val="20"/>
          <w:szCs w:val="20"/>
          <w:color w:val="auto"/>
        </w:rPr>
      </w:pPr>
      <w:r>
        <w:rPr>
          <w:rFonts w:ascii="Arial" w:cs="Arial" w:eastAsia="Arial" w:hAnsi="Arial"/>
          <w:sz w:val="18"/>
          <w:szCs w:val="18"/>
          <w:color w:val="auto"/>
        </w:rPr>
        <w:t>reflect an increased risk to Print and Other as a result of the removal of a portion of the steadier annuity financing revenues to the Financing (FITTLE) reporting unit. As with the assessment before the segment change, we continue to believe that the discount rate applied was reasonable based on the estimated capital costs of applicable market participants and an appropriate company-specific risk premium that reflected current market and industry conditions. Based on our forecast model, which we believe reflects the inherent uncertainty of the future, we estimated that the excess of fair value over carrying value for the reporting unit with goodwill ranged between 15% and 20%.</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performing its assessment, the Company believes it has made reasonable estimates based on the facts and circumstances available as of the assessment date and taking into consideration the macro-economic and industry factors existing at that point. However, the determination of fair value includes assumptions that are subject to risk and uncertainty. The discounted cash flow calculations are dependent on subjective factors including the timing and amount of future cash flows and the discount rate. If assumptions or estimates used in the fair value calculations change, including assumptions related to future cash flows as well as the impact of future macro-economic and industry conditions and our ability to initiate management actions to recover from those issues, it may result in a further decline in our estimated fair value and trigger future impairment charges. We will continue to monitor developments in 2022 including updates to our forecasts as well as our market capitalization, and an update of our assessment and related estimates may be required in the future.</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DA2031"/>
        </w:rPr>
        <w:t>Financial Review</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Revenues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4"/>
          </w:tcPr>
          <w:p>
            <w:pPr>
              <w:jc w:val="right"/>
              <w:ind w:right="348"/>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3"/>
            <w:vMerge w:val="restart"/>
          </w:tcPr>
          <w:p>
            <w:pPr>
              <w:jc w:val="right"/>
              <w:ind w:right="528"/>
              <w:spacing w:after="0"/>
              <w:rPr>
                <w:sz w:val="20"/>
                <w:szCs w:val="20"/>
                <w:color w:val="auto"/>
              </w:rPr>
            </w:pPr>
            <w:r>
              <w:rPr>
                <w:rFonts w:ascii="Arial" w:cs="Arial" w:eastAsia="Arial" w:hAnsi="Arial"/>
                <w:sz w:val="14"/>
                <w:szCs w:val="14"/>
                <w:color w:val="auto"/>
              </w:rPr>
              <w:t>% of Total Revenue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20" w:type="dxa"/>
            <w:vAlign w:val="bottom"/>
          </w:tcPr>
          <w:p>
            <w:pPr>
              <w:spacing w:after="0"/>
              <w:rPr>
                <w:sz w:val="13"/>
                <w:szCs w:val="13"/>
                <w:color w:val="auto"/>
              </w:rPr>
            </w:pPr>
          </w:p>
        </w:tc>
        <w:tc>
          <w:tcPr>
            <w:tcW w:w="820" w:type="dxa"/>
            <w:vAlign w:val="bottom"/>
          </w:tcPr>
          <w:p>
            <w:pPr>
              <w:jc w:val="right"/>
              <w:ind w:right="288"/>
              <w:spacing w:after="0" w:line="155"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ind w:right="288"/>
              <w:spacing w:after="0" w:line="155"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3"/>
                <w:szCs w:val="13"/>
                <w:color w:val="auto"/>
              </w:rPr>
            </w:pPr>
          </w:p>
        </w:tc>
        <w:tc>
          <w:tcPr>
            <w:tcW w:w="128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 Change</w:t>
            </w:r>
          </w:p>
        </w:tc>
        <w:tc>
          <w:tcPr>
            <w:tcW w:w="128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CC % Change</w:t>
            </w:r>
          </w:p>
        </w:tc>
        <w:tc>
          <w:tcPr>
            <w:tcW w:w="118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3"/>
                <w:szCs w:val="13"/>
                <w:color w:val="auto"/>
              </w:rPr>
            </w:pPr>
          </w:p>
        </w:tc>
        <w:tc>
          <w:tcPr>
            <w:tcW w:w="118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E5E5E5"/>
            </w:tcBorders>
          </w:tcPr>
          <w:p>
            <w:pPr>
              <w:spacing w:after="0" w:line="20" w:lineRule="exact"/>
              <w:rPr>
                <w:sz w:val="1"/>
                <w:szCs w:val="1"/>
                <w:color w:val="auto"/>
              </w:rPr>
            </w:pPr>
          </w:p>
        </w:tc>
        <w:tc>
          <w:tcPr>
            <w:tcW w:w="640" w:type="dxa"/>
            <w:vAlign w:val="bottom"/>
            <w:tcBorders>
              <w:top w:val="single" w:sz="8" w:color="auto"/>
              <w:bottom w:val="single" w:sz="8" w:color="E5E5E5"/>
            </w:tcBorders>
          </w:tcPr>
          <w:p>
            <w:pPr>
              <w:spacing w:after="0" w:line="20" w:lineRule="exact"/>
              <w:rPr>
                <w:sz w:val="1"/>
                <w:szCs w:val="1"/>
                <w:color w:val="auto"/>
              </w:rPr>
            </w:pPr>
          </w:p>
        </w:tc>
        <w:tc>
          <w:tcPr>
            <w:tcW w:w="324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E5E5E5"/>
          </w:tcPr>
          <w:p>
            <w:pPr>
              <w:spacing w:after="0"/>
              <w:rPr>
                <w:sz w:val="17"/>
                <w:szCs w:val="17"/>
                <w:color w:val="auto"/>
              </w:rPr>
            </w:pPr>
          </w:p>
        </w:tc>
        <w:tc>
          <w:tcPr>
            <w:tcW w:w="388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Equipment sales</w:t>
            </w:r>
          </w:p>
        </w:tc>
        <w:tc>
          <w:tcPr>
            <w:tcW w:w="2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E5E5E5"/>
          </w:tcPr>
          <w:p>
            <w:pPr>
              <w:spacing w:after="0"/>
              <w:rPr>
                <w:sz w:val="17"/>
                <w:szCs w:val="17"/>
                <w:color w:val="auto"/>
              </w:rPr>
            </w:pP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381</w:t>
            </w:r>
          </w:p>
        </w:tc>
        <w:tc>
          <w:tcPr>
            <w:tcW w:w="13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E5E5E5"/>
          </w:tcPr>
          <w:p>
            <w:pPr>
              <w:spacing w:after="0"/>
              <w:rPr>
                <w:sz w:val="17"/>
                <w:szCs w:val="17"/>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E5E5E5"/>
          </w:tcPr>
          <w:p>
            <w:pPr>
              <w:spacing w:after="0"/>
              <w:rPr>
                <w:sz w:val="17"/>
                <w:szCs w:val="17"/>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19 %</w:t>
            </w:r>
          </w:p>
        </w:tc>
        <w:tc>
          <w:tcPr>
            <w:tcW w:w="100" w:type="dxa"/>
            <w:vAlign w:val="bottom"/>
            <w:shd w:val="clear" w:color="auto" w:fill="E5E5E5"/>
          </w:tcPr>
          <w:p>
            <w:pPr>
              <w:spacing w:after="0"/>
              <w:rPr>
                <w:sz w:val="17"/>
                <w:szCs w:val="17"/>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198"/>
        </w:trPr>
        <w:tc>
          <w:tcPr>
            <w:tcW w:w="20" w:type="dxa"/>
            <w:vAlign w:val="bottom"/>
            <w:tcBorders>
              <w:bottom w:val="single" w:sz="8" w:color="E5E5E5"/>
            </w:tcBorders>
          </w:tcPr>
          <w:p>
            <w:pPr>
              <w:spacing w:after="0"/>
              <w:rPr>
                <w:sz w:val="17"/>
                <w:szCs w:val="17"/>
                <w:color w:val="auto"/>
              </w:rPr>
            </w:pPr>
          </w:p>
        </w:tc>
        <w:tc>
          <w:tcPr>
            <w:tcW w:w="3880" w:type="dxa"/>
            <w:vAlign w:val="bottom"/>
            <w:tcBorders>
              <w:bottom w:val="single" w:sz="8" w:color="E5E5E5"/>
            </w:tcBorders>
            <w:gridSpan w:val="2"/>
          </w:tcPr>
          <w:p>
            <w:pPr>
              <w:spacing w:after="0"/>
              <w:rPr>
                <w:sz w:val="20"/>
                <w:szCs w:val="20"/>
                <w:color w:val="auto"/>
              </w:rPr>
            </w:pPr>
            <w:r>
              <w:rPr>
                <w:rFonts w:ascii="Arial" w:cs="Arial" w:eastAsia="Arial" w:hAnsi="Arial"/>
                <w:sz w:val="14"/>
                <w:szCs w:val="14"/>
                <w:color w:val="auto"/>
              </w:rPr>
              <w:t>Post sale revenue</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1,354</w:t>
            </w:r>
          </w:p>
        </w:tc>
        <w:tc>
          <w:tcPr>
            <w:tcW w:w="120" w:type="dxa"/>
            <w:vAlign w:val="bottom"/>
            <w:tcBorders>
              <w:bottom w:val="single" w:sz="8" w:color="E5E5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1,329</w:t>
            </w:r>
          </w:p>
        </w:tc>
        <w:tc>
          <w:tcPr>
            <w:tcW w:w="1300" w:type="dxa"/>
            <w:vAlign w:val="bottom"/>
            <w:tcBorders>
              <w:bottom w:val="single" w:sz="8" w:color="E5E5E5"/>
            </w:tcBorders>
            <w:gridSpan w:val="2"/>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Borders>
              <w:bottom w:val="single" w:sz="8" w:color="E5E5E5"/>
            </w:tcBorders>
          </w:tcPr>
          <w:p>
            <w:pPr>
              <w:spacing w:after="0"/>
              <w:rPr>
                <w:sz w:val="17"/>
                <w:szCs w:val="17"/>
                <w:color w:val="auto"/>
              </w:rPr>
            </w:pPr>
          </w:p>
        </w:tc>
        <w:tc>
          <w:tcPr>
            <w:tcW w:w="1180" w:type="dxa"/>
            <w:vAlign w:val="bottom"/>
            <w:tcBorders>
              <w:bottom w:val="single" w:sz="8" w:color="E5E5E5"/>
            </w:tcBorders>
          </w:tcPr>
          <w:p>
            <w:pPr>
              <w:jc w:val="right"/>
              <w:spacing w:after="0"/>
              <w:rPr>
                <w:sz w:val="20"/>
                <w:szCs w:val="20"/>
                <w:color w:val="auto"/>
              </w:rPr>
            </w:pPr>
            <w:r>
              <w:rPr>
                <w:rFonts w:ascii="Arial" w:cs="Arial" w:eastAsia="Arial" w:hAnsi="Arial"/>
                <w:sz w:val="14"/>
                <w:szCs w:val="14"/>
                <w:color w:val="auto"/>
              </w:rPr>
              <w:t>3.7 %</w:t>
            </w:r>
          </w:p>
        </w:tc>
        <w:tc>
          <w:tcPr>
            <w:tcW w:w="100" w:type="dxa"/>
            <w:vAlign w:val="bottom"/>
            <w:tcBorders>
              <w:bottom w:val="single" w:sz="8" w:color="E5E5E5"/>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81 %</w:t>
            </w:r>
          </w:p>
        </w:tc>
        <w:tc>
          <w:tcPr>
            <w:tcW w:w="100" w:type="dxa"/>
            <w:vAlign w:val="bottom"/>
            <w:tcBorders>
              <w:bottom w:val="single" w:sz="8" w:color="E5E5E5"/>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78 %</w:t>
            </w:r>
          </w:p>
        </w:tc>
        <w:tc>
          <w:tcPr>
            <w:tcW w:w="0" w:type="dxa"/>
            <w:vAlign w:val="bottom"/>
          </w:tcPr>
          <w:p>
            <w:pPr>
              <w:spacing w:after="0"/>
              <w:rPr>
                <w:sz w:val="1"/>
                <w:szCs w:val="1"/>
                <w:color w:val="auto"/>
              </w:rPr>
            </w:pPr>
          </w:p>
        </w:tc>
      </w:tr>
      <w:tr>
        <w:trPr>
          <w:trHeight w:val="225"/>
        </w:trPr>
        <w:tc>
          <w:tcPr>
            <w:tcW w:w="20" w:type="dxa"/>
            <w:vAlign w:val="bottom"/>
            <w:tcBorders>
              <w:bottom w:val="single" w:sz="8" w:color="E5E5E5"/>
            </w:tcBorders>
            <w:shd w:val="clear" w:color="auto" w:fill="E5E5E5"/>
          </w:tcPr>
          <w:p>
            <w:pPr>
              <w:spacing w:after="0"/>
              <w:rPr>
                <w:sz w:val="19"/>
                <w:szCs w:val="19"/>
                <w:color w:val="auto"/>
              </w:rPr>
            </w:pPr>
          </w:p>
        </w:tc>
        <w:tc>
          <w:tcPr>
            <w:tcW w:w="388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4"/>
                <w:szCs w:val="14"/>
                <w:b w:val="1"/>
                <w:bCs w:val="1"/>
                <w:color w:val="auto"/>
              </w:rPr>
              <w:t>Total Revenue</w:t>
            </w:r>
          </w:p>
        </w:tc>
        <w:tc>
          <w:tcPr>
            <w:tcW w:w="2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1,668</w:t>
            </w:r>
          </w:p>
        </w:tc>
        <w:tc>
          <w:tcPr>
            <w:tcW w:w="120" w:type="dxa"/>
            <w:vAlign w:val="bottom"/>
            <w:tcBorders>
              <w:bottom w:val="single" w:sz="8" w:color="E5E5E5"/>
            </w:tcBorders>
            <w:shd w:val="clear" w:color="auto" w:fill="E5E5E5"/>
          </w:tcPr>
          <w:p>
            <w:pPr>
              <w:spacing w:after="0"/>
              <w:rPr>
                <w:sz w:val="19"/>
                <w:szCs w:val="19"/>
                <w:color w:val="auto"/>
              </w:rPr>
            </w:pPr>
          </w:p>
        </w:tc>
        <w:tc>
          <w:tcPr>
            <w:tcW w:w="320" w:type="dxa"/>
            <w:vAlign w:val="bottom"/>
            <w:tcBorders>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1,710</w:t>
            </w:r>
          </w:p>
        </w:tc>
        <w:tc>
          <w:tcPr>
            <w:tcW w:w="130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E5E5E5"/>
            </w:tcBorders>
            <w:shd w:val="clear" w:color="auto" w:fill="E5E5E5"/>
          </w:tcPr>
          <w:p>
            <w:pPr>
              <w:spacing w:after="0"/>
              <w:rPr>
                <w:sz w:val="19"/>
                <w:szCs w:val="19"/>
                <w:color w:val="auto"/>
              </w:rPr>
            </w:pPr>
          </w:p>
        </w:tc>
        <w:tc>
          <w:tcPr>
            <w:tcW w:w="11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E5E5E5"/>
            </w:tcBorders>
            <w:shd w:val="clear" w:color="auto" w:fill="E5E5E5"/>
          </w:tcPr>
          <w:p>
            <w:pPr>
              <w:spacing w:after="0"/>
              <w:rPr>
                <w:sz w:val="19"/>
                <w:szCs w:val="19"/>
                <w:color w:val="auto"/>
              </w:rPr>
            </w:pP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E5E5E5"/>
            </w:tcBorders>
            <w:shd w:val="clear" w:color="auto" w:fill="E5E5E5"/>
          </w:tcPr>
          <w:p>
            <w:pPr>
              <w:spacing w:after="0"/>
              <w:rPr>
                <w:sz w:val="19"/>
                <w:szCs w:val="19"/>
                <w:color w:val="auto"/>
              </w:rPr>
            </w:pP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20" w:type="dxa"/>
            <w:vAlign w:val="bottom"/>
            <w:tcBorders>
              <w:top w:val="single" w:sz="8" w:color="E5E5E5"/>
            </w:tcBorders>
          </w:tcPr>
          <w:p>
            <w:pPr>
              <w:spacing w:after="0" w:line="20" w:lineRule="exact"/>
              <w:rPr>
                <w:sz w:val="1"/>
                <w:szCs w:val="1"/>
                <w:color w:val="auto"/>
              </w:rPr>
            </w:pPr>
          </w:p>
        </w:tc>
        <w:tc>
          <w:tcPr>
            <w:tcW w:w="640" w:type="dxa"/>
            <w:vAlign w:val="bottom"/>
            <w:tcBorders>
              <w:top w:val="single" w:sz="8" w:color="E5E5E5"/>
            </w:tcBorders>
          </w:tcPr>
          <w:p>
            <w:pPr>
              <w:spacing w:after="0" w:line="20" w:lineRule="exact"/>
              <w:rPr>
                <w:sz w:val="1"/>
                <w:szCs w:val="1"/>
                <w:color w:val="auto"/>
              </w:rPr>
            </w:pPr>
          </w:p>
        </w:tc>
        <w:tc>
          <w:tcPr>
            <w:tcW w:w="3240" w:type="dxa"/>
            <w:vAlign w:val="bottom"/>
            <w:tcBorders>
              <w:top w:val="single" w:sz="8" w:color="E5E5E5"/>
            </w:tcBorders>
          </w:tcPr>
          <w:p>
            <w:pPr>
              <w:spacing w:after="0" w:line="20" w:lineRule="exact"/>
              <w:rPr>
                <w:sz w:val="1"/>
                <w:szCs w:val="1"/>
                <w:color w:val="auto"/>
              </w:rPr>
            </w:pPr>
          </w:p>
        </w:tc>
        <w:tc>
          <w:tcPr>
            <w:tcW w:w="220" w:type="dxa"/>
            <w:vAlign w:val="bottom"/>
            <w:tcBorders>
              <w:top w:val="single" w:sz="8" w:color="E5E5E5"/>
              <w:bottom w:val="single" w:sz="8" w:color="auto"/>
            </w:tcBorders>
          </w:tcPr>
          <w:p>
            <w:pPr>
              <w:spacing w:after="0" w:line="20" w:lineRule="exact"/>
              <w:rPr>
                <w:sz w:val="1"/>
                <w:szCs w:val="1"/>
                <w:color w:val="auto"/>
              </w:rPr>
            </w:pPr>
          </w:p>
        </w:tc>
        <w:tc>
          <w:tcPr>
            <w:tcW w:w="82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72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1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1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1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18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282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Reconciliation to Condensed Consolidated Statements of (Loss) Income: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00" w:type="dxa"/>
            <w:vAlign w:val="bottom"/>
          </w:tcPr>
          <w:p>
            <w:pPr>
              <w:ind w:left="20"/>
              <w:spacing w:after="0"/>
              <w:rPr>
                <w:sz w:val="20"/>
                <w:szCs w:val="20"/>
                <w:color w:val="auto"/>
              </w:rPr>
            </w:pPr>
            <w:r>
              <w:rPr>
                <w:rFonts w:ascii="Arial" w:cs="Arial" w:eastAsia="Arial" w:hAnsi="Arial"/>
                <w:sz w:val="14"/>
                <w:szCs w:val="14"/>
                <w:color w:val="auto"/>
              </w:rPr>
              <w:t>Sales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602</w:t>
            </w: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(1.7)%</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0.1 %</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2"/>
        </w:trPr>
        <w:tc>
          <w:tcPr>
            <w:tcW w:w="3900" w:type="dxa"/>
            <w:vAlign w:val="bottom"/>
            <w:shd w:val="clear" w:color="auto" w:fill="E5E5E5"/>
          </w:tcPr>
          <w:p>
            <w:pPr>
              <w:ind w:left="20"/>
              <w:spacing w:after="0"/>
              <w:rPr>
                <w:sz w:val="20"/>
                <w:szCs w:val="20"/>
                <w:color w:val="auto"/>
              </w:rPr>
            </w:pPr>
            <w:r>
              <w:rPr>
                <w:rFonts w:ascii="Arial" w:cs="Arial" w:eastAsia="Arial" w:hAnsi="Arial"/>
                <w:sz w:val="14"/>
                <w:szCs w:val="14"/>
                <w:color w:val="auto"/>
              </w:rPr>
              <w:t>Less: Supplies, paper and other sales</w:t>
            </w:r>
          </w:p>
        </w:tc>
        <w:tc>
          <w:tcPr>
            <w:tcW w:w="360" w:type="dxa"/>
            <w:vAlign w:val="bottom"/>
            <w:tcBorders>
              <w:bottom w:val="single" w:sz="8" w:color="auto"/>
            </w:tcBorders>
            <w:shd w:val="clear" w:color="auto" w:fill="E5E5E5"/>
          </w:tcPr>
          <w:p>
            <w:pPr>
              <w:spacing w:after="0"/>
              <w:rPr>
                <w:sz w:val="17"/>
                <w:szCs w:val="17"/>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E5E5E5"/>
          </w:tcPr>
          <w:p>
            <w:pPr>
              <w:spacing w:after="0"/>
              <w:rPr>
                <w:sz w:val="17"/>
                <w:szCs w:val="17"/>
                <w:color w:val="auto"/>
              </w:rPr>
            </w:pPr>
          </w:p>
        </w:tc>
        <w:tc>
          <w:tcPr>
            <w:tcW w:w="360" w:type="dxa"/>
            <w:vAlign w:val="bottom"/>
            <w:tcBorders>
              <w:bottom w:val="single" w:sz="8" w:color="auto"/>
            </w:tcBorders>
            <w:shd w:val="clear" w:color="auto" w:fill="E5E5E5"/>
          </w:tcPr>
          <w:p>
            <w:pPr>
              <w:spacing w:after="0"/>
              <w:rPr>
                <w:sz w:val="17"/>
                <w:szCs w:val="17"/>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(221)</w:t>
            </w:r>
          </w:p>
        </w:tc>
        <w:tc>
          <w:tcPr>
            <w:tcW w:w="166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25.8 %</w:t>
            </w:r>
          </w:p>
        </w:tc>
        <w:tc>
          <w:tcPr>
            <w:tcW w:w="10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28.0 %</w:t>
            </w:r>
          </w:p>
        </w:tc>
        <w:tc>
          <w:tcPr>
            <w:tcW w:w="11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r>
      <w:tr>
        <w:trPr>
          <w:trHeight w:val="200"/>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Equipment sales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w:t>
            </w: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(17.6)%</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(16.1)%</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390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E5E5E5"/>
            </w:tcBorders>
          </w:tcPr>
          <w:p>
            <w:pPr>
              <w:spacing w:after="0" w:line="20" w:lineRule="exact"/>
              <w:rPr>
                <w:sz w:val="1"/>
                <w:szCs w:val="1"/>
                <w:color w:val="auto"/>
              </w:rPr>
            </w:pPr>
          </w:p>
        </w:tc>
        <w:tc>
          <w:tcPr>
            <w:tcW w:w="1020" w:type="dxa"/>
            <w:vAlign w:val="bottom"/>
            <w:tcBorders>
              <w:bottom w:val="single" w:sz="8" w:color="E5E5E5"/>
            </w:tcBorders>
          </w:tcPr>
          <w:p>
            <w:pPr>
              <w:spacing w:after="0" w:line="20" w:lineRule="exact"/>
              <w:rPr>
                <w:sz w:val="1"/>
                <w:szCs w:val="1"/>
                <w:color w:val="auto"/>
              </w:rPr>
            </w:pPr>
          </w:p>
        </w:tc>
        <w:tc>
          <w:tcPr>
            <w:tcW w:w="118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180" w:type="dxa"/>
            <w:vAlign w:val="bottom"/>
            <w:tcBorders>
              <w:bottom w:val="single" w:sz="8" w:color="E5E5E5"/>
            </w:tcBorders>
          </w:tcPr>
          <w:p>
            <w:pPr>
              <w:spacing w:after="0" w:line="20" w:lineRule="exact"/>
              <w:rPr>
                <w:sz w:val="1"/>
                <w:szCs w:val="1"/>
                <w:color w:val="auto"/>
              </w:rPr>
            </w:pPr>
          </w:p>
        </w:tc>
      </w:tr>
      <w:tr>
        <w:trPr>
          <w:trHeight w:val="183"/>
        </w:trPr>
        <w:tc>
          <w:tcPr>
            <w:tcW w:w="390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6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680" w:type="dxa"/>
            <w:vAlign w:val="bottom"/>
            <w:shd w:val="clear" w:color="auto" w:fill="E5E5E5"/>
          </w:tcPr>
          <w:p>
            <w:pPr>
              <w:spacing w:after="0"/>
              <w:rPr>
                <w:sz w:val="15"/>
                <w:szCs w:val="15"/>
                <w:color w:val="auto"/>
              </w:rPr>
            </w:pPr>
          </w:p>
        </w:tc>
        <w:tc>
          <w:tcPr>
            <w:tcW w:w="1660" w:type="dxa"/>
            <w:vAlign w:val="bottom"/>
            <w:shd w:val="clear" w:color="auto" w:fill="E5E5E5"/>
          </w:tcPr>
          <w:p>
            <w:pPr>
              <w:spacing w:after="0"/>
              <w:rPr>
                <w:sz w:val="15"/>
                <w:szCs w:val="15"/>
                <w:color w:val="auto"/>
              </w:rPr>
            </w:pPr>
          </w:p>
        </w:tc>
        <w:tc>
          <w:tcPr>
            <w:tcW w:w="1020" w:type="dxa"/>
            <w:vAlign w:val="bottom"/>
            <w:shd w:val="clear" w:color="auto" w:fill="E5E5E5"/>
          </w:tcPr>
          <w:p>
            <w:pPr>
              <w:spacing w:after="0"/>
              <w:rPr>
                <w:sz w:val="15"/>
                <w:szCs w:val="15"/>
                <w:color w:val="auto"/>
              </w:rPr>
            </w:pPr>
          </w:p>
        </w:tc>
        <w:tc>
          <w:tcPr>
            <w:tcW w:w="11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180" w:type="dxa"/>
            <w:vAlign w:val="bottom"/>
            <w:shd w:val="clear" w:color="auto" w:fill="E5E5E5"/>
          </w:tcPr>
          <w:p>
            <w:pPr>
              <w:spacing w:after="0"/>
              <w:rPr>
                <w:sz w:val="15"/>
                <w:szCs w:val="15"/>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Services, maintenance and rentals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1,023</w:t>
            </w:r>
          </w:p>
        </w:tc>
        <w:tc>
          <w:tcPr>
            <w:tcW w:w="12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1,053</w:t>
            </w: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(2.8)%</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7"/>
        </w:trPr>
        <w:tc>
          <w:tcPr>
            <w:tcW w:w="3900" w:type="dxa"/>
            <w:vAlign w:val="bottom"/>
            <w:shd w:val="clear" w:color="auto" w:fill="E5E5E5"/>
          </w:tcPr>
          <w:p>
            <w:pPr>
              <w:ind w:left="20"/>
              <w:spacing w:after="0"/>
              <w:rPr>
                <w:sz w:val="20"/>
                <w:szCs w:val="20"/>
                <w:color w:val="auto"/>
              </w:rPr>
            </w:pPr>
            <w:r>
              <w:rPr>
                <w:rFonts w:ascii="Arial" w:cs="Arial" w:eastAsia="Arial" w:hAnsi="Arial"/>
                <w:sz w:val="14"/>
                <w:szCs w:val="14"/>
                <w:color w:val="auto"/>
              </w:rPr>
              <w:t>Add: Supplies, paper and other sales</w:t>
            </w:r>
          </w:p>
        </w:tc>
        <w:tc>
          <w:tcPr>
            <w:tcW w:w="36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221</w:t>
            </w:r>
          </w:p>
        </w:tc>
        <w:tc>
          <w:tcPr>
            <w:tcW w:w="166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25.8 %</w:t>
            </w:r>
          </w:p>
        </w:tc>
        <w:tc>
          <w:tcPr>
            <w:tcW w:w="10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28.0 %</w:t>
            </w:r>
          </w:p>
        </w:tc>
        <w:tc>
          <w:tcPr>
            <w:tcW w:w="11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r>
      <w:tr>
        <w:trPr>
          <w:trHeight w:val="198"/>
        </w:trPr>
        <w:tc>
          <w:tcPr>
            <w:tcW w:w="390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Add: Financing</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E5E5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660" w:type="dxa"/>
            <w:vAlign w:val="bottom"/>
            <w:tcBorders>
              <w:bottom w:val="single" w:sz="8" w:color="E5E5E5"/>
            </w:tcBorders>
          </w:tcPr>
          <w:p>
            <w:pPr>
              <w:jc w:val="right"/>
              <w:ind w:right="308"/>
              <w:spacing w:after="0"/>
              <w:rPr>
                <w:sz w:val="20"/>
                <w:szCs w:val="20"/>
                <w:color w:val="auto"/>
              </w:rPr>
            </w:pPr>
            <w:r>
              <w:rPr>
                <w:rFonts w:ascii="Arial" w:cs="Arial" w:eastAsia="Arial" w:hAnsi="Arial"/>
                <w:sz w:val="14"/>
                <w:szCs w:val="14"/>
                <w:color w:val="auto"/>
              </w:rPr>
              <w:t>(3.6)%</w:t>
            </w:r>
          </w:p>
        </w:tc>
        <w:tc>
          <w:tcPr>
            <w:tcW w:w="1020" w:type="dxa"/>
            <w:vAlign w:val="bottom"/>
            <w:tcBorders>
              <w:bottom w:val="single" w:sz="8" w:color="E5E5E5"/>
            </w:tcBorders>
          </w:tcPr>
          <w:p>
            <w:pPr>
              <w:jc w:val="right"/>
              <w:ind w:right="48"/>
              <w:spacing w:after="0"/>
              <w:rPr>
                <w:sz w:val="20"/>
                <w:szCs w:val="20"/>
                <w:color w:val="auto"/>
              </w:rPr>
            </w:pPr>
            <w:r>
              <w:rPr>
                <w:rFonts w:ascii="Arial" w:cs="Arial" w:eastAsia="Arial" w:hAnsi="Arial"/>
                <w:sz w:val="14"/>
                <w:szCs w:val="14"/>
                <w:color w:val="auto"/>
              </w:rPr>
              <w:t>(2.5)%</w:t>
            </w:r>
          </w:p>
        </w:tc>
        <w:tc>
          <w:tcPr>
            <w:tcW w:w="1180" w:type="dxa"/>
            <w:vAlign w:val="bottom"/>
            <w:tcBorders>
              <w:bottom w:val="single" w:sz="8" w:color="E5E5E5"/>
            </w:tcBorders>
          </w:tcPr>
          <w:p>
            <w:pPr>
              <w:spacing w:after="0"/>
              <w:rPr>
                <w:sz w:val="17"/>
                <w:szCs w:val="17"/>
                <w:color w:val="auto"/>
              </w:rPr>
            </w:pPr>
          </w:p>
        </w:tc>
        <w:tc>
          <w:tcPr>
            <w:tcW w:w="100" w:type="dxa"/>
            <w:vAlign w:val="bottom"/>
            <w:tcBorders>
              <w:bottom w:val="single" w:sz="8" w:color="E5E5E5"/>
            </w:tcBorders>
          </w:tcPr>
          <w:p>
            <w:pPr>
              <w:spacing w:after="0"/>
              <w:rPr>
                <w:sz w:val="17"/>
                <w:szCs w:val="17"/>
                <w:color w:val="auto"/>
              </w:rPr>
            </w:pPr>
          </w:p>
        </w:tc>
        <w:tc>
          <w:tcPr>
            <w:tcW w:w="1180" w:type="dxa"/>
            <w:vAlign w:val="bottom"/>
            <w:tcBorders>
              <w:bottom w:val="single" w:sz="8" w:color="E5E5E5"/>
            </w:tcBorders>
          </w:tcPr>
          <w:p>
            <w:pPr>
              <w:spacing w:after="0"/>
              <w:rPr>
                <w:sz w:val="17"/>
                <w:szCs w:val="17"/>
                <w:color w:val="auto"/>
              </w:rPr>
            </w:pPr>
          </w:p>
        </w:tc>
      </w:tr>
      <w:tr>
        <w:trPr>
          <w:trHeight w:val="225"/>
        </w:trPr>
        <w:tc>
          <w:tcPr>
            <w:tcW w:w="390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Post sale revenue</w:t>
            </w:r>
          </w:p>
        </w:tc>
        <w:tc>
          <w:tcPr>
            <w:tcW w:w="360" w:type="dxa"/>
            <w:vAlign w:val="bottom"/>
            <w:tcBorders>
              <w:bottom w:val="single" w:sz="8" w:color="auto"/>
            </w:tcBorders>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1,354</w:t>
            </w:r>
          </w:p>
        </w:tc>
        <w:tc>
          <w:tcPr>
            <w:tcW w:w="120" w:type="dxa"/>
            <w:vAlign w:val="bottom"/>
            <w:tcBorders>
              <w:bottom w:val="single" w:sz="8" w:color="E5E5E5"/>
            </w:tcBorders>
            <w:shd w:val="clear" w:color="auto" w:fill="E5E5E5"/>
          </w:tcPr>
          <w:p>
            <w:pPr>
              <w:spacing w:after="0"/>
              <w:rPr>
                <w:sz w:val="19"/>
                <w:szCs w:val="19"/>
                <w:color w:val="auto"/>
              </w:rPr>
            </w:pPr>
          </w:p>
        </w:tc>
        <w:tc>
          <w:tcPr>
            <w:tcW w:w="360" w:type="dxa"/>
            <w:vAlign w:val="bottom"/>
            <w:tcBorders>
              <w:bottom w:val="single" w:sz="8" w:color="auto"/>
            </w:tcBorders>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1,329</w:t>
            </w:r>
          </w:p>
        </w:tc>
        <w:tc>
          <w:tcPr>
            <w:tcW w:w="1660" w:type="dxa"/>
            <w:vAlign w:val="bottom"/>
            <w:tcBorders>
              <w:bottom w:val="single" w:sz="8" w:color="E5E5E5"/>
            </w:tcBorders>
            <w:shd w:val="clear" w:color="auto" w:fill="E5E5E5"/>
          </w:tcPr>
          <w:p>
            <w:pPr>
              <w:jc w:val="right"/>
              <w:ind w:right="308"/>
              <w:spacing w:after="0"/>
              <w:rPr>
                <w:sz w:val="20"/>
                <w:szCs w:val="20"/>
                <w:color w:val="auto"/>
              </w:rPr>
            </w:pPr>
            <w:r>
              <w:rPr>
                <w:rFonts w:ascii="Arial" w:cs="Arial" w:eastAsia="Arial" w:hAnsi="Arial"/>
                <w:sz w:val="14"/>
                <w:szCs w:val="14"/>
                <w:color w:val="auto"/>
              </w:rPr>
              <w:t>1.9 %</w:t>
            </w:r>
          </w:p>
        </w:tc>
        <w:tc>
          <w:tcPr>
            <w:tcW w:w="1020" w:type="dxa"/>
            <w:vAlign w:val="bottom"/>
            <w:tcBorders>
              <w:bottom w:val="single" w:sz="8" w:color="E5E5E5"/>
            </w:tcBorders>
            <w:shd w:val="clear" w:color="auto" w:fill="E5E5E5"/>
          </w:tcPr>
          <w:p>
            <w:pPr>
              <w:jc w:val="right"/>
              <w:ind w:right="48"/>
              <w:spacing w:after="0"/>
              <w:rPr>
                <w:sz w:val="20"/>
                <w:szCs w:val="20"/>
                <w:color w:val="auto"/>
              </w:rPr>
            </w:pPr>
            <w:r>
              <w:rPr>
                <w:rFonts w:ascii="Arial" w:cs="Arial" w:eastAsia="Arial" w:hAnsi="Arial"/>
                <w:sz w:val="14"/>
                <w:szCs w:val="14"/>
                <w:color w:val="auto"/>
              </w:rPr>
              <w:t>3.7 %</w:t>
            </w:r>
          </w:p>
        </w:tc>
        <w:tc>
          <w:tcPr>
            <w:tcW w:w="1180" w:type="dxa"/>
            <w:vAlign w:val="bottom"/>
            <w:tcBorders>
              <w:bottom w:val="single" w:sz="8" w:color="E5E5E5"/>
            </w:tcBorders>
            <w:shd w:val="clear" w:color="auto" w:fill="E5E5E5"/>
          </w:tcPr>
          <w:p>
            <w:pPr>
              <w:spacing w:after="0"/>
              <w:rPr>
                <w:sz w:val="19"/>
                <w:szCs w:val="19"/>
                <w:color w:val="auto"/>
              </w:rPr>
            </w:pPr>
          </w:p>
        </w:tc>
        <w:tc>
          <w:tcPr>
            <w:tcW w:w="100" w:type="dxa"/>
            <w:vAlign w:val="bottom"/>
            <w:tcBorders>
              <w:bottom w:val="single" w:sz="8" w:color="E5E5E5"/>
            </w:tcBorders>
            <w:shd w:val="clear" w:color="auto" w:fill="E5E5E5"/>
          </w:tcPr>
          <w:p>
            <w:pPr>
              <w:spacing w:after="0"/>
              <w:rPr>
                <w:sz w:val="19"/>
                <w:szCs w:val="19"/>
                <w:color w:val="auto"/>
              </w:rPr>
            </w:pPr>
          </w:p>
        </w:tc>
        <w:tc>
          <w:tcPr>
            <w:tcW w:w="1180" w:type="dxa"/>
            <w:vAlign w:val="bottom"/>
            <w:tcBorders>
              <w:bottom w:val="single" w:sz="8" w:color="E5E5E5"/>
            </w:tcBorders>
            <w:shd w:val="clear" w:color="auto" w:fill="E5E5E5"/>
          </w:tcPr>
          <w:p>
            <w:pPr>
              <w:spacing w:after="0"/>
              <w:rPr>
                <w:sz w:val="19"/>
                <w:szCs w:val="19"/>
                <w:color w:val="auto"/>
              </w:rPr>
            </w:pPr>
          </w:p>
        </w:tc>
      </w:tr>
      <w:tr>
        <w:trPr>
          <w:trHeight w:val="20"/>
        </w:trPr>
        <w:tc>
          <w:tcPr>
            <w:tcW w:w="390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6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680" w:type="dxa"/>
            <w:vAlign w:val="bottom"/>
            <w:tcBorders>
              <w:top w:val="single" w:sz="8" w:color="E5E5E5"/>
              <w:bottom w:val="single" w:sz="8" w:color="auto"/>
            </w:tcBorders>
          </w:tcPr>
          <w:p>
            <w:pPr>
              <w:spacing w:after="0" w:line="20" w:lineRule="exact"/>
              <w:rPr>
                <w:sz w:val="1"/>
                <w:szCs w:val="1"/>
                <w:color w:val="auto"/>
              </w:rPr>
            </w:pPr>
          </w:p>
        </w:tc>
        <w:tc>
          <w:tcPr>
            <w:tcW w:w="1660" w:type="dxa"/>
            <w:vAlign w:val="bottom"/>
            <w:tcBorders>
              <w:top w:val="single" w:sz="8" w:color="E5E5E5"/>
            </w:tcBorders>
          </w:tcPr>
          <w:p>
            <w:pPr>
              <w:spacing w:after="0" w:line="20" w:lineRule="exact"/>
              <w:rPr>
                <w:sz w:val="1"/>
                <w:szCs w:val="1"/>
                <w:color w:val="auto"/>
              </w:rPr>
            </w:pPr>
          </w:p>
        </w:tc>
        <w:tc>
          <w:tcPr>
            <w:tcW w:w="1020" w:type="dxa"/>
            <w:vAlign w:val="bottom"/>
            <w:tcBorders>
              <w:top w:val="single" w:sz="8" w:color="E5E5E5"/>
            </w:tcBorders>
          </w:tcPr>
          <w:p>
            <w:pPr>
              <w:spacing w:after="0" w:line="20" w:lineRule="exact"/>
              <w:rPr>
                <w:sz w:val="1"/>
                <w:szCs w:val="1"/>
                <w:color w:val="auto"/>
              </w:rPr>
            </w:pPr>
          </w:p>
        </w:tc>
        <w:tc>
          <w:tcPr>
            <w:tcW w:w="11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180" w:type="dxa"/>
            <w:vAlign w:val="bottom"/>
            <w:tcBorders>
              <w:top w:val="single" w:sz="8" w:color="E5E5E5"/>
            </w:tcBorders>
          </w:tcPr>
          <w:p>
            <w:pPr>
              <w:spacing w:after="0" w:line="20" w:lineRule="exact"/>
              <w:rPr>
                <w:sz w:val="1"/>
                <w:szCs w:val="1"/>
                <w:color w:val="auto"/>
              </w:rPr>
            </w:pPr>
          </w:p>
        </w:tc>
      </w:tr>
      <w:tr>
        <w:trPr>
          <w:trHeight w:val="163"/>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3"/>
        </w:trPr>
        <w:tc>
          <w:tcPr>
            <w:tcW w:w="39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Segments</w:t>
            </w:r>
          </w:p>
        </w:tc>
        <w:tc>
          <w:tcPr>
            <w:tcW w:w="36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166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Print and Other</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1,550</w:t>
            </w:r>
          </w:p>
        </w:tc>
        <w:tc>
          <w:tcPr>
            <w:tcW w:w="12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1,581</w:t>
            </w: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(2.0)%</w:t>
            </w:r>
          </w:p>
        </w:tc>
        <w:tc>
          <w:tcPr>
            <w:tcW w:w="10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93 %</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92 %</w:t>
            </w:r>
          </w:p>
        </w:tc>
      </w:tr>
      <w:tr>
        <w:trPr>
          <w:trHeight w:val="207"/>
        </w:trPr>
        <w:tc>
          <w:tcPr>
            <w:tcW w:w="3900" w:type="dxa"/>
            <w:vAlign w:val="bottom"/>
            <w:shd w:val="clear" w:color="auto" w:fill="E5E5E5"/>
          </w:tcPr>
          <w:p>
            <w:pPr>
              <w:ind w:left="20"/>
              <w:spacing w:after="0"/>
              <w:rPr>
                <w:sz w:val="20"/>
                <w:szCs w:val="20"/>
                <w:color w:val="auto"/>
              </w:rPr>
            </w:pPr>
            <w:r>
              <w:rPr>
                <w:rFonts w:ascii="Arial" w:cs="Arial" w:eastAsia="Arial" w:hAnsi="Arial"/>
                <w:sz w:val="14"/>
                <w:szCs w:val="14"/>
                <w:color w:val="auto"/>
              </w:rPr>
              <w:t>Financing (FITTLE)</w:t>
            </w:r>
          </w:p>
        </w:tc>
        <w:tc>
          <w:tcPr>
            <w:tcW w:w="36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180</w:t>
            </w:r>
          </w:p>
        </w:tc>
        <w:tc>
          <w:tcPr>
            <w:tcW w:w="166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(12.2)%</w:t>
            </w:r>
          </w:p>
        </w:tc>
        <w:tc>
          <w:tcPr>
            <w:tcW w:w="1020" w:type="dxa"/>
            <w:vAlign w:val="bottom"/>
            <w:shd w:val="clear" w:color="auto" w:fill="E5E5E5"/>
          </w:tcPr>
          <w:p>
            <w:pPr>
              <w:spacing w:after="0"/>
              <w:rPr>
                <w:sz w:val="17"/>
                <w:szCs w:val="17"/>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9 %</w:t>
            </w:r>
          </w:p>
        </w:tc>
        <w:tc>
          <w:tcPr>
            <w:tcW w:w="100" w:type="dxa"/>
            <w:vAlign w:val="bottom"/>
            <w:shd w:val="clear" w:color="auto" w:fill="E5E5E5"/>
          </w:tcPr>
          <w:p>
            <w:pPr>
              <w:spacing w:after="0"/>
              <w:rPr>
                <w:sz w:val="17"/>
                <w:szCs w:val="17"/>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11 %</w:t>
            </w:r>
          </w:p>
        </w:tc>
      </w:tr>
      <w:tr>
        <w:trPr>
          <w:trHeight w:val="203"/>
        </w:trPr>
        <w:tc>
          <w:tcPr>
            <w:tcW w:w="3900" w:type="dxa"/>
            <w:vAlign w:val="bottom"/>
            <w:tcBorders>
              <w:bottom w:val="single" w:sz="8" w:color="E5E5E5"/>
            </w:tcBorders>
          </w:tcPr>
          <w:p>
            <w:pPr>
              <w:ind w:left="20"/>
              <w:spacing w:after="0" w:line="202" w:lineRule="exact"/>
              <w:rPr>
                <w:sz w:val="20"/>
                <w:szCs w:val="20"/>
                <w:color w:val="auto"/>
              </w:rPr>
            </w:pPr>
            <w:r>
              <w:rPr>
                <w:rFonts w:ascii="Arial" w:cs="Arial" w:eastAsia="Arial" w:hAnsi="Arial"/>
                <w:sz w:val="14"/>
                <w:szCs w:val="14"/>
                <w:color w:val="auto"/>
              </w:rPr>
              <w:t>Intersegment elimination</w:t>
            </w:r>
            <w:r>
              <w:rPr>
                <w:rFonts w:ascii="Arial" w:cs="Arial" w:eastAsia="Arial" w:hAnsi="Arial"/>
                <w:sz w:val="18"/>
                <w:szCs w:val="18"/>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E5E5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660" w:type="dxa"/>
            <w:vAlign w:val="bottom"/>
            <w:tcBorders>
              <w:bottom w:val="single" w:sz="8" w:color="E5E5E5"/>
            </w:tcBorders>
          </w:tcPr>
          <w:p>
            <w:pPr>
              <w:jc w:val="right"/>
              <w:ind w:right="308"/>
              <w:spacing w:after="0"/>
              <w:rPr>
                <w:sz w:val="20"/>
                <w:szCs w:val="20"/>
                <w:color w:val="auto"/>
              </w:rPr>
            </w:pPr>
            <w:r>
              <w:rPr>
                <w:rFonts w:ascii="Arial" w:cs="Arial" w:eastAsia="Arial" w:hAnsi="Arial"/>
                <w:sz w:val="14"/>
                <w:szCs w:val="14"/>
                <w:color w:val="auto"/>
              </w:rPr>
              <w:t>(21.6)%</w:t>
            </w:r>
          </w:p>
        </w:tc>
        <w:tc>
          <w:tcPr>
            <w:tcW w:w="1020" w:type="dxa"/>
            <w:vAlign w:val="bottom"/>
            <w:tcBorders>
              <w:bottom w:val="single" w:sz="8" w:color="E5E5E5"/>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5E5E5"/>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21"/>
        </w:trPr>
        <w:tc>
          <w:tcPr>
            <w:tcW w:w="3900" w:type="dxa"/>
            <w:vAlign w:val="bottom"/>
            <w:tcBorders>
              <w:bottom w:val="single" w:sz="8" w:color="E5E5E5"/>
            </w:tcBorders>
            <w:shd w:val="clear" w:color="auto" w:fill="E5E5E5"/>
          </w:tcPr>
          <w:p>
            <w:pPr>
              <w:ind w:left="20"/>
              <w:spacing w:after="0" w:line="196" w:lineRule="exact"/>
              <w:rPr>
                <w:sz w:val="20"/>
                <w:szCs w:val="20"/>
                <w:color w:val="auto"/>
              </w:rPr>
            </w:pPr>
            <w:r>
              <w:rPr>
                <w:rFonts w:ascii="Arial" w:cs="Arial" w:eastAsia="Arial" w:hAnsi="Arial"/>
                <w:sz w:val="14"/>
                <w:szCs w:val="14"/>
                <w:b w:val="1"/>
                <w:bCs w:val="1"/>
                <w:color w:val="auto"/>
              </w:rPr>
              <w:t>Total Revenue</w:t>
            </w:r>
            <w:r>
              <w:rPr>
                <w:rFonts w:ascii="Arial" w:cs="Arial" w:eastAsia="Arial" w:hAnsi="Arial"/>
                <w:sz w:val="18"/>
                <w:szCs w:val="18"/>
                <w:b w:val="1"/>
                <w:bCs w:val="1"/>
                <w:color w:val="auto"/>
                <w:vertAlign w:val="superscript"/>
              </w:rPr>
              <w:t>(2)</w:t>
            </w:r>
          </w:p>
        </w:tc>
        <w:tc>
          <w:tcPr>
            <w:tcW w:w="360" w:type="dxa"/>
            <w:vAlign w:val="bottom"/>
            <w:tcBorders>
              <w:bottom w:val="single" w:sz="8" w:color="auto"/>
            </w:tcBorders>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1,668</w:t>
            </w:r>
          </w:p>
        </w:tc>
        <w:tc>
          <w:tcPr>
            <w:tcW w:w="120" w:type="dxa"/>
            <w:vAlign w:val="bottom"/>
            <w:tcBorders>
              <w:bottom w:val="single" w:sz="8" w:color="E5E5E5"/>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1,710</w:t>
            </w:r>
          </w:p>
        </w:tc>
        <w:tc>
          <w:tcPr>
            <w:tcW w:w="1660" w:type="dxa"/>
            <w:vAlign w:val="bottom"/>
            <w:tcBorders>
              <w:bottom w:val="single" w:sz="8" w:color="E5E5E5"/>
            </w:tcBorders>
            <w:shd w:val="clear" w:color="auto" w:fill="E5E5E5"/>
          </w:tcPr>
          <w:p>
            <w:pPr>
              <w:jc w:val="right"/>
              <w:ind w:right="308"/>
              <w:spacing w:after="0"/>
              <w:rPr>
                <w:sz w:val="20"/>
                <w:szCs w:val="20"/>
                <w:color w:val="auto"/>
              </w:rPr>
            </w:pPr>
            <w:r>
              <w:rPr>
                <w:rFonts w:ascii="Arial" w:cs="Arial" w:eastAsia="Arial" w:hAnsi="Arial"/>
                <w:sz w:val="14"/>
                <w:szCs w:val="14"/>
                <w:color w:val="auto"/>
              </w:rPr>
              <w:t>(2.5)%</w:t>
            </w:r>
          </w:p>
        </w:tc>
        <w:tc>
          <w:tcPr>
            <w:tcW w:w="1020" w:type="dxa"/>
            <w:vAlign w:val="bottom"/>
            <w:tcBorders>
              <w:bottom w:val="single" w:sz="8" w:color="E5E5E5"/>
            </w:tcBorders>
            <w:shd w:val="clear" w:color="auto" w:fill="E5E5E5"/>
          </w:tcPr>
          <w:p>
            <w:pPr>
              <w:spacing w:after="0"/>
              <w:rPr>
                <w:sz w:val="18"/>
                <w:szCs w:val="18"/>
                <w:color w:val="auto"/>
              </w:rPr>
            </w:pP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E5E5E5"/>
            </w:tcBorders>
            <w:shd w:val="clear" w:color="auto" w:fill="E5E5E5"/>
          </w:tcPr>
          <w:p>
            <w:pPr>
              <w:spacing w:after="0"/>
              <w:rPr>
                <w:sz w:val="18"/>
                <w:szCs w:val="18"/>
                <w:color w:val="auto"/>
              </w:rPr>
            </w:pP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390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6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680" w:type="dxa"/>
            <w:vAlign w:val="bottom"/>
            <w:tcBorders>
              <w:top w:val="single" w:sz="8" w:color="E5E5E5"/>
              <w:bottom w:val="single" w:sz="8" w:color="auto"/>
            </w:tcBorders>
          </w:tcPr>
          <w:p>
            <w:pPr>
              <w:spacing w:after="0" w:line="20" w:lineRule="exact"/>
              <w:rPr>
                <w:sz w:val="1"/>
                <w:szCs w:val="1"/>
                <w:color w:val="auto"/>
              </w:rPr>
            </w:pPr>
          </w:p>
        </w:tc>
        <w:tc>
          <w:tcPr>
            <w:tcW w:w="1660" w:type="dxa"/>
            <w:vAlign w:val="bottom"/>
            <w:tcBorders>
              <w:top w:val="single" w:sz="8" w:color="E5E5E5"/>
            </w:tcBorders>
          </w:tcPr>
          <w:p>
            <w:pPr>
              <w:spacing w:after="0" w:line="20" w:lineRule="exact"/>
              <w:rPr>
                <w:sz w:val="1"/>
                <w:szCs w:val="1"/>
                <w:color w:val="auto"/>
              </w:rPr>
            </w:pPr>
          </w:p>
        </w:tc>
        <w:tc>
          <w:tcPr>
            <w:tcW w:w="1020" w:type="dxa"/>
            <w:vAlign w:val="bottom"/>
            <w:tcBorders>
              <w:top w:val="single" w:sz="8" w:color="E5E5E5"/>
            </w:tcBorders>
          </w:tcPr>
          <w:p>
            <w:pPr>
              <w:spacing w:after="0" w:line="20" w:lineRule="exact"/>
              <w:rPr>
                <w:sz w:val="1"/>
                <w:szCs w:val="1"/>
                <w:color w:val="auto"/>
              </w:rPr>
            </w:pPr>
          </w:p>
        </w:tc>
        <w:tc>
          <w:tcPr>
            <w:tcW w:w="11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180" w:type="dxa"/>
            <w:vAlign w:val="bottom"/>
            <w:tcBorders>
              <w:top w:val="single" w:sz="8" w:color="E5E5E5"/>
              <w:bottom w:val="single" w:sz="8" w:color="auto"/>
            </w:tcBorders>
          </w:tcPr>
          <w:p>
            <w:pPr>
              <w:spacing w:after="0" w:line="20" w:lineRule="exact"/>
              <w:rPr>
                <w:sz w:val="1"/>
                <w:szCs w:val="1"/>
                <w:color w:val="auto"/>
              </w:rPr>
            </w:pPr>
          </w:p>
        </w:tc>
      </w:tr>
      <w:tr>
        <w:trPr>
          <w:trHeight w:val="163"/>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3"/>
        </w:trPr>
        <w:tc>
          <w:tcPr>
            <w:tcW w:w="39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Go-To-Market</w:t>
            </w:r>
          </w:p>
        </w:tc>
        <w:tc>
          <w:tcPr>
            <w:tcW w:w="36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166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180" w:type="dxa"/>
            <w:vAlign w:val="bottom"/>
            <w:shd w:val="clear" w:color="auto" w:fill="E5E5E5"/>
          </w:tcPr>
          <w:p>
            <w:pPr>
              <w:spacing w:after="0"/>
              <w:rPr>
                <w:sz w:val="17"/>
                <w:szCs w:val="17"/>
                <w:color w:val="auto"/>
              </w:rPr>
            </w:pPr>
          </w:p>
        </w:tc>
      </w:tr>
      <w:tr>
        <w:trPr>
          <w:trHeight w:val="199"/>
        </w:trPr>
        <w:tc>
          <w:tcPr>
            <w:tcW w:w="3900" w:type="dxa"/>
            <w:vAlign w:val="bottom"/>
          </w:tcPr>
          <w:p>
            <w:pPr>
              <w:ind w:left="20"/>
              <w:spacing w:after="0"/>
              <w:rPr>
                <w:sz w:val="20"/>
                <w:szCs w:val="20"/>
                <w:color w:val="auto"/>
              </w:rPr>
            </w:pPr>
            <w:r>
              <w:rPr>
                <w:rFonts w:ascii="Arial" w:cs="Arial" w:eastAsia="Arial" w:hAnsi="Arial"/>
                <w:sz w:val="14"/>
                <w:szCs w:val="14"/>
                <w:color w:val="auto"/>
              </w:rPr>
              <w:t>Americas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1,071</w:t>
            </w:r>
          </w:p>
        </w:tc>
        <w:tc>
          <w:tcPr>
            <w:tcW w:w="12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1,076</w:t>
            </w: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(0.5)%</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180" w:type="dxa"/>
            <w:vAlign w:val="bottom"/>
          </w:tcPr>
          <w:p>
            <w:pPr>
              <w:jc w:val="right"/>
              <w:spacing w:after="0"/>
              <w:rPr>
                <w:sz w:val="20"/>
                <w:szCs w:val="20"/>
                <w:color w:val="auto"/>
              </w:rPr>
            </w:pPr>
            <w:r>
              <w:rPr>
                <w:rFonts w:ascii="Arial" w:cs="Arial" w:eastAsia="Arial" w:hAnsi="Arial"/>
                <w:sz w:val="14"/>
                <w:szCs w:val="14"/>
                <w:color w:val="auto"/>
              </w:rPr>
              <w:t>64 %</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63 %</w:t>
            </w:r>
          </w:p>
        </w:tc>
      </w:tr>
      <w:tr>
        <w:trPr>
          <w:trHeight w:val="206"/>
        </w:trPr>
        <w:tc>
          <w:tcPr>
            <w:tcW w:w="3900" w:type="dxa"/>
            <w:vAlign w:val="bottom"/>
            <w:shd w:val="clear" w:color="auto" w:fill="E5E5E5"/>
          </w:tcPr>
          <w:p>
            <w:pPr>
              <w:ind w:left="20"/>
              <w:spacing w:after="0"/>
              <w:rPr>
                <w:sz w:val="20"/>
                <w:szCs w:val="20"/>
                <w:color w:val="auto"/>
              </w:rPr>
            </w:pPr>
            <w:r>
              <w:rPr>
                <w:rFonts w:ascii="Arial" w:cs="Arial" w:eastAsia="Arial" w:hAnsi="Arial"/>
                <w:sz w:val="14"/>
                <w:szCs w:val="14"/>
                <w:color w:val="auto"/>
              </w:rPr>
              <w:t>EMEA</w:t>
            </w:r>
          </w:p>
        </w:tc>
        <w:tc>
          <w:tcPr>
            <w:tcW w:w="36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554</w:t>
            </w: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587</w:t>
            </w:r>
          </w:p>
        </w:tc>
        <w:tc>
          <w:tcPr>
            <w:tcW w:w="166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(5.6)%</w:t>
            </w:r>
          </w:p>
        </w:tc>
        <w:tc>
          <w:tcPr>
            <w:tcW w:w="10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(0.8)%</w:t>
            </w:r>
          </w:p>
        </w:tc>
        <w:tc>
          <w:tcPr>
            <w:tcW w:w="1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33 %</w:t>
            </w:r>
          </w:p>
        </w:tc>
        <w:tc>
          <w:tcPr>
            <w:tcW w:w="100" w:type="dxa"/>
            <w:vAlign w:val="bottom"/>
            <w:shd w:val="clear" w:color="auto" w:fill="E5E5E5"/>
          </w:tcPr>
          <w:p>
            <w:pPr>
              <w:spacing w:after="0"/>
              <w:rPr>
                <w:sz w:val="17"/>
                <w:szCs w:val="17"/>
                <w:color w:val="auto"/>
              </w:rPr>
            </w:pPr>
          </w:p>
        </w:tc>
        <w:tc>
          <w:tcPr>
            <w:tcW w:w="1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34 %</w:t>
            </w:r>
          </w:p>
        </w:tc>
      </w:tr>
      <w:tr>
        <w:trPr>
          <w:trHeight w:val="198"/>
        </w:trPr>
        <w:tc>
          <w:tcPr>
            <w:tcW w:w="390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Other</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E5E5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660" w:type="dxa"/>
            <w:vAlign w:val="bottom"/>
            <w:tcBorders>
              <w:bottom w:val="single" w:sz="8" w:color="E5E5E5"/>
            </w:tcBorders>
          </w:tcPr>
          <w:p>
            <w:pPr>
              <w:jc w:val="right"/>
              <w:ind w:right="308"/>
              <w:spacing w:after="0"/>
              <w:rPr>
                <w:sz w:val="20"/>
                <w:szCs w:val="20"/>
                <w:color w:val="auto"/>
              </w:rPr>
            </w:pPr>
            <w:r>
              <w:rPr>
                <w:rFonts w:ascii="Arial" w:cs="Arial" w:eastAsia="Arial" w:hAnsi="Arial"/>
                <w:sz w:val="14"/>
                <w:szCs w:val="14"/>
                <w:color w:val="auto"/>
              </w:rPr>
              <w:t>(8.5)%</w:t>
            </w:r>
          </w:p>
        </w:tc>
        <w:tc>
          <w:tcPr>
            <w:tcW w:w="1020" w:type="dxa"/>
            <w:vAlign w:val="bottom"/>
            <w:tcBorders>
              <w:bottom w:val="single" w:sz="8" w:color="E5E5E5"/>
            </w:tcBorders>
          </w:tcPr>
          <w:p>
            <w:pPr>
              <w:jc w:val="right"/>
              <w:ind w:right="48"/>
              <w:spacing w:after="0"/>
              <w:rPr>
                <w:sz w:val="20"/>
                <w:szCs w:val="20"/>
                <w:color w:val="auto"/>
              </w:rPr>
            </w:pPr>
            <w:r>
              <w:rPr>
                <w:rFonts w:ascii="Arial" w:cs="Arial" w:eastAsia="Arial" w:hAnsi="Arial"/>
                <w:sz w:val="14"/>
                <w:szCs w:val="14"/>
                <w:color w:val="auto"/>
              </w:rPr>
              <w:t>(8.5)%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3 %</w:t>
            </w:r>
          </w:p>
        </w:tc>
        <w:tc>
          <w:tcPr>
            <w:tcW w:w="100" w:type="dxa"/>
            <w:vAlign w:val="bottom"/>
            <w:tcBorders>
              <w:bottom w:val="single" w:sz="8" w:color="E5E5E5"/>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3 %</w:t>
            </w:r>
          </w:p>
        </w:tc>
      </w:tr>
      <w:tr>
        <w:trPr>
          <w:trHeight w:val="225"/>
        </w:trPr>
        <w:tc>
          <w:tcPr>
            <w:tcW w:w="3900" w:type="dxa"/>
            <w:vAlign w:val="bottom"/>
            <w:tcBorders>
              <w:bottom w:val="single" w:sz="8" w:color="E5E5E5"/>
            </w:tcBorders>
            <w:shd w:val="clear" w:color="auto" w:fill="E5E5E5"/>
          </w:tcPr>
          <w:p>
            <w:pPr>
              <w:ind w:left="20"/>
              <w:spacing w:after="0" w:line="200" w:lineRule="exact"/>
              <w:rPr>
                <w:sz w:val="20"/>
                <w:szCs w:val="20"/>
                <w:color w:val="auto"/>
              </w:rPr>
            </w:pPr>
            <w:r>
              <w:rPr>
                <w:rFonts w:ascii="Arial" w:cs="Arial" w:eastAsia="Arial" w:hAnsi="Arial"/>
                <w:sz w:val="14"/>
                <w:szCs w:val="14"/>
                <w:b w:val="1"/>
                <w:bCs w:val="1"/>
                <w:color w:val="auto"/>
              </w:rPr>
              <w:t>Total Revenue</w:t>
            </w:r>
            <w:r>
              <w:rPr>
                <w:rFonts w:ascii="Arial" w:cs="Arial" w:eastAsia="Arial" w:hAnsi="Arial"/>
                <w:sz w:val="18"/>
                <w:szCs w:val="18"/>
                <w:b w:val="1"/>
                <w:bCs w:val="1"/>
                <w:color w:val="auto"/>
                <w:vertAlign w:val="superscript"/>
              </w:rPr>
              <w:t>(2)</w:t>
            </w:r>
          </w:p>
        </w:tc>
        <w:tc>
          <w:tcPr>
            <w:tcW w:w="360" w:type="dxa"/>
            <w:vAlign w:val="bottom"/>
            <w:tcBorders>
              <w:bottom w:val="single" w:sz="8" w:color="auto"/>
            </w:tcBorders>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1,668</w:t>
            </w:r>
          </w:p>
        </w:tc>
        <w:tc>
          <w:tcPr>
            <w:tcW w:w="120" w:type="dxa"/>
            <w:vAlign w:val="bottom"/>
            <w:tcBorders>
              <w:bottom w:val="single" w:sz="8" w:color="E5E5E5"/>
            </w:tcBorders>
            <w:shd w:val="clear" w:color="auto" w:fill="E5E5E5"/>
          </w:tcPr>
          <w:p>
            <w:pPr>
              <w:spacing w:after="0"/>
              <w:rPr>
                <w:sz w:val="19"/>
                <w:szCs w:val="19"/>
                <w:color w:val="auto"/>
              </w:rPr>
            </w:pPr>
          </w:p>
        </w:tc>
        <w:tc>
          <w:tcPr>
            <w:tcW w:w="360" w:type="dxa"/>
            <w:vAlign w:val="bottom"/>
            <w:tcBorders>
              <w:bottom w:val="single" w:sz="8" w:color="auto"/>
            </w:tcBorders>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1,710</w:t>
            </w:r>
          </w:p>
        </w:tc>
        <w:tc>
          <w:tcPr>
            <w:tcW w:w="1660" w:type="dxa"/>
            <w:vAlign w:val="bottom"/>
            <w:tcBorders>
              <w:bottom w:val="single" w:sz="8" w:color="E5E5E5"/>
            </w:tcBorders>
            <w:shd w:val="clear" w:color="auto" w:fill="E5E5E5"/>
          </w:tcPr>
          <w:p>
            <w:pPr>
              <w:jc w:val="right"/>
              <w:ind w:right="308"/>
              <w:spacing w:after="0"/>
              <w:rPr>
                <w:sz w:val="20"/>
                <w:szCs w:val="20"/>
                <w:color w:val="auto"/>
              </w:rPr>
            </w:pPr>
            <w:r>
              <w:rPr>
                <w:rFonts w:ascii="Arial" w:cs="Arial" w:eastAsia="Arial" w:hAnsi="Arial"/>
                <w:sz w:val="14"/>
                <w:szCs w:val="14"/>
                <w:color w:val="auto"/>
              </w:rPr>
              <w:t>(2.5)%</w:t>
            </w:r>
          </w:p>
        </w:tc>
        <w:tc>
          <w:tcPr>
            <w:tcW w:w="1020" w:type="dxa"/>
            <w:vAlign w:val="bottom"/>
            <w:tcBorders>
              <w:bottom w:val="single" w:sz="8" w:color="E5E5E5"/>
            </w:tcBorders>
            <w:shd w:val="clear" w:color="auto" w:fill="E5E5E5"/>
          </w:tcPr>
          <w:p>
            <w:pPr>
              <w:jc w:val="right"/>
              <w:ind w:right="48"/>
              <w:spacing w:after="0"/>
              <w:rPr>
                <w:sz w:val="20"/>
                <w:szCs w:val="20"/>
                <w:color w:val="auto"/>
              </w:rPr>
            </w:pPr>
            <w:r>
              <w:rPr>
                <w:rFonts w:ascii="Arial" w:cs="Arial" w:eastAsia="Arial" w:hAnsi="Arial"/>
                <w:sz w:val="14"/>
                <w:szCs w:val="14"/>
                <w:color w:val="auto"/>
              </w:rPr>
              <w:t>(0.7)%</w:t>
            </w: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E5E5E5"/>
            </w:tcBorders>
            <w:shd w:val="clear" w:color="auto" w:fill="E5E5E5"/>
          </w:tcPr>
          <w:p>
            <w:pPr>
              <w:spacing w:after="0"/>
              <w:rPr>
                <w:sz w:val="19"/>
                <w:szCs w:val="19"/>
                <w:color w:val="auto"/>
              </w:rPr>
            </w:pP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390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6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680" w:type="dxa"/>
            <w:vAlign w:val="bottom"/>
            <w:tcBorders>
              <w:top w:val="single" w:sz="8" w:color="E5E5E5"/>
              <w:bottom w:val="single" w:sz="8" w:color="auto"/>
            </w:tcBorders>
          </w:tcPr>
          <w:p>
            <w:pPr>
              <w:spacing w:after="0" w:line="20" w:lineRule="exact"/>
              <w:rPr>
                <w:sz w:val="1"/>
                <w:szCs w:val="1"/>
                <w:color w:val="auto"/>
              </w:rPr>
            </w:pPr>
          </w:p>
        </w:tc>
        <w:tc>
          <w:tcPr>
            <w:tcW w:w="1660" w:type="dxa"/>
            <w:vAlign w:val="bottom"/>
            <w:tcBorders>
              <w:top w:val="single" w:sz="8" w:color="E5E5E5"/>
            </w:tcBorders>
          </w:tcPr>
          <w:p>
            <w:pPr>
              <w:spacing w:after="0" w:line="20" w:lineRule="exact"/>
              <w:rPr>
                <w:sz w:val="1"/>
                <w:szCs w:val="1"/>
                <w:color w:val="auto"/>
              </w:rPr>
            </w:pPr>
          </w:p>
        </w:tc>
        <w:tc>
          <w:tcPr>
            <w:tcW w:w="1020" w:type="dxa"/>
            <w:vAlign w:val="bottom"/>
            <w:tcBorders>
              <w:top w:val="single" w:sz="8" w:color="E5E5E5"/>
            </w:tcBorders>
          </w:tcPr>
          <w:p>
            <w:pPr>
              <w:spacing w:after="0" w:line="20" w:lineRule="exact"/>
              <w:rPr>
                <w:sz w:val="1"/>
                <w:szCs w:val="1"/>
                <w:color w:val="auto"/>
              </w:rPr>
            </w:pPr>
          </w:p>
        </w:tc>
        <w:tc>
          <w:tcPr>
            <w:tcW w:w="11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180" w:type="dxa"/>
            <w:vAlign w:val="bottom"/>
            <w:tcBorders>
              <w:top w:val="single" w:sz="8" w:color="E5E5E5"/>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See "Currency Impact" section for a description of Constant Currency.</w:t>
      </w:r>
    </w:p>
    <w:p>
      <w:pPr>
        <w:spacing w:after="0" w:line="27" w:lineRule="exact"/>
        <w:rPr>
          <w:sz w:val="20"/>
          <w:szCs w:val="20"/>
          <w:color w:val="auto"/>
        </w:rPr>
      </w:pPr>
    </w:p>
    <w:p>
      <w:pPr>
        <w:ind w:left="340" w:right="640" w:hanging="332"/>
        <w:spacing w:after="0" w:line="261" w:lineRule="auto"/>
        <w:tabs>
          <w:tab w:leader="none" w:pos="327"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Reflects net revenue, primarily commissions and other payments, made by the Financing segment (FITTLE) to the Print and Other segment for the lease of Xerox equipment placements.</w:t>
      </w:r>
    </w:p>
    <w:p>
      <w:pPr>
        <w:ind w:left="320" w:hanging="312"/>
        <w:spacing w:after="0"/>
        <w:tabs>
          <w:tab w:leader="none" w:pos="32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Refer to the "Reportable Segments and Geographic Sales Channels" section.</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44" w:name="page45"/>
    <w:bookmarkEnd w:id="44"/>
    <w:p>
      <w:pPr>
        <w:jc w:val="both"/>
        <w:spacing w:after="0" w:line="257" w:lineRule="auto"/>
        <w:rPr>
          <w:sz w:val="20"/>
          <w:szCs w:val="20"/>
          <w:color w:val="auto"/>
        </w:rPr>
      </w:pPr>
      <w:r>
        <w:rPr>
          <w:rFonts w:ascii="Arial" w:cs="Arial" w:eastAsia="Arial" w:hAnsi="Arial"/>
          <w:sz w:val="18"/>
          <w:szCs w:val="18"/>
          <w:color w:val="auto"/>
        </w:rPr>
        <w:t>Total revenue for the three months ended March 31, 2022 decreased 2.5% as compared to first quarter 2021, including a 1.8-percentage point benefit from acquisitions as well as a 1.8-percentage point adverse impact from currency. The decrease in organic revenue reflected continued global product supply constraints and freight disruptions, which limited our ability to fulfill orders and resulted in growth of our order backlog. In March, we saw a modest increase in page volumes and page volume-driven post sale revenue as the Omicron variant waned in our key markets and businesses welcomed employees back to the office. We continue to expect supply constraints and return to office trends to improve beginning in the second half of the year.</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Geographically, revenue in our EMEA operations decreased 5.6% as compared to first quarter 2021, including a 4.8-percentage point adverse impact from currency. Revenue decreased 0.5% in our Americas operations with relatively no impact from currency. Both regions were negatively affected by product supply shortages and global freight disruptions. First quarter 2022 page volumes grew slightly faster in EMEA than in the Americas when compared to first quarter 2021 as Omicron-related closures affected the EMEA operations earlier than in the Americas.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Total revenue for the three months ended March 31, 2022 reflected the following: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Post sale revenue</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Post sale revenue primarily reflects contracted services, equipment maintenance, supplies and financing. These revenues are associated not only with the population of devices in the field, which are affected by installs and removals, but also by the page volumes generated from the usage of such devices and the revenue per printed page. Post sale revenue also includes transactional IT hardware sales and implementation services primarily from our XBS organization in the U.S.</w:t>
      </w:r>
    </w:p>
    <w:p>
      <w:pPr>
        <w:spacing w:after="0" w:line="4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For the three months ended March 31, 2022, Post sale revenue increased 1.9% as compared to first quarter 2021, including a 1.8-percentage point adverse impact from currency. Post sale revenue reflected the following:</w:t>
      </w:r>
    </w:p>
    <w:p>
      <w:pPr>
        <w:spacing w:after="0" w:line="1" w:lineRule="exact"/>
        <w:rPr>
          <w:sz w:val="20"/>
          <w:szCs w:val="20"/>
          <w:color w:val="auto"/>
        </w:rPr>
      </w:pPr>
    </w:p>
    <w:p>
      <w:pPr>
        <w:jc w:val="both"/>
        <w:ind w:left="340" w:hanging="332"/>
        <w:spacing w:after="0" w:line="256" w:lineRule="auto"/>
        <w:tabs>
          <w:tab w:leader="none" w:pos="335" w:val="left"/>
        </w:tabs>
        <w:numPr>
          <w:ilvl w:val="0"/>
          <w:numId w:val="31"/>
        </w:numPr>
        <w:rPr>
          <w:rFonts w:ascii="Arial" w:cs="Arial" w:eastAsia="Arial" w:hAnsi="Arial"/>
          <w:sz w:val="18"/>
          <w:szCs w:val="18"/>
          <w:color w:val="DA2031"/>
        </w:rPr>
      </w:pPr>
      <w:r>
        <w:rPr>
          <w:rFonts w:ascii="Arial" w:cs="Arial" w:eastAsia="Arial" w:hAnsi="Arial"/>
          <w:sz w:val="18"/>
          <w:szCs w:val="18"/>
          <w:b w:val="1"/>
          <w:bCs w:val="1"/>
          <w:color w:val="DA2031"/>
        </w:rPr>
        <w:t xml:space="preserve">Services, maintenance and rentals revenue </w:t>
      </w:r>
      <w:r>
        <w:rPr>
          <w:rFonts w:ascii="Arial" w:cs="Arial" w:eastAsia="Arial" w:hAnsi="Arial"/>
          <w:sz w:val="18"/>
          <w:szCs w:val="18"/>
          <w:color w:val="000000"/>
        </w:rPr>
        <w:t>includes rental and maintenance revenue (including bundled supplies) as well as the post</w:t>
      </w:r>
      <w:r>
        <w:rPr>
          <w:rFonts w:ascii="Arial" w:cs="Arial" w:eastAsia="Arial" w:hAnsi="Arial"/>
          <w:sz w:val="18"/>
          <w:szCs w:val="18"/>
          <w:b w:val="1"/>
          <w:bCs w:val="1"/>
          <w:color w:val="DA2031"/>
        </w:rPr>
        <w:t xml:space="preserve"> </w:t>
      </w:r>
      <w:r>
        <w:rPr>
          <w:rFonts w:ascii="Arial" w:cs="Arial" w:eastAsia="Arial" w:hAnsi="Arial"/>
          <w:sz w:val="18"/>
          <w:szCs w:val="18"/>
          <w:color w:val="000000"/>
        </w:rPr>
        <w:t>sale component of the document services offerings from our Xerox Services offerings. For the three months ended March 31, 2022, these revenues decreased 2.8% as compared to first quarter 2021, including a 1.7-percentage point adverse impact from currency, reflecting the impact of lower royalty revenues from FUJIFILM Business Innovation Systems (formerly Fuji Xerox), lower third-party leasing commissions (resulting from higher XFS lease penetration of our XBS operations), a lower net population of devices and an ongoing competitive price environment. Declines were partially offset by modestly higher page volumes, particularly in the last month of the quarter, corresponding with the gradual reopening of workplaces.</w:t>
      </w:r>
    </w:p>
    <w:p>
      <w:pPr>
        <w:spacing w:after="0" w:line="20" w:lineRule="exact"/>
        <w:rPr>
          <w:rFonts w:ascii="Arial" w:cs="Arial" w:eastAsia="Arial" w:hAnsi="Arial"/>
          <w:sz w:val="18"/>
          <w:szCs w:val="18"/>
          <w:color w:val="DA2031"/>
        </w:rPr>
      </w:pPr>
    </w:p>
    <w:p>
      <w:pPr>
        <w:jc w:val="both"/>
        <w:ind w:left="340" w:hanging="332"/>
        <w:spacing w:after="0" w:line="259" w:lineRule="auto"/>
        <w:tabs>
          <w:tab w:leader="none" w:pos="335" w:val="left"/>
        </w:tabs>
        <w:numPr>
          <w:ilvl w:val="0"/>
          <w:numId w:val="31"/>
        </w:numPr>
        <w:rPr>
          <w:rFonts w:ascii="Arial" w:cs="Arial" w:eastAsia="Arial" w:hAnsi="Arial"/>
          <w:sz w:val="18"/>
          <w:szCs w:val="18"/>
          <w:color w:val="DA2031"/>
        </w:rPr>
      </w:pPr>
      <w:r>
        <w:rPr>
          <w:rFonts w:ascii="Arial" w:cs="Arial" w:eastAsia="Arial" w:hAnsi="Arial"/>
          <w:sz w:val="18"/>
          <w:szCs w:val="18"/>
          <w:b w:val="1"/>
          <w:bCs w:val="1"/>
          <w:color w:val="DA2031"/>
        </w:rPr>
        <w:t xml:space="preserve">Supplies, paper and other sales </w:t>
      </w:r>
      <w:r>
        <w:rPr>
          <w:rFonts w:ascii="Arial" w:cs="Arial" w:eastAsia="Arial" w:hAnsi="Arial"/>
          <w:sz w:val="18"/>
          <w:szCs w:val="18"/>
          <w:color w:val="000000"/>
        </w:rPr>
        <w:t>includes unbundled supplies, IT services and other sales. For the three months ended March 31,</w:t>
      </w:r>
      <w:r>
        <w:rPr>
          <w:rFonts w:ascii="Arial" w:cs="Arial" w:eastAsia="Arial" w:hAnsi="Arial"/>
          <w:sz w:val="18"/>
          <w:szCs w:val="18"/>
          <w:b w:val="1"/>
          <w:bCs w:val="1"/>
          <w:color w:val="DA2031"/>
        </w:rPr>
        <w:t xml:space="preserve"> </w:t>
      </w:r>
      <w:r>
        <w:rPr>
          <w:rFonts w:ascii="Arial" w:cs="Arial" w:eastAsia="Arial" w:hAnsi="Arial"/>
          <w:sz w:val="18"/>
          <w:szCs w:val="18"/>
          <w:color w:val="000000"/>
        </w:rPr>
        <w:t>2022, these revenues increased 25.8% as compared to first quarter 2021, including a 2.2-percentage point adverse impact from currency, and primarily reflected higher IT Services sales, which increased more than 20% year-over-year excluding revenue from our recent acquisition of Powerland, as well as higher sold supplies and paper revenues. The higher supplies revenues reflects higher channel demand and is consistent with the gradual reopening of workplaces.</w:t>
      </w:r>
    </w:p>
    <w:p>
      <w:pPr>
        <w:spacing w:after="0" w:line="17" w:lineRule="exact"/>
        <w:rPr>
          <w:rFonts w:ascii="Arial" w:cs="Arial" w:eastAsia="Arial" w:hAnsi="Arial"/>
          <w:sz w:val="18"/>
          <w:szCs w:val="18"/>
          <w:color w:val="DA2031"/>
        </w:rPr>
      </w:pPr>
    </w:p>
    <w:p>
      <w:pPr>
        <w:jc w:val="both"/>
        <w:ind w:left="340" w:hanging="332"/>
        <w:spacing w:after="0" w:line="257" w:lineRule="auto"/>
        <w:tabs>
          <w:tab w:leader="none" w:pos="335" w:val="left"/>
        </w:tabs>
        <w:numPr>
          <w:ilvl w:val="0"/>
          <w:numId w:val="31"/>
        </w:numPr>
        <w:rPr>
          <w:rFonts w:ascii="Arial" w:cs="Arial" w:eastAsia="Arial" w:hAnsi="Arial"/>
          <w:sz w:val="18"/>
          <w:szCs w:val="18"/>
          <w:b w:val="1"/>
          <w:bCs w:val="1"/>
          <w:color w:val="DA2031"/>
        </w:rPr>
      </w:pPr>
      <w:r>
        <w:rPr>
          <w:rFonts w:ascii="Arial" w:cs="Arial" w:eastAsia="Arial" w:hAnsi="Arial"/>
          <w:sz w:val="18"/>
          <w:szCs w:val="18"/>
          <w:b w:val="1"/>
          <w:bCs w:val="1"/>
          <w:color w:val="DA2031"/>
        </w:rPr>
        <w:t xml:space="preserve">Financing revenue </w:t>
      </w:r>
      <w:r>
        <w:rPr>
          <w:rFonts w:ascii="Arial" w:cs="Arial" w:eastAsia="Arial" w:hAnsi="Arial"/>
          <w:sz w:val="18"/>
          <w:szCs w:val="18"/>
          <w:color w:val="000000"/>
        </w:rPr>
        <w:t>is generated from financed equipment sale transactions. For the three months ended March 31, 2022, these</w:t>
      </w:r>
      <w:r>
        <w:rPr>
          <w:rFonts w:ascii="Arial" w:cs="Arial" w:eastAsia="Arial" w:hAnsi="Arial"/>
          <w:sz w:val="18"/>
          <w:szCs w:val="18"/>
          <w:b w:val="1"/>
          <w:bCs w:val="1"/>
          <w:color w:val="DA2031"/>
        </w:rPr>
        <w:t xml:space="preserve"> </w:t>
      </w:r>
      <w:r>
        <w:rPr>
          <w:rFonts w:ascii="Arial" w:cs="Arial" w:eastAsia="Arial" w:hAnsi="Arial"/>
          <w:sz w:val="18"/>
          <w:szCs w:val="18"/>
          <w:color w:val="000000"/>
        </w:rPr>
        <w:t>revenues decreased 3.6% as compared to first quarter 2021, including a 1.1-percentage point adverse impact from currency. The decrease reflected a lower finance receivables balance due to the pace of run-off of our lease portfolio and lower equipment sales in prior periods, as well as the impact of lower equipment sales in the current period. Lease originations decreased in the quarter as compared to first quarter 2021. Xerox channel originations declined due primarily to supply constraints. These declines were partially offset by an increase in originations from third-party dealers and non-Xerox equipment providers.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Equipment sales revenue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Equipment sales revenue decreased 17.6% for the three months ended March 31, 2022 as compared to first quarter 2021, including a 1.5-percentage point adverse impact from currency. The decrease reflected the adverse impact of product supply constraints (consistent with market-wide shortages of computer chips and resins) and global freight disruptions. Demand continued to increase as businesses reopened, resulting in a backlog of orders at the end of the quarter that increased sequentially and was above both prior year and pre-pandemic levels. Equipment sales revenue decreased in EMEA and the Americas due to supply chain disruptions, which impacted all product categories (Entry, Mid-Range, and High-End).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DA2031"/>
        </w:rPr>
        <w:t>Segment Review - Print and Other</w:t>
      </w:r>
      <w:r>
        <w:rPr>
          <w:rFonts w:ascii="Arial" w:cs="Arial" w:eastAsia="Arial" w:hAnsi="Arial"/>
          <w:sz w:val="18"/>
          <w:szCs w:val="18"/>
          <w:color w:val="auto"/>
        </w:rPr>
        <w:t xml:space="preserve"> below for additional discussion on Equipment sales revenue.</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5" w:name="page46"/>
    <w:bookmarkEnd w:id="45"/>
    <w:p>
      <w:pPr>
        <w:spacing w:after="0"/>
        <w:rPr>
          <w:sz w:val="20"/>
          <w:szCs w:val="20"/>
          <w:color w:val="auto"/>
        </w:rPr>
      </w:pPr>
      <w:r>
        <w:rPr>
          <w:rFonts w:ascii="Arial" w:cs="Arial" w:eastAsia="Arial" w:hAnsi="Arial"/>
          <w:sz w:val="22"/>
          <w:szCs w:val="22"/>
          <w:b w:val="1"/>
          <w:bCs w:val="1"/>
          <w:color w:val="DA2031"/>
        </w:rPr>
        <w:t>Costs, Expenses and Other Income</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Summary of Key Financial Ratios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key financial ratios used to assess our performance: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right"/>
              <w:ind w:right="148"/>
              <w:spacing w:after="0"/>
              <w:rPr>
                <w:sz w:val="20"/>
                <w:szCs w:val="20"/>
                <w:color w:val="auto"/>
              </w:rPr>
            </w:pPr>
            <w:r>
              <w:rPr>
                <w:rFonts w:ascii="Arial" w:cs="Arial" w:eastAsia="Arial" w:hAnsi="Arial"/>
                <w:sz w:val="14"/>
                <w:szCs w:val="14"/>
                <w:color w:val="auto"/>
              </w:rPr>
              <w:t>Three Months Ended March 31,</w:t>
            </w:r>
          </w:p>
        </w:tc>
        <w:tc>
          <w:tcPr>
            <w:tcW w:w="1320" w:type="dxa"/>
            <w:vAlign w:val="bottom"/>
            <w:tcBorders>
              <w:bottom w:val="single" w:sz="8" w:color="auto"/>
            </w:tcBorders>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61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40" w:type="dxa"/>
            <w:vAlign w:val="bottom"/>
          </w:tcPr>
          <w:p>
            <w:pPr>
              <w:spacing w:after="0"/>
              <w:rPr>
                <w:sz w:val="13"/>
                <w:szCs w:val="13"/>
                <w:color w:val="auto"/>
              </w:rPr>
            </w:pPr>
          </w:p>
        </w:tc>
        <w:tc>
          <w:tcPr>
            <w:tcW w:w="1160" w:type="dxa"/>
            <w:vAlign w:val="bottom"/>
          </w:tcPr>
          <w:p>
            <w:pPr>
              <w:jc w:val="right"/>
              <w:ind w:right="528"/>
              <w:spacing w:after="0" w:line="159"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28"/>
              <w:spacing w:after="0" w:line="159"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20" w:type="dxa"/>
            <w:vAlign w:val="bottom"/>
          </w:tcPr>
          <w:p>
            <w:pPr>
              <w:jc w:val="right"/>
              <w:ind w:right="668"/>
              <w:spacing w:after="0" w:line="159" w:lineRule="exact"/>
              <w:rPr>
                <w:sz w:val="20"/>
                <w:szCs w:val="20"/>
                <w:color w:val="auto"/>
              </w:rPr>
            </w:pPr>
            <w:r>
              <w:rPr>
                <w:rFonts w:ascii="Arial" w:cs="Arial" w:eastAsia="Arial" w:hAnsi="Arial"/>
                <w:sz w:val="14"/>
                <w:szCs w:val="14"/>
                <w:color w:val="auto"/>
              </w:rPr>
              <w:t>B/(W)</w:t>
            </w:r>
          </w:p>
        </w:tc>
      </w:tr>
      <w:tr>
        <w:trPr>
          <w:trHeight w:val="20"/>
        </w:trPr>
        <w:tc>
          <w:tcPr>
            <w:tcW w:w="20" w:type="dxa"/>
            <w:vAlign w:val="bottom"/>
            <w:tcBorders>
              <w:bottom w:val="single" w:sz="8" w:color="E5E5E5"/>
            </w:tcBorders>
          </w:tcPr>
          <w:p>
            <w:pPr>
              <w:spacing w:after="0" w:line="20" w:lineRule="exact"/>
              <w:rPr>
                <w:sz w:val="1"/>
                <w:szCs w:val="1"/>
                <w:color w:val="auto"/>
              </w:rPr>
            </w:pPr>
          </w:p>
        </w:tc>
        <w:tc>
          <w:tcPr>
            <w:tcW w:w="640" w:type="dxa"/>
            <w:vAlign w:val="bottom"/>
            <w:tcBorders>
              <w:top w:val="single" w:sz="8" w:color="auto"/>
              <w:bottom w:val="single" w:sz="8" w:color="E5E5E5"/>
            </w:tcBorders>
          </w:tcPr>
          <w:p>
            <w:pPr>
              <w:spacing w:after="0" w:line="20" w:lineRule="exact"/>
              <w:rPr>
                <w:sz w:val="1"/>
                <w:szCs w:val="1"/>
                <w:color w:val="auto"/>
              </w:rPr>
            </w:pPr>
          </w:p>
        </w:tc>
        <w:tc>
          <w:tcPr>
            <w:tcW w:w="5500" w:type="dxa"/>
            <w:vAlign w:val="bottom"/>
            <w:tcBorders>
              <w:bottom w:val="single" w:sz="8" w:color="E5E5E5"/>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E5E5E5"/>
          </w:tcPr>
          <w:p>
            <w:pPr>
              <w:spacing w:after="0"/>
              <w:rPr>
                <w:sz w:val="17"/>
                <w:szCs w:val="17"/>
                <w:color w:val="auto"/>
              </w:rPr>
            </w:pPr>
          </w:p>
        </w:tc>
        <w:tc>
          <w:tcPr>
            <w:tcW w:w="614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Gross Profit</w:t>
            </w:r>
          </w:p>
        </w:tc>
        <w:tc>
          <w:tcPr>
            <w:tcW w:w="34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530</w:t>
            </w:r>
          </w:p>
        </w:tc>
        <w:tc>
          <w:tcPr>
            <w:tcW w:w="460" w:type="dxa"/>
            <w:vAlign w:val="bottom"/>
            <w:gridSpan w:val="2"/>
            <w:shd w:val="clear" w:color="auto" w:fill="E5E5E5"/>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611</w:t>
            </w:r>
          </w:p>
        </w:tc>
        <w:tc>
          <w:tcPr>
            <w:tcW w:w="120" w:type="dxa"/>
            <w:vAlign w:val="bottom"/>
            <w:shd w:val="clear" w:color="auto" w:fill="E5E5E5"/>
          </w:tcPr>
          <w:p>
            <w:pPr>
              <w:spacing w:after="0"/>
              <w:rPr>
                <w:sz w:val="17"/>
                <w:szCs w:val="17"/>
                <w:color w:val="auto"/>
              </w:rPr>
            </w:pPr>
          </w:p>
        </w:tc>
        <w:tc>
          <w:tcPr>
            <w:tcW w:w="52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E5E5E5"/>
          </w:tcPr>
          <w:p>
            <w:pPr>
              <w:jc w:val="right"/>
              <w:ind w:right="408"/>
              <w:spacing w:after="0"/>
              <w:rPr>
                <w:sz w:val="20"/>
                <w:szCs w:val="20"/>
                <w:color w:val="auto"/>
              </w:rPr>
            </w:pPr>
            <w:r>
              <w:rPr>
                <w:rFonts w:ascii="Arial" w:cs="Arial" w:eastAsia="Arial" w:hAnsi="Arial"/>
                <w:sz w:val="14"/>
                <w:szCs w:val="14"/>
                <w:color w:val="auto"/>
              </w:rPr>
              <w:t>(81)</w:t>
            </w:r>
          </w:p>
        </w:tc>
      </w:tr>
      <w:tr>
        <w:trPr>
          <w:trHeight w:val="198"/>
        </w:trPr>
        <w:tc>
          <w:tcPr>
            <w:tcW w:w="20" w:type="dxa"/>
            <w:vAlign w:val="bottom"/>
          </w:tcPr>
          <w:p>
            <w:pPr>
              <w:spacing w:after="0"/>
              <w:rPr>
                <w:sz w:val="17"/>
                <w:szCs w:val="17"/>
                <w:color w:val="auto"/>
              </w:rPr>
            </w:pPr>
          </w:p>
        </w:tc>
        <w:tc>
          <w:tcPr>
            <w:tcW w:w="6140" w:type="dxa"/>
            <w:vAlign w:val="bottom"/>
            <w:gridSpan w:val="2"/>
          </w:tcPr>
          <w:p>
            <w:pPr>
              <w:spacing w:after="0"/>
              <w:rPr>
                <w:sz w:val="20"/>
                <w:szCs w:val="20"/>
                <w:color w:val="auto"/>
              </w:rPr>
            </w:pPr>
            <w:r>
              <w:rPr>
                <w:rFonts w:ascii="Arial" w:cs="Arial" w:eastAsia="Arial" w:hAnsi="Arial"/>
                <w:sz w:val="14"/>
                <w:szCs w:val="14"/>
                <w:color w:val="auto"/>
              </w:rPr>
              <w:t>RD&amp;E</w:t>
            </w:r>
          </w:p>
        </w:tc>
        <w:tc>
          <w:tcPr>
            <w:tcW w:w="34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jc w:val="right"/>
              <w:ind w:right="408"/>
              <w:spacing w:after="0"/>
              <w:rPr>
                <w:sz w:val="20"/>
                <w:szCs w:val="20"/>
                <w:color w:val="auto"/>
              </w:rPr>
            </w:pPr>
            <w:r>
              <w:rPr>
                <w:rFonts w:ascii="Arial" w:cs="Arial" w:eastAsia="Arial" w:hAnsi="Arial"/>
                <w:sz w:val="14"/>
                <w:szCs w:val="14"/>
                <w:color w:val="auto"/>
              </w:rPr>
              <w:t>(4)</w:t>
            </w:r>
          </w:p>
        </w:tc>
      </w:tr>
      <w:tr>
        <w:trPr>
          <w:trHeight w:val="207"/>
        </w:trPr>
        <w:tc>
          <w:tcPr>
            <w:tcW w:w="20" w:type="dxa"/>
            <w:vAlign w:val="bottom"/>
            <w:shd w:val="clear" w:color="auto" w:fill="E5E5E5"/>
          </w:tcPr>
          <w:p>
            <w:pPr>
              <w:spacing w:after="0"/>
              <w:rPr>
                <w:sz w:val="17"/>
                <w:szCs w:val="17"/>
                <w:color w:val="auto"/>
              </w:rPr>
            </w:pPr>
          </w:p>
        </w:tc>
        <w:tc>
          <w:tcPr>
            <w:tcW w:w="614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SAG</w:t>
            </w:r>
          </w:p>
        </w:tc>
        <w:tc>
          <w:tcPr>
            <w:tcW w:w="340" w:type="dxa"/>
            <w:vAlign w:val="bottom"/>
            <w:shd w:val="clear" w:color="auto" w:fill="E5E5E5"/>
          </w:tcPr>
          <w:p>
            <w:pPr>
              <w:spacing w:after="0"/>
              <w:rPr>
                <w:sz w:val="17"/>
                <w:szCs w:val="17"/>
                <w:color w:val="auto"/>
              </w:rPr>
            </w:pPr>
          </w:p>
        </w:tc>
        <w:tc>
          <w:tcPr>
            <w:tcW w:w="11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455</w:t>
            </w:r>
          </w:p>
        </w:tc>
        <w:tc>
          <w:tcPr>
            <w:tcW w:w="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1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448</w:t>
            </w:r>
          </w:p>
        </w:tc>
        <w:tc>
          <w:tcPr>
            <w:tcW w:w="12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320" w:type="dxa"/>
            <w:vAlign w:val="bottom"/>
            <w:shd w:val="clear" w:color="auto" w:fill="E5E5E5"/>
          </w:tcPr>
          <w:p>
            <w:pPr>
              <w:jc w:val="right"/>
              <w:ind w:right="408"/>
              <w:spacing w:after="0"/>
              <w:rPr>
                <w:sz w:val="20"/>
                <w:szCs w:val="20"/>
                <w:color w:val="auto"/>
              </w:rPr>
            </w:pPr>
            <w:r>
              <w:rPr>
                <w:rFonts w:ascii="Arial" w:cs="Arial" w:eastAsia="Arial" w:hAnsi="Arial"/>
                <w:sz w:val="14"/>
                <w:szCs w:val="14"/>
                <w:color w:val="auto"/>
              </w:rPr>
              <w:t>(7)</w:t>
            </w: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3"/>
        </w:trPr>
        <w:tc>
          <w:tcPr>
            <w:tcW w:w="20" w:type="dxa"/>
            <w:vAlign w:val="bottom"/>
            <w:shd w:val="clear" w:color="auto" w:fill="E5E5E5"/>
          </w:tcPr>
          <w:p>
            <w:pPr>
              <w:spacing w:after="0"/>
              <w:rPr>
                <w:sz w:val="17"/>
                <w:szCs w:val="17"/>
                <w:color w:val="auto"/>
              </w:rPr>
            </w:pPr>
          </w:p>
        </w:tc>
        <w:tc>
          <w:tcPr>
            <w:tcW w:w="614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Equipment Gross Margin</w:t>
            </w:r>
          </w:p>
        </w:tc>
        <w:tc>
          <w:tcPr>
            <w:tcW w:w="34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20.4 %</w:t>
            </w:r>
          </w:p>
        </w:tc>
        <w:tc>
          <w:tcPr>
            <w:tcW w:w="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27.9 %</w:t>
            </w:r>
          </w:p>
        </w:tc>
        <w:tc>
          <w:tcPr>
            <w:tcW w:w="12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32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(7.5) pts.</w:t>
            </w:r>
          </w:p>
        </w:tc>
      </w:tr>
      <w:tr>
        <w:trPr>
          <w:trHeight w:val="198"/>
        </w:trPr>
        <w:tc>
          <w:tcPr>
            <w:tcW w:w="20" w:type="dxa"/>
            <w:vAlign w:val="bottom"/>
          </w:tcPr>
          <w:p>
            <w:pPr>
              <w:spacing w:after="0"/>
              <w:rPr>
                <w:sz w:val="17"/>
                <w:szCs w:val="17"/>
                <w:color w:val="auto"/>
              </w:rPr>
            </w:pPr>
          </w:p>
        </w:tc>
        <w:tc>
          <w:tcPr>
            <w:tcW w:w="6140" w:type="dxa"/>
            <w:vAlign w:val="bottom"/>
            <w:gridSpan w:val="2"/>
          </w:tcPr>
          <w:p>
            <w:pPr>
              <w:spacing w:after="0"/>
              <w:rPr>
                <w:sz w:val="20"/>
                <w:szCs w:val="20"/>
                <w:color w:val="auto"/>
              </w:rPr>
            </w:pPr>
            <w:r>
              <w:rPr>
                <w:rFonts w:ascii="Arial" w:cs="Arial" w:eastAsia="Arial" w:hAnsi="Arial"/>
                <w:sz w:val="14"/>
                <w:szCs w:val="14"/>
                <w:color w:val="auto"/>
              </w:rPr>
              <w:t>Post sale Gross Margin</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34.4 %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38.0 %</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(3.6) pts.</w:t>
            </w:r>
          </w:p>
        </w:tc>
      </w:tr>
      <w:tr>
        <w:trPr>
          <w:trHeight w:val="207"/>
        </w:trPr>
        <w:tc>
          <w:tcPr>
            <w:tcW w:w="20" w:type="dxa"/>
            <w:vAlign w:val="bottom"/>
            <w:shd w:val="clear" w:color="auto" w:fill="E5E5E5"/>
          </w:tcPr>
          <w:p>
            <w:pPr>
              <w:spacing w:after="0"/>
              <w:rPr>
                <w:sz w:val="17"/>
                <w:szCs w:val="17"/>
                <w:color w:val="auto"/>
              </w:rPr>
            </w:pPr>
          </w:p>
        </w:tc>
        <w:tc>
          <w:tcPr>
            <w:tcW w:w="614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Total Gross Margin</w:t>
            </w:r>
          </w:p>
        </w:tc>
        <w:tc>
          <w:tcPr>
            <w:tcW w:w="34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31.8 %</w:t>
            </w:r>
          </w:p>
        </w:tc>
        <w:tc>
          <w:tcPr>
            <w:tcW w:w="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35.7 %</w:t>
            </w:r>
          </w:p>
        </w:tc>
        <w:tc>
          <w:tcPr>
            <w:tcW w:w="12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32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(3.9) pts.</w:t>
            </w:r>
          </w:p>
        </w:tc>
      </w:tr>
      <w:tr>
        <w:trPr>
          <w:trHeight w:val="198"/>
        </w:trPr>
        <w:tc>
          <w:tcPr>
            <w:tcW w:w="20" w:type="dxa"/>
            <w:vAlign w:val="bottom"/>
          </w:tcPr>
          <w:p>
            <w:pPr>
              <w:spacing w:after="0"/>
              <w:rPr>
                <w:sz w:val="17"/>
                <w:szCs w:val="17"/>
                <w:color w:val="auto"/>
              </w:rPr>
            </w:pPr>
          </w:p>
        </w:tc>
        <w:tc>
          <w:tcPr>
            <w:tcW w:w="6140" w:type="dxa"/>
            <w:vAlign w:val="bottom"/>
            <w:gridSpan w:val="2"/>
          </w:tcPr>
          <w:p>
            <w:pPr>
              <w:spacing w:after="0"/>
              <w:rPr>
                <w:sz w:val="20"/>
                <w:szCs w:val="20"/>
                <w:color w:val="auto"/>
              </w:rPr>
            </w:pPr>
            <w:r>
              <w:rPr>
                <w:rFonts w:ascii="Arial" w:cs="Arial" w:eastAsia="Arial" w:hAnsi="Arial"/>
                <w:sz w:val="14"/>
                <w:szCs w:val="14"/>
                <w:color w:val="auto"/>
              </w:rPr>
              <w:t>RD&amp;E as a % of Revenue</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4.3 %</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(0.4) pts.</w:t>
            </w:r>
          </w:p>
        </w:tc>
      </w:tr>
      <w:tr>
        <w:trPr>
          <w:trHeight w:val="207"/>
        </w:trPr>
        <w:tc>
          <w:tcPr>
            <w:tcW w:w="20" w:type="dxa"/>
            <w:vAlign w:val="bottom"/>
            <w:shd w:val="clear" w:color="auto" w:fill="E5E5E5"/>
          </w:tcPr>
          <w:p>
            <w:pPr>
              <w:spacing w:after="0"/>
              <w:rPr>
                <w:sz w:val="17"/>
                <w:szCs w:val="17"/>
                <w:color w:val="auto"/>
              </w:rPr>
            </w:pPr>
          </w:p>
        </w:tc>
        <w:tc>
          <w:tcPr>
            <w:tcW w:w="614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SAG as a % of Revenue</w:t>
            </w:r>
          </w:p>
        </w:tc>
        <w:tc>
          <w:tcPr>
            <w:tcW w:w="34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27.3 %</w:t>
            </w:r>
          </w:p>
        </w:tc>
        <w:tc>
          <w:tcPr>
            <w:tcW w:w="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26.2 %</w:t>
            </w:r>
          </w:p>
        </w:tc>
        <w:tc>
          <w:tcPr>
            <w:tcW w:w="12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32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(1.1) pts.</w:t>
            </w: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3"/>
        </w:trPr>
        <w:tc>
          <w:tcPr>
            <w:tcW w:w="20" w:type="dxa"/>
            <w:vAlign w:val="bottom"/>
            <w:shd w:val="clear" w:color="auto" w:fill="E5E5E5"/>
          </w:tcPr>
          <w:p>
            <w:pPr>
              <w:spacing w:after="0"/>
              <w:rPr>
                <w:sz w:val="17"/>
                <w:szCs w:val="17"/>
                <w:color w:val="auto"/>
              </w:rPr>
            </w:pPr>
          </w:p>
        </w:tc>
        <w:tc>
          <w:tcPr>
            <w:tcW w:w="614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Pre-tax (Loss) Income</w:t>
            </w:r>
          </w:p>
        </w:tc>
        <w:tc>
          <w:tcPr>
            <w:tcW w:w="34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(89)</w:t>
            </w:r>
          </w:p>
        </w:tc>
        <w:tc>
          <w:tcPr>
            <w:tcW w:w="460" w:type="dxa"/>
            <w:vAlign w:val="bottom"/>
            <w:gridSpan w:val="2"/>
            <w:shd w:val="clear" w:color="auto" w:fill="E5E5E5"/>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53</w:t>
            </w:r>
          </w:p>
        </w:tc>
        <w:tc>
          <w:tcPr>
            <w:tcW w:w="120" w:type="dxa"/>
            <w:vAlign w:val="bottom"/>
            <w:shd w:val="clear" w:color="auto" w:fill="E5E5E5"/>
          </w:tcPr>
          <w:p>
            <w:pPr>
              <w:spacing w:after="0"/>
              <w:rPr>
                <w:sz w:val="17"/>
                <w:szCs w:val="17"/>
                <w:color w:val="auto"/>
              </w:rPr>
            </w:pPr>
          </w:p>
        </w:tc>
        <w:tc>
          <w:tcPr>
            <w:tcW w:w="52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E5E5E5"/>
          </w:tcPr>
          <w:p>
            <w:pPr>
              <w:jc w:val="right"/>
              <w:ind w:right="408"/>
              <w:spacing w:after="0"/>
              <w:rPr>
                <w:sz w:val="20"/>
                <w:szCs w:val="20"/>
                <w:color w:val="auto"/>
              </w:rPr>
            </w:pPr>
            <w:r>
              <w:rPr>
                <w:rFonts w:ascii="Arial" w:cs="Arial" w:eastAsia="Arial" w:hAnsi="Arial"/>
                <w:sz w:val="14"/>
                <w:szCs w:val="14"/>
                <w:color w:val="auto"/>
              </w:rPr>
              <w:t>(142)</w:t>
            </w:r>
          </w:p>
        </w:tc>
      </w:tr>
      <w:tr>
        <w:trPr>
          <w:trHeight w:val="198"/>
        </w:trPr>
        <w:tc>
          <w:tcPr>
            <w:tcW w:w="20" w:type="dxa"/>
            <w:vAlign w:val="bottom"/>
          </w:tcPr>
          <w:p>
            <w:pPr>
              <w:spacing w:after="0"/>
              <w:rPr>
                <w:sz w:val="17"/>
                <w:szCs w:val="17"/>
                <w:color w:val="auto"/>
              </w:rPr>
            </w:pPr>
          </w:p>
        </w:tc>
        <w:tc>
          <w:tcPr>
            <w:tcW w:w="6140" w:type="dxa"/>
            <w:vAlign w:val="bottom"/>
            <w:gridSpan w:val="2"/>
          </w:tcPr>
          <w:p>
            <w:pPr>
              <w:spacing w:after="0"/>
              <w:rPr>
                <w:sz w:val="20"/>
                <w:szCs w:val="20"/>
                <w:color w:val="auto"/>
              </w:rPr>
            </w:pPr>
            <w:r>
              <w:rPr>
                <w:rFonts w:ascii="Arial" w:cs="Arial" w:eastAsia="Arial" w:hAnsi="Arial"/>
                <w:sz w:val="14"/>
                <w:szCs w:val="14"/>
                <w:color w:val="auto"/>
              </w:rPr>
              <w:t>Pre-tax (Loss) Income Margin</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3.1 %</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(8.4) pts.</w:t>
            </w:r>
          </w:p>
        </w:tc>
      </w:tr>
      <w:tr>
        <w:trPr>
          <w:trHeight w:val="166"/>
        </w:trPr>
        <w:tc>
          <w:tcPr>
            <w:tcW w:w="2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550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11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116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520" w:type="dxa"/>
            <w:vAlign w:val="bottom"/>
            <w:shd w:val="clear" w:color="auto" w:fill="E5E5E5"/>
          </w:tcPr>
          <w:p>
            <w:pPr>
              <w:spacing w:after="0"/>
              <w:rPr>
                <w:sz w:val="14"/>
                <w:szCs w:val="14"/>
                <w:color w:val="auto"/>
              </w:rPr>
            </w:pPr>
          </w:p>
        </w:tc>
        <w:tc>
          <w:tcPr>
            <w:tcW w:w="1320" w:type="dxa"/>
            <w:vAlign w:val="bottom"/>
            <w:shd w:val="clear" w:color="auto" w:fill="E5E5E5"/>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6140" w:type="dxa"/>
            <w:vAlign w:val="bottom"/>
            <w:gridSpan w:val="2"/>
          </w:tcPr>
          <w:p>
            <w:pPr>
              <w:spacing w:after="0"/>
              <w:rPr>
                <w:sz w:val="20"/>
                <w:szCs w:val="20"/>
                <w:color w:val="auto"/>
              </w:rPr>
            </w:pPr>
            <w:r>
              <w:rPr>
                <w:rFonts w:ascii="Arial" w:cs="Arial" w:eastAsia="Arial" w:hAnsi="Arial"/>
                <w:sz w:val="14"/>
                <w:szCs w:val="14"/>
                <w:color w:val="auto"/>
              </w:rPr>
              <w:t>Adjusted</w:t>
            </w:r>
            <w:r>
              <w:rPr>
                <w:rFonts w:ascii="Arial" w:cs="Arial" w:eastAsia="Arial" w:hAnsi="Arial"/>
                <w:sz w:val="9"/>
                <w:szCs w:val="9"/>
                <w:color w:val="auto"/>
              </w:rPr>
              <w:t>(1)</w:t>
            </w:r>
            <w:r>
              <w:rPr>
                <w:rFonts w:ascii="Arial" w:cs="Arial" w:eastAsia="Arial" w:hAnsi="Arial"/>
                <w:sz w:val="14"/>
                <w:szCs w:val="14"/>
                <w:color w:val="auto"/>
              </w:rPr>
              <w:t xml:space="preserve"> Operating (Loss) Profit</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7"/>
                <w:szCs w:val="17"/>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408"/>
              <w:spacing w:after="0"/>
              <w:rPr>
                <w:sz w:val="20"/>
                <w:szCs w:val="20"/>
                <w:color w:val="auto"/>
              </w:rPr>
            </w:pPr>
            <w:r>
              <w:rPr>
                <w:rFonts w:ascii="Arial" w:cs="Arial" w:eastAsia="Arial" w:hAnsi="Arial"/>
                <w:sz w:val="14"/>
                <w:szCs w:val="14"/>
                <w:color w:val="auto"/>
              </w:rPr>
              <w:t>(92)</w:t>
            </w:r>
          </w:p>
        </w:tc>
      </w:tr>
      <w:tr>
        <w:trPr>
          <w:trHeight w:val="207"/>
        </w:trPr>
        <w:tc>
          <w:tcPr>
            <w:tcW w:w="20" w:type="dxa"/>
            <w:vAlign w:val="bottom"/>
            <w:shd w:val="clear" w:color="auto" w:fill="E5E5E5"/>
          </w:tcPr>
          <w:p>
            <w:pPr>
              <w:spacing w:after="0"/>
              <w:rPr>
                <w:sz w:val="17"/>
                <w:szCs w:val="17"/>
                <w:color w:val="auto"/>
              </w:rPr>
            </w:pPr>
          </w:p>
        </w:tc>
        <w:tc>
          <w:tcPr>
            <w:tcW w:w="614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Adjusted</w:t>
            </w:r>
            <w:r>
              <w:rPr>
                <w:rFonts w:ascii="Arial" w:cs="Arial" w:eastAsia="Arial" w:hAnsi="Arial"/>
                <w:sz w:val="9"/>
                <w:szCs w:val="9"/>
                <w:color w:val="auto"/>
              </w:rPr>
              <w:t>(1)</w:t>
            </w:r>
            <w:r>
              <w:rPr>
                <w:rFonts w:ascii="Arial" w:cs="Arial" w:eastAsia="Arial" w:hAnsi="Arial"/>
                <w:sz w:val="14"/>
                <w:szCs w:val="14"/>
                <w:color w:val="auto"/>
              </w:rPr>
              <w:t xml:space="preserve"> Operating (Loss) Income Margin</w:t>
            </w:r>
          </w:p>
        </w:tc>
        <w:tc>
          <w:tcPr>
            <w:tcW w:w="34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5.2 %</w:t>
            </w:r>
          </w:p>
        </w:tc>
        <w:tc>
          <w:tcPr>
            <w:tcW w:w="12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32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(5.4) pts.</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See the “Non-GAAP Financial Measures” section for an explanation of the non-GAAP financial measure.</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Pre-tax (Loss) Income Margin</w:t>
      </w:r>
    </w:p>
    <w:p>
      <w:pPr>
        <w:spacing w:after="0" w:line="1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First quarter 2022 pre-tax loss margin of (5.3)% decreased 8.4-percentage points as compared to first quarter 2021. The decrease primarily reflected the impact of lower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operating margin (see below), as well as higher Other expenses, net, which included a $33 million charge ($25 million after-tax) associated with the termination of a product supply agreement.</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Adjusted</w:t>
      </w:r>
      <w:r>
        <w:rPr>
          <w:rFonts w:ascii="Arial" w:cs="Arial" w:eastAsia="Arial" w:hAnsi="Arial"/>
          <w:sz w:val="25"/>
          <w:szCs w:val="25"/>
          <w:b w:val="1"/>
          <w:bCs w:val="1"/>
          <w:color w:val="DA2031"/>
          <w:vertAlign w:val="superscript"/>
        </w:rPr>
        <w:t>1</w:t>
      </w:r>
      <w:r>
        <w:rPr>
          <w:rFonts w:ascii="Arial" w:cs="Arial" w:eastAsia="Arial" w:hAnsi="Arial"/>
          <w:sz w:val="20"/>
          <w:szCs w:val="20"/>
          <w:b w:val="1"/>
          <w:bCs w:val="1"/>
          <w:color w:val="DA2031"/>
        </w:rPr>
        <w:t xml:space="preserve"> Operating Margin</w:t>
      </w:r>
    </w:p>
    <w:p>
      <w:pPr>
        <w:spacing w:after="0" w:line="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First quarter 2022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operating loss margin of (0.2)% decreased by 5.4-percentage points as compared to first quarter 2021, primarily reflecting lower revenues and lower gross margin, which includes the impact of higher freight costs associated with product supply constraints, as well as higher expenses reflecting increased investments in new businesses, higher bad debt expense, and benefits from temporary government assistance and furlough measures in the prior year. These impacts were partially offset by lower selling expenses resulting from lower sales volumes as well as productivity and cost savings associated with our Project Own It transformation actions.</w:t>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w:t>
      </w:r>
    </w:p>
    <w:p>
      <w:pPr>
        <w:spacing w:after="0" w:line="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Refer to the Operating (Loss) Income and Margin reconciliation table in the "Non-GAAP Financial Measures" section.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Gross Margin</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First quarter 2022 gross margin of 31.8% decreased by 3.9-percentage points as compared to first quarter 2021, reflecting unfavorable mix to Entry products and IT services as well as the unfavorable impacts of approximately 2.5-percentage points associated with supply chain costs and capacity restrictions, which reflects significantly higher freight and shipping costs and constrained availability of higher margin equipment. In addition, gross margin was negatively impacted by lower third-party financing commissions, lower royalty revenue, benefits from temporary government assistance and furlough measures in the prior year, and a competitive pricing environment.</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First quarter 2022 equipment gross margin of 20.4% decreased by 7.5-percentage points as compared to first quarter 2021, primarily reflecting an unfavorable mix of mid-range products and the impact of higher freight costs associated with product supply constraints and higher product costs.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First quarter 2022 Post sale gross margin of 34.4% decreased by 3.6-percentage points as compared to first quarter 2021, reflecting higher component and logistics costs associated with supply chain disruption, benefits from temporary government assistance and furlough measures in the prior year, a competitive pricing environment, and lower royalty revenues and third-party financing commissions. In addition, a higher mix of IT services revenues also contributed to the decrease in margins. These impacts were partially offset by productivity and cost savings and restructuring savings associated with Project Own It transformation actions.</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46" w:name="page47"/>
    <w:bookmarkEnd w:id="46"/>
    <w:p>
      <w:pPr>
        <w:spacing w:after="0"/>
        <w:rPr>
          <w:sz w:val="20"/>
          <w:szCs w:val="20"/>
          <w:color w:val="auto"/>
        </w:rPr>
      </w:pPr>
      <w:r>
        <w:rPr>
          <w:rFonts w:ascii="Arial" w:cs="Arial" w:eastAsia="Arial" w:hAnsi="Arial"/>
          <w:sz w:val="20"/>
          <w:szCs w:val="20"/>
          <w:b w:val="1"/>
          <w:bCs w:val="1"/>
          <w:color w:val="DA2031"/>
        </w:rPr>
        <w:t>Research, Development and Engineering Expenses (RD&amp;E)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March 31,</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57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400" w:type="dxa"/>
            <w:vAlign w:val="bottom"/>
          </w:tcPr>
          <w:p>
            <w:pPr>
              <w:spacing w:after="0"/>
              <w:rPr>
                <w:sz w:val="13"/>
                <w:szCs w:val="13"/>
                <w:color w:val="auto"/>
              </w:rPr>
            </w:pPr>
          </w:p>
        </w:tc>
        <w:tc>
          <w:tcPr>
            <w:tcW w:w="1340" w:type="dxa"/>
            <w:vAlign w:val="bottom"/>
          </w:tcPr>
          <w:p>
            <w:pPr>
              <w:jc w:val="right"/>
              <w:ind w:right="648"/>
              <w:spacing w:after="0" w:line="155"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center"/>
              <w:ind w:right="68"/>
              <w:spacing w:after="0" w:line="155" w:lineRule="exact"/>
              <w:rPr>
                <w:sz w:val="20"/>
                <w:szCs w:val="20"/>
                <w:color w:val="auto"/>
              </w:rPr>
            </w:pPr>
            <w:r>
              <w:rPr>
                <w:rFonts w:ascii="Arial" w:cs="Arial" w:eastAsia="Arial" w:hAnsi="Arial"/>
                <w:sz w:val="14"/>
                <w:szCs w:val="14"/>
                <w:color w:val="auto"/>
              </w:rPr>
              <w:t>2021</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ind w:left="260"/>
              <w:spacing w:after="0" w:line="155" w:lineRule="exact"/>
              <w:rPr>
                <w:sz w:val="20"/>
                <w:szCs w:val="20"/>
                <w:color w:val="auto"/>
              </w:rPr>
            </w:pPr>
            <w:r>
              <w:rPr>
                <w:rFonts w:ascii="Arial" w:cs="Arial" w:eastAsia="Arial" w:hAnsi="Arial"/>
                <w:sz w:val="14"/>
                <w:szCs w:val="14"/>
                <w:color w:val="auto"/>
              </w:rPr>
              <w:t>Change</w:t>
            </w:r>
          </w:p>
        </w:tc>
      </w:tr>
      <w:tr>
        <w:trPr>
          <w:trHeight w:val="21"/>
        </w:trPr>
        <w:tc>
          <w:tcPr>
            <w:tcW w:w="20" w:type="dxa"/>
            <w:vAlign w:val="bottom"/>
            <w:tcBorders>
              <w:bottom w:val="single" w:sz="8" w:color="E5E5E5"/>
            </w:tcBorders>
          </w:tcPr>
          <w:p>
            <w:pPr>
              <w:spacing w:after="0" w:line="20" w:lineRule="exact"/>
              <w:rPr>
                <w:sz w:val="1"/>
                <w:szCs w:val="1"/>
                <w:color w:val="auto"/>
              </w:rPr>
            </w:pPr>
          </w:p>
        </w:tc>
        <w:tc>
          <w:tcPr>
            <w:tcW w:w="640" w:type="dxa"/>
            <w:vAlign w:val="bottom"/>
            <w:tcBorders>
              <w:top w:val="single" w:sz="8" w:color="auto"/>
              <w:bottom w:val="single" w:sz="8" w:color="E5E5E5"/>
            </w:tcBorders>
          </w:tcPr>
          <w:p>
            <w:pPr>
              <w:spacing w:after="0" w:line="20" w:lineRule="exact"/>
              <w:rPr>
                <w:sz w:val="1"/>
                <w:szCs w:val="1"/>
                <w:color w:val="auto"/>
              </w:rPr>
            </w:pPr>
          </w:p>
        </w:tc>
        <w:tc>
          <w:tcPr>
            <w:tcW w:w="5120" w:type="dxa"/>
            <w:vAlign w:val="bottom"/>
            <w:tcBorders>
              <w:bottom w:val="single" w:sz="8" w:color="E5E5E5"/>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E5E5E5"/>
          </w:tcPr>
          <w:p>
            <w:pPr>
              <w:spacing w:after="0"/>
              <w:rPr>
                <w:sz w:val="17"/>
                <w:szCs w:val="17"/>
                <w:color w:val="auto"/>
              </w:rPr>
            </w:pPr>
          </w:p>
        </w:tc>
        <w:tc>
          <w:tcPr>
            <w:tcW w:w="576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R&amp;D</w:t>
            </w:r>
          </w:p>
        </w:tc>
        <w:tc>
          <w:tcPr>
            <w:tcW w:w="4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E5E5E5"/>
          </w:tcPr>
          <w:p>
            <w:pPr>
              <w:spacing w:after="0"/>
              <w:rPr>
                <w:sz w:val="17"/>
                <w:szCs w:val="17"/>
                <w:color w:val="auto"/>
              </w:rPr>
            </w:pPr>
          </w:p>
        </w:tc>
        <w:tc>
          <w:tcPr>
            <w:tcW w:w="36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E5E5E5"/>
          </w:tcPr>
          <w:p>
            <w:pPr>
              <w:jc w:val="center"/>
              <w:ind w:left="1128"/>
              <w:spacing w:after="0"/>
              <w:rPr>
                <w:sz w:val="20"/>
                <w:szCs w:val="20"/>
                <w:color w:val="auto"/>
              </w:rPr>
            </w:pPr>
            <w:r>
              <w:rPr>
                <w:rFonts w:ascii="Arial" w:cs="Arial" w:eastAsia="Arial" w:hAnsi="Arial"/>
                <w:sz w:val="14"/>
                <w:szCs w:val="14"/>
                <w:color w:val="auto"/>
              </w:rPr>
              <w:t>5</w:t>
            </w:r>
          </w:p>
        </w:tc>
      </w:tr>
      <w:tr>
        <w:trPr>
          <w:trHeight w:val="198"/>
        </w:trPr>
        <w:tc>
          <w:tcPr>
            <w:tcW w:w="20" w:type="dxa"/>
            <w:vAlign w:val="bottom"/>
            <w:tcBorders>
              <w:bottom w:val="single" w:sz="8" w:color="E5E5E5"/>
            </w:tcBorders>
          </w:tcPr>
          <w:p>
            <w:pPr>
              <w:spacing w:after="0"/>
              <w:rPr>
                <w:sz w:val="17"/>
                <w:szCs w:val="17"/>
                <w:color w:val="auto"/>
              </w:rPr>
            </w:pPr>
          </w:p>
        </w:tc>
        <w:tc>
          <w:tcPr>
            <w:tcW w:w="5760" w:type="dxa"/>
            <w:vAlign w:val="bottom"/>
            <w:tcBorders>
              <w:bottom w:val="single" w:sz="8" w:color="E5E5E5"/>
            </w:tcBorders>
            <w:gridSpan w:val="2"/>
          </w:tcPr>
          <w:p>
            <w:pPr>
              <w:spacing w:after="0"/>
              <w:rPr>
                <w:sz w:val="20"/>
                <w:szCs w:val="20"/>
                <w:color w:val="auto"/>
              </w:rPr>
            </w:pPr>
            <w:r>
              <w:rPr>
                <w:rFonts w:ascii="Arial" w:cs="Arial" w:eastAsia="Arial" w:hAnsi="Arial"/>
                <w:sz w:val="14"/>
                <w:szCs w:val="14"/>
                <w:color w:val="auto"/>
              </w:rPr>
              <w:t>Sustaining engineering</w:t>
            </w: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E5E5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E5E5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left="1108"/>
              <w:spacing w:after="0"/>
              <w:rPr>
                <w:sz w:val="20"/>
                <w:szCs w:val="20"/>
                <w:color w:val="auto"/>
              </w:rPr>
            </w:pPr>
            <w:r>
              <w:rPr>
                <w:rFonts w:ascii="Arial" w:cs="Arial" w:eastAsia="Arial" w:hAnsi="Arial"/>
                <w:sz w:val="14"/>
                <w:szCs w:val="14"/>
                <w:color w:val="auto"/>
              </w:rPr>
              <w:t>(1)</w:t>
            </w:r>
          </w:p>
        </w:tc>
      </w:tr>
      <w:tr>
        <w:trPr>
          <w:trHeight w:val="225"/>
        </w:trPr>
        <w:tc>
          <w:tcPr>
            <w:tcW w:w="20" w:type="dxa"/>
            <w:vAlign w:val="bottom"/>
            <w:tcBorders>
              <w:bottom w:val="single" w:sz="8" w:color="E5E5E5"/>
            </w:tcBorders>
            <w:shd w:val="clear" w:color="auto" w:fill="E5E5E5"/>
          </w:tcPr>
          <w:p>
            <w:pPr>
              <w:spacing w:after="0"/>
              <w:rPr>
                <w:sz w:val="19"/>
                <w:szCs w:val="19"/>
                <w:color w:val="auto"/>
              </w:rPr>
            </w:pPr>
          </w:p>
        </w:tc>
        <w:tc>
          <w:tcPr>
            <w:tcW w:w="576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4"/>
                <w:szCs w:val="14"/>
                <w:b w:val="1"/>
                <w:bCs w:val="1"/>
                <w:color w:val="auto"/>
              </w:rPr>
              <w:t>Total RD&amp;E Expenses</w:t>
            </w:r>
          </w:p>
        </w:tc>
        <w:tc>
          <w:tcPr>
            <w:tcW w:w="400" w:type="dxa"/>
            <w:vAlign w:val="bottom"/>
            <w:tcBorders>
              <w:bottom w:val="single" w:sz="8" w:color="auto"/>
            </w:tcBorders>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E5E5E5"/>
            </w:tcBorders>
            <w:shd w:val="clear" w:color="auto" w:fill="E5E5E5"/>
          </w:tcPr>
          <w:p>
            <w:pPr>
              <w:spacing w:after="0"/>
              <w:rPr>
                <w:sz w:val="19"/>
                <w:szCs w:val="19"/>
                <w:color w:val="auto"/>
              </w:rPr>
            </w:pPr>
          </w:p>
        </w:tc>
        <w:tc>
          <w:tcPr>
            <w:tcW w:w="360" w:type="dxa"/>
            <w:vAlign w:val="bottom"/>
            <w:tcBorders>
              <w:bottom w:val="single" w:sz="8" w:color="auto"/>
            </w:tcBorders>
            <w:shd w:val="clear" w:color="auto" w:fill="E5E5E5"/>
          </w:tcPr>
          <w:p>
            <w:pPr>
              <w:jc w:val="right"/>
              <w:ind w:right="20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E5E5E5"/>
          </w:tcPr>
          <w:p>
            <w:pPr>
              <w:jc w:val="center"/>
              <w:ind w:left="1128"/>
              <w:spacing w:after="0"/>
              <w:rPr>
                <w:sz w:val="20"/>
                <w:szCs w:val="20"/>
                <w:color w:val="auto"/>
              </w:rPr>
            </w:pPr>
            <w:r>
              <w:rPr>
                <w:rFonts w:ascii="Arial" w:cs="Arial" w:eastAsia="Arial" w:hAnsi="Arial"/>
                <w:sz w:val="14"/>
                <w:szCs w:val="14"/>
                <w:color w:val="auto"/>
              </w:rPr>
              <w:t>4</w:t>
            </w:r>
          </w:p>
        </w:tc>
      </w:tr>
      <w:tr>
        <w:trPr>
          <w:trHeight w:val="20"/>
        </w:trPr>
        <w:tc>
          <w:tcPr>
            <w:tcW w:w="20" w:type="dxa"/>
            <w:vAlign w:val="bottom"/>
            <w:tcBorders>
              <w:top w:val="single" w:sz="8" w:color="E5E5E5"/>
            </w:tcBorders>
          </w:tcPr>
          <w:p>
            <w:pPr>
              <w:spacing w:after="0" w:line="20" w:lineRule="exact"/>
              <w:rPr>
                <w:sz w:val="1"/>
                <w:szCs w:val="1"/>
                <w:color w:val="auto"/>
              </w:rPr>
            </w:pPr>
          </w:p>
        </w:tc>
        <w:tc>
          <w:tcPr>
            <w:tcW w:w="640" w:type="dxa"/>
            <w:vAlign w:val="bottom"/>
            <w:tcBorders>
              <w:top w:val="single" w:sz="8" w:color="E5E5E5"/>
            </w:tcBorders>
          </w:tcPr>
          <w:p>
            <w:pPr>
              <w:spacing w:after="0" w:line="20" w:lineRule="exact"/>
              <w:rPr>
                <w:sz w:val="1"/>
                <w:szCs w:val="1"/>
                <w:color w:val="auto"/>
              </w:rPr>
            </w:pPr>
          </w:p>
        </w:tc>
        <w:tc>
          <w:tcPr>
            <w:tcW w:w="5120" w:type="dxa"/>
            <w:vAlign w:val="bottom"/>
            <w:tcBorders>
              <w:top w:val="single" w:sz="8" w:color="E5E5E5"/>
            </w:tcBorders>
          </w:tcPr>
          <w:p>
            <w:pPr>
              <w:spacing w:after="0" w:line="20" w:lineRule="exact"/>
              <w:rPr>
                <w:sz w:val="1"/>
                <w:szCs w:val="1"/>
                <w:color w:val="auto"/>
              </w:rPr>
            </w:pPr>
          </w:p>
        </w:tc>
        <w:tc>
          <w:tcPr>
            <w:tcW w:w="400" w:type="dxa"/>
            <w:vAlign w:val="bottom"/>
            <w:tcBorders>
              <w:top w:val="single" w:sz="8" w:color="E5E5E5"/>
              <w:bottom w:val="single" w:sz="8" w:color="auto"/>
            </w:tcBorders>
          </w:tcPr>
          <w:p>
            <w:pPr>
              <w:spacing w:after="0" w:line="20" w:lineRule="exact"/>
              <w:rPr>
                <w:sz w:val="1"/>
                <w:szCs w:val="1"/>
                <w:color w:val="auto"/>
              </w:rPr>
            </w:pPr>
          </w:p>
        </w:tc>
        <w:tc>
          <w:tcPr>
            <w:tcW w:w="13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E5E5E5"/>
              <w:bottom w:val="single" w:sz="8" w:color="auto"/>
            </w:tcBorders>
          </w:tcPr>
          <w:p>
            <w:pPr>
              <w:spacing w:after="0" w:line="20" w:lineRule="exact"/>
              <w:rPr>
                <w:sz w:val="1"/>
                <w:szCs w:val="1"/>
                <w:color w:val="auto"/>
              </w:rPr>
            </w:pPr>
          </w:p>
        </w:tc>
        <w:tc>
          <w:tcPr>
            <w:tcW w:w="15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1400" w:type="dxa"/>
            <w:vAlign w:val="bottom"/>
            <w:tcBorders>
              <w:top w:val="single" w:sz="8" w:color="E5E5E5"/>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First quarter 2022 RD&amp;E as a percentage of revenue of 4.7% increased by 0.4-percentage points as compared to first quarter 2021, as a result of revenue declines that outpaced the rate of investments.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RD&amp;E of $78 million increased $4 million as compared to first quarter 2021 primarily reflecting investments in our innovation portfolio and software, partially offset by savings from restructuring and productivity as well as lower RD&amp;E for our print business.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Selling, Administrative and General Expenses (SAG)</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First quarter 2022 SAG as a percentage of revenue of 27.3% increased by 1.1-percentage points as compared to first quarter 2021, due to higher administrative and bad debt expenses, as well as the impact of lower revenues, partially offset by lower selling expenses as a result of lower sales volumes and lower marketing costs.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First quarter 2022 SAG of $455 million increased $7 million as compared to first quarter 2021, primarily reflecting investments in new businesses, higher bad debt expense and acquisitions as well as, benefits from temporary government assistance and furlough measures in the prior year. These actions were partially offset by lower sales and marketing expenses resulting from lower sales volumes as well as productivity and cost savings associated with our Project Own It transformation actions and the favorable impact from currency.</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bad debt provision for the three months ended March 31, 2022 of $15 million increased by $5 million as compared to the first quarter 2021, primarily related to reserves for trade receivables in our Eurasia operations, primarily in Russia. Although actual finance receivable write-offs incurred to date continue to lag expectations, we believe our current reserve position remains sufficient to cover expected future losses that may result from current and future macro-economic conditions. We continue to believe that uncertainties remain as economies continue to recover from the impacts of the COVID-19 pandemic including the cessation of government support as well as labor, interest rate and inflation risks and the potential for higher taxes. In addition, there is also considerable uncertainty regarding the impact the Russia/Ukraine war and related global sanctions will have on the macro or global economy. As a result of these uncertainties, our reserves as a percent of receivables have remained fairly consistent subsequent to the first quarter 2020 increase to initially record expected losses from the COVID-19 pandemic. We continue to monitor developments in future economic conditions, and as a result, our reserves may need to be updated in future periods. On a trailing twelve-month basis (TTM), bad debt expense was approximately 1.0% of total receivables (excluding the 2021 reserve reductions of approximately $31 million), which is consistent with the pre-pandemic trend and reflects the consistent level of reserves subsequent to the first quarter 2020 charge.</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 to Note 8 - Accounts Receivable, Net and Note 9 - Finance Receivables, Net in the Condensed Consolidated Financial Statements for additional information regarding our bad debt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47" w:name="page48"/>
    <w:bookmarkEnd w:id="47"/>
    <w:p>
      <w:pPr>
        <w:spacing w:after="0"/>
        <w:rPr>
          <w:sz w:val="20"/>
          <w:szCs w:val="20"/>
          <w:color w:val="auto"/>
        </w:rPr>
      </w:pPr>
      <w:r>
        <w:rPr>
          <w:rFonts w:ascii="Arial" w:cs="Arial" w:eastAsia="Arial" w:hAnsi="Arial"/>
          <w:sz w:val="20"/>
          <w:szCs w:val="20"/>
          <w:b w:val="1"/>
          <w:bCs w:val="1"/>
          <w:color w:val="DA2031"/>
        </w:rPr>
        <w:t>Restructuring and Related Costs, Net</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212121"/>
        </w:rPr>
        <w:t xml:space="preserve">We incurred Restructuring and related costs, net of $18 million for the </w:t>
      </w:r>
      <w:r>
        <w:rPr>
          <w:rFonts w:ascii="Arial" w:cs="Arial" w:eastAsia="Arial" w:hAnsi="Arial"/>
          <w:sz w:val="18"/>
          <w:szCs w:val="18"/>
          <w:color w:val="000000"/>
        </w:rPr>
        <w:t>first</w:t>
      </w:r>
      <w:r>
        <w:rPr>
          <w:rFonts w:ascii="Arial" w:cs="Arial" w:eastAsia="Arial" w:hAnsi="Arial"/>
          <w:sz w:val="18"/>
          <w:szCs w:val="18"/>
          <w:color w:val="212121"/>
        </w:rPr>
        <w:t xml:space="preserve"> quarter 2022</w:t>
      </w:r>
      <w:r>
        <w:rPr>
          <w:rFonts w:ascii="Arial" w:cs="Arial" w:eastAsia="Arial" w:hAnsi="Arial"/>
          <w:sz w:val="18"/>
          <w:szCs w:val="18"/>
          <w:color w:val="000000"/>
        </w:rPr>
        <w:t>,</w:t>
      </w:r>
      <w:r>
        <w:rPr>
          <w:rFonts w:ascii="Arial" w:cs="Arial" w:eastAsia="Arial" w:hAnsi="Arial"/>
          <w:sz w:val="18"/>
          <w:szCs w:val="18"/>
          <w:color w:val="212121"/>
        </w:rPr>
        <w:t xml:space="preserve"> as compared to </w:t>
      </w:r>
      <w:r>
        <w:rPr>
          <w:rFonts w:ascii="Arial" w:cs="Arial" w:eastAsia="Arial" w:hAnsi="Arial"/>
          <w:sz w:val="18"/>
          <w:szCs w:val="18"/>
          <w:color w:val="000000"/>
        </w:rPr>
        <w:t>$17</w:t>
      </w:r>
      <w:r>
        <w:rPr>
          <w:rFonts w:ascii="Arial" w:cs="Arial" w:eastAsia="Arial" w:hAnsi="Arial"/>
          <w:sz w:val="18"/>
          <w:szCs w:val="18"/>
          <w:color w:val="212121"/>
        </w:rPr>
        <w:t xml:space="preserve"> million for </w:t>
      </w:r>
      <w:r>
        <w:rPr>
          <w:rFonts w:ascii="Arial" w:cs="Arial" w:eastAsia="Arial" w:hAnsi="Arial"/>
          <w:sz w:val="18"/>
          <w:szCs w:val="18"/>
          <w:color w:val="000000"/>
        </w:rPr>
        <w:t>first</w:t>
      </w:r>
      <w:r>
        <w:rPr>
          <w:rFonts w:ascii="Arial" w:cs="Arial" w:eastAsia="Arial" w:hAnsi="Arial"/>
          <w:sz w:val="18"/>
          <w:szCs w:val="18"/>
          <w:color w:val="212121"/>
        </w:rPr>
        <w:t xml:space="preserve"> quarter 2021. These costs were primarily related to the implementation of initiatives under our business transformation projects including Project Own It. </w:t>
      </w:r>
      <w:r>
        <w:rPr>
          <w:rFonts w:ascii="Arial" w:cs="Arial" w:eastAsia="Arial" w:hAnsi="Arial"/>
          <w:sz w:val="18"/>
          <w:szCs w:val="18"/>
          <w:color w:val="000000"/>
        </w:rPr>
        <w:t>The following is a breakdown of those costs: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110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color w:val="auto"/>
              </w:rPr>
              <w:t>March 31,</w:t>
            </w:r>
          </w:p>
        </w:tc>
        <w:tc>
          <w:tcPr>
            <w:tcW w:w="110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76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400" w:type="dxa"/>
            <w:vAlign w:val="bottom"/>
          </w:tcPr>
          <w:p>
            <w:pPr>
              <w:spacing w:after="0"/>
              <w:rPr>
                <w:sz w:val="13"/>
                <w:szCs w:val="13"/>
                <w:color w:val="auto"/>
              </w:rPr>
            </w:pPr>
          </w:p>
        </w:tc>
        <w:tc>
          <w:tcPr>
            <w:tcW w:w="1360" w:type="dxa"/>
            <w:vAlign w:val="bottom"/>
          </w:tcPr>
          <w:p>
            <w:pPr>
              <w:jc w:val="right"/>
              <w:ind w:right="648"/>
              <w:spacing w:after="0" w:line="155"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jc w:val="right"/>
              <w:ind w:right="648"/>
              <w:spacing w:after="0" w:line="155" w:lineRule="exact"/>
              <w:rPr>
                <w:sz w:val="20"/>
                <w:szCs w:val="20"/>
                <w:color w:val="auto"/>
              </w:rPr>
            </w:pPr>
            <w:r>
              <w:rPr>
                <w:rFonts w:ascii="Arial" w:cs="Arial" w:eastAsia="Arial" w:hAnsi="Arial"/>
                <w:sz w:val="14"/>
                <w:szCs w:val="14"/>
                <w:color w:val="auto"/>
              </w:rPr>
              <w:t>2021</w:t>
            </w:r>
          </w:p>
        </w:tc>
      </w:tr>
      <w:tr>
        <w:trPr>
          <w:trHeight w:val="21"/>
        </w:trPr>
        <w:tc>
          <w:tcPr>
            <w:tcW w:w="20" w:type="dxa"/>
            <w:vAlign w:val="bottom"/>
            <w:tcBorders>
              <w:bottom w:val="single" w:sz="8" w:color="E5E5E5"/>
            </w:tcBorders>
          </w:tcPr>
          <w:p>
            <w:pPr>
              <w:spacing w:after="0" w:line="20" w:lineRule="exact"/>
              <w:rPr>
                <w:sz w:val="1"/>
                <w:szCs w:val="1"/>
                <w:color w:val="auto"/>
              </w:rPr>
            </w:pPr>
          </w:p>
        </w:tc>
        <w:tc>
          <w:tcPr>
            <w:tcW w:w="640" w:type="dxa"/>
            <w:vAlign w:val="bottom"/>
            <w:tcBorders>
              <w:top w:val="single" w:sz="8" w:color="auto"/>
              <w:bottom w:val="single" w:sz="8" w:color="E5E5E5"/>
            </w:tcBorders>
          </w:tcPr>
          <w:p>
            <w:pPr>
              <w:spacing w:after="0" w:line="20" w:lineRule="exact"/>
              <w:rPr>
                <w:sz w:val="1"/>
                <w:szCs w:val="1"/>
                <w:color w:val="auto"/>
              </w:rPr>
            </w:pPr>
          </w:p>
        </w:tc>
        <w:tc>
          <w:tcPr>
            <w:tcW w:w="6960" w:type="dxa"/>
            <w:vAlign w:val="bottom"/>
            <w:tcBorders>
              <w:bottom w:val="single" w:sz="8" w:color="E5E5E5"/>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E5E5E5"/>
          </w:tcPr>
          <w:p>
            <w:pPr>
              <w:spacing w:after="0"/>
              <w:rPr>
                <w:sz w:val="17"/>
                <w:szCs w:val="17"/>
                <w:color w:val="auto"/>
              </w:rPr>
            </w:pPr>
          </w:p>
        </w:tc>
        <w:tc>
          <w:tcPr>
            <w:tcW w:w="7600" w:type="dxa"/>
            <w:vAlign w:val="bottom"/>
            <w:gridSpan w:val="2"/>
            <w:shd w:val="clear" w:color="auto" w:fill="E5E5E5"/>
          </w:tcPr>
          <w:p>
            <w:pPr>
              <w:spacing w:after="0" w:line="196" w:lineRule="exact"/>
              <w:rPr>
                <w:sz w:val="20"/>
                <w:szCs w:val="20"/>
                <w:color w:val="auto"/>
              </w:rPr>
            </w:pPr>
            <w:r>
              <w:rPr>
                <w:rFonts w:ascii="Arial" w:cs="Arial" w:eastAsia="Arial" w:hAnsi="Arial"/>
                <w:sz w:val="14"/>
                <w:szCs w:val="14"/>
                <w:color w:val="auto"/>
              </w:rPr>
              <w:t>Severance</w:t>
            </w:r>
            <w:r>
              <w:rPr>
                <w:rFonts w:ascii="Arial" w:cs="Arial" w:eastAsia="Arial" w:hAnsi="Arial"/>
                <w:sz w:val="18"/>
                <w:szCs w:val="18"/>
                <w:color w:val="auto"/>
                <w:vertAlign w:val="superscript"/>
              </w:rPr>
              <w:t>(1)</w:t>
            </w:r>
          </w:p>
        </w:tc>
        <w:tc>
          <w:tcPr>
            <w:tcW w:w="4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E5E5E5"/>
          </w:tcPr>
          <w:p>
            <w:pPr>
              <w:spacing w:after="0"/>
              <w:rPr>
                <w:sz w:val="17"/>
                <w:szCs w:val="17"/>
                <w:color w:val="auto"/>
              </w:rPr>
            </w:pPr>
          </w:p>
        </w:tc>
        <w:tc>
          <w:tcPr>
            <w:tcW w:w="660" w:type="dxa"/>
            <w:vAlign w:val="bottom"/>
            <w:shd w:val="clear" w:color="auto" w:fill="E5E5E5"/>
          </w:tcPr>
          <w:p>
            <w:pPr>
              <w:jc w:val="right"/>
              <w:ind w:right="50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w:t>
            </w:r>
          </w:p>
        </w:tc>
      </w:tr>
      <w:tr>
        <w:trPr>
          <w:trHeight w:val="203"/>
        </w:trPr>
        <w:tc>
          <w:tcPr>
            <w:tcW w:w="20" w:type="dxa"/>
            <w:vAlign w:val="bottom"/>
          </w:tcPr>
          <w:p>
            <w:pPr>
              <w:spacing w:after="0"/>
              <w:rPr>
                <w:sz w:val="17"/>
                <w:szCs w:val="17"/>
                <w:color w:val="auto"/>
              </w:rPr>
            </w:pPr>
          </w:p>
        </w:tc>
        <w:tc>
          <w:tcPr>
            <w:tcW w:w="7600" w:type="dxa"/>
            <w:vAlign w:val="bottom"/>
            <w:gridSpan w:val="2"/>
          </w:tcPr>
          <w:p>
            <w:pPr>
              <w:spacing w:after="0" w:line="202" w:lineRule="exact"/>
              <w:rPr>
                <w:sz w:val="20"/>
                <w:szCs w:val="20"/>
                <w:color w:val="auto"/>
              </w:rPr>
            </w:pPr>
            <w:r>
              <w:rPr>
                <w:rFonts w:ascii="Arial" w:cs="Arial" w:eastAsia="Arial" w:hAnsi="Arial"/>
                <w:sz w:val="14"/>
                <w:szCs w:val="14"/>
                <w:color w:val="auto"/>
              </w:rPr>
              <w:t>Asset impairments - leased right-of-use assets</w:t>
            </w:r>
            <w:r>
              <w:rPr>
                <w:rFonts w:ascii="Arial" w:cs="Arial" w:eastAsia="Arial" w:hAnsi="Arial"/>
                <w:sz w:val="18"/>
                <w:szCs w:val="18"/>
                <w:color w:val="auto"/>
                <w:vertAlign w:val="superscript"/>
              </w:rPr>
              <w:t>(2)</w:t>
            </w: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3"/>
        </w:trPr>
        <w:tc>
          <w:tcPr>
            <w:tcW w:w="20" w:type="dxa"/>
            <w:vAlign w:val="bottom"/>
            <w:shd w:val="clear" w:color="auto" w:fill="E5E5E5"/>
          </w:tcPr>
          <w:p>
            <w:pPr>
              <w:spacing w:after="0"/>
              <w:rPr>
                <w:sz w:val="17"/>
                <w:szCs w:val="17"/>
                <w:color w:val="auto"/>
              </w:rPr>
            </w:pPr>
          </w:p>
        </w:tc>
        <w:tc>
          <w:tcPr>
            <w:tcW w:w="7600" w:type="dxa"/>
            <w:vAlign w:val="bottom"/>
            <w:gridSpan w:val="2"/>
            <w:shd w:val="clear" w:color="auto" w:fill="E5E5E5"/>
          </w:tcPr>
          <w:p>
            <w:pPr>
              <w:spacing w:after="0" w:line="202" w:lineRule="exact"/>
              <w:rPr>
                <w:sz w:val="20"/>
                <w:szCs w:val="20"/>
                <w:color w:val="auto"/>
              </w:rPr>
            </w:pPr>
            <w:r>
              <w:rPr>
                <w:rFonts w:ascii="Arial" w:cs="Arial" w:eastAsia="Arial" w:hAnsi="Arial"/>
                <w:sz w:val="14"/>
                <w:szCs w:val="14"/>
                <w:color w:val="auto"/>
              </w:rPr>
              <w:t>Asset impairments - owned assets</w:t>
            </w:r>
            <w:r>
              <w:rPr>
                <w:rFonts w:ascii="Arial" w:cs="Arial" w:eastAsia="Arial" w:hAnsi="Arial"/>
                <w:sz w:val="18"/>
                <w:szCs w:val="18"/>
                <w:color w:val="auto"/>
                <w:vertAlign w:val="superscript"/>
              </w:rPr>
              <w:t>(2)</w:t>
            </w:r>
          </w:p>
        </w:tc>
        <w:tc>
          <w:tcPr>
            <w:tcW w:w="400" w:type="dxa"/>
            <w:vAlign w:val="bottom"/>
            <w:shd w:val="clear" w:color="auto" w:fill="E5E5E5"/>
          </w:tcPr>
          <w:p>
            <w:pPr>
              <w:spacing w:after="0"/>
              <w:rPr>
                <w:sz w:val="17"/>
                <w:szCs w:val="17"/>
                <w:color w:val="auto"/>
              </w:rPr>
            </w:pPr>
          </w:p>
        </w:tc>
        <w:tc>
          <w:tcPr>
            <w:tcW w:w="146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w:t>
            </w:r>
          </w:p>
        </w:tc>
      </w:tr>
      <w:tr>
        <w:trPr>
          <w:trHeight w:val="203"/>
        </w:trPr>
        <w:tc>
          <w:tcPr>
            <w:tcW w:w="20" w:type="dxa"/>
            <w:vAlign w:val="bottom"/>
          </w:tcPr>
          <w:p>
            <w:pPr>
              <w:spacing w:after="0"/>
              <w:rPr>
                <w:sz w:val="17"/>
                <w:szCs w:val="17"/>
                <w:color w:val="auto"/>
              </w:rPr>
            </w:pPr>
          </w:p>
        </w:tc>
        <w:tc>
          <w:tcPr>
            <w:tcW w:w="7600" w:type="dxa"/>
            <w:vAlign w:val="bottom"/>
            <w:gridSpan w:val="2"/>
          </w:tcPr>
          <w:p>
            <w:pPr>
              <w:spacing w:after="0" w:line="202" w:lineRule="exact"/>
              <w:rPr>
                <w:sz w:val="20"/>
                <w:szCs w:val="20"/>
                <w:color w:val="auto"/>
              </w:rPr>
            </w:pPr>
            <w:r>
              <w:rPr>
                <w:rFonts w:ascii="Arial" w:cs="Arial" w:eastAsia="Arial" w:hAnsi="Arial"/>
                <w:sz w:val="14"/>
                <w:szCs w:val="14"/>
                <w:color w:val="auto"/>
              </w:rPr>
              <w:t>Other contractual termination costs</w:t>
            </w:r>
            <w:r>
              <w:rPr>
                <w:rFonts w:ascii="Arial" w:cs="Arial" w:eastAsia="Arial" w:hAnsi="Arial"/>
                <w:sz w:val="18"/>
                <w:szCs w:val="18"/>
                <w:color w:val="auto"/>
                <w:vertAlign w:val="superscript"/>
              </w:rPr>
              <w:t>(3)</w:t>
            </w:r>
          </w:p>
        </w:tc>
        <w:tc>
          <w:tcPr>
            <w:tcW w:w="40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3"/>
        </w:trPr>
        <w:tc>
          <w:tcPr>
            <w:tcW w:w="20" w:type="dxa"/>
            <w:vAlign w:val="bottom"/>
            <w:shd w:val="clear" w:color="auto" w:fill="E5E5E5"/>
          </w:tcPr>
          <w:p>
            <w:pPr>
              <w:spacing w:after="0"/>
              <w:rPr>
                <w:sz w:val="17"/>
                <w:szCs w:val="17"/>
                <w:color w:val="auto"/>
              </w:rPr>
            </w:pPr>
          </w:p>
        </w:tc>
        <w:tc>
          <w:tcPr>
            <w:tcW w:w="7600" w:type="dxa"/>
            <w:vAlign w:val="bottom"/>
            <w:gridSpan w:val="2"/>
            <w:shd w:val="clear" w:color="auto" w:fill="E5E5E5"/>
          </w:tcPr>
          <w:p>
            <w:pPr>
              <w:spacing w:after="0" w:line="202" w:lineRule="exact"/>
              <w:rPr>
                <w:sz w:val="20"/>
                <w:szCs w:val="20"/>
                <w:color w:val="auto"/>
              </w:rPr>
            </w:pPr>
            <w:r>
              <w:rPr>
                <w:rFonts w:ascii="Arial" w:cs="Arial" w:eastAsia="Arial" w:hAnsi="Arial"/>
                <w:sz w:val="14"/>
                <w:szCs w:val="14"/>
                <w:color w:val="auto"/>
              </w:rPr>
              <w:t>Net reversals</w:t>
            </w:r>
            <w:r>
              <w:rPr>
                <w:rFonts w:ascii="Arial" w:cs="Arial" w:eastAsia="Arial" w:hAnsi="Arial"/>
                <w:sz w:val="18"/>
                <w:szCs w:val="18"/>
                <w:color w:val="auto"/>
                <w:vertAlign w:val="superscript"/>
              </w:rPr>
              <w:t>(4)</w:t>
            </w:r>
          </w:p>
        </w:tc>
        <w:tc>
          <w:tcPr>
            <w:tcW w:w="400" w:type="dxa"/>
            <w:vAlign w:val="bottom"/>
            <w:tcBorders>
              <w:bottom w:val="single" w:sz="8" w:color="auto"/>
            </w:tcBorders>
            <w:shd w:val="clear" w:color="auto" w:fill="E5E5E5"/>
          </w:tcPr>
          <w:p>
            <w:pPr>
              <w:spacing w:after="0"/>
              <w:rPr>
                <w:sz w:val="17"/>
                <w:szCs w:val="17"/>
                <w:color w:val="auto"/>
              </w:rPr>
            </w:pPr>
          </w:p>
        </w:tc>
        <w:tc>
          <w:tcPr>
            <w:tcW w:w="1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5E5E5"/>
          </w:tcPr>
          <w:p>
            <w:pPr>
              <w:spacing w:after="0"/>
              <w:rPr>
                <w:sz w:val="17"/>
                <w:szCs w:val="17"/>
                <w:color w:val="auto"/>
              </w:rPr>
            </w:pPr>
          </w:p>
        </w:tc>
        <w:tc>
          <w:tcPr>
            <w:tcW w:w="660" w:type="dxa"/>
            <w:vAlign w:val="bottom"/>
            <w:tcBorders>
              <w:bottom w:val="single" w:sz="8" w:color="auto"/>
            </w:tcBorders>
            <w:shd w:val="clear" w:color="auto" w:fill="E5E5E5"/>
          </w:tcPr>
          <w:p>
            <w:pPr>
              <w:spacing w:after="0"/>
              <w:rPr>
                <w:sz w:val="17"/>
                <w:szCs w:val="17"/>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w:t>
            </w:r>
          </w:p>
        </w:tc>
      </w:tr>
      <w:tr>
        <w:trPr>
          <w:trHeight w:val="192"/>
        </w:trPr>
        <w:tc>
          <w:tcPr>
            <w:tcW w:w="20" w:type="dxa"/>
            <w:vAlign w:val="bottom"/>
          </w:tcPr>
          <w:p>
            <w:pPr>
              <w:spacing w:after="0"/>
              <w:rPr>
                <w:sz w:val="16"/>
                <w:szCs w:val="16"/>
                <w:color w:val="auto"/>
              </w:rPr>
            </w:pPr>
          </w:p>
        </w:tc>
        <w:tc>
          <w:tcPr>
            <w:tcW w:w="7600" w:type="dxa"/>
            <w:vAlign w:val="bottom"/>
            <w:gridSpan w:val="2"/>
          </w:tcPr>
          <w:p>
            <w:pPr>
              <w:spacing w:after="0"/>
              <w:rPr>
                <w:sz w:val="20"/>
                <w:szCs w:val="20"/>
                <w:color w:val="auto"/>
              </w:rPr>
            </w:pPr>
            <w:r>
              <w:rPr>
                <w:rFonts w:ascii="Arial" w:cs="Arial" w:eastAsia="Arial" w:hAnsi="Arial"/>
                <w:sz w:val="14"/>
                <w:szCs w:val="14"/>
                <w:color w:val="auto"/>
              </w:rPr>
              <w:t>Restructuring and asset impairment costs</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7"/>
        </w:trPr>
        <w:tc>
          <w:tcPr>
            <w:tcW w:w="20" w:type="dxa"/>
            <w:vAlign w:val="bottom"/>
            <w:shd w:val="clear" w:color="auto" w:fill="E5E5E5"/>
          </w:tcPr>
          <w:p>
            <w:pPr>
              <w:spacing w:after="0"/>
              <w:rPr>
                <w:sz w:val="17"/>
                <w:szCs w:val="17"/>
                <w:color w:val="auto"/>
              </w:rPr>
            </w:pPr>
          </w:p>
        </w:tc>
        <w:tc>
          <w:tcPr>
            <w:tcW w:w="760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Retention-related severance/bonuses</w:t>
            </w:r>
            <w:r>
              <w:rPr>
                <w:rFonts w:ascii="Arial" w:cs="Arial" w:eastAsia="Arial" w:hAnsi="Arial"/>
                <w:sz w:val="18"/>
                <w:szCs w:val="18"/>
                <w:color w:val="auto"/>
                <w:vertAlign w:val="superscript"/>
              </w:rPr>
              <w:t>(5)</w:t>
            </w:r>
          </w:p>
        </w:tc>
        <w:tc>
          <w:tcPr>
            <w:tcW w:w="400" w:type="dxa"/>
            <w:vAlign w:val="bottom"/>
            <w:tcBorders>
              <w:bottom w:val="single" w:sz="8" w:color="auto"/>
            </w:tcBorders>
            <w:shd w:val="clear" w:color="auto" w:fill="E5E5E5"/>
          </w:tcPr>
          <w:p>
            <w:pPr>
              <w:spacing w:after="0"/>
              <w:rPr>
                <w:sz w:val="17"/>
                <w:szCs w:val="17"/>
                <w:color w:val="auto"/>
              </w:rPr>
            </w:pPr>
          </w:p>
        </w:tc>
        <w:tc>
          <w:tcPr>
            <w:tcW w:w="1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5E5E5"/>
          </w:tcPr>
          <w:p>
            <w:pPr>
              <w:spacing w:after="0"/>
              <w:rPr>
                <w:sz w:val="17"/>
                <w:szCs w:val="17"/>
                <w:color w:val="auto"/>
              </w:rPr>
            </w:pPr>
          </w:p>
        </w:tc>
        <w:tc>
          <w:tcPr>
            <w:tcW w:w="660" w:type="dxa"/>
            <w:vAlign w:val="bottom"/>
            <w:tcBorders>
              <w:bottom w:val="single" w:sz="8" w:color="auto"/>
            </w:tcBorders>
            <w:shd w:val="clear" w:color="auto" w:fill="E5E5E5"/>
          </w:tcPr>
          <w:p>
            <w:pPr>
              <w:spacing w:after="0"/>
              <w:rPr>
                <w:sz w:val="17"/>
                <w:szCs w:val="17"/>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20" w:type="dxa"/>
            <w:vAlign w:val="bottom"/>
          </w:tcPr>
          <w:p>
            <w:pPr>
              <w:spacing w:after="0"/>
              <w:rPr>
                <w:sz w:val="17"/>
                <w:szCs w:val="17"/>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13"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4"/>
          <w:szCs w:val="14"/>
          <w:i w:val="1"/>
          <w:iCs w:val="1"/>
          <w:color w:val="212121"/>
        </w:rPr>
      </w:pPr>
      <w:r>
        <w:rPr>
          <w:rFonts w:ascii="Arial" w:cs="Arial" w:eastAsia="Arial" w:hAnsi="Arial"/>
          <w:sz w:val="14"/>
          <w:szCs w:val="14"/>
          <w:i w:val="1"/>
          <w:iCs w:val="1"/>
          <w:color w:val="auto"/>
        </w:rPr>
        <w:t>Reflects headcount reductions of approximately 450 and 350 employees worldwide in first quarter 2022 and 2021, respectively.</w:t>
      </w:r>
    </w:p>
    <w:p>
      <w:pPr>
        <w:spacing w:after="0" w:line="14" w:lineRule="exact"/>
        <w:rPr>
          <w:rFonts w:ascii="Arial" w:cs="Arial" w:eastAsia="Arial" w:hAnsi="Arial"/>
          <w:sz w:val="14"/>
          <w:szCs w:val="14"/>
          <w:i w:val="1"/>
          <w:iCs w:val="1"/>
          <w:color w:val="212121"/>
        </w:rPr>
      </w:pPr>
    </w:p>
    <w:p>
      <w:pPr>
        <w:ind w:left="320" w:hanging="312"/>
        <w:spacing w:after="0"/>
        <w:tabs>
          <w:tab w:leader="none" w:pos="320" w:val="left"/>
        </w:tabs>
        <w:numPr>
          <w:ilvl w:val="0"/>
          <w:numId w:val="32"/>
        </w:numPr>
        <w:rPr>
          <w:rFonts w:ascii="Arial" w:cs="Arial" w:eastAsia="Arial" w:hAnsi="Arial"/>
          <w:sz w:val="14"/>
          <w:szCs w:val="14"/>
          <w:i w:val="1"/>
          <w:iCs w:val="1"/>
          <w:color w:val="212121"/>
        </w:rPr>
      </w:pPr>
      <w:r>
        <w:rPr>
          <w:rFonts w:ascii="Arial" w:cs="Arial" w:eastAsia="Arial" w:hAnsi="Arial"/>
          <w:sz w:val="14"/>
          <w:szCs w:val="14"/>
          <w:i w:val="1"/>
          <w:iCs w:val="1"/>
          <w:color w:val="212121"/>
        </w:rPr>
        <w:t>Primarily related to the exit and abandonment of leased and owned facilities net of any potential sublease income and other recoveries.</w:t>
      </w:r>
    </w:p>
    <w:p>
      <w:pPr>
        <w:spacing w:after="0" w:line="14" w:lineRule="exact"/>
        <w:rPr>
          <w:rFonts w:ascii="Arial" w:cs="Arial" w:eastAsia="Arial" w:hAnsi="Arial"/>
          <w:sz w:val="14"/>
          <w:szCs w:val="14"/>
          <w:i w:val="1"/>
          <w:iCs w:val="1"/>
          <w:color w:val="212121"/>
        </w:rPr>
      </w:pPr>
    </w:p>
    <w:p>
      <w:pPr>
        <w:ind w:left="320" w:hanging="312"/>
        <w:spacing w:after="0"/>
        <w:tabs>
          <w:tab w:leader="none" w:pos="32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212121"/>
        </w:rPr>
        <w:t>Primarily includes additional costs incurred upon the exit from our facilities including decommissioning costs and associated contractual termination costs.</w:t>
      </w:r>
    </w:p>
    <w:p>
      <w:pPr>
        <w:spacing w:after="0" w:line="14" w:lineRule="exact"/>
        <w:rPr>
          <w:rFonts w:ascii="Arial" w:cs="Arial" w:eastAsia="Arial" w:hAnsi="Arial"/>
          <w:sz w:val="14"/>
          <w:szCs w:val="14"/>
          <w:i w:val="1"/>
          <w:iCs w:val="1"/>
          <w:color w:val="auto"/>
        </w:rPr>
      </w:pPr>
    </w:p>
    <w:p>
      <w:pPr>
        <w:ind w:left="320" w:hanging="312"/>
        <w:spacing w:after="0"/>
        <w:tabs>
          <w:tab w:leader="none" w:pos="320" w:val="left"/>
        </w:tabs>
        <w:numPr>
          <w:ilvl w:val="0"/>
          <w:numId w:val="32"/>
        </w:numPr>
        <w:rPr>
          <w:rFonts w:ascii="Arial" w:cs="Arial" w:eastAsia="Arial" w:hAnsi="Arial"/>
          <w:sz w:val="14"/>
          <w:szCs w:val="14"/>
          <w:i w:val="1"/>
          <w:iCs w:val="1"/>
          <w:color w:val="212121"/>
        </w:rPr>
      </w:pPr>
      <w:r>
        <w:rPr>
          <w:rFonts w:ascii="Arial" w:cs="Arial" w:eastAsia="Arial" w:hAnsi="Arial"/>
          <w:sz w:val="14"/>
          <w:szCs w:val="14"/>
          <w:i w:val="1"/>
          <w:iCs w:val="1"/>
          <w:color w:val="212121"/>
        </w:rPr>
        <w:t>Reflects net reversals for changes in estimated reserves from prior period initiatives.</w:t>
      </w:r>
    </w:p>
    <w:p>
      <w:pPr>
        <w:spacing w:after="0" w:line="14" w:lineRule="exact"/>
        <w:rPr>
          <w:rFonts w:ascii="Arial" w:cs="Arial" w:eastAsia="Arial" w:hAnsi="Arial"/>
          <w:sz w:val="14"/>
          <w:szCs w:val="14"/>
          <w:i w:val="1"/>
          <w:iCs w:val="1"/>
          <w:color w:val="212121"/>
        </w:rPr>
      </w:pPr>
    </w:p>
    <w:p>
      <w:pPr>
        <w:ind w:left="340" w:hanging="332"/>
        <w:spacing w:after="0" w:line="264" w:lineRule="auto"/>
        <w:tabs>
          <w:tab w:leader="none" w:pos="327" w:val="left"/>
        </w:tabs>
        <w:numPr>
          <w:ilvl w:val="0"/>
          <w:numId w:val="32"/>
        </w:numPr>
        <w:rPr>
          <w:rFonts w:ascii="Arial" w:cs="Arial" w:eastAsia="Arial" w:hAnsi="Arial"/>
          <w:sz w:val="14"/>
          <w:szCs w:val="14"/>
          <w:i w:val="1"/>
          <w:iCs w:val="1"/>
          <w:color w:val="212121"/>
        </w:rPr>
      </w:pPr>
      <w:r>
        <w:rPr>
          <w:rFonts w:ascii="Arial" w:cs="Arial" w:eastAsia="Arial" w:hAnsi="Arial"/>
          <w:sz w:val="14"/>
          <w:szCs w:val="14"/>
          <w:i w:val="1"/>
          <w:iCs w:val="1"/>
          <w:color w:val="212121"/>
        </w:rPr>
        <w:t>Includes retention-related severance and bonuses for employees expected to continue working beyond their minimum notification period before termination. The reversals in first quarter 2022 and 2021, respectively, reflect a change in estimates.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First </w:t>
      </w:r>
      <w:r>
        <w:rPr>
          <w:rFonts w:ascii="Arial" w:cs="Arial" w:eastAsia="Arial" w:hAnsi="Arial"/>
          <w:sz w:val="18"/>
          <w:szCs w:val="18"/>
          <w:color w:val="212121"/>
        </w:rPr>
        <w:t>quarter 2022 actions impacted several functional areas, with approximately 30% focused on gross margin improvements,</w:t>
      </w:r>
      <w:r>
        <w:rPr>
          <w:rFonts w:ascii="Arial" w:cs="Arial" w:eastAsia="Arial" w:hAnsi="Arial"/>
          <w:sz w:val="18"/>
          <w:szCs w:val="18"/>
          <w:color w:val="auto"/>
        </w:rPr>
        <w:t xml:space="preserve"> </w:t>
      </w:r>
      <w:r>
        <w:rPr>
          <w:rFonts w:ascii="Arial" w:cs="Arial" w:eastAsia="Arial" w:hAnsi="Arial"/>
          <w:sz w:val="18"/>
          <w:szCs w:val="18"/>
          <w:color w:val="212121"/>
        </w:rPr>
        <w:t>approximately 60% focused on SAG reductions and the remainder focused on RD&amp;E optimization.</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First </w:t>
      </w:r>
      <w:r>
        <w:rPr>
          <w:rFonts w:ascii="Arial" w:cs="Arial" w:eastAsia="Arial" w:hAnsi="Arial"/>
          <w:sz w:val="18"/>
          <w:szCs w:val="18"/>
          <w:color w:val="212121"/>
        </w:rPr>
        <w:t>quarter 2021 actions impacted several functional areas, with approximately 30% focused on gross margin improvements, approximately</w:t>
      </w:r>
      <w:r>
        <w:rPr>
          <w:rFonts w:ascii="Arial" w:cs="Arial" w:eastAsia="Arial" w:hAnsi="Arial"/>
          <w:sz w:val="18"/>
          <w:szCs w:val="18"/>
          <w:color w:val="auto"/>
        </w:rPr>
        <w:t xml:space="preserve"> </w:t>
      </w:r>
      <w:r>
        <w:rPr>
          <w:rFonts w:ascii="Arial" w:cs="Arial" w:eastAsia="Arial" w:hAnsi="Arial"/>
          <w:sz w:val="18"/>
          <w:szCs w:val="18"/>
          <w:color w:val="212121"/>
        </w:rPr>
        <w:t>65% focused on SAG reductions and the remainder focused on RD&amp;E optimization.</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Restructuring and related costs, net reserve balance for all programs as of March 31, 2022 was $53 million, which is expected to be paid over the next twelve months.</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 to Note 12 - Restructuring Programs in the Condensed Consolidated Financial Statements for additional information regarding our restructuring programs.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Amortization of Intangible Assets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First quarter 2022 Amortization of intangible assets of $11 million was $4 million lower as compared to the first quarter 2021, primarily related to the write-off of certain XBS tradenames in first quarter 2022 as part of our continued efforts to realign and consolidate this sales unit as part of Project Own It.</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Worldwide Employment</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Worldwide employment was approximately 23,400 as of March 31, 2022, an increase of approximately 100 from December 31, 2021. The increase resulted from net hires (gross hires net of attrition), as well as the impact of organizational changes.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Other Expenses,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110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color w:val="auto"/>
              </w:rPr>
              <w:t>March 31,</w:t>
            </w:r>
          </w:p>
        </w:tc>
        <w:tc>
          <w:tcPr>
            <w:tcW w:w="110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758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420" w:type="dxa"/>
            <w:vAlign w:val="bottom"/>
          </w:tcPr>
          <w:p>
            <w:pPr>
              <w:spacing w:after="0"/>
              <w:rPr>
                <w:sz w:val="13"/>
                <w:szCs w:val="13"/>
                <w:color w:val="auto"/>
              </w:rPr>
            </w:pPr>
          </w:p>
        </w:tc>
        <w:tc>
          <w:tcPr>
            <w:tcW w:w="1340" w:type="dxa"/>
            <w:vAlign w:val="bottom"/>
          </w:tcPr>
          <w:p>
            <w:pPr>
              <w:jc w:val="right"/>
              <w:ind w:right="648"/>
              <w:spacing w:after="0" w:line="155"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jc w:val="right"/>
              <w:ind w:right="648"/>
              <w:spacing w:after="0" w:line="155" w:lineRule="exact"/>
              <w:rPr>
                <w:sz w:val="20"/>
                <w:szCs w:val="20"/>
                <w:color w:val="auto"/>
              </w:rPr>
            </w:pPr>
            <w:r>
              <w:rPr>
                <w:rFonts w:ascii="Arial" w:cs="Arial" w:eastAsia="Arial" w:hAnsi="Arial"/>
                <w:sz w:val="14"/>
                <w:szCs w:val="14"/>
                <w:color w:val="auto"/>
              </w:rPr>
              <w:t>2021</w:t>
            </w:r>
          </w:p>
        </w:tc>
      </w:tr>
      <w:tr>
        <w:trPr>
          <w:trHeight w:val="20"/>
        </w:trPr>
        <w:tc>
          <w:tcPr>
            <w:tcW w:w="20" w:type="dxa"/>
            <w:vAlign w:val="bottom"/>
            <w:tcBorders>
              <w:bottom w:val="single" w:sz="8" w:color="DDDDDD"/>
            </w:tcBorders>
          </w:tcPr>
          <w:p>
            <w:pPr>
              <w:spacing w:after="0" w:line="20" w:lineRule="exact"/>
              <w:rPr>
                <w:sz w:val="1"/>
                <w:szCs w:val="1"/>
                <w:color w:val="auto"/>
              </w:rPr>
            </w:pPr>
          </w:p>
        </w:tc>
        <w:tc>
          <w:tcPr>
            <w:tcW w:w="640" w:type="dxa"/>
            <w:vAlign w:val="bottom"/>
            <w:tcBorders>
              <w:top w:val="single" w:sz="8" w:color="auto"/>
              <w:bottom w:val="single" w:sz="8" w:color="DDDDDD"/>
            </w:tcBorders>
          </w:tcPr>
          <w:p>
            <w:pPr>
              <w:spacing w:after="0" w:line="20" w:lineRule="exact"/>
              <w:rPr>
                <w:sz w:val="1"/>
                <w:szCs w:val="1"/>
                <w:color w:val="auto"/>
              </w:rPr>
            </w:pPr>
          </w:p>
        </w:tc>
        <w:tc>
          <w:tcPr>
            <w:tcW w:w="6940" w:type="dxa"/>
            <w:vAlign w:val="bottom"/>
            <w:tcBorders>
              <w:bottom w:val="single" w:sz="8" w:color="DDDDDD"/>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DDDDDD"/>
          </w:tcPr>
          <w:p>
            <w:pPr>
              <w:spacing w:after="0"/>
              <w:rPr>
                <w:sz w:val="17"/>
                <w:szCs w:val="17"/>
                <w:color w:val="auto"/>
              </w:rPr>
            </w:pPr>
          </w:p>
        </w:tc>
        <w:tc>
          <w:tcPr>
            <w:tcW w:w="758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Non-financing interest expense</w:t>
            </w:r>
          </w:p>
        </w:tc>
        <w:tc>
          <w:tcPr>
            <w:tcW w:w="420" w:type="dxa"/>
            <w:vAlign w:val="bottom"/>
            <w:shd w:val="clear" w:color="auto" w:fill="DDDDDD"/>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DDDDDD"/>
          </w:tcPr>
          <w:p>
            <w:pPr>
              <w:spacing w:after="0"/>
              <w:rPr>
                <w:sz w:val="17"/>
                <w:szCs w:val="17"/>
                <w:color w:val="auto"/>
              </w:rPr>
            </w:pPr>
          </w:p>
        </w:tc>
        <w:tc>
          <w:tcPr>
            <w:tcW w:w="660" w:type="dxa"/>
            <w:vAlign w:val="bottom"/>
            <w:shd w:val="clear" w:color="auto" w:fill="DDDDDD"/>
          </w:tcPr>
          <w:p>
            <w:pPr>
              <w:jc w:val="right"/>
              <w:ind w:right="50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24</w:t>
            </w:r>
          </w:p>
        </w:tc>
      </w:tr>
      <w:tr>
        <w:trPr>
          <w:trHeight w:val="198"/>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Interest income</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7"/>
        </w:trPr>
        <w:tc>
          <w:tcPr>
            <w:tcW w:w="20" w:type="dxa"/>
            <w:vAlign w:val="bottom"/>
            <w:shd w:val="clear" w:color="auto" w:fill="DDDDDD"/>
          </w:tcPr>
          <w:p>
            <w:pPr>
              <w:spacing w:after="0"/>
              <w:rPr>
                <w:sz w:val="17"/>
                <w:szCs w:val="17"/>
                <w:color w:val="auto"/>
              </w:rPr>
            </w:pPr>
          </w:p>
        </w:tc>
        <w:tc>
          <w:tcPr>
            <w:tcW w:w="758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Non-service retirement-related costs</w:t>
            </w:r>
          </w:p>
        </w:tc>
        <w:tc>
          <w:tcPr>
            <w:tcW w:w="420" w:type="dxa"/>
            <w:vAlign w:val="bottom"/>
            <w:shd w:val="clear" w:color="auto" w:fill="DDDDDD"/>
          </w:tcPr>
          <w:p>
            <w:pPr>
              <w:spacing w:after="0"/>
              <w:rPr>
                <w:sz w:val="17"/>
                <w:szCs w:val="17"/>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DDDDDD"/>
          </w:tcPr>
          <w:p>
            <w:pPr>
              <w:spacing w:after="0"/>
              <w:rPr>
                <w:sz w:val="17"/>
                <w:szCs w:val="17"/>
                <w:color w:val="auto"/>
              </w:rPr>
            </w:pPr>
          </w:p>
        </w:tc>
        <w:tc>
          <w:tcPr>
            <w:tcW w:w="660" w:type="dxa"/>
            <w:vAlign w:val="bottom"/>
            <w:shd w:val="clear" w:color="auto" w:fill="DDDDDD"/>
          </w:tcPr>
          <w:p>
            <w:pPr>
              <w:spacing w:after="0"/>
              <w:rPr>
                <w:sz w:val="17"/>
                <w:szCs w:val="17"/>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(20)</w:t>
            </w:r>
          </w:p>
        </w:tc>
      </w:tr>
      <w:tr>
        <w:trPr>
          <w:trHeight w:val="198"/>
        </w:trPr>
        <w:tc>
          <w:tcPr>
            <w:tcW w:w="20" w:type="dxa"/>
            <w:vAlign w:val="bottom"/>
          </w:tcPr>
          <w:p>
            <w:pPr>
              <w:spacing w:after="0"/>
              <w:rPr>
                <w:sz w:val="17"/>
                <w:szCs w:val="17"/>
                <w:color w:val="auto"/>
              </w:rPr>
            </w:pPr>
          </w:p>
        </w:tc>
        <w:tc>
          <w:tcPr>
            <w:tcW w:w="7580" w:type="dxa"/>
            <w:vAlign w:val="bottom"/>
            <w:gridSpan w:val="2"/>
          </w:tcPr>
          <w:p>
            <w:pPr>
              <w:spacing w:after="0"/>
              <w:rPr>
                <w:sz w:val="20"/>
                <w:szCs w:val="20"/>
                <w:color w:val="auto"/>
              </w:rPr>
            </w:pPr>
            <w:r>
              <w:rPr>
                <w:rFonts w:ascii="Arial" w:cs="Arial" w:eastAsia="Arial" w:hAnsi="Arial"/>
                <w:sz w:val="14"/>
                <w:szCs w:val="14"/>
                <w:color w:val="auto"/>
              </w:rPr>
              <w:t>Currency losses, net</w:t>
            </w:r>
          </w:p>
        </w:tc>
        <w:tc>
          <w:tcPr>
            <w:tcW w:w="42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6"/>
        </w:trPr>
        <w:tc>
          <w:tcPr>
            <w:tcW w:w="20" w:type="dxa"/>
            <w:vAlign w:val="bottom"/>
            <w:shd w:val="clear" w:color="auto" w:fill="DDDDDD"/>
          </w:tcPr>
          <w:p>
            <w:pPr>
              <w:spacing w:after="0"/>
              <w:rPr>
                <w:sz w:val="17"/>
                <w:szCs w:val="17"/>
                <w:color w:val="auto"/>
              </w:rPr>
            </w:pPr>
          </w:p>
        </w:tc>
        <w:tc>
          <w:tcPr>
            <w:tcW w:w="758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Contract termination costs - product supply</w:t>
            </w:r>
          </w:p>
        </w:tc>
        <w:tc>
          <w:tcPr>
            <w:tcW w:w="420" w:type="dxa"/>
            <w:vAlign w:val="bottom"/>
            <w:shd w:val="clear" w:color="auto" w:fill="DDDDDD"/>
          </w:tcPr>
          <w:p>
            <w:pPr>
              <w:spacing w:after="0"/>
              <w:rPr>
                <w:sz w:val="17"/>
                <w:szCs w:val="17"/>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DDDDDD"/>
          </w:tcPr>
          <w:p>
            <w:pPr>
              <w:spacing w:after="0"/>
              <w:rPr>
                <w:sz w:val="17"/>
                <w:szCs w:val="17"/>
                <w:color w:val="auto"/>
              </w:rPr>
            </w:pPr>
          </w:p>
        </w:tc>
        <w:tc>
          <w:tcPr>
            <w:tcW w:w="660" w:type="dxa"/>
            <w:vAlign w:val="bottom"/>
            <w:shd w:val="clear" w:color="auto" w:fill="DDDDDD"/>
          </w:tcPr>
          <w:p>
            <w:pPr>
              <w:spacing w:after="0"/>
              <w:rPr>
                <w:sz w:val="17"/>
                <w:szCs w:val="17"/>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20" w:type="dxa"/>
            <w:vAlign w:val="bottom"/>
            <w:tcBorders>
              <w:bottom w:val="single" w:sz="8" w:color="DDDDDD"/>
            </w:tcBorders>
          </w:tcPr>
          <w:p>
            <w:pPr>
              <w:spacing w:after="0"/>
              <w:rPr>
                <w:sz w:val="17"/>
                <w:szCs w:val="17"/>
                <w:color w:val="auto"/>
              </w:rPr>
            </w:pPr>
          </w:p>
        </w:tc>
        <w:tc>
          <w:tcPr>
            <w:tcW w:w="7580" w:type="dxa"/>
            <w:vAlign w:val="bottom"/>
            <w:tcBorders>
              <w:bottom w:val="single" w:sz="8" w:color="DDDDDD"/>
            </w:tcBorders>
            <w:gridSpan w:val="2"/>
          </w:tcPr>
          <w:p>
            <w:pPr>
              <w:spacing w:after="0"/>
              <w:rPr>
                <w:sz w:val="20"/>
                <w:szCs w:val="20"/>
                <w:color w:val="auto"/>
              </w:rPr>
            </w:pPr>
            <w:r>
              <w:rPr>
                <w:rFonts w:ascii="Arial" w:cs="Arial" w:eastAsia="Arial" w:hAnsi="Arial"/>
                <w:sz w:val="14"/>
                <w:szCs w:val="14"/>
                <w:color w:val="auto"/>
              </w:rPr>
              <w:t>All other expenses, net</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DDDDDD"/>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25"/>
        </w:trPr>
        <w:tc>
          <w:tcPr>
            <w:tcW w:w="20" w:type="dxa"/>
            <w:vAlign w:val="bottom"/>
            <w:tcBorders>
              <w:bottom w:val="single" w:sz="8" w:color="DDDDDD"/>
            </w:tcBorders>
            <w:shd w:val="clear" w:color="auto" w:fill="DDDDDD"/>
          </w:tcPr>
          <w:p>
            <w:pPr>
              <w:spacing w:after="0"/>
              <w:rPr>
                <w:sz w:val="19"/>
                <w:szCs w:val="19"/>
                <w:color w:val="auto"/>
              </w:rPr>
            </w:pPr>
          </w:p>
        </w:tc>
        <w:tc>
          <w:tcPr>
            <w:tcW w:w="7580" w:type="dxa"/>
            <w:vAlign w:val="bottom"/>
            <w:tcBorders>
              <w:bottom w:val="single" w:sz="8" w:color="DDDDDD"/>
            </w:tcBorders>
            <w:gridSpan w:val="2"/>
            <w:shd w:val="clear" w:color="auto" w:fill="DDDDDD"/>
          </w:tcPr>
          <w:p>
            <w:pPr>
              <w:spacing w:after="0"/>
              <w:rPr>
                <w:sz w:val="20"/>
                <w:szCs w:val="20"/>
                <w:color w:val="auto"/>
              </w:rPr>
            </w:pPr>
            <w:r>
              <w:rPr>
                <w:rFonts w:ascii="Arial" w:cs="Arial" w:eastAsia="Arial" w:hAnsi="Arial"/>
                <w:sz w:val="14"/>
                <w:szCs w:val="14"/>
                <w:b w:val="1"/>
                <w:bCs w:val="1"/>
                <w:color w:val="auto"/>
              </w:rPr>
              <w:t>Other expenses, net</w:t>
            </w:r>
          </w:p>
        </w:tc>
        <w:tc>
          <w:tcPr>
            <w:tcW w:w="420" w:type="dxa"/>
            <w:vAlign w:val="bottom"/>
            <w:tcBorders>
              <w:bottom w:val="single" w:sz="8" w:color="auto"/>
            </w:tcBorders>
            <w:shd w:val="clear" w:color="auto" w:fill="DDDDDD"/>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DDDDDD"/>
            </w:tcBorders>
            <w:shd w:val="clear" w:color="auto" w:fill="DDDDDD"/>
          </w:tcPr>
          <w:p>
            <w:pPr>
              <w:spacing w:after="0"/>
              <w:rPr>
                <w:sz w:val="19"/>
                <w:szCs w:val="19"/>
                <w:color w:val="auto"/>
              </w:rPr>
            </w:pPr>
          </w:p>
        </w:tc>
        <w:tc>
          <w:tcPr>
            <w:tcW w:w="660" w:type="dxa"/>
            <w:vAlign w:val="bottom"/>
            <w:tcBorders>
              <w:bottom w:val="single" w:sz="8" w:color="auto"/>
            </w:tcBorders>
            <w:shd w:val="clear" w:color="auto" w:fill="DDDDDD"/>
          </w:tcPr>
          <w:p>
            <w:pPr>
              <w:jc w:val="right"/>
              <w:ind w:right="5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w:t>
            </w:r>
          </w:p>
        </w:tc>
      </w:tr>
      <w:tr>
        <w:trPr>
          <w:trHeight w:val="20"/>
        </w:trPr>
        <w:tc>
          <w:tcPr>
            <w:tcW w:w="20" w:type="dxa"/>
            <w:vAlign w:val="bottom"/>
            <w:tcBorders>
              <w:top w:val="single" w:sz="8" w:color="DDDDDD"/>
            </w:tcBorders>
          </w:tcPr>
          <w:p>
            <w:pPr>
              <w:spacing w:after="0" w:line="20" w:lineRule="exact"/>
              <w:rPr>
                <w:sz w:val="1"/>
                <w:szCs w:val="1"/>
                <w:color w:val="auto"/>
              </w:rPr>
            </w:pPr>
          </w:p>
        </w:tc>
        <w:tc>
          <w:tcPr>
            <w:tcW w:w="640" w:type="dxa"/>
            <w:vAlign w:val="bottom"/>
            <w:tcBorders>
              <w:top w:val="single" w:sz="8" w:color="DDDDDD"/>
            </w:tcBorders>
          </w:tcPr>
          <w:p>
            <w:pPr>
              <w:spacing w:after="0" w:line="20" w:lineRule="exact"/>
              <w:rPr>
                <w:sz w:val="1"/>
                <w:szCs w:val="1"/>
                <w:color w:val="auto"/>
              </w:rPr>
            </w:pPr>
          </w:p>
        </w:tc>
        <w:tc>
          <w:tcPr>
            <w:tcW w:w="6940" w:type="dxa"/>
            <w:vAlign w:val="bottom"/>
            <w:tcBorders>
              <w:top w:val="single" w:sz="8" w:color="DDDDDD"/>
            </w:tcBorders>
          </w:tcPr>
          <w:p>
            <w:pPr>
              <w:spacing w:after="0" w:line="20" w:lineRule="exact"/>
              <w:rPr>
                <w:sz w:val="1"/>
                <w:szCs w:val="1"/>
                <w:color w:val="auto"/>
              </w:rPr>
            </w:pPr>
          </w:p>
        </w:tc>
        <w:tc>
          <w:tcPr>
            <w:tcW w:w="420" w:type="dxa"/>
            <w:vAlign w:val="bottom"/>
            <w:tcBorders>
              <w:top w:val="single" w:sz="8" w:color="DDDDDD"/>
              <w:bottom w:val="single" w:sz="8" w:color="auto"/>
            </w:tcBorders>
          </w:tcPr>
          <w:p>
            <w:pPr>
              <w:spacing w:after="0" w:line="20" w:lineRule="exact"/>
              <w:rPr>
                <w:sz w:val="1"/>
                <w:szCs w:val="1"/>
                <w:color w:val="auto"/>
              </w:rPr>
            </w:pPr>
          </w:p>
        </w:tc>
        <w:tc>
          <w:tcPr>
            <w:tcW w:w="134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66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DA2031"/>
        </w:rPr>
        <w:t>Non-Financing Interest Expense</w:t>
      </w:r>
    </w:p>
    <w:p>
      <w:pPr>
        <w:spacing w:after="0" w:line="9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First quarter 2022 non-financing interest expense of $29 million was $5 million higher than first quarter 2021. When combined with financing interest expense (Cost of financing), total interest expense remained relatively flat as compared to first quarter 2021.</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 to Note 13 - Debt in the Condensed Consolidated Financial Statements, for additional information regarding debt activity and interest expense.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Non-Service Retirement-Related Costs</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First quarter 2022 non-service retirement-related costs were $13 million higher as compared to the first quarter 2021, primarily driven by an increase in interest costs due to higher discount rates and higher settlement losses.</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xml:space="preserve"> First quarter 2022 service retirement-related costs, which are included in operating expenses, were $4 million and $6 million in the first quarter 2022 and 2021, respectively.</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 to Note 16 - Employee Benefit Plans in the Condensed Consolidated Financial Statements, for additional information regarding service and non-service retirement-related costs.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Contract termination costs</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first quarter 2022, we recorded a $ 33 million charge ($25 million after-tax) associated with the termination of a product supply agreement. The charge primarily reflects the payment of the contractual cancellation fee plus interest and related legal fees.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Income Taxes</w:t>
      </w:r>
    </w:p>
    <w:p>
      <w:pPr>
        <w:spacing w:after="0" w:line="99"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First quarter 2022 effective tax rate was 34.8% and included benefits from additional tax incentives as well as a change in our indefinite reinvestment tax liability due to a recent acquisition of approximately 10%. On an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basis, first quarter 2022 effective tax rate was 52.9%. The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effective tax rate was higher than the U.S. federal statutory tax rate of 21% primarily due to benefits from additional tax incentives and a change in our indefinite reinvestment tax liability due to a recent acquisition of approximately 25% as well as the geographical mix of earnings. The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effective tax rate excludes the tax impacts associated with the following charges: Restructuring and related costs, net, Amortization of intangible assets, non-service retirement-related costs and other discrete, unusual or infrequent items (as applicable), as described in our Non-GAAP Financial Measures section.</w:t>
      </w:r>
    </w:p>
    <w:p>
      <w:pPr>
        <w:spacing w:after="0" w:line="71"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First quarter 2021 effective tax rate was 26.4%. On an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basis, first quarter 2021 effective tax rate was 27.7%. This rate was higher than the U.S. federal statutory tax rate of 21% primarily due to state taxes and the geographical mix of earnings. The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effective tax rate excludes the tax impacts associated with the following charges: Restructuring and related costs, net, Amortization of intangible assets, non-service retirement-related costs and other discrete, unusual or infrequent items (as applicable), as described in our Non-GAAP Financial Measures section.</w:t>
      </w:r>
    </w:p>
    <w:p>
      <w:pPr>
        <w:spacing w:after="0" w:line="6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effective tax rate is based on nonrecurring events as well as recurring factors, including the taxation of foreign income. In addition, our effective tax rate will change based on discrete or other nonrecurring events that may not be predictable.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1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Refer to the Effective Tax Rate reconciliation table in the "Non-GAAP Financial Measures" section.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Equity in Net Income of Unconsolidated Affiliates</w:t>
      </w:r>
    </w:p>
    <w:p>
      <w:pPr>
        <w:spacing w:after="0" w:line="9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Investment in Affiliates, at Equity largely consists of several minor investments in entities in the Middle East region. Equity in net income of unconsolidated affiliates for the three months ended March 31, 2022 was $1 million higher as compared to the prior year period.</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Net (Loss) Income</w:t>
      </w:r>
    </w:p>
    <w:p>
      <w:pPr>
        <w:spacing w:after="0" w:line="1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First quarter 2022 Net Loss Attributable to Xerox Holdings was $56 million, or $(0.38) per diluted share. On an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basis, Net Loss Attributable to Xerox Holdings was $14 million, or $(0.12) per diluted share. First quarter 2022 adjustments to Net Loss Attributable to Xerox Holdings included Restructuring and related costs, net, Amortization of intangible assets, non-service retirement-related costs and other discrete items (see </w:t>
      </w:r>
      <w:r>
        <w:rPr>
          <w:rFonts w:ascii="Arial" w:cs="Arial" w:eastAsia="Arial" w:hAnsi="Arial"/>
          <w:sz w:val="18"/>
          <w:szCs w:val="18"/>
          <w:b w:val="1"/>
          <w:bCs w:val="1"/>
          <w:color w:val="DA2031"/>
        </w:rPr>
        <w:t>Non-GAAP Financial Measures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49" w:name="page50"/>
    <w:bookmarkEnd w:id="49"/>
    <w:p>
      <w:pPr>
        <w:jc w:val="both"/>
        <w:spacing w:after="0" w:line="244" w:lineRule="auto"/>
        <w:rPr>
          <w:sz w:val="20"/>
          <w:szCs w:val="20"/>
          <w:color w:val="auto"/>
        </w:rPr>
      </w:pPr>
      <w:r>
        <w:rPr>
          <w:rFonts w:ascii="Arial" w:cs="Arial" w:eastAsia="Arial" w:hAnsi="Arial"/>
          <w:sz w:val="18"/>
          <w:szCs w:val="18"/>
          <w:color w:val="auto"/>
        </w:rPr>
        <w:t>First quarter 2021 Net Income Attributable to Xerox Holdings was $39 million, or $0.18 per diluted share. On an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basis, Net Income Attributable to Xerox Holdings was $ 47 million, or $0.22 per diluted share. First quarter 2021 adjustments to Net Income Attributable to Xerox Holdings included Restructuring and related costs, net, Amortization of intangible assets, and non-service retirement-related costs (see </w:t>
      </w:r>
      <w:r>
        <w:rPr>
          <w:rFonts w:ascii="Arial" w:cs="Arial" w:eastAsia="Arial" w:hAnsi="Arial"/>
          <w:sz w:val="18"/>
          <w:szCs w:val="18"/>
          <w:b w:val="1"/>
          <w:bCs w:val="1"/>
          <w:color w:val="DA2031"/>
        </w:rPr>
        <w:t>Non-GAAP Financial Measures</w:t>
      </w:r>
      <w:r>
        <w:rPr>
          <w:rFonts w:ascii="Arial" w:cs="Arial" w:eastAsia="Arial" w:hAnsi="Arial"/>
          <w:sz w:val="18"/>
          <w:szCs w:val="18"/>
          <w:color w:val="000000"/>
        </w:rPr>
        <w:t>).</w:t>
      </w:r>
    </w:p>
    <w:p>
      <w:pPr>
        <w:spacing w:after="0" w:line="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 to Note 20 - (Loss) Earnings per Share in the Condensed Consolidated Financial Statements, for additional information regarding the calculation of basic and diluted earnings per share.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1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Refer to the Net (Loss) Income and EPS reconciliation table in the "Non-GAAP Financial Measures" section.</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Other Comprehensive (Loss) Income</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First quarter 2022 Other Comprehensive Loss, Net Attributable to Xerox was $44 million and included the following: i) net translation adjustment losses of $72 million reflecting the weakening of our major foreign currencies against the U.S. Dollar during the quarter; ii) $11 million of net unrealized losses; and iii) $39 million of net gains from the changes in defined benefit plans primarily due to a prior service credit as well as the amortization of actuarial losses and settlement losses and the positive impact of currency. This compares to Other Comprehensive Loss, Net Attributable to Xerox of $3 million for the first quarter 2021, which reflected the following: i) net translation adjustment losses of $51 million reflecting the weakening of the Euro against the U.S. Dollar that was only partially offset by the strengthening of the GBP and CAD; ii) $7 million of net unrealized losses; and iii) $55 million of net gains from the changes in defined benefit plans primarily due to net actuarial gains as a result of higher discount rates in the U.S.</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Refer to Note 19 - Other Comprehensive (Loss) Income in the Condensed Consolidated Financial Statements, for the components of Other Comprehensive (Loss) Income, Note 14 - Financial Instruments in the Condensed Consolidated Financial Statements, for additional information regarding unrealized losses, net, and Note 16 - Employee Benefit Plans in the Condensed Consolidated Financial Statements, for additional information regarding net changes in our defined benefit plans.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Reportable Segments and Geographic Sales Channels</w:t>
      </w:r>
    </w:p>
    <w:p>
      <w:pPr>
        <w:spacing w:after="0" w:line="12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business is organized to ensure we focus on efficiently managing operations while serving our customers and the markets in which we operate.</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2021 we progressed with the standing up of three new businesses: Software (CareAR), Financing (FITTLE) and Innovation (PARC). As a result of this effort, during the first quarter of 2022, we reassessed our operating and reportable segments and determined that, based on the financial information reviewed by our chief operating decision maker (CODM), who is the Chief Executive Officer (CEO), as well as the CEO’s management and assessment of the Company’s operations, we had two operating and reportable segments - Print and Other and Financing.</w:t>
      </w:r>
    </w:p>
    <w:p>
      <w:pPr>
        <w:spacing w:after="0" w:line="71" w:lineRule="exact"/>
        <w:rPr>
          <w:sz w:val="20"/>
          <w:szCs w:val="20"/>
          <w:color w:val="auto"/>
        </w:rPr>
      </w:pPr>
    </w:p>
    <w:p>
      <w:pPr>
        <w:ind w:left="660" w:hanging="328"/>
        <w:spacing w:after="0" w:line="260" w:lineRule="auto"/>
        <w:tabs>
          <w:tab w:leader="none" w:pos="655" w:val="left"/>
        </w:tabs>
        <w:numPr>
          <w:ilvl w:val="0"/>
          <w:numId w:val="33"/>
        </w:numPr>
        <w:rPr>
          <w:rFonts w:ascii="Arial" w:cs="Arial" w:eastAsia="Arial" w:hAnsi="Arial"/>
          <w:sz w:val="18"/>
          <w:szCs w:val="18"/>
          <w:b w:val="1"/>
          <w:bCs w:val="1"/>
          <w:color w:val="DA2031"/>
        </w:rPr>
      </w:pPr>
      <w:r>
        <w:rPr>
          <w:rFonts w:ascii="Arial" w:cs="Arial" w:eastAsia="Arial" w:hAnsi="Arial"/>
          <w:sz w:val="18"/>
          <w:szCs w:val="18"/>
          <w:b w:val="1"/>
          <w:bCs w:val="1"/>
          <w:color w:val="DA2031"/>
        </w:rPr>
        <w:t xml:space="preserve">Print and Other </w:t>
      </w:r>
      <w:r>
        <w:rPr>
          <w:rFonts w:ascii="Arial" w:cs="Arial" w:eastAsia="Arial" w:hAnsi="Arial"/>
          <w:sz w:val="18"/>
          <w:szCs w:val="18"/>
          <w:color w:val="000000"/>
        </w:rPr>
        <w:t>- the design, development and sale of document management systems, solutions and services as well as</w:t>
      </w:r>
      <w:r>
        <w:rPr>
          <w:rFonts w:ascii="Arial" w:cs="Arial" w:eastAsia="Arial" w:hAnsi="Arial"/>
          <w:sz w:val="18"/>
          <w:szCs w:val="18"/>
          <w:b w:val="1"/>
          <w:bCs w:val="1"/>
          <w:color w:val="DA2031"/>
        </w:rPr>
        <w:t xml:space="preserve"> </w:t>
      </w:r>
      <w:r>
        <w:rPr>
          <w:rFonts w:ascii="Arial" w:cs="Arial" w:eastAsia="Arial" w:hAnsi="Arial"/>
          <w:sz w:val="18"/>
          <w:szCs w:val="18"/>
          <w:color w:val="000000"/>
        </w:rPr>
        <w:t>associated technology offerings including IT and software products and services.</w:t>
      </w:r>
    </w:p>
    <w:p>
      <w:pPr>
        <w:spacing w:after="0" w:line="1" w:lineRule="exact"/>
        <w:rPr>
          <w:rFonts w:ascii="Arial" w:cs="Arial" w:eastAsia="Arial" w:hAnsi="Arial"/>
          <w:sz w:val="18"/>
          <w:szCs w:val="18"/>
          <w:b w:val="1"/>
          <w:bCs w:val="1"/>
          <w:color w:val="DA2031"/>
        </w:rPr>
      </w:pPr>
    </w:p>
    <w:p>
      <w:pPr>
        <w:ind w:left="660" w:hanging="328"/>
        <w:spacing w:after="0"/>
        <w:tabs>
          <w:tab w:leader="none" w:pos="660" w:val="left"/>
        </w:tabs>
        <w:numPr>
          <w:ilvl w:val="0"/>
          <w:numId w:val="33"/>
        </w:numPr>
        <w:rPr>
          <w:rFonts w:ascii="Arial" w:cs="Arial" w:eastAsia="Arial" w:hAnsi="Arial"/>
          <w:sz w:val="18"/>
          <w:szCs w:val="18"/>
          <w:b w:val="1"/>
          <w:bCs w:val="1"/>
          <w:color w:val="DA2031"/>
        </w:rPr>
      </w:pPr>
      <w:r>
        <w:rPr>
          <w:rFonts w:ascii="Arial" w:cs="Arial" w:eastAsia="Arial" w:hAnsi="Arial"/>
          <w:sz w:val="18"/>
          <w:szCs w:val="18"/>
          <w:b w:val="1"/>
          <w:bCs w:val="1"/>
          <w:color w:val="DA2031"/>
        </w:rPr>
        <w:t xml:space="preserve">Financing (FITTLE) </w:t>
      </w:r>
      <w:r>
        <w:rPr>
          <w:rFonts w:ascii="Arial" w:cs="Arial" w:eastAsia="Arial" w:hAnsi="Arial"/>
          <w:sz w:val="18"/>
          <w:szCs w:val="18"/>
          <w:color w:val="000000"/>
        </w:rPr>
        <w:t>– a financing solutions business primarily providing financing for the sales of Xerox equipment.</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determined that the other businesses – Software and Innovation - did not meet the requirements to be considered separate operating segments largely due to their continued management through the Print and Other segment as well as their immateriality to our results at this stage. Accordingly, those groups will continue to be reported as part of the Print and Other Segment.</w:t>
      </w:r>
    </w:p>
    <w:p>
      <w:pPr>
        <w:spacing w:after="0" w:line="63"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color w:val="auto"/>
        </w:rPr>
        <w:t>We also operate a matrix organization that includes a geographic focus that is primarily organized from a sales perspective on the basis of “go-to-market” (GTM) sales channels as follows:</w:t>
      </w:r>
    </w:p>
    <w:p>
      <w:pPr>
        <w:spacing w:after="0" w:line="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b w:val="1"/>
          <w:bCs w:val="1"/>
          <w:color w:val="DA2031"/>
        </w:rPr>
      </w:pPr>
      <w:r>
        <w:rPr>
          <w:rFonts w:ascii="Arial" w:cs="Arial" w:eastAsia="Arial" w:hAnsi="Arial"/>
          <w:sz w:val="18"/>
          <w:szCs w:val="18"/>
          <w:b w:val="1"/>
          <w:bCs w:val="1"/>
          <w:color w:val="DA2031"/>
        </w:rPr>
        <w:t>Americas</w:t>
      </w:r>
      <w:r>
        <w:rPr>
          <w:rFonts w:ascii="Arial" w:cs="Arial" w:eastAsia="Arial" w:hAnsi="Arial"/>
          <w:sz w:val="18"/>
          <w:szCs w:val="18"/>
          <w:color w:val="000000"/>
        </w:rPr>
        <w:t>, which includes our sales channels in the U.S. and Canada, as well as Mexico, and Central and South America.</w:t>
      </w:r>
    </w:p>
    <w:p>
      <w:pPr>
        <w:spacing w:after="0" w:line="27" w:lineRule="exact"/>
        <w:rPr>
          <w:rFonts w:ascii="Arial" w:cs="Arial" w:eastAsia="Arial" w:hAnsi="Arial"/>
          <w:sz w:val="18"/>
          <w:szCs w:val="18"/>
          <w:b w:val="1"/>
          <w:bCs w:val="1"/>
          <w:color w:val="DA2031"/>
        </w:rPr>
      </w:pPr>
    </w:p>
    <w:p>
      <w:pPr>
        <w:ind w:left="660" w:hanging="328"/>
        <w:spacing w:after="0"/>
        <w:tabs>
          <w:tab w:leader="none" w:pos="660" w:val="left"/>
        </w:tabs>
        <w:numPr>
          <w:ilvl w:val="0"/>
          <w:numId w:val="34"/>
        </w:numPr>
        <w:rPr>
          <w:rFonts w:ascii="Arial" w:cs="Arial" w:eastAsia="Arial" w:hAnsi="Arial"/>
          <w:sz w:val="18"/>
          <w:szCs w:val="18"/>
          <w:b w:val="1"/>
          <w:bCs w:val="1"/>
          <w:color w:val="DA2031"/>
        </w:rPr>
      </w:pPr>
      <w:r>
        <w:rPr>
          <w:rFonts w:ascii="Arial" w:cs="Arial" w:eastAsia="Arial" w:hAnsi="Arial"/>
          <w:sz w:val="18"/>
          <w:szCs w:val="18"/>
          <w:b w:val="1"/>
          <w:bCs w:val="1"/>
          <w:color w:val="DA2031"/>
        </w:rPr>
        <w:t>EMEA</w:t>
      </w:r>
      <w:r>
        <w:rPr>
          <w:rFonts w:ascii="Arial" w:cs="Arial" w:eastAsia="Arial" w:hAnsi="Arial"/>
          <w:sz w:val="18"/>
          <w:szCs w:val="18"/>
          <w:color w:val="000000"/>
        </w:rPr>
        <w:t>, which includes our sales channels in Europe, the Middle East, Africa and India.</w:t>
      </w:r>
    </w:p>
    <w:p>
      <w:pPr>
        <w:spacing w:after="0" w:line="9" w:lineRule="exact"/>
        <w:rPr>
          <w:rFonts w:ascii="Arial" w:cs="Arial" w:eastAsia="Arial" w:hAnsi="Arial"/>
          <w:sz w:val="18"/>
          <w:szCs w:val="18"/>
          <w:b w:val="1"/>
          <w:bCs w:val="1"/>
          <w:color w:val="DA2031"/>
        </w:rPr>
      </w:pPr>
    </w:p>
    <w:p>
      <w:pPr>
        <w:ind w:left="660" w:hanging="328"/>
        <w:spacing w:after="0"/>
        <w:tabs>
          <w:tab w:leader="none" w:pos="660" w:val="left"/>
        </w:tabs>
        <w:numPr>
          <w:ilvl w:val="0"/>
          <w:numId w:val="34"/>
        </w:numPr>
        <w:rPr>
          <w:rFonts w:ascii="Arial" w:cs="Arial" w:eastAsia="Arial" w:hAnsi="Arial"/>
          <w:sz w:val="18"/>
          <w:szCs w:val="18"/>
          <w:b w:val="1"/>
          <w:bCs w:val="1"/>
          <w:color w:val="DA2031"/>
        </w:rPr>
      </w:pPr>
      <w:r>
        <w:rPr>
          <w:rFonts w:ascii="Arial" w:cs="Arial" w:eastAsia="Arial" w:hAnsi="Arial"/>
          <w:sz w:val="18"/>
          <w:szCs w:val="18"/>
          <w:b w:val="1"/>
          <w:bCs w:val="1"/>
          <w:color w:val="DA2031"/>
        </w:rPr>
        <w:t>Other</w:t>
      </w:r>
      <w:r>
        <w:rPr>
          <w:rFonts w:ascii="Arial" w:cs="Arial" w:eastAsia="Arial" w:hAnsi="Arial"/>
          <w:sz w:val="18"/>
          <w:szCs w:val="18"/>
          <w:color w:val="000000"/>
        </w:rPr>
        <w:t>, primarily includes sales to Fuji Xerox as well as royalties and licensing revenue.</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These GTM sales channels are structured to serve a range of customers for our products and services, including financing. Accordingly, we will continue to provide information, primarily revenue related, with respect to our principal GTM sales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50" w:name="page51"/>
    <w:bookmarkEnd w:id="50"/>
    <w:p>
      <w:pPr>
        <w:spacing w:after="0"/>
        <w:rPr>
          <w:sz w:val="20"/>
          <w:szCs w:val="20"/>
          <w:color w:val="auto"/>
        </w:rPr>
      </w:pPr>
      <w:r>
        <w:rPr>
          <w:rFonts w:ascii="Arial" w:cs="Arial" w:eastAsia="Arial" w:hAnsi="Arial"/>
          <w:sz w:val="20"/>
          <w:szCs w:val="20"/>
          <w:b w:val="1"/>
          <w:bCs w:val="1"/>
          <w:color w:val="DA2031"/>
        </w:rPr>
        <w:t>Segment Review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9" w:lineRule="exact"/>
              <w:rPr>
                <w:sz w:val="20"/>
                <w:szCs w:val="20"/>
                <w:color w:val="auto"/>
              </w:rPr>
            </w:pPr>
            <w:r>
              <w:rPr>
                <w:rFonts w:ascii="Arial" w:cs="Arial" w:eastAsia="Arial" w:hAnsi="Arial"/>
                <w:sz w:val="14"/>
                <w:szCs w:val="14"/>
                <w:color w:val="auto"/>
              </w:rPr>
              <w:t>External Net</w:t>
            </w:r>
          </w:p>
        </w:tc>
        <w:tc>
          <w:tcPr>
            <w:tcW w:w="136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rPr>
              <w:t>Intersegment Net</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rPr>
              <w:t>Total Segment</w:t>
            </w: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color w:val="auto"/>
              </w:rPr>
              <w:t>% of Total Revenue</w:t>
            </w:r>
          </w:p>
        </w:tc>
        <w:tc>
          <w:tcPr>
            <w:tcW w:w="100" w:type="dxa"/>
            <w:vAlign w:val="bottom"/>
          </w:tcPr>
          <w:p>
            <w:pPr>
              <w:spacing w:after="0"/>
              <w:rPr>
                <w:sz w:val="13"/>
                <w:szCs w:val="13"/>
                <w:color w:val="auto"/>
              </w:rPr>
            </w:pPr>
          </w:p>
        </w:tc>
        <w:tc>
          <w:tcPr>
            <w:tcW w:w="122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rPr>
              <w:t>Segment (Loss)</w:t>
            </w: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Segment Margin</w:t>
            </w:r>
            <w:r>
              <w:rPr>
                <w:rFonts w:ascii="Arial" w:cs="Arial" w:eastAsia="Arial" w:hAnsi="Arial"/>
                <w:sz w:val="18"/>
                <w:szCs w:val="18"/>
                <w:color w:val="auto"/>
                <w:vertAlign w:val="superscript"/>
              </w:rPr>
              <w:t>(2)</w:t>
            </w:r>
          </w:p>
        </w:tc>
        <w:tc>
          <w:tcPr>
            <w:tcW w:w="0" w:type="dxa"/>
            <w:vAlign w:val="bottom"/>
          </w:tcPr>
          <w:p>
            <w:pPr>
              <w:spacing w:after="0"/>
              <w:rPr>
                <w:sz w:val="1"/>
                <w:szCs w:val="1"/>
                <w:color w:val="auto"/>
              </w:rPr>
            </w:pPr>
          </w:p>
        </w:tc>
      </w:tr>
      <w:tr>
        <w:trPr>
          <w:trHeight w:val="189"/>
        </w:trPr>
        <w:tc>
          <w:tcPr>
            <w:tcW w:w="3080" w:type="dxa"/>
            <w:vAlign w:val="bottom"/>
            <w:gridSpan w:val="2"/>
          </w:tcPr>
          <w:p>
            <w:pPr>
              <w:ind w:left="20"/>
              <w:spacing w:after="0"/>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color w:val="auto"/>
              </w:rPr>
              <w:t>Revenue</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rPr>
              <w:t>Revenue</w:t>
            </w:r>
            <w:r>
              <w:rPr>
                <w:rFonts w:ascii="Arial" w:cs="Arial" w:eastAsia="Arial" w:hAnsi="Arial"/>
                <w:sz w:val="9"/>
                <w:szCs w:val="9"/>
                <w:color w:val="auto"/>
              </w:rPr>
              <w:t>(1)</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color w:val="auto"/>
              </w:rPr>
              <w:t>Revenue</w:t>
            </w:r>
          </w:p>
        </w:tc>
        <w:tc>
          <w:tcPr>
            <w:tcW w:w="1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color w:val="auto"/>
              </w:rPr>
              <w:t>Profit</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DBDBDB"/>
            </w:tcBorders>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spacing w:after="0"/>
              <w:rPr>
                <w:sz w:val="17"/>
                <w:szCs w:val="17"/>
                <w:color w:val="auto"/>
              </w:rPr>
            </w:pPr>
          </w:p>
        </w:tc>
        <w:tc>
          <w:tcPr>
            <w:tcW w:w="1060" w:type="dxa"/>
            <w:vAlign w:val="bottom"/>
            <w:tcBorders>
              <w:top w:val="single" w:sz="8" w:color="auto"/>
            </w:tcBorders>
            <w:shd w:val="clear" w:color="auto" w:fill="DBDBDB"/>
          </w:tcPr>
          <w:p>
            <w:pPr>
              <w:spacing w:after="0"/>
              <w:rPr>
                <w:sz w:val="17"/>
                <w:szCs w:val="17"/>
                <w:color w:val="auto"/>
              </w:rPr>
            </w:pPr>
          </w:p>
        </w:tc>
        <w:tc>
          <w:tcPr>
            <w:tcW w:w="100" w:type="dxa"/>
            <w:vAlign w:val="bottom"/>
            <w:tcBorders>
              <w:top w:val="single" w:sz="8" w:color="DBDBDB"/>
            </w:tcBorders>
            <w:shd w:val="clear" w:color="auto" w:fill="DBDBDB"/>
          </w:tcPr>
          <w:p>
            <w:pPr>
              <w:spacing w:after="0"/>
              <w:rPr>
                <w:sz w:val="17"/>
                <w:szCs w:val="17"/>
                <w:color w:val="auto"/>
              </w:rPr>
            </w:pPr>
          </w:p>
        </w:tc>
        <w:tc>
          <w:tcPr>
            <w:tcW w:w="200" w:type="dxa"/>
            <w:vAlign w:val="bottom"/>
            <w:tcBorders>
              <w:top w:val="single" w:sz="8" w:color="auto"/>
            </w:tcBorders>
            <w:shd w:val="clear" w:color="auto" w:fill="DBDBDB"/>
          </w:tcPr>
          <w:p>
            <w:pPr>
              <w:spacing w:after="0"/>
              <w:rPr>
                <w:sz w:val="17"/>
                <w:szCs w:val="17"/>
                <w:color w:val="auto"/>
              </w:rPr>
            </w:pPr>
          </w:p>
        </w:tc>
        <w:tc>
          <w:tcPr>
            <w:tcW w:w="1060" w:type="dxa"/>
            <w:vAlign w:val="bottom"/>
            <w:tcBorders>
              <w:top w:val="single" w:sz="8" w:color="auto"/>
            </w:tcBorders>
            <w:shd w:val="clear" w:color="auto" w:fill="DBDBDB"/>
          </w:tcPr>
          <w:p>
            <w:pPr>
              <w:spacing w:after="0"/>
              <w:rPr>
                <w:sz w:val="17"/>
                <w:szCs w:val="17"/>
                <w:color w:val="auto"/>
              </w:rPr>
            </w:pPr>
          </w:p>
        </w:tc>
        <w:tc>
          <w:tcPr>
            <w:tcW w:w="100" w:type="dxa"/>
            <w:vAlign w:val="bottom"/>
            <w:tcBorders>
              <w:top w:val="single" w:sz="8" w:color="DBDBDB"/>
            </w:tcBorders>
            <w:shd w:val="clear" w:color="auto" w:fill="DBDBDB"/>
          </w:tcPr>
          <w:p>
            <w:pPr>
              <w:spacing w:after="0"/>
              <w:rPr>
                <w:sz w:val="17"/>
                <w:szCs w:val="17"/>
                <w:color w:val="auto"/>
              </w:rPr>
            </w:pPr>
          </w:p>
        </w:tc>
        <w:tc>
          <w:tcPr>
            <w:tcW w:w="120" w:type="dxa"/>
            <w:vAlign w:val="bottom"/>
            <w:tcBorders>
              <w:top w:val="single" w:sz="8" w:color="auto"/>
            </w:tcBorders>
            <w:shd w:val="clear" w:color="auto" w:fill="DBDBDB"/>
          </w:tcPr>
          <w:p>
            <w:pPr>
              <w:spacing w:after="0"/>
              <w:rPr>
                <w:sz w:val="17"/>
                <w:szCs w:val="17"/>
                <w:color w:val="auto"/>
              </w:rPr>
            </w:pPr>
          </w:p>
        </w:tc>
        <w:tc>
          <w:tcPr>
            <w:tcW w:w="1100" w:type="dxa"/>
            <w:vAlign w:val="bottom"/>
            <w:tcBorders>
              <w:top w:val="single" w:sz="8" w:color="auto"/>
            </w:tcBorders>
            <w:shd w:val="clear" w:color="auto" w:fill="DBDBDB"/>
          </w:tcPr>
          <w:p>
            <w:pPr>
              <w:spacing w:after="0"/>
              <w:rPr>
                <w:sz w:val="17"/>
                <w:szCs w:val="17"/>
                <w:color w:val="auto"/>
              </w:rPr>
            </w:pPr>
          </w:p>
        </w:tc>
        <w:tc>
          <w:tcPr>
            <w:tcW w:w="120" w:type="dxa"/>
            <w:vAlign w:val="bottom"/>
            <w:tcBorders>
              <w:top w:val="single" w:sz="8" w:color="DBDBDB"/>
            </w:tcBorders>
            <w:shd w:val="clear" w:color="auto" w:fill="DBDBDB"/>
          </w:tcPr>
          <w:p>
            <w:pPr>
              <w:spacing w:after="0"/>
              <w:rPr>
                <w:sz w:val="17"/>
                <w:szCs w:val="17"/>
                <w:color w:val="auto"/>
              </w:rPr>
            </w:pPr>
          </w:p>
        </w:tc>
        <w:tc>
          <w:tcPr>
            <w:tcW w:w="1340" w:type="dxa"/>
            <w:vAlign w:val="bottom"/>
            <w:tcBorders>
              <w:top w:val="single" w:sz="8" w:color="auto"/>
            </w:tcBorders>
            <w:shd w:val="clear" w:color="auto" w:fill="DBDBDB"/>
          </w:tcPr>
          <w:p>
            <w:pPr>
              <w:spacing w:after="0"/>
              <w:rPr>
                <w:sz w:val="17"/>
                <w:szCs w:val="17"/>
                <w:color w:val="auto"/>
              </w:rPr>
            </w:pPr>
          </w:p>
        </w:tc>
        <w:tc>
          <w:tcPr>
            <w:tcW w:w="120" w:type="dxa"/>
            <w:vAlign w:val="bottom"/>
            <w:tcBorders>
              <w:top w:val="single" w:sz="8" w:color="DBDBDB"/>
            </w:tcBorders>
            <w:shd w:val="clear" w:color="auto" w:fill="DBDBDB"/>
          </w:tcPr>
          <w:p>
            <w:pPr>
              <w:spacing w:after="0"/>
              <w:rPr>
                <w:sz w:val="17"/>
                <w:szCs w:val="17"/>
                <w:color w:val="auto"/>
              </w:rPr>
            </w:pPr>
          </w:p>
        </w:tc>
        <w:tc>
          <w:tcPr>
            <w:tcW w:w="100" w:type="dxa"/>
            <w:vAlign w:val="bottom"/>
            <w:tcBorders>
              <w:top w:val="single" w:sz="8" w:color="auto"/>
            </w:tcBorders>
            <w:shd w:val="clear" w:color="auto" w:fill="DBDBDB"/>
          </w:tcPr>
          <w:p>
            <w:pPr>
              <w:spacing w:after="0"/>
              <w:rPr>
                <w:sz w:val="17"/>
                <w:szCs w:val="17"/>
                <w:color w:val="auto"/>
              </w:rPr>
            </w:pPr>
          </w:p>
        </w:tc>
        <w:tc>
          <w:tcPr>
            <w:tcW w:w="1120" w:type="dxa"/>
            <w:vAlign w:val="bottom"/>
            <w:tcBorders>
              <w:top w:val="single" w:sz="8" w:color="auto"/>
            </w:tcBorders>
            <w:shd w:val="clear" w:color="auto" w:fill="DBDBDB"/>
          </w:tcPr>
          <w:p>
            <w:pPr>
              <w:spacing w:after="0"/>
              <w:rPr>
                <w:sz w:val="17"/>
                <w:szCs w:val="17"/>
                <w:color w:val="auto"/>
              </w:rPr>
            </w:pPr>
          </w:p>
        </w:tc>
        <w:tc>
          <w:tcPr>
            <w:tcW w:w="100" w:type="dxa"/>
            <w:vAlign w:val="bottom"/>
            <w:tcBorders>
              <w:top w:val="single" w:sz="8" w:color="DBDBDB"/>
            </w:tcBorders>
            <w:shd w:val="clear" w:color="auto" w:fill="DBDBDB"/>
          </w:tcPr>
          <w:p>
            <w:pPr>
              <w:spacing w:after="0"/>
              <w:rPr>
                <w:sz w:val="17"/>
                <w:szCs w:val="17"/>
                <w:color w:val="auto"/>
              </w:rPr>
            </w:pPr>
          </w:p>
        </w:tc>
        <w:tc>
          <w:tcPr>
            <w:tcW w:w="1360" w:type="dxa"/>
            <w:vAlign w:val="bottom"/>
            <w:tcBorders>
              <w:top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80" w:type="dxa"/>
            <w:vAlign w:val="bottom"/>
            <w:gridSpan w:val="2"/>
          </w:tcPr>
          <w:p>
            <w:pPr>
              <w:ind w:left="20"/>
              <w:spacing w:after="0"/>
              <w:rPr>
                <w:sz w:val="20"/>
                <w:szCs w:val="20"/>
                <w:color w:val="auto"/>
              </w:rPr>
            </w:pPr>
            <w:r>
              <w:rPr>
                <w:rFonts w:ascii="Arial" w:cs="Arial" w:eastAsia="Arial" w:hAnsi="Arial"/>
                <w:sz w:val="14"/>
                <w:szCs w:val="14"/>
                <w:color w:val="auto"/>
              </w:rPr>
              <w:t>Print and Other</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1,513</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1,550</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91 %</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Financing (FITTLE)</w:t>
            </w:r>
          </w:p>
        </w:tc>
        <w:tc>
          <w:tcPr>
            <w:tcW w:w="16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DBDBDB"/>
          </w:tcPr>
          <w:p>
            <w:pPr>
              <w:spacing w:after="0"/>
              <w:rPr>
                <w:sz w:val="17"/>
                <w:szCs w:val="17"/>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9 %</w:t>
            </w:r>
          </w:p>
        </w:tc>
        <w:tc>
          <w:tcPr>
            <w:tcW w:w="120" w:type="dxa"/>
            <w:vAlign w:val="bottom"/>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11.0 %</w:t>
            </w:r>
          </w:p>
        </w:tc>
        <w:tc>
          <w:tcPr>
            <w:tcW w:w="0" w:type="dxa"/>
            <w:vAlign w:val="bottom"/>
          </w:tcPr>
          <w:p>
            <w:pPr>
              <w:spacing w:after="0"/>
              <w:rPr>
                <w:sz w:val="1"/>
                <w:szCs w:val="1"/>
                <w:color w:val="auto"/>
              </w:rPr>
            </w:pPr>
          </w:p>
        </w:tc>
      </w:tr>
      <w:tr>
        <w:trPr>
          <w:trHeight w:val="200"/>
        </w:trPr>
        <w:tc>
          <w:tcPr>
            <w:tcW w:w="30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1,708</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96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Print and Other</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1,533</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1,581</w:t>
            </w:r>
          </w:p>
        </w:tc>
        <w:tc>
          <w:tcPr>
            <w:tcW w:w="12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90 %</w:t>
            </w:r>
          </w:p>
        </w:tc>
        <w:tc>
          <w:tcPr>
            <w:tcW w:w="120" w:type="dxa"/>
            <w:vAlign w:val="bottom"/>
            <w:shd w:val="clear" w:color="auto" w:fill="DBDBDB"/>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198"/>
        </w:trPr>
        <w:tc>
          <w:tcPr>
            <w:tcW w:w="308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Financing (FITTLE)</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DBDBDB"/>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Borders>
              <w:bottom w:val="single" w:sz="8" w:color="DBDBDB"/>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10 %</w:t>
            </w:r>
          </w:p>
        </w:tc>
        <w:tc>
          <w:tcPr>
            <w:tcW w:w="12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DBDBDB"/>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10.2 %</w:t>
            </w:r>
          </w:p>
        </w:tc>
        <w:tc>
          <w:tcPr>
            <w:tcW w:w="0" w:type="dxa"/>
            <w:vAlign w:val="bottom"/>
          </w:tcPr>
          <w:p>
            <w:pPr>
              <w:spacing w:after="0"/>
              <w:rPr>
                <w:sz w:val="1"/>
                <w:szCs w:val="1"/>
                <w:color w:val="auto"/>
              </w:rPr>
            </w:pPr>
          </w:p>
        </w:tc>
      </w:tr>
      <w:tr>
        <w:trPr>
          <w:trHeight w:val="225"/>
        </w:trPr>
        <w:tc>
          <w:tcPr>
            <w:tcW w:w="30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1,710</w:t>
            </w:r>
          </w:p>
        </w:tc>
        <w:tc>
          <w:tcPr>
            <w:tcW w:w="10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1,761</w:t>
            </w:r>
          </w:p>
        </w:tc>
        <w:tc>
          <w:tcPr>
            <w:tcW w:w="120" w:type="dxa"/>
            <w:vAlign w:val="bottom"/>
            <w:tcBorders>
              <w:bottom w:val="single" w:sz="8" w:color="DBDBDB"/>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DBDBDB"/>
            </w:tcBorders>
            <w:shd w:val="clear" w:color="auto" w:fill="DBDBDB"/>
          </w:tcPr>
          <w:p>
            <w:pPr>
              <w:spacing w:after="0"/>
              <w:rPr>
                <w:sz w:val="19"/>
                <w:szCs w:val="19"/>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20"/>
        </w:trPr>
        <w:tc>
          <w:tcPr>
            <w:tcW w:w="29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27" w:lineRule="exact"/>
        <w:rPr>
          <w:sz w:val="20"/>
          <w:szCs w:val="20"/>
          <w:color w:val="auto"/>
        </w:rPr>
      </w:pPr>
    </w:p>
    <w:p>
      <w:pPr>
        <w:ind w:left="340" w:right="640" w:hanging="332"/>
        <w:spacing w:after="0" w:line="261" w:lineRule="auto"/>
        <w:tabs>
          <w:tab w:leader="none" w:pos="327"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Reflects net revenue, primarily commissions and other payments, made by the Financing segment (FITTLE) to the Print and Other segment for the lease of Xerox equipment placements.</w:t>
      </w:r>
    </w:p>
    <w:p>
      <w:pPr>
        <w:ind w:left="320" w:hanging="312"/>
        <w:spacing w:after="0"/>
        <w:tabs>
          <w:tab w:leader="none" w:pos="32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Segment margin based on external net revenue only.</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Print and Other</w:t>
      </w:r>
    </w:p>
    <w:p>
      <w:pPr>
        <w:spacing w:after="0" w:line="11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Print and Other includes the design, development and sale of document management systems, solutions and services as well as associated technology offerings including IT and software products and services.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Revenue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4"/>
          </w:tcPr>
          <w:p>
            <w:pPr>
              <w:jc w:val="right"/>
              <w:ind w:right="168"/>
              <w:spacing w:after="0"/>
              <w:rPr>
                <w:sz w:val="20"/>
                <w:szCs w:val="20"/>
                <w:color w:val="auto"/>
              </w:rPr>
            </w:pPr>
            <w:r>
              <w:rPr>
                <w:rFonts w:ascii="Arial" w:cs="Arial" w:eastAsia="Arial" w:hAnsi="Arial"/>
                <w:sz w:val="14"/>
                <w:szCs w:val="14"/>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color w:val="auto"/>
              </w:rPr>
              <w:t>March 31,</w:t>
            </w:r>
          </w:p>
        </w:tc>
        <w:tc>
          <w:tcPr>
            <w:tcW w:w="460" w:type="dxa"/>
            <w:vAlign w:val="bottom"/>
            <w:tcBorders>
              <w:bottom w:val="single" w:sz="8" w:color="auto"/>
            </w:tcBorders>
          </w:tcPr>
          <w:p>
            <w:pPr>
              <w:spacing w:after="0"/>
              <w:rPr>
                <w:sz w:val="16"/>
                <w:szCs w:val="16"/>
                <w:color w:val="auto"/>
              </w:rPr>
            </w:pPr>
          </w:p>
        </w:tc>
        <w:tc>
          <w:tcPr>
            <w:tcW w:w="1420" w:type="dxa"/>
            <w:vAlign w:val="bottom"/>
            <w:gridSpan w:val="2"/>
            <w:vMerge w:val="restart"/>
          </w:tcPr>
          <w:p>
            <w:pPr>
              <w:jc w:val="center"/>
              <w:ind w:left="2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3"/>
        </w:trPr>
        <w:tc>
          <w:tcPr>
            <w:tcW w:w="6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2022</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2021</w:t>
            </w:r>
          </w:p>
        </w:tc>
        <w:tc>
          <w:tcPr>
            <w:tcW w:w="46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70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Equipment sales</w:t>
            </w:r>
          </w:p>
        </w:tc>
        <w:tc>
          <w:tcPr>
            <w:tcW w:w="860" w:type="dxa"/>
            <w:vAlign w:val="bottom"/>
            <w:shd w:val="clear" w:color="auto" w:fill="E5E5E5"/>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373</w:t>
            </w:r>
          </w:p>
        </w:tc>
        <w:tc>
          <w:tcPr>
            <w:tcW w:w="142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99"/>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Post-sale revenue</w:t>
            </w:r>
          </w:p>
        </w:tc>
        <w:tc>
          <w:tcPr>
            <w:tcW w:w="86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1,204</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1,160</w:t>
            </w:r>
          </w:p>
        </w:tc>
        <w:tc>
          <w:tcPr>
            <w:tcW w:w="1420" w:type="dxa"/>
            <w:vAlign w:val="bottom"/>
            <w:gridSpan w:val="2"/>
          </w:tcPr>
          <w:p>
            <w:pPr>
              <w:jc w:val="center"/>
              <w:ind w:lef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6"/>
        </w:trPr>
        <w:tc>
          <w:tcPr>
            <w:tcW w:w="70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 xml:space="preserve">Intersegment net revenue </w:t>
            </w:r>
            <w:r>
              <w:rPr>
                <w:rFonts w:ascii="Arial" w:cs="Arial" w:eastAsia="Arial" w:hAnsi="Arial"/>
                <w:sz w:val="18"/>
                <w:szCs w:val="18"/>
                <w:color w:val="auto"/>
                <w:vertAlign w:val="superscript"/>
              </w:rPr>
              <w:t>(1)</w:t>
            </w:r>
          </w:p>
        </w:tc>
        <w:tc>
          <w:tcPr>
            <w:tcW w:w="860" w:type="dxa"/>
            <w:vAlign w:val="bottom"/>
            <w:tcBorders>
              <w:bottom w:val="single" w:sz="8" w:color="auto"/>
            </w:tcBorders>
            <w:shd w:val="clear" w:color="auto" w:fill="E5E5E5"/>
          </w:tcPr>
          <w:p>
            <w:pPr>
              <w:spacing w:after="0"/>
              <w:rPr>
                <w:sz w:val="17"/>
                <w:szCs w:val="17"/>
                <w:color w:val="auto"/>
              </w:rPr>
            </w:pPr>
          </w:p>
        </w:tc>
        <w:tc>
          <w:tcPr>
            <w:tcW w:w="48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E5E5E5"/>
          </w:tcPr>
          <w:p>
            <w:pPr>
              <w:spacing w:after="0"/>
              <w:rPr>
                <w:sz w:val="17"/>
                <w:szCs w:val="17"/>
                <w:color w:val="auto"/>
              </w:rPr>
            </w:pPr>
          </w:p>
        </w:tc>
        <w:tc>
          <w:tcPr>
            <w:tcW w:w="860" w:type="dxa"/>
            <w:vAlign w:val="bottom"/>
            <w:tcBorders>
              <w:bottom w:val="single" w:sz="8" w:color="auto"/>
            </w:tcBorders>
            <w:shd w:val="clear" w:color="auto" w:fill="E5E5E5"/>
          </w:tcPr>
          <w:p>
            <w:pPr>
              <w:spacing w:after="0"/>
              <w:rPr>
                <w:sz w:val="17"/>
                <w:szCs w:val="17"/>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48</w:t>
            </w:r>
          </w:p>
        </w:tc>
        <w:tc>
          <w:tcPr>
            <w:tcW w:w="142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96"/>
        </w:trPr>
        <w:tc>
          <w:tcPr>
            <w:tcW w:w="70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Print and Other Revenue</w:t>
            </w: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1,550</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1,581</w:t>
            </w:r>
          </w:p>
        </w:tc>
        <w:tc>
          <w:tcPr>
            <w:tcW w:w="1420" w:type="dxa"/>
            <w:vAlign w:val="bottom"/>
            <w:gridSpan w:val="2"/>
          </w:tcPr>
          <w:p>
            <w:pPr>
              <w:jc w:val="center"/>
              <w:ind w:lef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13" w:lineRule="exact"/>
        <w:rPr>
          <w:sz w:val="20"/>
          <w:szCs w:val="20"/>
          <w:color w:val="auto"/>
        </w:rPr>
      </w:pPr>
    </w:p>
    <w:p>
      <w:pPr>
        <w:ind w:left="340" w:right="640" w:hanging="332"/>
        <w:spacing w:after="0" w:line="284" w:lineRule="auto"/>
        <w:tabs>
          <w:tab w:leader="none" w:pos="327"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Reflects net revenue, primarily commissions and other payments, made by the Financing segment (FITTLE) to the Print and Other segment for the lease of Xerox equipment placements.</w:t>
      </w:r>
    </w:p>
    <w:p>
      <w:pPr>
        <w:spacing w:after="0" w:line="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First quarter 2022 Print and Other revenue decreased 2.0% as compared to first quarter 2021 primarily due to supply shortages, which caused a 17.2% decline in Equipment sales revenue as compared to first quarter 2021. This decline was partially offset by an increase in Post sale revenue of 3.8% as compared to first quarter 2021. Print and Other segment revenue results included the following:</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DA2031"/>
        </w:rPr>
        <w:t xml:space="preserve">Equipment sales revenue </w:t>
      </w:r>
      <w:r>
        <w:rPr>
          <w:rFonts w:ascii="Arial" w:cs="Arial" w:eastAsia="Arial" w:hAnsi="Arial"/>
          <w:sz w:val="18"/>
          <w:szCs w:val="18"/>
          <w:color w:val="000000"/>
        </w:rPr>
        <w:t>decreased 17.2% as compared to first quarter 2021 due to the adverse impact of product supply constraints</w:t>
      </w:r>
      <w:r>
        <w:rPr>
          <w:rFonts w:ascii="Arial" w:cs="Arial" w:eastAsia="Arial" w:hAnsi="Arial"/>
          <w:sz w:val="18"/>
          <w:szCs w:val="18"/>
          <w:b w:val="1"/>
          <w:bCs w:val="1"/>
          <w:color w:val="DA2031"/>
        </w:rPr>
        <w:t xml:space="preserve"> </w:t>
      </w:r>
      <w:r>
        <w:rPr>
          <w:rFonts w:ascii="Arial" w:cs="Arial" w:eastAsia="Arial" w:hAnsi="Arial"/>
          <w:sz w:val="18"/>
          <w:szCs w:val="18"/>
          <w:color w:val="000000"/>
        </w:rPr>
        <w:t>(consistent with market-wide shortages of computer chips and resins) and global freight disruptions. Demand continued to increase as businesses reopened, resulting in a backlog of orders at the end of the quarter that increased sequentially and was above both prior year and pre-pandemic levels.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DA2031"/>
        </w:rPr>
        <w:t xml:space="preserve">Post-sale revenue </w:t>
      </w:r>
      <w:r>
        <w:rPr>
          <w:rFonts w:ascii="Arial" w:cs="Arial" w:eastAsia="Arial" w:hAnsi="Arial"/>
          <w:sz w:val="18"/>
          <w:szCs w:val="18"/>
          <w:color w:val="000000"/>
        </w:rPr>
        <w:t>increased by 3.8% as compared to first quarter 2021 primarily due to growth in supplies, paper and other revenue, and</w:t>
      </w:r>
      <w:r>
        <w:rPr>
          <w:rFonts w:ascii="Arial" w:cs="Arial" w:eastAsia="Arial" w:hAnsi="Arial"/>
          <w:sz w:val="18"/>
          <w:szCs w:val="18"/>
          <w:b w:val="1"/>
          <w:bCs w:val="1"/>
          <w:color w:val="DA2031"/>
        </w:rPr>
        <w:t xml:space="preserve"> </w:t>
      </w:r>
      <w:r>
        <w:rPr>
          <w:rFonts w:ascii="Arial" w:cs="Arial" w:eastAsia="Arial" w:hAnsi="Arial"/>
          <w:sz w:val="18"/>
          <w:szCs w:val="18"/>
          <w:color w:val="000000"/>
        </w:rPr>
        <w:t>includes growth from our IT Services business, which included two months of revenue from our recent acquisition of Powerland. We also experienced growth in page volume-driven service revenues, reflecting modest growth in page volumes during the quarter. These increases were partially offset by a decline in royalty income and third-party leasing commissions.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Detail by product group is shown below.</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300" w:type="dxa"/>
            <w:vAlign w:val="bottom"/>
            <w:gridSpan w:val="4"/>
          </w:tcPr>
          <w:p>
            <w:pPr>
              <w:jc w:val="right"/>
              <w:ind w:right="208"/>
              <w:spacing w:after="0"/>
              <w:rPr>
                <w:sz w:val="20"/>
                <w:szCs w:val="20"/>
                <w:color w:val="auto"/>
              </w:rPr>
            </w:pPr>
            <w:r>
              <w:rPr>
                <w:rFonts w:ascii="Arial" w:cs="Arial" w:eastAsia="Arial" w:hAnsi="Arial"/>
                <w:sz w:val="14"/>
                <w:szCs w:val="14"/>
                <w:color w:val="auto"/>
              </w:rPr>
              <w:t>Three Months Ended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3"/>
            <w:vMerge w:val="restart"/>
          </w:tcPr>
          <w:p>
            <w:pPr>
              <w:ind w:left="640"/>
              <w:spacing w:after="0"/>
              <w:rPr>
                <w:sz w:val="20"/>
                <w:szCs w:val="20"/>
                <w:color w:val="auto"/>
              </w:rPr>
            </w:pPr>
            <w:r>
              <w:rPr>
                <w:rFonts w:ascii="Arial" w:cs="Arial" w:eastAsia="Arial" w:hAnsi="Arial"/>
                <w:sz w:val="14"/>
                <w:szCs w:val="14"/>
                <w:color w:val="auto"/>
              </w:rPr>
              <w:t>% of Equipment Sales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color w:val="auto"/>
              </w:rPr>
              <w:t>March 31,</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9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2022</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2021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ind w:left="320"/>
              <w:spacing w:after="0" w:line="155" w:lineRule="exact"/>
              <w:rPr>
                <w:sz w:val="20"/>
                <w:szCs w:val="20"/>
                <w:color w:val="auto"/>
              </w:rPr>
            </w:pPr>
            <w:r>
              <w:rPr>
                <w:rFonts w:ascii="Arial" w:cs="Arial" w:eastAsia="Arial" w:hAnsi="Arial"/>
                <w:sz w:val="14"/>
                <w:szCs w:val="14"/>
                <w:color w:val="auto"/>
              </w:rPr>
              <w:t>% Change</w:t>
            </w:r>
          </w:p>
        </w:tc>
        <w:tc>
          <w:tcPr>
            <w:tcW w:w="142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CC % Change</w:t>
            </w: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3"/>
                <w:szCs w:val="13"/>
                <w:color w:val="auto"/>
              </w:rPr>
            </w:pP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DDDDDD"/>
            </w:tcBorders>
          </w:tcPr>
          <w:p>
            <w:pPr>
              <w:spacing w:after="0" w:line="20" w:lineRule="exact"/>
              <w:rPr>
                <w:sz w:val="1"/>
                <w:szCs w:val="1"/>
                <w:color w:val="auto"/>
              </w:rPr>
            </w:pPr>
          </w:p>
        </w:tc>
        <w:tc>
          <w:tcPr>
            <w:tcW w:w="640" w:type="dxa"/>
            <w:vAlign w:val="bottom"/>
            <w:tcBorders>
              <w:top w:val="single" w:sz="8" w:color="auto"/>
              <w:bottom w:val="single" w:sz="8" w:color="DDDDDD"/>
            </w:tcBorders>
          </w:tcPr>
          <w:p>
            <w:pPr>
              <w:spacing w:after="0" w:line="20" w:lineRule="exact"/>
              <w:rPr>
                <w:sz w:val="1"/>
                <w:szCs w:val="1"/>
                <w:color w:val="auto"/>
              </w:rPr>
            </w:pPr>
          </w:p>
        </w:tc>
        <w:tc>
          <w:tcPr>
            <w:tcW w:w="2220" w:type="dxa"/>
            <w:vAlign w:val="bottom"/>
            <w:tcBorders>
              <w:bottom w:val="single" w:sz="8" w:color="DDDDDD"/>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DDDDDD"/>
          </w:tcPr>
          <w:p>
            <w:pPr>
              <w:spacing w:after="0"/>
              <w:rPr>
                <w:sz w:val="17"/>
                <w:szCs w:val="17"/>
                <w:color w:val="auto"/>
              </w:rPr>
            </w:pPr>
          </w:p>
        </w:tc>
        <w:tc>
          <w:tcPr>
            <w:tcW w:w="286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Entry</w:t>
            </w:r>
          </w:p>
        </w:tc>
        <w:tc>
          <w:tcPr>
            <w:tcW w:w="900" w:type="dxa"/>
            <w:vAlign w:val="bottom"/>
            <w:shd w:val="clear" w:color="auto" w:fill="DDDDDD"/>
          </w:tcPr>
          <w:p>
            <w:pPr>
              <w:jc w:val="right"/>
              <w:ind w:right="728"/>
              <w:spacing w:after="0"/>
              <w:rPr>
                <w:sz w:val="20"/>
                <w:szCs w:val="20"/>
                <w:color w:val="auto"/>
              </w:rPr>
            </w:pPr>
            <w:r>
              <w:rPr>
                <w:rFonts w:ascii="Arial" w:cs="Arial" w:eastAsia="Arial" w:hAnsi="Arial"/>
                <w:sz w:val="14"/>
                <w:szCs w:val="14"/>
                <w:color w:val="auto"/>
              </w:rPr>
              <w:t>$</w:t>
            </w:r>
          </w:p>
        </w:tc>
        <w:tc>
          <w:tcPr>
            <w:tcW w:w="3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DDDDDD"/>
          </w:tcPr>
          <w:p>
            <w:pPr>
              <w:spacing w:after="0"/>
              <w:rPr>
                <w:sz w:val="17"/>
                <w:szCs w:val="17"/>
                <w:color w:val="auto"/>
              </w:rPr>
            </w:pPr>
          </w:p>
        </w:tc>
        <w:tc>
          <w:tcPr>
            <w:tcW w:w="900" w:type="dxa"/>
            <w:vAlign w:val="bottom"/>
            <w:shd w:val="clear" w:color="auto" w:fill="DDDDDD"/>
          </w:tcPr>
          <w:p>
            <w:pPr>
              <w:jc w:val="right"/>
              <w:ind w:right="728"/>
              <w:spacing w:after="0"/>
              <w:rPr>
                <w:sz w:val="20"/>
                <w:szCs w:val="20"/>
                <w:color w:val="auto"/>
              </w:rPr>
            </w:pPr>
            <w:r>
              <w:rPr>
                <w:rFonts w:ascii="Arial" w:cs="Arial" w:eastAsia="Arial" w:hAnsi="Arial"/>
                <w:sz w:val="14"/>
                <w:szCs w:val="14"/>
                <w:color w:val="auto"/>
              </w:rPr>
              <w:t>$</w:t>
            </w:r>
          </w:p>
        </w:tc>
        <w:tc>
          <w:tcPr>
            <w:tcW w:w="3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68</w:t>
            </w:r>
          </w:p>
        </w:tc>
        <w:tc>
          <w:tcPr>
            <w:tcW w:w="1420" w:type="dxa"/>
            <w:vAlign w:val="bottom"/>
            <w:gridSpan w:val="2"/>
            <w:shd w:val="clear" w:color="auto" w:fill="DDDDDD"/>
          </w:tcPr>
          <w:p>
            <w:pPr>
              <w:jc w:val="center"/>
              <w:ind w:left="48"/>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DDDDDD"/>
          </w:tcPr>
          <w:p>
            <w:pPr>
              <w:spacing w:after="0"/>
              <w:rPr>
                <w:sz w:val="17"/>
                <w:szCs w:val="17"/>
                <w:color w:val="auto"/>
              </w:rPr>
            </w:pPr>
          </w:p>
        </w:tc>
        <w:tc>
          <w:tcPr>
            <w:tcW w:w="1300" w:type="dxa"/>
            <w:vAlign w:val="bottom"/>
            <w:shd w:val="clear" w:color="auto" w:fill="DDDDDD"/>
          </w:tcPr>
          <w:p>
            <w:pPr>
              <w:jc w:val="center"/>
              <w:spacing w:after="0"/>
              <w:rPr>
                <w:sz w:val="20"/>
                <w:szCs w:val="20"/>
                <w:color w:val="auto"/>
              </w:rPr>
            </w:pPr>
            <w:r>
              <w:rPr>
                <w:rFonts w:ascii="Arial" w:cs="Arial" w:eastAsia="Arial" w:hAnsi="Arial"/>
                <w:sz w:val="14"/>
                <w:szCs w:val="14"/>
                <w:color w:val="auto"/>
              </w:rPr>
              <w:t>(7.6)%</w:t>
            </w:r>
          </w:p>
        </w:tc>
        <w:tc>
          <w:tcPr>
            <w:tcW w:w="120" w:type="dxa"/>
            <w:vAlign w:val="bottom"/>
            <w:shd w:val="clear" w:color="auto" w:fill="DDDDDD"/>
          </w:tcPr>
          <w:p>
            <w:pPr>
              <w:spacing w:after="0"/>
              <w:rPr>
                <w:sz w:val="17"/>
                <w:szCs w:val="17"/>
                <w:color w:val="auto"/>
              </w:rPr>
            </w:pPr>
          </w:p>
        </w:tc>
        <w:tc>
          <w:tcPr>
            <w:tcW w:w="1300" w:type="dxa"/>
            <w:vAlign w:val="bottom"/>
            <w:shd w:val="clear" w:color="auto" w:fill="DDDDDD"/>
          </w:tcPr>
          <w:p>
            <w:pPr>
              <w:jc w:val="center"/>
              <w:spacing w:after="0"/>
              <w:rPr>
                <w:sz w:val="20"/>
                <w:szCs w:val="20"/>
                <w:color w:val="auto"/>
              </w:rPr>
            </w:pPr>
            <w:r>
              <w:rPr>
                <w:rFonts w:ascii="Arial" w:cs="Arial" w:eastAsia="Arial" w:hAnsi="Arial"/>
                <w:sz w:val="14"/>
                <w:szCs w:val="14"/>
                <w:color w:val="auto"/>
              </w:rPr>
              <w:t>19%</w:t>
            </w:r>
          </w:p>
        </w:tc>
        <w:tc>
          <w:tcPr>
            <w:tcW w:w="120" w:type="dxa"/>
            <w:vAlign w:val="bottom"/>
            <w:shd w:val="clear" w:color="auto" w:fill="DDDDDD"/>
          </w:tcPr>
          <w:p>
            <w:pPr>
              <w:spacing w:after="0"/>
              <w:rPr>
                <w:sz w:val="17"/>
                <w:szCs w:val="17"/>
                <w:color w:val="auto"/>
              </w:rPr>
            </w:pPr>
          </w:p>
        </w:tc>
        <w:tc>
          <w:tcPr>
            <w:tcW w:w="1300" w:type="dxa"/>
            <w:vAlign w:val="bottom"/>
            <w:shd w:val="clear" w:color="auto" w:fill="DDDDDD"/>
          </w:tcPr>
          <w:p>
            <w:pPr>
              <w:jc w:val="center"/>
              <w:spacing w:after="0"/>
              <w:rPr>
                <w:sz w:val="20"/>
                <w:szCs w:val="20"/>
                <w:color w:val="auto"/>
              </w:rPr>
            </w:pPr>
            <w:r>
              <w:rPr>
                <w:rFonts w:ascii="Arial" w:cs="Arial" w:eastAsia="Arial" w:hAnsi="Arial"/>
                <w:sz w:val="14"/>
                <w:szCs w:val="14"/>
                <w:color w:val="auto"/>
                <w:w w:val="99"/>
              </w:rPr>
              <w:t>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gridSpan w:val="2"/>
          </w:tcPr>
          <w:p>
            <w:pPr>
              <w:spacing w:after="0"/>
              <w:rPr>
                <w:sz w:val="20"/>
                <w:szCs w:val="20"/>
                <w:color w:val="auto"/>
              </w:rPr>
            </w:pPr>
            <w:r>
              <w:rPr>
                <w:rFonts w:ascii="Arial" w:cs="Arial" w:eastAsia="Arial" w:hAnsi="Arial"/>
                <w:sz w:val="14"/>
                <w:szCs w:val="14"/>
                <w:color w:val="auto"/>
              </w:rPr>
              <w:t>Mid-range</w:t>
            </w:r>
          </w:p>
        </w:tc>
        <w:tc>
          <w:tcPr>
            <w:tcW w:w="9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238</w:t>
            </w:r>
          </w:p>
        </w:tc>
        <w:tc>
          <w:tcPr>
            <w:tcW w:w="1420" w:type="dxa"/>
            <w:vAlign w:val="bottom"/>
            <w:gridSpan w:val="2"/>
          </w:tcPr>
          <w:p>
            <w:pPr>
              <w:jc w:val="center"/>
              <w:ind w:left="4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63%</w:t>
            </w:r>
          </w:p>
        </w:tc>
        <w:tc>
          <w:tcPr>
            <w:tcW w:w="0" w:type="dxa"/>
            <w:vAlign w:val="bottom"/>
          </w:tcPr>
          <w:p>
            <w:pPr>
              <w:spacing w:after="0"/>
              <w:rPr>
                <w:sz w:val="1"/>
                <w:szCs w:val="1"/>
                <w:color w:val="auto"/>
              </w:rPr>
            </w:pPr>
          </w:p>
        </w:tc>
      </w:tr>
      <w:tr>
        <w:trPr>
          <w:trHeight w:val="206"/>
        </w:trPr>
        <w:tc>
          <w:tcPr>
            <w:tcW w:w="20" w:type="dxa"/>
            <w:vAlign w:val="bottom"/>
            <w:shd w:val="clear" w:color="auto" w:fill="DDDDDD"/>
          </w:tcPr>
          <w:p>
            <w:pPr>
              <w:spacing w:after="0"/>
              <w:rPr>
                <w:sz w:val="17"/>
                <w:szCs w:val="17"/>
                <w:color w:val="auto"/>
              </w:rPr>
            </w:pPr>
          </w:p>
        </w:tc>
        <w:tc>
          <w:tcPr>
            <w:tcW w:w="2860" w:type="dxa"/>
            <w:vAlign w:val="bottom"/>
            <w:gridSpan w:val="2"/>
            <w:shd w:val="clear" w:color="auto" w:fill="DDDDDD"/>
          </w:tcPr>
          <w:p>
            <w:pPr>
              <w:spacing w:after="0"/>
              <w:rPr>
                <w:sz w:val="20"/>
                <w:szCs w:val="20"/>
                <w:color w:val="auto"/>
              </w:rPr>
            </w:pPr>
            <w:r>
              <w:rPr>
                <w:rFonts w:ascii="Arial" w:cs="Arial" w:eastAsia="Arial" w:hAnsi="Arial"/>
                <w:sz w:val="14"/>
                <w:szCs w:val="14"/>
                <w:color w:val="auto"/>
              </w:rPr>
              <w:t>High-end</w:t>
            </w:r>
          </w:p>
        </w:tc>
        <w:tc>
          <w:tcPr>
            <w:tcW w:w="900" w:type="dxa"/>
            <w:vAlign w:val="bottom"/>
            <w:shd w:val="clear" w:color="auto" w:fill="DDDDDD"/>
          </w:tcPr>
          <w:p>
            <w:pPr>
              <w:spacing w:after="0"/>
              <w:rPr>
                <w:sz w:val="17"/>
                <w:szCs w:val="17"/>
                <w:color w:val="auto"/>
              </w:rPr>
            </w:pPr>
          </w:p>
        </w:tc>
        <w:tc>
          <w:tcPr>
            <w:tcW w:w="3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DDDDDD"/>
          </w:tcPr>
          <w:p>
            <w:pPr>
              <w:spacing w:after="0"/>
              <w:rPr>
                <w:sz w:val="17"/>
                <w:szCs w:val="17"/>
                <w:color w:val="auto"/>
              </w:rPr>
            </w:pPr>
          </w:p>
        </w:tc>
        <w:tc>
          <w:tcPr>
            <w:tcW w:w="900" w:type="dxa"/>
            <w:vAlign w:val="bottom"/>
            <w:shd w:val="clear" w:color="auto" w:fill="DDDDDD"/>
          </w:tcPr>
          <w:p>
            <w:pPr>
              <w:spacing w:after="0"/>
              <w:rPr>
                <w:sz w:val="17"/>
                <w:szCs w:val="17"/>
                <w:color w:val="auto"/>
              </w:rPr>
            </w:pPr>
          </w:p>
        </w:tc>
        <w:tc>
          <w:tcPr>
            <w:tcW w:w="3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70</w:t>
            </w:r>
          </w:p>
        </w:tc>
        <w:tc>
          <w:tcPr>
            <w:tcW w:w="1420" w:type="dxa"/>
            <w:vAlign w:val="bottom"/>
            <w:gridSpan w:val="2"/>
            <w:shd w:val="clear" w:color="auto" w:fill="DDDDDD"/>
          </w:tcPr>
          <w:p>
            <w:pPr>
              <w:jc w:val="center"/>
              <w:ind w:left="48"/>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DDDDDD"/>
          </w:tcPr>
          <w:p>
            <w:pPr>
              <w:spacing w:after="0"/>
              <w:rPr>
                <w:sz w:val="17"/>
                <w:szCs w:val="17"/>
                <w:color w:val="auto"/>
              </w:rPr>
            </w:pPr>
          </w:p>
        </w:tc>
        <w:tc>
          <w:tcPr>
            <w:tcW w:w="1300" w:type="dxa"/>
            <w:vAlign w:val="bottom"/>
            <w:shd w:val="clear" w:color="auto" w:fill="DDDDDD"/>
          </w:tcPr>
          <w:p>
            <w:pPr>
              <w:jc w:val="center"/>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DDDDDD"/>
          </w:tcPr>
          <w:p>
            <w:pPr>
              <w:spacing w:after="0"/>
              <w:rPr>
                <w:sz w:val="17"/>
                <w:szCs w:val="17"/>
                <w:color w:val="auto"/>
              </w:rPr>
            </w:pPr>
          </w:p>
        </w:tc>
        <w:tc>
          <w:tcPr>
            <w:tcW w:w="1300" w:type="dxa"/>
            <w:vAlign w:val="bottom"/>
            <w:shd w:val="clear" w:color="auto" w:fill="DDDDDD"/>
          </w:tcPr>
          <w:p>
            <w:pPr>
              <w:jc w:val="center"/>
              <w:spacing w:after="0"/>
              <w:rPr>
                <w:sz w:val="20"/>
                <w:szCs w:val="20"/>
                <w:color w:val="auto"/>
              </w:rPr>
            </w:pPr>
            <w:r>
              <w:rPr>
                <w:rFonts w:ascii="Arial" w:cs="Arial" w:eastAsia="Arial" w:hAnsi="Arial"/>
                <w:sz w:val="14"/>
                <w:szCs w:val="14"/>
                <w:color w:val="auto"/>
              </w:rPr>
              <w:t>17%</w:t>
            </w:r>
          </w:p>
        </w:tc>
        <w:tc>
          <w:tcPr>
            <w:tcW w:w="120" w:type="dxa"/>
            <w:vAlign w:val="bottom"/>
            <w:shd w:val="clear" w:color="auto" w:fill="DDDDDD"/>
          </w:tcPr>
          <w:p>
            <w:pPr>
              <w:spacing w:after="0"/>
              <w:rPr>
                <w:sz w:val="17"/>
                <w:szCs w:val="17"/>
                <w:color w:val="auto"/>
              </w:rPr>
            </w:pPr>
          </w:p>
        </w:tc>
        <w:tc>
          <w:tcPr>
            <w:tcW w:w="1300" w:type="dxa"/>
            <w:vAlign w:val="bottom"/>
            <w:shd w:val="clear" w:color="auto" w:fill="DDDDDD"/>
          </w:tcPr>
          <w:p>
            <w:pPr>
              <w:jc w:val="center"/>
              <w:spacing w:after="0"/>
              <w:rPr>
                <w:sz w:val="20"/>
                <w:szCs w:val="20"/>
                <w:color w:val="auto"/>
              </w:rPr>
            </w:pPr>
            <w:r>
              <w:rPr>
                <w:rFonts w:ascii="Arial" w:cs="Arial" w:eastAsia="Arial" w:hAnsi="Arial"/>
                <w:sz w:val="14"/>
                <w:szCs w:val="14"/>
                <w:color w:val="auto"/>
                <w:w w:val="99"/>
              </w:rPr>
              <w:t>18%</w:t>
            </w:r>
          </w:p>
        </w:tc>
        <w:tc>
          <w:tcPr>
            <w:tcW w:w="0" w:type="dxa"/>
            <w:vAlign w:val="bottom"/>
          </w:tcPr>
          <w:p>
            <w:pPr>
              <w:spacing w:after="0"/>
              <w:rPr>
                <w:sz w:val="1"/>
                <w:szCs w:val="1"/>
                <w:color w:val="auto"/>
              </w:rPr>
            </w:pPr>
          </w:p>
        </w:tc>
      </w:tr>
      <w:tr>
        <w:trPr>
          <w:trHeight w:val="199"/>
        </w:trPr>
        <w:tc>
          <w:tcPr>
            <w:tcW w:w="20" w:type="dxa"/>
            <w:vAlign w:val="bottom"/>
            <w:tcBorders>
              <w:bottom w:val="single" w:sz="8" w:color="DDDDDD"/>
            </w:tcBorders>
          </w:tcPr>
          <w:p>
            <w:pPr>
              <w:spacing w:after="0"/>
              <w:rPr>
                <w:sz w:val="17"/>
                <w:szCs w:val="17"/>
                <w:color w:val="auto"/>
              </w:rPr>
            </w:pPr>
          </w:p>
        </w:tc>
        <w:tc>
          <w:tcPr>
            <w:tcW w:w="2860" w:type="dxa"/>
            <w:vAlign w:val="bottom"/>
            <w:tcBorders>
              <w:bottom w:val="single" w:sz="8" w:color="DDDDDD"/>
            </w:tcBorders>
            <w:gridSpan w:val="2"/>
          </w:tcPr>
          <w:p>
            <w:pPr>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DDDDDD"/>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DDDDDD"/>
            </w:tcBorders>
          </w:tcPr>
          <w:p>
            <w:pPr>
              <w:spacing w:after="0"/>
              <w:rPr>
                <w:sz w:val="17"/>
                <w:szCs w:val="17"/>
                <w:color w:val="auto"/>
              </w:rPr>
            </w:pPr>
          </w:p>
        </w:tc>
        <w:tc>
          <w:tcPr>
            <w:tcW w:w="1420" w:type="dxa"/>
            <w:vAlign w:val="bottom"/>
            <w:tcBorders>
              <w:bottom w:val="single" w:sz="8" w:color="DDDDDD"/>
            </w:tcBorders>
            <w:gridSpan w:val="2"/>
          </w:tcPr>
          <w:p>
            <w:pPr>
              <w:jc w:val="center"/>
              <w:ind w:right="120"/>
              <w:spacing w:after="0"/>
              <w:rPr>
                <w:sz w:val="20"/>
                <w:szCs w:val="20"/>
                <w:color w:val="auto"/>
              </w:rPr>
            </w:pPr>
            <w:r>
              <w:rPr>
                <w:rFonts w:ascii="Arial" w:cs="Arial" w:eastAsia="Arial" w:hAnsi="Arial"/>
                <w:sz w:val="14"/>
                <w:szCs w:val="14"/>
                <w:color w:val="auto"/>
                <w:w w:val="98"/>
              </w:rPr>
              <w:t>—%</w:t>
            </w:r>
          </w:p>
        </w:tc>
        <w:tc>
          <w:tcPr>
            <w:tcW w:w="1420" w:type="dxa"/>
            <w:vAlign w:val="bottom"/>
            <w:tcBorders>
              <w:bottom w:val="single" w:sz="8" w:color="DDDDDD"/>
            </w:tcBorders>
            <w:gridSpan w:val="2"/>
          </w:tcPr>
          <w:p>
            <w:pPr>
              <w:jc w:val="center"/>
              <w:ind w:right="120"/>
              <w:spacing w:after="0"/>
              <w:rPr>
                <w:sz w:val="20"/>
                <w:szCs w:val="20"/>
                <w:color w:val="auto"/>
              </w:rPr>
            </w:pPr>
            <w:r>
              <w:rPr>
                <w:rFonts w:ascii="Arial" w:cs="Arial" w:eastAsia="Arial" w:hAnsi="Arial"/>
                <w:sz w:val="14"/>
                <w:szCs w:val="14"/>
                <w:color w:val="auto"/>
                <w:w w:val="98"/>
              </w:rPr>
              <w: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DDDDDD"/>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1%</w:t>
            </w:r>
          </w:p>
        </w:tc>
        <w:tc>
          <w:tcPr>
            <w:tcW w:w="0" w:type="dxa"/>
            <w:vAlign w:val="bottom"/>
          </w:tcPr>
          <w:p>
            <w:pPr>
              <w:spacing w:after="0"/>
              <w:rPr>
                <w:sz w:val="1"/>
                <w:szCs w:val="1"/>
                <w:color w:val="auto"/>
              </w:rPr>
            </w:pPr>
          </w:p>
        </w:tc>
      </w:tr>
      <w:tr>
        <w:trPr>
          <w:trHeight w:val="225"/>
        </w:trPr>
        <w:tc>
          <w:tcPr>
            <w:tcW w:w="20" w:type="dxa"/>
            <w:vAlign w:val="bottom"/>
            <w:tcBorders>
              <w:bottom w:val="single" w:sz="8" w:color="DDDDDD"/>
            </w:tcBorders>
            <w:shd w:val="clear" w:color="auto" w:fill="DDDDDD"/>
          </w:tcPr>
          <w:p>
            <w:pPr>
              <w:spacing w:after="0"/>
              <w:rPr>
                <w:sz w:val="19"/>
                <w:szCs w:val="19"/>
                <w:color w:val="auto"/>
              </w:rPr>
            </w:pPr>
          </w:p>
        </w:tc>
        <w:tc>
          <w:tcPr>
            <w:tcW w:w="2860" w:type="dxa"/>
            <w:vAlign w:val="bottom"/>
            <w:tcBorders>
              <w:bottom w:val="single" w:sz="8" w:color="DDDDDD"/>
            </w:tcBorders>
            <w:gridSpan w:val="2"/>
            <w:shd w:val="clear" w:color="auto" w:fill="DDDDDD"/>
          </w:tcPr>
          <w:p>
            <w:pPr>
              <w:spacing w:after="0"/>
              <w:rPr>
                <w:sz w:val="20"/>
                <w:szCs w:val="20"/>
                <w:color w:val="auto"/>
              </w:rPr>
            </w:pPr>
            <w:r>
              <w:rPr>
                <w:rFonts w:ascii="Arial" w:cs="Arial" w:eastAsia="Arial" w:hAnsi="Arial"/>
                <w:sz w:val="14"/>
                <w:szCs w:val="14"/>
                <w:b w:val="1"/>
                <w:bCs w:val="1"/>
                <w:color w:val="auto"/>
              </w:rPr>
              <w:t>Equipment sales</w:t>
            </w:r>
            <w:r>
              <w:rPr>
                <w:rFonts w:ascii="Arial" w:cs="Arial" w:eastAsia="Arial" w:hAnsi="Arial"/>
                <w:sz w:val="9"/>
                <w:szCs w:val="9"/>
                <w:b w:val="1"/>
                <w:bCs w:val="1"/>
                <w:color w:val="auto"/>
              </w:rPr>
              <w:t>(1)(2)</w:t>
            </w:r>
          </w:p>
        </w:tc>
        <w:tc>
          <w:tcPr>
            <w:tcW w:w="900" w:type="dxa"/>
            <w:vAlign w:val="bottom"/>
            <w:tcBorders>
              <w:bottom w:val="single" w:sz="8" w:color="auto"/>
            </w:tcBorders>
            <w:shd w:val="clear" w:color="auto" w:fill="DDDDDD"/>
          </w:tcPr>
          <w:p>
            <w:pPr>
              <w:jc w:val="right"/>
              <w:ind w:right="7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314</w:t>
            </w:r>
          </w:p>
        </w:tc>
        <w:tc>
          <w:tcPr>
            <w:tcW w:w="120" w:type="dxa"/>
            <w:vAlign w:val="bottom"/>
            <w:tcBorders>
              <w:bottom w:val="single" w:sz="8" w:color="DDDDDD"/>
            </w:tcBorders>
            <w:shd w:val="clear" w:color="auto" w:fill="DDDDDD"/>
          </w:tcPr>
          <w:p>
            <w:pPr>
              <w:spacing w:after="0"/>
              <w:rPr>
                <w:sz w:val="19"/>
                <w:szCs w:val="19"/>
                <w:color w:val="auto"/>
              </w:rPr>
            </w:pPr>
          </w:p>
        </w:tc>
        <w:tc>
          <w:tcPr>
            <w:tcW w:w="900" w:type="dxa"/>
            <w:vAlign w:val="bottom"/>
            <w:tcBorders>
              <w:bottom w:val="single" w:sz="8" w:color="auto"/>
            </w:tcBorders>
            <w:shd w:val="clear" w:color="auto" w:fill="DDDDDD"/>
          </w:tcPr>
          <w:p>
            <w:pPr>
              <w:jc w:val="right"/>
              <w:ind w:right="7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381</w:t>
            </w:r>
          </w:p>
        </w:tc>
        <w:tc>
          <w:tcPr>
            <w:tcW w:w="1420" w:type="dxa"/>
            <w:vAlign w:val="bottom"/>
            <w:tcBorders>
              <w:bottom w:val="single" w:sz="8" w:color="DDDDDD"/>
            </w:tcBorders>
            <w:gridSpan w:val="2"/>
            <w:shd w:val="clear" w:color="auto" w:fill="DDDDDD"/>
          </w:tcPr>
          <w:p>
            <w:pPr>
              <w:jc w:val="center"/>
              <w:ind w:left="48"/>
              <w:spacing w:after="0"/>
              <w:rPr>
                <w:sz w:val="20"/>
                <w:szCs w:val="20"/>
                <w:color w:val="auto"/>
              </w:rPr>
            </w:pPr>
            <w:r>
              <w:rPr>
                <w:rFonts w:ascii="Arial" w:cs="Arial" w:eastAsia="Arial" w:hAnsi="Arial"/>
                <w:sz w:val="14"/>
                <w:szCs w:val="14"/>
                <w:color w:val="auto"/>
              </w:rPr>
              <w:t>(17.6)%</w:t>
            </w:r>
          </w:p>
        </w:tc>
        <w:tc>
          <w:tcPr>
            <w:tcW w:w="120" w:type="dxa"/>
            <w:vAlign w:val="bottom"/>
            <w:tcBorders>
              <w:bottom w:val="single" w:sz="8" w:color="DDDDDD"/>
            </w:tcBorders>
            <w:shd w:val="clear" w:color="auto" w:fill="DDDDDD"/>
          </w:tcPr>
          <w:p>
            <w:pPr>
              <w:spacing w:after="0"/>
              <w:rPr>
                <w:sz w:val="19"/>
                <w:szCs w:val="19"/>
                <w:color w:val="auto"/>
              </w:rPr>
            </w:pPr>
          </w:p>
        </w:tc>
        <w:tc>
          <w:tcPr>
            <w:tcW w:w="1300" w:type="dxa"/>
            <w:vAlign w:val="bottom"/>
            <w:tcBorders>
              <w:bottom w:val="single" w:sz="8" w:color="DDDDDD"/>
            </w:tcBorders>
            <w:shd w:val="clear" w:color="auto" w:fill="DDDDDD"/>
          </w:tcPr>
          <w:p>
            <w:pPr>
              <w:jc w:val="center"/>
              <w:spacing w:after="0"/>
              <w:rPr>
                <w:sz w:val="20"/>
                <w:szCs w:val="20"/>
                <w:color w:val="auto"/>
              </w:rPr>
            </w:pPr>
            <w:r>
              <w:rPr>
                <w:rFonts w:ascii="Arial" w:cs="Arial" w:eastAsia="Arial" w:hAnsi="Arial"/>
                <w:sz w:val="14"/>
                <w:szCs w:val="14"/>
                <w:color w:val="auto"/>
              </w:rPr>
              <w:t>(16.1)%</w:t>
            </w:r>
          </w:p>
        </w:tc>
        <w:tc>
          <w:tcPr>
            <w:tcW w:w="120" w:type="dxa"/>
            <w:vAlign w:val="bottom"/>
            <w:tcBorders>
              <w:bottom w:val="single" w:sz="8" w:color="DDDDDD"/>
            </w:tcBorders>
            <w:shd w:val="clear" w:color="auto" w:fill="DDDDDD"/>
          </w:tcPr>
          <w:p>
            <w:pPr>
              <w:spacing w:after="0"/>
              <w:rPr>
                <w:sz w:val="19"/>
                <w:szCs w:val="19"/>
                <w:color w:val="auto"/>
              </w:rPr>
            </w:pPr>
          </w:p>
        </w:tc>
        <w:tc>
          <w:tcPr>
            <w:tcW w:w="130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DDDDDD"/>
            </w:tcBorders>
            <w:shd w:val="clear" w:color="auto" w:fill="DDDDDD"/>
          </w:tcPr>
          <w:p>
            <w:pPr>
              <w:spacing w:after="0"/>
              <w:rPr>
                <w:sz w:val="19"/>
                <w:szCs w:val="19"/>
                <w:color w:val="auto"/>
              </w:rPr>
            </w:pPr>
          </w:p>
        </w:tc>
        <w:tc>
          <w:tcPr>
            <w:tcW w:w="130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Borders>
              <w:top w:val="single" w:sz="8" w:color="DDDDDD"/>
            </w:tcBorders>
          </w:tcPr>
          <w:p>
            <w:pPr>
              <w:spacing w:after="0" w:line="20" w:lineRule="exact"/>
              <w:rPr>
                <w:sz w:val="1"/>
                <w:szCs w:val="1"/>
                <w:color w:val="auto"/>
              </w:rPr>
            </w:pPr>
          </w:p>
        </w:tc>
        <w:tc>
          <w:tcPr>
            <w:tcW w:w="640" w:type="dxa"/>
            <w:vAlign w:val="bottom"/>
            <w:tcBorders>
              <w:top w:val="single" w:sz="8" w:color="DDDDDD"/>
            </w:tcBorders>
          </w:tcPr>
          <w:p>
            <w:pPr>
              <w:spacing w:after="0" w:line="20" w:lineRule="exact"/>
              <w:rPr>
                <w:sz w:val="1"/>
                <w:szCs w:val="1"/>
                <w:color w:val="auto"/>
              </w:rPr>
            </w:pPr>
          </w:p>
        </w:tc>
        <w:tc>
          <w:tcPr>
            <w:tcW w:w="2220" w:type="dxa"/>
            <w:vAlign w:val="bottom"/>
            <w:tcBorders>
              <w:top w:val="single" w:sz="8" w:color="DDDDDD"/>
            </w:tcBorders>
          </w:tcPr>
          <w:p>
            <w:pPr>
              <w:spacing w:after="0" w:line="20" w:lineRule="exact"/>
              <w:rPr>
                <w:sz w:val="1"/>
                <w:szCs w:val="1"/>
                <w:color w:val="auto"/>
              </w:rPr>
            </w:pPr>
          </w:p>
        </w:tc>
        <w:tc>
          <w:tcPr>
            <w:tcW w:w="900" w:type="dxa"/>
            <w:vAlign w:val="bottom"/>
            <w:tcBorders>
              <w:top w:val="single" w:sz="8" w:color="DDDDDD"/>
              <w:bottom w:val="single" w:sz="8" w:color="auto"/>
            </w:tcBorders>
          </w:tcPr>
          <w:p>
            <w:pPr>
              <w:spacing w:after="0" w:line="20" w:lineRule="exact"/>
              <w:rPr>
                <w:sz w:val="1"/>
                <w:szCs w:val="1"/>
                <w:color w:val="auto"/>
              </w:rPr>
            </w:pPr>
          </w:p>
        </w:tc>
        <w:tc>
          <w:tcPr>
            <w:tcW w:w="38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900" w:type="dxa"/>
            <w:vAlign w:val="bottom"/>
            <w:tcBorders>
              <w:top w:val="single" w:sz="8" w:color="DDDDDD"/>
              <w:bottom w:val="single" w:sz="8" w:color="auto"/>
            </w:tcBorders>
          </w:tcPr>
          <w:p>
            <w:pPr>
              <w:spacing w:after="0" w:line="20" w:lineRule="exact"/>
              <w:rPr>
                <w:sz w:val="1"/>
                <w:szCs w:val="1"/>
                <w:color w:val="auto"/>
              </w:rPr>
            </w:pPr>
          </w:p>
        </w:tc>
        <w:tc>
          <w:tcPr>
            <w:tcW w:w="38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130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130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130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130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See "Currency Impact" section for a description of constant currency.</w:t>
      </w:r>
    </w:p>
    <w:p>
      <w:pPr>
        <w:spacing w:after="0" w:line="15"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Refer to the Products and Offerings Definitions section.</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The three months ended March 31, 2022 and 2021, includes $5 million and $8 million, respectively, of equipment sales related to the Financing (FITTLE) segment.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change at constant currency</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reflected the following:</w:t>
      </w:r>
    </w:p>
    <w:p>
      <w:pPr>
        <w:spacing w:after="0" w:line="26" w:lineRule="exact"/>
        <w:rPr>
          <w:sz w:val="20"/>
          <w:szCs w:val="20"/>
          <w:color w:val="auto"/>
        </w:rPr>
      </w:pPr>
    </w:p>
    <w:p>
      <w:pPr>
        <w:ind w:left="340" w:right="20" w:hanging="332"/>
        <w:spacing w:after="0" w:line="266" w:lineRule="auto"/>
        <w:tabs>
          <w:tab w:leader="none" w:pos="335" w:val="left"/>
        </w:tabs>
        <w:numPr>
          <w:ilvl w:val="0"/>
          <w:numId w:val="38"/>
        </w:numPr>
        <w:rPr>
          <w:rFonts w:ascii="Arial" w:cs="Arial" w:eastAsia="Arial" w:hAnsi="Arial"/>
          <w:sz w:val="18"/>
          <w:szCs w:val="18"/>
          <w:b w:val="1"/>
          <w:bCs w:val="1"/>
          <w:color w:val="DA2031"/>
        </w:rPr>
      </w:pPr>
      <w:r>
        <w:rPr>
          <w:rFonts w:ascii="Arial" w:cs="Arial" w:eastAsia="Arial" w:hAnsi="Arial"/>
          <w:sz w:val="18"/>
          <w:szCs w:val="18"/>
          <w:b w:val="1"/>
          <w:bCs w:val="1"/>
          <w:color w:val="DA2031"/>
        </w:rPr>
        <w:t xml:space="preserve">Entry </w:t>
      </w:r>
      <w:r>
        <w:rPr>
          <w:rFonts w:ascii="Arial" w:cs="Arial" w:eastAsia="Arial" w:hAnsi="Arial"/>
          <w:sz w:val="18"/>
          <w:szCs w:val="18"/>
          <w:color w:val="000000"/>
        </w:rPr>
        <w:t>- The decrease for the three months ended March 31, 2022 as compared to first quarter 2021, was driven by supply constraints,</w:t>
      </w:r>
      <w:r>
        <w:rPr>
          <w:rFonts w:ascii="Arial" w:cs="Arial" w:eastAsia="Arial" w:hAnsi="Arial"/>
          <w:sz w:val="18"/>
          <w:szCs w:val="18"/>
          <w:b w:val="1"/>
          <w:bCs w:val="1"/>
          <w:color w:val="DA2031"/>
        </w:rPr>
        <w:t xml:space="preserve"> </w:t>
      </w:r>
      <w:r>
        <w:rPr>
          <w:rFonts w:ascii="Arial" w:cs="Arial" w:eastAsia="Arial" w:hAnsi="Arial"/>
          <w:sz w:val="18"/>
          <w:szCs w:val="18"/>
          <w:color w:val="000000"/>
        </w:rPr>
        <w:t>which most significantly affected our black-and-white devices.</w:t>
      </w:r>
    </w:p>
    <w:p>
      <w:pPr>
        <w:spacing w:after="0" w:line="9" w:lineRule="exact"/>
        <w:rPr>
          <w:rFonts w:ascii="Arial" w:cs="Arial" w:eastAsia="Arial" w:hAnsi="Arial"/>
          <w:sz w:val="18"/>
          <w:szCs w:val="18"/>
          <w:b w:val="1"/>
          <w:bCs w:val="1"/>
          <w:color w:val="DA2031"/>
        </w:rPr>
      </w:pPr>
    </w:p>
    <w:p>
      <w:pPr>
        <w:jc w:val="both"/>
        <w:ind w:left="340" w:hanging="332"/>
        <w:spacing w:after="0" w:line="268" w:lineRule="auto"/>
        <w:tabs>
          <w:tab w:leader="none" w:pos="335" w:val="left"/>
        </w:tabs>
        <w:numPr>
          <w:ilvl w:val="0"/>
          <w:numId w:val="38"/>
        </w:numPr>
        <w:rPr>
          <w:rFonts w:ascii="Arial" w:cs="Arial" w:eastAsia="Arial" w:hAnsi="Arial"/>
          <w:sz w:val="18"/>
          <w:szCs w:val="18"/>
          <w:b w:val="1"/>
          <w:bCs w:val="1"/>
          <w:color w:val="DA2031"/>
        </w:rPr>
      </w:pPr>
      <w:r>
        <w:rPr>
          <w:rFonts w:ascii="Arial" w:cs="Arial" w:eastAsia="Arial" w:hAnsi="Arial"/>
          <w:sz w:val="18"/>
          <w:szCs w:val="18"/>
          <w:b w:val="1"/>
          <w:bCs w:val="1"/>
          <w:color w:val="DA2031"/>
        </w:rPr>
        <w:t xml:space="preserve">Mid-range </w:t>
      </w:r>
      <w:r>
        <w:rPr>
          <w:rFonts w:ascii="Arial" w:cs="Arial" w:eastAsia="Arial" w:hAnsi="Arial"/>
          <w:sz w:val="18"/>
          <w:szCs w:val="18"/>
          <w:color w:val="000000"/>
        </w:rPr>
        <w:t>- The decrease for the three months ended March 31, 2022 as compared to first quarter 2021, was primarily driven by the</w:t>
      </w:r>
      <w:r>
        <w:rPr>
          <w:rFonts w:ascii="Arial" w:cs="Arial" w:eastAsia="Arial" w:hAnsi="Arial"/>
          <w:sz w:val="18"/>
          <w:szCs w:val="18"/>
          <w:b w:val="1"/>
          <w:bCs w:val="1"/>
          <w:color w:val="DA2031"/>
        </w:rPr>
        <w:t xml:space="preserve"> </w:t>
      </w:r>
      <w:r>
        <w:rPr>
          <w:rFonts w:ascii="Arial" w:cs="Arial" w:eastAsia="Arial" w:hAnsi="Arial"/>
          <w:sz w:val="18"/>
          <w:szCs w:val="18"/>
          <w:color w:val="000000"/>
        </w:rPr>
        <w:t>impact of global product supply constraints and freight disruptions, which had a slightly more pronounced effect on our U.S. operations and availability of our black-and-white devices.</w:t>
      </w:r>
    </w:p>
    <w:p>
      <w:pPr>
        <w:spacing w:after="0" w:line="8" w:lineRule="exact"/>
        <w:rPr>
          <w:rFonts w:ascii="Arial" w:cs="Arial" w:eastAsia="Arial" w:hAnsi="Arial"/>
          <w:sz w:val="18"/>
          <w:szCs w:val="18"/>
          <w:b w:val="1"/>
          <w:bCs w:val="1"/>
          <w:color w:val="DA2031"/>
        </w:rPr>
      </w:pPr>
    </w:p>
    <w:p>
      <w:pPr>
        <w:ind w:left="340" w:hanging="332"/>
        <w:spacing w:after="0" w:line="287" w:lineRule="auto"/>
        <w:tabs>
          <w:tab w:leader="none" w:pos="335" w:val="left"/>
        </w:tabs>
        <w:numPr>
          <w:ilvl w:val="0"/>
          <w:numId w:val="38"/>
        </w:numPr>
        <w:rPr>
          <w:rFonts w:ascii="Arial" w:cs="Arial" w:eastAsia="Arial" w:hAnsi="Arial"/>
          <w:sz w:val="18"/>
          <w:szCs w:val="18"/>
          <w:b w:val="1"/>
          <w:bCs w:val="1"/>
          <w:color w:val="DA2031"/>
        </w:rPr>
      </w:pPr>
      <w:r>
        <w:rPr>
          <w:rFonts w:ascii="Arial" w:cs="Arial" w:eastAsia="Arial" w:hAnsi="Arial"/>
          <w:sz w:val="18"/>
          <w:szCs w:val="18"/>
          <w:b w:val="1"/>
          <w:bCs w:val="1"/>
          <w:color w:val="DA2031"/>
        </w:rPr>
        <w:t xml:space="preserve">High-end </w:t>
      </w:r>
      <w:r>
        <w:rPr>
          <w:rFonts w:ascii="Arial" w:cs="Arial" w:eastAsia="Arial" w:hAnsi="Arial"/>
          <w:sz w:val="18"/>
          <w:szCs w:val="18"/>
          <w:color w:val="000000"/>
        </w:rPr>
        <w:t>- The decrease for the three months ended March 31, 2022 as compared to first quarter 2021, primarily reflected the impact of</w:t>
      </w:r>
      <w:r>
        <w:rPr>
          <w:rFonts w:ascii="Arial" w:cs="Arial" w:eastAsia="Arial" w:hAnsi="Arial"/>
          <w:sz w:val="18"/>
          <w:szCs w:val="18"/>
          <w:b w:val="1"/>
          <w:bCs w:val="1"/>
          <w:color w:val="DA2031"/>
        </w:rPr>
        <w:t xml:space="preserve"> </w:t>
      </w:r>
      <w:r>
        <w:rPr>
          <w:rFonts w:ascii="Arial" w:cs="Arial" w:eastAsia="Arial" w:hAnsi="Arial"/>
          <w:sz w:val="18"/>
          <w:szCs w:val="18"/>
          <w:color w:val="000000"/>
        </w:rPr>
        <w:t>global product supply constraints and freight disruptions, partially offset by a more favorable mix.</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2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Refer to the Non-GAAP Financial Measures section for an explanation of the non-GAAP financial measure.</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Total Installs</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Installs reflect only new placements of devices (i.e., measure does not take into account removal of devices which may occur as a result of contract renewals or cancellations). Revenue associated with equipment installations may be reflected up-front in Equipment sales or over time either through rental income or as part of our services revenues (which are both reported within our Post sale revenues), depending on the terms and conditions of our agreements with customers. Installs include activity for Xerox and non-Xerox branded products installed by our XBS sales unit. Detail by product group (see </w:t>
      </w:r>
      <w:r>
        <w:rPr>
          <w:rFonts w:ascii="Arial" w:cs="Arial" w:eastAsia="Arial" w:hAnsi="Arial"/>
          <w:sz w:val="18"/>
          <w:szCs w:val="18"/>
          <w:b w:val="1"/>
          <w:bCs w:val="1"/>
          <w:i w:val="1"/>
          <w:iCs w:val="1"/>
          <w:color w:val="DA2031"/>
        </w:rPr>
        <w:t>Products and Offerings Definitions</w:t>
      </w:r>
      <w:r>
        <w:rPr>
          <w:rFonts w:ascii="Arial" w:cs="Arial" w:eastAsia="Arial" w:hAnsi="Arial"/>
          <w:sz w:val="18"/>
          <w:szCs w:val="18"/>
          <w:i w:val="1"/>
          <w:iCs w:val="1"/>
          <w:color w:val="auto"/>
        </w:rPr>
        <w:t>)</w:t>
      </w:r>
      <w:r>
        <w:rPr>
          <w:rFonts w:ascii="Arial" w:cs="Arial" w:eastAsia="Arial" w:hAnsi="Arial"/>
          <w:sz w:val="18"/>
          <w:szCs w:val="18"/>
          <w:color w:val="auto"/>
        </w:rPr>
        <w:t xml:space="preserve"> is shown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Installs for the three months ended March 31, 2022: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Entry</w:t>
      </w:r>
    </w:p>
    <w:p>
      <w:pPr>
        <w:spacing w:after="0" w:line="27"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8"/>
          <w:szCs w:val="18"/>
          <w:b w:val="1"/>
          <w:bCs w:val="1"/>
          <w:color w:val="DA2031"/>
        </w:rPr>
      </w:pPr>
      <w:r>
        <w:rPr>
          <w:rFonts w:ascii="Arial" w:cs="Arial" w:eastAsia="Arial" w:hAnsi="Arial"/>
          <w:sz w:val="18"/>
          <w:szCs w:val="18"/>
          <w:color w:val="auto"/>
        </w:rPr>
        <w:t>Installs of color multifunction devices were flat reflecting supply constraints that offset strong demand for recently launched products.</w:t>
      </w:r>
    </w:p>
    <w:p>
      <w:pPr>
        <w:spacing w:after="0" w:line="9" w:lineRule="exact"/>
        <w:rPr>
          <w:rFonts w:ascii="Arial" w:cs="Arial" w:eastAsia="Arial" w:hAnsi="Arial"/>
          <w:sz w:val="18"/>
          <w:szCs w:val="18"/>
          <w:b w:val="1"/>
          <w:bCs w:val="1"/>
          <w:color w:val="DA2031"/>
        </w:rPr>
      </w:pPr>
    </w:p>
    <w:p>
      <w:pPr>
        <w:jc w:val="both"/>
        <w:ind w:left="340" w:hanging="332"/>
        <w:spacing w:after="0" w:line="258" w:lineRule="auto"/>
        <w:tabs>
          <w:tab w:leader="none" w:pos="335" w:val="left"/>
        </w:tabs>
        <w:numPr>
          <w:ilvl w:val="0"/>
          <w:numId w:val="39"/>
        </w:numPr>
        <w:rPr>
          <w:rFonts w:ascii="Arial" w:cs="Arial" w:eastAsia="Arial" w:hAnsi="Arial"/>
          <w:sz w:val="18"/>
          <w:szCs w:val="18"/>
          <w:b w:val="1"/>
          <w:bCs w:val="1"/>
          <w:color w:val="DA2031"/>
        </w:rPr>
      </w:pPr>
      <w:r>
        <w:rPr>
          <w:rFonts w:ascii="Arial" w:cs="Arial" w:eastAsia="Arial" w:hAnsi="Arial"/>
          <w:sz w:val="18"/>
          <w:szCs w:val="18"/>
          <w:color w:val="auto"/>
        </w:rPr>
        <w:t>39% decrease in black-and-white multifunction devices reflecting lower installs as a result of product constraints and a larger number of installs of black-and-white devices in the prior year, primarily associated with work-from-home demand associated with the COVID-19 pandemic.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Mid-Range</w:t>
      </w:r>
    </w:p>
    <w:p>
      <w:pPr>
        <w:spacing w:after="0" w:line="27" w:lineRule="exact"/>
        <w:rPr>
          <w:sz w:val="20"/>
          <w:szCs w:val="20"/>
          <w:color w:val="auto"/>
        </w:rPr>
      </w:pPr>
    </w:p>
    <w:p>
      <w:pPr>
        <w:ind w:left="340" w:right="20" w:hanging="332"/>
        <w:spacing w:after="0" w:line="250" w:lineRule="auto"/>
        <w:tabs>
          <w:tab w:leader="none" w:pos="335" w:val="left"/>
        </w:tabs>
        <w:numPr>
          <w:ilvl w:val="0"/>
          <w:numId w:val="40"/>
        </w:numPr>
        <w:rPr>
          <w:rFonts w:ascii="Arial" w:cs="Arial" w:eastAsia="Arial" w:hAnsi="Arial"/>
          <w:sz w:val="18"/>
          <w:szCs w:val="18"/>
          <w:b w:val="1"/>
          <w:bCs w:val="1"/>
          <w:color w:val="DA2031"/>
        </w:rPr>
      </w:pPr>
      <w:r>
        <w:rPr>
          <w:rFonts w:ascii="Arial" w:cs="Arial" w:eastAsia="Arial" w:hAnsi="Arial"/>
          <w:sz w:val="18"/>
          <w:szCs w:val="18"/>
          <w:color w:val="auto"/>
        </w:rPr>
        <w:t>9% decrease in mid-range color installs primarily reflecting the impact of freight disruption and product supply constraints, offsetting strong demand for recently launched products.</w:t>
      </w:r>
    </w:p>
    <w:p>
      <w:pPr>
        <w:ind w:left="320" w:hanging="312"/>
        <w:spacing w:after="0"/>
        <w:tabs>
          <w:tab w:leader="none" w:pos="320" w:val="left"/>
        </w:tabs>
        <w:numPr>
          <w:ilvl w:val="0"/>
          <w:numId w:val="40"/>
        </w:numPr>
        <w:rPr>
          <w:rFonts w:ascii="Arial" w:cs="Arial" w:eastAsia="Arial" w:hAnsi="Arial"/>
          <w:sz w:val="18"/>
          <w:szCs w:val="18"/>
          <w:b w:val="1"/>
          <w:bCs w:val="1"/>
          <w:color w:val="DA2031"/>
        </w:rPr>
      </w:pPr>
      <w:r>
        <w:rPr>
          <w:rFonts w:ascii="Arial" w:cs="Arial" w:eastAsia="Arial" w:hAnsi="Arial"/>
          <w:sz w:val="18"/>
          <w:szCs w:val="18"/>
          <w:color w:val="auto"/>
        </w:rPr>
        <w:t>61% decrease in mid-range black-and-white installs reflecting the impact of freight disruption and product supply constraints.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High-End</w:t>
      </w:r>
    </w:p>
    <w:p>
      <w:pPr>
        <w:spacing w:after="0" w:line="27"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8"/>
          <w:szCs w:val="18"/>
          <w:b w:val="1"/>
          <w:bCs w:val="1"/>
          <w:color w:val="DA2031"/>
        </w:rPr>
      </w:pPr>
      <w:r>
        <w:rPr>
          <w:rFonts w:ascii="Arial" w:cs="Arial" w:eastAsia="Arial" w:hAnsi="Arial"/>
          <w:sz w:val="18"/>
          <w:szCs w:val="18"/>
          <w:color w:val="auto"/>
        </w:rPr>
        <w:t>29% decrease in high-end color installs primarily reflecting the impact of global product constraints and freight disruptions.</w:t>
      </w:r>
    </w:p>
    <w:p>
      <w:pPr>
        <w:spacing w:after="0" w:line="9" w:lineRule="exact"/>
        <w:rPr>
          <w:rFonts w:ascii="Arial" w:cs="Arial" w:eastAsia="Arial" w:hAnsi="Arial"/>
          <w:sz w:val="18"/>
          <w:szCs w:val="18"/>
          <w:b w:val="1"/>
          <w:bCs w:val="1"/>
          <w:color w:val="DA2031"/>
        </w:rPr>
      </w:pPr>
    </w:p>
    <w:p>
      <w:pPr>
        <w:ind w:left="320" w:hanging="312"/>
        <w:spacing w:after="0"/>
        <w:tabs>
          <w:tab w:leader="none" w:pos="320" w:val="left"/>
        </w:tabs>
        <w:numPr>
          <w:ilvl w:val="0"/>
          <w:numId w:val="41"/>
        </w:numPr>
        <w:rPr>
          <w:rFonts w:ascii="Arial" w:cs="Arial" w:eastAsia="Arial" w:hAnsi="Arial"/>
          <w:sz w:val="18"/>
          <w:szCs w:val="18"/>
          <w:b w:val="1"/>
          <w:bCs w:val="1"/>
          <w:color w:val="DA2031"/>
        </w:rPr>
      </w:pPr>
      <w:r>
        <w:rPr>
          <w:rFonts w:ascii="Arial" w:cs="Arial" w:eastAsia="Arial" w:hAnsi="Arial"/>
          <w:sz w:val="18"/>
          <w:szCs w:val="18"/>
          <w:color w:val="auto"/>
        </w:rPr>
        <w:t>15% decrease in high-end black-and-white systems reflecting the impact of global product constraints and freight disruptions.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DA2031"/>
        </w:rPr>
        <w:t>Products and Offerings 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Equipment sale product groupings are as follows:</w:t>
      </w:r>
    </w:p>
    <w:p>
      <w:pPr>
        <w:spacing w:after="0" w:line="117"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color w:val="DA2031"/>
        </w:rPr>
      </w:pPr>
      <w:r>
        <w:rPr>
          <w:rFonts w:ascii="Arial" w:cs="Arial" w:eastAsia="Arial" w:hAnsi="Arial"/>
          <w:sz w:val="18"/>
          <w:szCs w:val="18"/>
          <w:color w:val="auto"/>
        </w:rPr>
        <w:t>“Entry”, which includes A4 devices and desktop printers. Prices in this product group can range from approximately $150 to $3,000.</w:t>
      </w:r>
    </w:p>
    <w:p>
      <w:pPr>
        <w:spacing w:after="0" w:line="27" w:lineRule="exact"/>
        <w:rPr>
          <w:rFonts w:ascii="Arial" w:cs="Arial" w:eastAsia="Arial" w:hAnsi="Arial"/>
          <w:sz w:val="18"/>
          <w:szCs w:val="18"/>
          <w:color w:val="DA2031"/>
        </w:rPr>
      </w:pPr>
    </w:p>
    <w:p>
      <w:pPr>
        <w:ind w:left="340" w:right="20" w:hanging="332"/>
        <w:spacing w:after="0" w:line="250" w:lineRule="auto"/>
        <w:tabs>
          <w:tab w:leader="none" w:pos="335" w:val="left"/>
        </w:tabs>
        <w:numPr>
          <w:ilvl w:val="0"/>
          <w:numId w:val="42"/>
        </w:numPr>
        <w:rPr>
          <w:rFonts w:ascii="Arial" w:cs="Arial" w:eastAsia="Arial" w:hAnsi="Arial"/>
          <w:sz w:val="18"/>
          <w:szCs w:val="18"/>
          <w:color w:val="DA2031"/>
        </w:rPr>
      </w:pPr>
      <w:r>
        <w:rPr>
          <w:rFonts w:ascii="Arial" w:cs="Arial" w:eastAsia="Arial" w:hAnsi="Arial"/>
          <w:sz w:val="18"/>
          <w:szCs w:val="18"/>
          <w:color w:val="auto"/>
        </w:rPr>
        <w:t>“Mid-Range”, which includes A3 Office and Light Production devices that generally serve workgroup environments in mid to large enterprises. Prices in this product group can range from approximately $2,000 to $75,000+.</w:t>
      </w:r>
    </w:p>
    <w:p>
      <w:pPr>
        <w:ind w:left="340" w:hanging="332"/>
        <w:spacing w:after="0" w:line="266" w:lineRule="auto"/>
        <w:tabs>
          <w:tab w:leader="none" w:pos="335" w:val="left"/>
        </w:tabs>
        <w:numPr>
          <w:ilvl w:val="0"/>
          <w:numId w:val="42"/>
        </w:numPr>
        <w:rPr>
          <w:rFonts w:ascii="Arial" w:cs="Arial" w:eastAsia="Arial" w:hAnsi="Arial"/>
          <w:sz w:val="18"/>
          <w:szCs w:val="18"/>
          <w:color w:val="DA2031"/>
        </w:rPr>
      </w:pPr>
      <w:r>
        <w:rPr>
          <w:rFonts w:ascii="Arial" w:cs="Arial" w:eastAsia="Arial" w:hAnsi="Arial"/>
          <w:sz w:val="18"/>
          <w:szCs w:val="18"/>
          <w:color w:val="auto"/>
        </w:rPr>
        <w:t>“High-End”, which includes production printing and publishing systems that generally serve the graphic communications marketplace and large enterprises. Prices for these systems can range from approximately $30,000 to $1,000,000+.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Segment Margin</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First quarter 2022 Print and Other segment (loss) margin of (1.3)% decreased by 5.9-percentage points as compared to first quarter 2021 primarily due to the impact of higher freight and production costs associated with product supply constraints, investments in new businesses, benefits from temporary government assistance and furlough measures in the prior year, lower royalty revenues and third-party leasing commissions, partially offset by productivity and cost savings associated with Project Own It transformation actions.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Financing (FITTLE)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Financing (FITTLE) represents a global financing solutions business, providing financing for the sales of Xerox equipment .</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Revenue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4"/>
          </w:tcPr>
          <w:p>
            <w:pPr>
              <w:jc w:val="right"/>
              <w:ind w:right="228"/>
              <w:spacing w:after="0"/>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color w:val="auto"/>
              </w:rPr>
              <w:t>March 31,</w:t>
            </w:r>
          </w:p>
        </w:tc>
        <w:tc>
          <w:tcPr>
            <w:tcW w:w="400" w:type="dxa"/>
            <w:vAlign w:val="bottom"/>
            <w:tcBorders>
              <w:bottom w:val="single" w:sz="8" w:color="auto"/>
            </w:tcBorders>
          </w:tcPr>
          <w:p>
            <w:pPr>
              <w:spacing w:after="0"/>
              <w:rPr>
                <w:sz w:val="16"/>
                <w:szCs w:val="16"/>
                <w:color w:val="auto"/>
              </w:rPr>
            </w:pPr>
          </w:p>
        </w:tc>
        <w:tc>
          <w:tcPr>
            <w:tcW w:w="1420" w:type="dxa"/>
            <w:vAlign w:val="bottom"/>
            <w:gridSpan w:val="2"/>
            <w:vMerge w:val="restart"/>
          </w:tcPr>
          <w:p>
            <w:pPr>
              <w:jc w:val="center"/>
              <w:ind w:left="2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3"/>
        </w:trPr>
        <w:tc>
          <w:tcPr>
            <w:tcW w:w="6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2022</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2021</w:t>
            </w:r>
          </w:p>
        </w:tc>
        <w:tc>
          <w:tcPr>
            <w:tcW w:w="4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708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Equipment sales</w:t>
            </w:r>
          </w:p>
        </w:tc>
        <w:tc>
          <w:tcPr>
            <w:tcW w:w="920" w:type="dxa"/>
            <w:vAlign w:val="bottom"/>
            <w:shd w:val="clear" w:color="auto" w:fill="E5E5E5"/>
          </w:tcPr>
          <w:p>
            <w:pPr>
              <w:jc w:val="right"/>
              <w:ind w:right="748"/>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E5E5E5"/>
          </w:tcPr>
          <w:p>
            <w:pPr>
              <w:spacing w:after="0"/>
              <w:rPr>
                <w:sz w:val="17"/>
                <w:szCs w:val="17"/>
                <w:color w:val="auto"/>
              </w:rPr>
            </w:pPr>
          </w:p>
        </w:tc>
        <w:tc>
          <w:tcPr>
            <w:tcW w:w="920" w:type="dxa"/>
            <w:vAlign w:val="bottom"/>
            <w:shd w:val="clear" w:color="auto" w:fill="E5E5E5"/>
          </w:tcPr>
          <w:p>
            <w:pPr>
              <w:jc w:val="right"/>
              <w:ind w:right="748"/>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w:t>
            </w:r>
          </w:p>
        </w:tc>
        <w:tc>
          <w:tcPr>
            <w:tcW w:w="142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99"/>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Financing income</w:t>
            </w:r>
          </w:p>
        </w:tc>
        <w:tc>
          <w:tcPr>
            <w:tcW w:w="920" w:type="dxa"/>
            <w:vAlign w:val="bottom"/>
          </w:tcPr>
          <w:p>
            <w:pPr>
              <w:spacing w:after="0"/>
              <w:rPr>
                <w:sz w:val="17"/>
                <w:szCs w:val="17"/>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55</w:t>
            </w:r>
          </w:p>
        </w:tc>
        <w:tc>
          <w:tcPr>
            <w:tcW w:w="1420" w:type="dxa"/>
            <w:vAlign w:val="bottom"/>
            <w:gridSpan w:val="2"/>
          </w:tcPr>
          <w:p>
            <w:pPr>
              <w:jc w:val="center"/>
              <w:ind w:lef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6"/>
        </w:trPr>
        <w:tc>
          <w:tcPr>
            <w:tcW w:w="708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Other Post-sale revenue</w:t>
            </w:r>
            <w:r>
              <w:rPr>
                <w:rFonts w:ascii="Arial" w:cs="Arial" w:eastAsia="Arial" w:hAnsi="Arial"/>
                <w:sz w:val="18"/>
                <w:szCs w:val="18"/>
                <w:color w:val="auto"/>
                <w:vertAlign w:val="superscript"/>
              </w:rPr>
              <w:t>(1)</w:t>
            </w:r>
          </w:p>
        </w:tc>
        <w:tc>
          <w:tcPr>
            <w:tcW w:w="920" w:type="dxa"/>
            <w:vAlign w:val="bottom"/>
            <w:shd w:val="clear" w:color="auto" w:fill="E5E5E5"/>
          </w:tcPr>
          <w:p>
            <w:pPr>
              <w:spacing w:after="0"/>
              <w:rPr>
                <w:sz w:val="17"/>
                <w:szCs w:val="17"/>
                <w:color w:val="auto"/>
              </w:rPr>
            </w:pPr>
          </w:p>
        </w:tc>
        <w:tc>
          <w:tcPr>
            <w:tcW w:w="4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114</w:t>
            </w:r>
          </w:p>
        </w:tc>
        <w:tc>
          <w:tcPr>
            <w:tcW w:w="142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99"/>
        </w:trPr>
        <w:tc>
          <w:tcPr>
            <w:tcW w:w="708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Intersegment net revenue</w:t>
            </w: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5E5E5"/>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5E5E5"/>
            </w:tcBorders>
          </w:tcPr>
          <w:p>
            <w:pPr>
              <w:spacing w:after="0"/>
              <w:rPr>
                <w:sz w:val="17"/>
                <w:szCs w:val="17"/>
                <w:color w:val="auto"/>
              </w:rPr>
            </w:pPr>
          </w:p>
        </w:tc>
        <w:tc>
          <w:tcPr>
            <w:tcW w:w="1320" w:type="dxa"/>
            <w:vAlign w:val="bottom"/>
            <w:tcBorders>
              <w:bottom w:val="single" w:sz="8" w:color="E5E5E5"/>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708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Total Financing (FITTLE) Revenue</w:t>
            </w:r>
          </w:p>
        </w:tc>
        <w:tc>
          <w:tcPr>
            <w:tcW w:w="920" w:type="dxa"/>
            <w:vAlign w:val="bottom"/>
            <w:tcBorders>
              <w:bottom w:val="single" w:sz="8" w:color="auto"/>
            </w:tcBorders>
            <w:shd w:val="clear" w:color="auto" w:fill="E5E5E5"/>
          </w:tcPr>
          <w:p>
            <w:pPr>
              <w:jc w:val="right"/>
              <w:ind w:right="7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E5E5E5"/>
            </w:tcBorders>
            <w:shd w:val="clear" w:color="auto" w:fill="E5E5E5"/>
          </w:tcPr>
          <w:p>
            <w:pPr>
              <w:spacing w:after="0"/>
              <w:rPr>
                <w:sz w:val="19"/>
                <w:szCs w:val="19"/>
                <w:color w:val="auto"/>
              </w:rPr>
            </w:pPr>
          </w:p>
        </w:tc>
        <w:tc>
          <w:tcPr>
            <w:tcW w:w="920" w:type="dxa"/>
            <w:vAlign w:val="bottom"/>
            <w:tcBorders>
              <w:bottom w:val="single" w:sz="8" w:color="auto"/>
            </w:tcBorders>
            <w:shd w:val="clear" w:color="auto" w:fill="E5E5E5"/>
          </w:tcPr>
          <w:p>
            <w:pPr>
              <w:jc w:val="right"/>
              <w:ind w:right="7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180</w:t>
            </w:r>
          </w:p>
        </w:tc>
        <w:tc>
          <w:tcPr>
            <w:tcW w:w="1420" w:type="dxa"/>
            <w:vAlign w:val="bottom"/>
            <w:tcBorders>
              <w:bottom w:val="single" w:sz="8" w:color="E5E5E5"/>
            </w:tcBorders>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0"/>
        </w:trPr>
        <w:tc>
          <w:tcPr>
            <w:tcW w:w="69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920" w:type="dxa"/>
            <w:vAlign w:val="bottom"/>
            <w:tcBorders>
              <w:top w:val="single" w:sz="8" w:color="E5E5E5"/>
              <w:bottom w:val="single" w:sz="8" w:color="auto"/>
            </w:tcBorders>
          </w:tcPr>
          <w:p>
            <w:pPr>
              <w:spacing w:after="0" w:line="20" w:lineRule="exact"/>
              <w:rPr>
                <w:sz w:val="1"/>
                <w:szCs w:val="1"/>
                <w:color w:val="auto"/>
              </w:rPr>
            </w:pPr>
          </w:p>
        </w:tc>
        <w:tc>
          <w:tcPr>
            <w:tcW w:w="4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920" w:type="dxa"/>
            <w:vAlign w:val="bottom"/>
            <w:tcBorders>
              <w:top w:val="single" w:sz="8" w:color="E5E5E5"/>
              <w:bottom w:val="single" w:sz="8" w:color="auto"/>
            </w:tcBorders>
          </w:tcPr>
          <w:p>
            <w:pPr>
              <w:spacing w:after="0" w:line="20" w:lineRule="exact"/>
              <w:rPr>
                <w:sz w:val="1"/>
                <w:szCs w:val="1"/>
                <w:color w:val="auto"/>
              </w:rPr>
            </w:pPr>
          </w:p>
        </w:tc>
        <w:tc>
          <w:tcPr>
            <w:tcW w:w="4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320" w:type="dxa"/>
            <w:vAlign w:val="bottom"/>
            <w:tcBorders>
              <w:top w:val="single" w:sz="8" w:color="E5E5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2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Other Post-sale revenue includes operating lease/rental revenues as well as lease renewal and fee income.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2022 Financing (FITTLE) segment revenue decreased 12.2% as compared to first quarter 2021, and included the following:</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DA2031"/>
        </w:rPr>
        <w:t xml:space="preserve">Equipment Sales </w:t>
      </w:r>
      <w:r>
        <w:rPr>
          <w:rFonts w:ascii="Arial" w:cs="Arial" w:eastAsia="Arial" w:hAnsi="Arial"/>
          <w:sz w:val="18"/>
          <w:szCs w:val="18"/>
          <w:color w:val="000000"/>
        </w:rPr>
        <w:t>for the three months ended March 31, 2022 decreased 37.5% as compared to first quarter 2021 as reduced end of lease</w:t>
      </w:r>
      <w:r>
        <w:rPr>
          <w:rFonts w:ascii="Arial" w:cs="Arial" w:eastAsia="Arial" w:hAnsi="Arial"/>
          <w:sz w:val="18"/>
          <w:szCs w:val="18"/>
          <w:b w:val="1"/>
          <w:bCs w:val="1"/>
          <w:color w:val="DA2031"/>
        </w:rPr>
        <w:t xml:space="preserve"> </w:t>
      </w:r>
      <w:r>
        <w:rPr>
          <w:rFonts w:ascii="Arial" w:cs="Arial" w:eastAsia="Arial" w:hAnsi="Arial"/>
          <w:sz w:val="18"/>
          <w:szCs w:val="18"/>
          <w:color w:val="000000"/>
        </w:rPr>
        <w:t>equipment inventory resulted in fewer opportunities.</w:t>
      </w:r>
    </w:p>
    <w:p>
      <w:pPr>
        <w:jc w:val="both"/>
        <w:spacing w:after="0" w:line="253" w:lineRule="auto"/>
        <w:rPr>
          <w:sz w:val="20"/>
          <w:szCs w:val="20"/>
          <w:color w:val="auto"/>
        </w:rPr>
      </w:pPr>
      <w:r>
        <w:rPr>
          <w:rFonts w:ascii="Arial" w:cs="Arial" w:eastAsia="Arial" w:hAnsi="Arial"/>
          <w:sz w:val="18"/>
          <w:szCs w:val="18"/>
          <w:b w:val="1"/>
          <w:bCs w:val="1"/>
          <w:color w:val="DA2031"/>
        </w:rPr>
        <w:t xml:space="preserve">Financing Income </w:t>
      </w:r>
      <w:r>
        <w:rPr>
          <w:rFonts w:ascii="Arial" w:cs="Arial" w:eastAsia="Arial" w:hAnsi="Arial"/>
          <w:sz w:val="18"/>
          <w:szCs w:val="18"/>
          <w:color w:val="000000"/>
        </w:rPr>
        <w:t>for the three months ended March 31, 2022 decreased by 3.6% as compared to first quarter 2021 due to a lower finance</w:t>
      </w:r>
      <w:r>
        <w:rPr>
          <w:rFonts w:ascii="Arial" w:cs="Arial" w:eastAsia="Arial" w:hAnsi="Arial"/>
          <w:sz w:val="18"/>
          <w:szCs w:val="18"/>
          <w:b w:val="1"/>
          <w:bCs w:val="1"/>
          <w:color w:val="DA2031"/>
        </w:rPr>
        <w:t xml:space="preserve"> </w:t>
      </w:r>
      <w:r>
        <w:rPr>
          <w:rFonts w:ascii="Arial" w:cs="Arial" w:eastAsia="Arial" w:hAnsi="Arial"/>
          <w:sz w:val="18"/>
          <w:szCs w:val="18"/>
          <w:color w:val="000000"/>
        </w:rPr>
        <w:t>receivables balance, as collections continue to outpace originations. Originations have been impacted by the global product supply constraints and freight disruptions.</w:t>
      </w:r>
    </w:p>
    <w:p>
      <w:pPr>
        <w:spacing w:after="0" w:line="2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DA2031"/>
        </w:rPr>
        <w:t xml:space="preserve">Other Post-sale revenue </w:t>
      </w:r>
      <w:r>
        <w:rPr>
          <w:rFonts w:ascii="Arial" w:cs="Arial" w:eastAsia="Arial" w:hAnsi="Arial"/>
          <w:sz w:val="18"/>
          <w:szCs w:val="18"/>
          <w:color w:val="000000"/>
        </w:rPr>
        <w:t>for the three months ended March 31, 2022 decreased 14.9% as compared to first quarter 2021 due to a decline</w:t>
      </w:r>
      <w:r>
        <w:rPr>
          <w:rFonts w:ascii="Arial" w:cs="Arial" w:eastAsia="Arial" w:hAnsi="Arial"/>
          <w:sz w:val="18"/>
          <w:szCs w:val="18"/>
          <w:b w:val="1"/>
          <w:bCs w:val="1"/>
          <w:color w:val="DA2031"/>
        </w:rPr>
        <w:t xml:space="preserve"> </w:t>
      </w:r>
      <w:r>
        <w:rPr>
          <w:rFonts w:ascii="Arial" w:cs="Arial" w:eastAsia="Arial" w:hAnsi="Arial"/>
          <w:sz w:val="18"/>
          <w:szCs w:val="18"/>
          <w:color w:val="000000"/>
        </w:rPr>
        <w:t>in operating lease rental income, which is consistent with the overall decline of equipment installs.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Segment Margin</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First quarter 2022 Financing (FITTLE) segment margin of 11% increased 0.8-percentage points as compared to first quarter 2021 due to a reduction in commissions paid to equipment suppliers (primarily the Print and Other segment), partially offset by incremental costs associated with standing up the business.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3" w:name="page54"/>
    <w:bookmarkEnd w:id="53"/>
    <w:p>
      <w:pPr>
        <w:spacing w:after="0"/>
        <w:rPr>
          <w:sz w:val="20"/>
          <w:szCs w:val="20"/>
          <w:color w:val="auto"/>
        </w:rPr>
      </w:pPr>
      <w:r>
        <w:rPr>
          <w:rFonts w:ascii="Arial" w:cs="Arial" w:eastAsia="Arial" w:hAnsi="Arial"/>
          <w:sz w:val="20"/>
          <w:szCs w:val="20"/>
          <w:b w:val="1"/>
          <w:bCs w:val="1"/>
          <w:color w:val="DA2031"/>
        </w:rPr>
        <w:t>2021 Segment Review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our 2021 results that correspond, for comparison purposes, to the new segment reporting in 2022.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color w:val="auto"/>
              </w:rPr>
              <w:t>External Net</w:t>
            </w:r>
          </w:p>
        </w:tc>
        <w:tc>
          <w:tcPr>
            <w:tcW w:w="1300" w:type="dxa"/>
            <w:vAlign w:val="bottom"/>
            <w:gridSpan w:val="3"/>
          </w:tcPr>
          <w:p>
            <w:pPr>
              <w:jc w:val="center"/>
              <w:ind w:right="120"/>
              <w:spacing w:after="0"/>
              <w:rPr>
                <w:sz w:val="20"/>
                <w:szCs w:val="20"/>
                <w:color w:val="auto"/>
              </w:rPr>
            </w:pPr>
            <w:r>
              <w:rPr>
                <w:rFonts w:ascii="Arial" w:cs="Arial" w:eastAsia="Arial" w:hAnsi="Arial"/>
                <w:sz w:val="14"/>
                <w:szCs w:val="14"/>
                <w:color w:val="auto"/>
              </w:rPr>
              <w:t>Intersegment Net</w:t>
            </w: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color w:val="auto"/>
              </w:rPr>
              <w:t>Total Segment</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rPr>
              <w:t>% of Total</w:t>
            </w:r>
          </w:p>
        </w:tc>
        <w:tc>
          <w:tcPr>
            <w:tcW w:w="1180" w:type="dxa"/>
            <w:vAlign w:val="bottom"/>
            <w:gridSpan w:val="3"/>
            <w:vMerge w:val="restart"/>
          </w:tcPr>
          <w:p>
            <w:pPr>
              <w:ind w:left="60"/>
              <w:spacing w:after="0"/>
              <w:rPr>
                <w:sz w:val="20"/>
                <w:szCs w:val="20"/>
                <w:color w:val="auto"/>
              </w:rPr>
            </w:pPr>
            <w:r>
              <w:rPr>
                <w:rFonts w:ascii="Arial" w:cs="Arial" w:eastAsia="Arial" w:hAnsi="Arial"/>
                <w:sz w:val="14"/>
                <w:szCs w:val="14"/>
                <w:color w:val="auto"/>
              </w:rPr>
              <w:t>Segment Profit</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Segment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Revenue</w:t>
            </w: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Revenue</w:t>
            </w:r>
            <w:r>
              <w:rPr>
                <w:rFonts w:ascii="Arial" w:cs="Arial" w:eastAsia="Arial" w:hAnsi="Arial"/>
                <w:sz w:val="9"/>
                <w:szCs w:val="9"/>
                <w:color w:val="auto"/>
              </w:rPr>
              <w:t>(1)</w:t>
            </w: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rPr>
              <w:t>Revenue</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Revenue</w:t>
            </w:r>
          </w:p>
        </w:tc>
        <w:tc>
          <w:tcPr>
            <w:tcW w:w="1180" w:type="dxa"/>
            <w:vAlign w:val="bottom"/>
            <w:gridSpan w:val="3"/>
            <w:vMerge w:val="continue"/>
          </w:tcPr>
          <w:p>
            <w:pPr>
              <w:spacing w:after="0"/>
              <w:rPr>
                <w:sz w:val="12"/>
                <w:szCs w:val="12"/>
                <w:color w:val="auto"/>
              </w:rPr>
            </w:pPr>
          </w:p>
        </w:tc>
        <w:tc>
          <w:tcPr>
            <w:tcW w:w="12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Margin</w:t>
            </w: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20"/>
        </w:trPr>
        <w:tc>
          <w:tcPr>
            <w:tcW w:w="20" w:type="dxa"/>
            <w:vAlign w:val="bottom"/>
            <w:tcBorders>
              <w:bottom w:val="single" w:sz="8" w:color="E5E5E5"/>
            </w:tcBorders>
          </w:tcPr>
          <w:p>
            <w:pPr>
              <w:spacing w:after="0" w:line="20" w:lineRule="exact"/>
              <w:rPr>
                <w:sz w:val="1"/>
                <w:szCs w:val="1"/>
                <w:color w:val="auto"/>
              </w:rPr>
            </w:pPr>
          </w:p>
        </w:tc>
        <w:tc>
          <w:tcPr>
            <w:tcW w:w="640" w:type="dxa"/>
            <w:vAlign w:val="bottom"/>
            <w:tcBorders>
              <w:top w:val="single" w:sz="8" w:color="auto"/>
              <w:bottom w:val="single" w:sz="8" w:color="E5E5E5"/>
            </w:tcBorders>
          </w:tcPr>
          <w:p>
            <w:pPr>
              <w:spacing w:after="0" w:line="20" w:lineRule="exact"/>
              <w:rPr>
                <w:sz w:val="1"/>
                <w:szCs w:val="1"/>
                <w:color w:val="auto"/>
              </w:rPr>
            </w:pPr>
          </w:p>
        </w:tc>
        <w:tc>
          <w:tcPr>
            <w:tcW w:w="302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E5E5E5"/>
          </w:tcPr>
          <w:p>
            <w:pPr>
              <w:spacing w:after="0"/>
              <w:rPr>
                <w:sz w:val="15"/>
                <w:szCs w:val="15"/>
                <w:color w:val="auto"/>
              </w:rPr>
            </w:pPr>
          </w:p>
        </w:tc>
        <w:tc>
          <w:tcPr>
            <w:tcW w:w="366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Q1 2021</w:t>
            </w:r>
          </w:p>
        </w:tc>
        <w:tc>
          <w:tcPr>
            <w:tcW w:w="180" w:type="dxa"/>
            <w:vAlign w:val="bottom"/>
            <w:shd w:val="clear" w:color="auto" w:fill="E5E5E5"/>
          </w:tcPr>
          <w:p>
            <w:pPr>
              <w:spacing w:after="0"/>
              <w:rPr>
                <w:sz w:val="15"/>
                <w:szCs w:val="15"/>
                <w:color w:val="auto"/>
              </w:rPr>
            </w:pPr>
          </w:p>
        </w:tc>
        <w:tc>
          <w:tcPr>
            <w:tcW w:w="11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10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1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6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2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4"/>
                <w:szCs w:val="14"/>
                <w:color w:val="auto"/>
              </w:rPr>
              <w:t>Print and Other</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1,533</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1,581</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90 %</w:t>
            </w:r>
          </w:p>
        </w:tc>
        <w:tc>
          <w:tcPr>
            <w:tcW w:w="120" w:type="dxa"/>
            <w:vAlign w:val="bottom"/>
          </w:tcPr>
          <w:p>
            <w:pPr>
              <w:spacing w:after="0"/>
              <w:rPr>
                <w:sz w:val="17"/>
                <w:szCs w:val="17"/>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203"/>
        </w:trPr>
        <w:tc>
          <w:tcPr>
            <w:tcW w:w="20" w:type="dxa"/>
            <w:vAlign w:val="bottom"/>
            <w:shd w:val="clear" w:color="auto" w:fill="E5E5E5"/>
          </w:tcPr>
          <w:p>
            <w:pPr>
              <w:spacing w:after="0"/>
              <w:rPr>
                <w:sz w:val="17"/>
                <w:szCs w:val="17"/>
                <w:color w:val="auto"/>
              </w:rPr>
            </w:pPr>
          </w:p>
        </w:tc>
        <w:tc>
          <w:tcPr>
            <w:tcW w:w="366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Financing (FITTLE)</w:t>
            </w:r>
          </w:p>
        </w:tc>
        <w:tc>
          <w:tcPr>
            <w:tcW w:w="180" w:type="dxa"/>
            <w:vAlign w:val="bottom"/>
            <w:tcBorders>
              <w:bottom w:val="single" w:sz="8" w:color="auto"/>
            </w:tcBorders>
            <w:shd w:val="clear" w:color="auto" w:fill="E5E5E5"/>
          </w:tcPr>
          <w:p>
            <w:pPr>
              <w:spacing w:after="0"/>
              <w:rPr>
                <w:sz w:val="17"/>
                <w:szCs w:val="17"/>
                <w:color w:val="auto"/>
              </w:rPr>
            </w:pP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E5E5E5"/>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E5E5E5"/>
          </w:tcPr>
          <w:p>
            <w:pPr>
              <w:spacing w:after="0"/>
              <w:rPr>
                <w:sz w:val="17"/>
                <w:szCs w:val="17"/>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10 %</w:t>
            </w:r>
          </w:p>
        </w:tc>
        <w:tc>
          <w:tcPr>
            <w:tcW w:w="120" w:type="dxa"/>
            <w:vAlign w:val="bottom"/>
            <w:shd w:val="clear" w:color="auto" w:fill="E5E5E5"/>
          </w:tcPr>
          <w:p>
            <w:pPr>
              <w:spacing w:after="0"/>
              <w:rPr>
                <w:sz w:val="17"/>
                <w:szCs w:val="17"/>
                <w:color w:val="auto"/>
              </w:rPr>
            </w:pPr>
          </w:p>
        </w:tc>
        <w:tc>
          <w:tcPr>
            <w:tcW w:w="420" w:type="dxa"/>
            <w:vAlign w:val="bottom"/>
            <w:tcBorders>
              <w:bottom w:val="single" w:sz="8" w:color="auto"/>
            </w:tcBorders>
            <w:shd w:val="clear" w:color="auto" w:fill="E5E5E5"/>
          </w:tcPr>
          <w:p>
            <w:pPr>
              <w:spacing w:after="0"/>
              <w:rPr>
                <w:sz w:val="17"/>
                <w:szCs w:val="17"/>
                <w:color w:val="auto"/>
              </w:rPr>
            </w:pPr>
          </w:p>
        </w:tc>
        <w:tc>
          <w:tcPr>
            <w:tcW w:w="6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5E5E5"/>
          </w:tcPr>
          <w:p>
            <w:pPr>
              <w:spacing w:after="0"/>
              <w:rPr>
                <w:sz w:val="17"/>
                <w:szCs w:val="17"/>
                <w:color w:val="auto"/>
              </w:rPr>
            </w:pP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10.2 %</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1,761</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20"/>
        </w:trPr>
        <w:tc>
          <w:tcPr>
            <w:tcW w:w="20" w:type="dxa"/>
            <w:vAlign w:val="bottom"/>
            <w:tcBorders>
              <w:bottom w:val="single" w:sz="8" w:color="E5E5E5"/>
            </w:tcBorders>
          </w:tcPr>
          <w:p>
            <w:pPr>
              <w:spacing w:after="0" w:line="20" w:lineRule="exact"/>
              <w:rPr>
                <w:sz w:val="1"/>
                <w:szCs w:val="1"/>
                <w:color w:val="auto"/>
              </w:rPr>
            </w:pPr>
          </w:p>
        </w:tc>
        <w:tc>
          <w:tcPr>
            <w:tcW w:w="640" w:type="dxa"/>
            <w:vAlign w:val="bottom"/>
            <w:tcBorders>
              <w:bottom w:val="single" w:sz="8" w:color="E5E5E5"/>
            </w:tcBorders>
          </w:tcPr>
          <w:p>
            <w:pPr>
              <w:spacing w:after="0" w:line="20" w:lineRule="exact"/>
              <w:rPr>
                <w:sz w:val="1"/>
                <w:szCs w:val="1"/>
                <w:color w:val="auto"/>
              </w:rPr>
            </w:pPr>
          </w:p>
        </w:tc>
        <w:tc>
          <w:tcPr>
            <w:tcW w:w="302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E5E5E5"/>
          </w:tcPr>
          <w:p>
            <w:pPr>
              <w:spacing w:after="0"/>
              <w:rPr>
                <w:sz w:val="15"/>
                <w:szCs w:val="15"/>
                <w:color w:val="auto"/>
              </w:rPr>
            </w:pPr>
          </w:p>
        </w:tc>
        <w:tc>
          <w:tcPr>
            <w:tcW w:w="640" w:type="dxa"/>
            <w:vAlign w:val="bottom"/>
            <w:shd w:val="clear" w:color="auto" w:fill="E5E5E5"/>
          </w:tcPr>
          <w:p>
            <w:pPr>
              <w:spacing w:after="0"/>
              <w:rPr>
                <w:sz w:val="15"/>
                <w:szCs w:val="15"/>
                <w:color w:val="auto"/>
              </w:rPr>
            </w:pPr>
          </w:p>
        </w:tc>
        <w:tc>
          <w:tcPr>
            <w:tcW w:w="30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11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10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1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6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2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Q2 2021</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E5E5E5"/>
          </w:tcPr>
          <w:p>
            <w:pPr>
              <w:spacing w:after="0"/>
              <w:rPr>
                <w:sz w:val="17"/>
                <w:szCs w:val="17"/>
                <w:color w:val="auto"/>
              </w:rPr>
            </w:pPr>
          </w:p>
        </w:tc>
        <w:tc>
          <w:tcPr>
            <w:tcW w:w="366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Print and Other</w:t>
            </w:r>
          </w:p>
        </w:tc>
        <w:tc>
          <w:tcPr>
            <w:tcW w:w="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1,619</w:t>
            </w: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1,672</w:t>
            </w:r>
          </w:p>
        </w:tc>
        <w:tc>
          <w:tcPr>
            <w:tcW w:w="10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90 %</w:t>
            </w:r>
          </w:p>
        </w:tc>
        <w:tc>
          <w:tcPr>
            <w:tcW w:w="12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E5E5E5"/>
          </w:tcPr>
          <w:p>
            <w:pPr>
              <w:spacing w:after="0"/>
              <w:rPr>
                <w:sz w:val="17"/>
                <w:szCs w:val="17"/>
                <w:color w:val="auto"/>
              </w:rPr>
            </w:pP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6.9 %</w:t>
            </w:r>
          </w:p>
        </w:tc>
        <w:tc>
          <w:tcPr>
            <w:tcW w:w="0" w:type="dxa"/>
            <w:vAlign w:val="bottom"/>
          </w:tcPr>
          <w:p>
            <w:pPr>
              <w:spacing w:after="0"/>
              <w:rPr>
                <w:sz w:val="1"/>
                <w:szCs w:val="1"/>
                <w:color w:val="auto"/>
              </w:rPr>
            </w:pPr>
          </w:p>
        </w:tc>
      </w:tr>
      <w:tr>
        <w:trPr>
          <w:trHeight w:val="198"/>
        </w:trPr>
        <w:tc>
          <w:tcPr>
            <w:tcW w:w="20" w:type="dxa"/>
            <w:vAlign w:val="bottom"/>
            <w:tcBorders>
              <w:bottom w:val="single" w:sz="8" w:color="E5E5E5"/>
            </w:tcBorders>
          </w:tcPr>
          <w:p>
            <w:pPr>
              <w:spacing w:after="0"/>
              <w:rPr>
                <w:sz w:val="17"/>
                <w:szCs w:val="17"/>
                <w:color w:val="auto"/>
              </w:rPr>
            </w:pPr>
          </w:p>
        </w:tc>
        <w:tc>
          <w:tcPr>
            <w:tcW w:w="3660" w:type="dxa"/>
            <w:vAlign w:val="bottom"/>
            <w:tcBorders>
              <w:bottom w:val="single" w:sz="8" w:color="E5E5E5"/>
            </w:tcBorders>
            <w:gridSpan w:val="2"/>
          </w:tcPr>
          <w:p>
            <w:pPr>
              <w:spacing w:after="0"/>
              <w:rPr>
                <w:sz w:val="20"/>
                <w:szCs w:val="20"/>
                <w:color w:val="auto"/>
              </w:rPr>
            </w:pPr>
            <w:r>
              <w:rPr>
                <w:rFonts w:ascii="Arial" w:cs="Arial" w:eastAsia="Arial" w:hAnsi="Arial"/>
                <w:sz w:val="14"/>
                <w:szCs w:val="14"/>
                <w:color w:val="auto"/>
              </w:rPr>
              <w:t>Financing (FITTLE)</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Borders>
              <w:bottom w:val="single" w:sz="8" w:color="E5E5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E5E5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177</w:t>
            </w:r>
          </w:p>
        </w:tc>
        <w:tc>
          <w:tcPr>
            <w:tcW w:w="100" w:type="dxa"/>
            <w:vAlign w:val="bottom"/>
            <w:tcBorders>
              <w:bottom w:val="single" w:sz="8" w:color="E5E5E5"/>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10 %</w:t>
            </w:r>
          </w:p>
        </w:tc>
        <w:tc>
          <w:tcPr>
            <w:tcW w:w="120" w:type="dxa"/>
            <w:vAlign w:val="bottom"/>
            <w:tcBorders>
              <w:bottom w:val="single" w:sz="8" w:color="E5E5E5"/>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E5E5E5"/>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8.6 %</w:t>
            </w:r>
          </w:p>
        </w:tc>
        <w:tc>
          <w:tcPr>
            <w:tcW w:w="0" w:type="dxa"/>
            <w:vAlign w:val="bottom"/>
          </w:tcPr>
          <w:p>
            <w:pPr>
              <w:spacing w:after="0"/>
              <w:rPr>
                <w:sz w:val="1"/>
                <w:szCs w:val="1"/>
                <w:color w:val="auto"/>
              </w:rPr>
            </w:pPr>
          </w:p>
        </w:tc>
      </w:tr>
      <w:tr>
        <w:trPr>
          <w:trHeight w:val="225"/>
        </w:trPr>
        <w:tc>
          <w:tcPr>
            <w:tcW w:w="20" w:type="dxa"/>
            <w:vAlign w:val="bottom"/>
            <w:tcBorders>
              <w:bottom w:val="single" w:sz="8" w:color="E5E5E5"/>
            </w:tcBorders>
            <w:shd w:val="clear" w:color="auto" w:fill="E5E5E5"/>
          </w:tcPr>
          <w:p>
            <w:pPr>
              <w:spacing w:after="0"/>
              <w:rPr>
                <w:sz w:val="19"/>
                <w:szCs w:val="19"/>
                <w:color w:val="auto"/>
              </w:rPr>
            </w:pPr>
          </w:p>
        </w:tc>
        <w:tc>
          <w:tcPr>
            <w:tcW w:w="366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1,793</w:t>
            </w:r>
          </w:p>
        </w:tc>
        <w:tc>
          <w:tcPr>
            <w:tcW w:w="120" w:type="dxa"/>
            <w:vAlign w:val="bottom"/>
            <w:tcBorders>
              <w:bottom w:val="single" w:sz="8" w:color="E5E5E5"/>
            </w:tcBorders>
            <w:shd w:val="clear" w:color="auto" w:fill="E5E5E5"/>
          </w:tcPr>
          <w:p>
            <w:pPr>
              <w:spacing w:after="0"/>
              <w:rPr>
                <w:sz w:val="19"/>
                <w:szCs w:val="19"/>
                <w:color w:val="auto"/>
              </w:rPr>
            </w:pPr>
          </w:p>
        </w:tc>
        <w:tc>
          <w:tcPr>
            <w:tcW w:w="18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1,849</w:t>
            </w:r>
          </w:p>
        </w:tc>
        <w:tc>
          <w:tcPr>
            <w:tcW w:w="100" w:type="dxa"/>
            <w:vAlign w:val="bottom"/>
            <w:tcBorders>
              <w:bottom w:val="single" w:sz="8" w:color="E5E5E5"/>
            </w:tcBorders>
            <w:shd w:val="clear" w:color="auto" w:fill="E5E5E5"/>
          </w:tcPr>
          <w:p>
            <w:pPr>
              <w:spacing w:after="0"/>
              <w:rPr>
                <w:sz w:val="19"/>
                <w:szCs w:val="19"/>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bottom w:val="single" w:sz="8" w:color="E5E5E5"/>
            </w:tcBorders>
            <w:shd w:val="clear" w:color="auto" w:fill="E5E5E5"/>
          </w:tcPr>
          <w:p>
            <w:pPr>
              <w:spacing w:after="0"/>
              <w:rPr>
                <w:sz w:val="19"/>
                <w:szCs w:val="19"/>
                <w:color w:val="auto"/>
              </w:rPr>
            </w:pPr>
          </w:p>
        </w:tc>
        <w:tc>
          <w:tcPr>
            <w:tcW w:w="420" w:type="dxa"/>
            <w:vAlign w:val="bottom"/>
            <w:tcBorders>
              <w:bottom w:val="single" w:sz="8" w:color="auto"/>
            </w:tcBorders>
            <w:shd w:val="clear" w:color="auto" w:fill="E5E5E5"/>
          </w:tcPr>
          <w:p>
            <w:pPr>
              <w:jc w:val="right"/>
              <w:ind w:right="26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126</w:t>
            </w:r>
          </w:p>
        </w:tc>
        <w:tc>
          <w:tcPr>
            <w:tcW w:w="100" w:type="dxa"/>
            <w:vAlign w:val="bottom"/>
            <w:tcBorders>
              <w:bottom w:val="single" w:sz="8" w:color="E5E5E5"/>
            </w:tcBorders>
            <w:shd w:val="clear" w:color="auto" w:fill="E5E5E5"/>
          </w:tcPr>
          <w:p>
            <w:pPr>
              <w:spacing w:after="0"/>
              <w:rPr>
                <w:sz w:val="19"/>
                <w:szCs w:val="19"/>
                <w:color w:val="auto"/>
              </w:rPr>
            </w:pP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7.0 %</w:t>
            </w:r>
          </w:p>
        </w:tc>
        <w:tc>
          <w:tcPr>
            <w:tcW w:w="0" w:type="dxa"/>
            <w:vAlign w:val="bottom"/>
          </w:tcPr>
          <w:p>
            <w:pPr>
              <w:spacing w:after="0"/>
              <w:rPr>
                <w:sz w:val="1"/>
                <w:szCs w:val="1"/>
                <w:color w:val="auto"/>
              </w:rPr>
            </w:pPr>
          </w:p>
        </w:tc>
      </w:tr>
      <w:tr>
        <w:trPr>
          <w:trHeight w:val="20"/>
        </w:trPr>
        <w:tc>
          <w:tcPr>
            <w:tcW w:w="20" w:type="dxa"/>
            <w:vAlign w:val="bottom"/>
            <w:tcBorders>
              <w:top w:val="single" w:sz="8" w:color="E5E5E5"/>
            </w:tcBorders>
          </w:tcPr>
          <w:p>
            <w:pPr>
              <w:spacing w:after="0" w:line="20" w:lineRule="exact"/>
              <w:rPr>
                <w:sz w:val="1"/>
                <w:szCs w:val="1"/>
                <w:color w:val="auto"/>
              </w:rPr>
            </w:pPr>
          </w:p>
        </w:tc>
        <w:tc>
          <w:tcPr>
            <w:tcW w:w="640" w:type="dxa"/>
            <w:vAlign w:val="bottom"/>
            <w:tcBorders>
              <w:top w:val="single" w:sz="8" w:color="E5E5E5"/>
            </w:tcBorders>
          </w:tcPr>
          <w:p>
            <w:pPr>
              <w:spacing w:after="0" w:line="20" w:lineRule="exact"/>
              <w:rPr>
                <w:sz w:val="1"/>
                <w:szCs w:val="1"/>
                <w:color w:val="auto"/>
              </w:rPr>
            </w:pPr>
          </w:p>
        </w:tc>
        <w:tc>
          <w:tcPr>
            <w:tcW w:w="302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112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100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E5E5E5"/>
              <w:bottom w:val="single" w:sz="8" w:color="auto"/>
            </w:tcBorders>
          </w:tcPr>
          <w:p>
            <w:pPr>
              <w:spacing w:after="0" w:line="20" w:lineRule="exact"/>
              <w:rPr>
                <w:sz w:val="1"/>
                <w:szCs w:val="1"/>
                <w:color w:val="auto"/>
              </w:rPr>
            </w:pPr>
          </w:p>
        </w:tc>
        <w:tc>
          <w:tcPr>
            <w:tcW w:w="9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420" w:type="dxa"/>
            <w:vAlign w:val="bottom"/>
            <w:tcBorders>
              <w:top w:val="single" w:sz="8" w:color="E5E5E5"/>
              <w:bottom w:val="single" w:sz="8" w:color="auto"/>
            </w:tcBorders>
          </w:tcPr>
          <w:p>
            <w:pPr>
              <w:spacing w:after="0" w:line="20" w:lineRule="exact"/>
              <w:rPr>
                <w:sz w:val="1"/>
                <w:szCs w:val="1"/>
                <w:color w:val="auto"/>
              </w:rPr>
            </w:pPr>
          </w:p>
        </w:tc>
        <w:tc>
          <w:tcPr>
            <w:tcW w:w="6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20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E5E5E5"/>
          </w:tcPr>
          <w:p>
            <w:pPr>
              <w:spacing w:after="0"/>
              <w:rPr>
                <w:sz w:val="17"/>
                <w:szCs w:val="17"/>
                <w:color w:val="auto"/>
              </w:rPr>
            </w:pPr>
          </w:p>
        </w:tc>
        <w:tc>
          <w:tcPr>
            <w:tcW w:w="366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Q3 2021</w:t>
            </w:r>
          </w:p>
        </w:tc>
        <w:tc>
          <w:tcPr>
            <w:tcW w:w="180" w:type="dxa"/>
            <w:vAlign w:val="bottom"/>
            <w:shd w:val="clear" w:color="auto" w:fill="E5E5E5"/>
          </w:tcPr>
          <w:p>
            <w:pPr>
              <w:spacing w:after="0"/>
              <w:rPr>
                <w:sz w:val="17"/>
                <w:szCs w:val="17"/>
                <w:color w:val="auto"/>
              </w:rPr>
            </w:pPr>
          </w:p>
        </w:tc>
        <w:tc>
          <w:tcPr>
            <w:tcW w:w="1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4"/>
                <w:szCs w:val="14"/>
                <w:color w:val="auto"/>
              </w:rPr>
              <w:t>Print and Other</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1,590</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1,636</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91 %</w:t>
            </w:r>
          </w:p>
        </w:tc>
        <w:tc>
          <w:tcPr>
            <w:tcW w:w="120" w:type="dxa"/>
            <w:vAlign w:val="bottom"/>
          </w:tcPr>
          <w:p>
            <w:pPr>
              <w:spacing w:after="0"/>
              <w:rPr>
                <w:sz w:val="17"/>
                <w:szCs w:val="17"/>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203"/>
        </w:trPr>
        <w:tc>
          <w:tcPr>
            <w:tcW w:w="20" w:type="dxa"/>
            <w:vAlign w:val="bottom"/>
            <w:shd w:val="clear" w:color="auto" w:fill="E5E5E5"/>
          </w:tcPr>
          <w:p>
            <w:pPr>
              <w:spacing w:after="0"/>
              <w:rPr>
                <w:sz w:val="17"/>
                <w:szCs w:val="17"/>
                <w:color w:val="auto"/>
              </w:rPr>
            </w:pPr>
          </w:p>
        </w:tc>
        <w:tc>
          <w:tcPr>
            <w:tcW w:w="366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Financing (FITTLE)</w:t>
            </w:r>
          </w:p>
        </w:tc>
        <w:tc>
          <w:tcPr>
            <w:tcW w:w="180" w:type="dxa"/>
            <w:vAlign w:val="bottom"/>
            <w:tcBorders>
              <w:bottom w:val="single" w:sz="8" w:color="auto"/>
            </w:tcBorders>
            <w:shd w:val="clear" w:color="auto" w:fill="E5E5E5"/>
          </w:tcPr>
          <w:p>
            <w:pPr>
              <w:spacing w:after="0"/>
              <w:rPr>
                <w:sz w:val="17"/>
                <w:szCs w:val="17"/>
                <w:color w:val="auto"/>
              </w:rPr>
            </w:pP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E5E5E5"/>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E5E5E5"/>
          </w:tcPr>
          <w:p>
            <w:pPr>
              <w:spacing w:after="0"/>
              <w:rPr>
                <w:sz w:val="17"/>
                <w:szCs w:val="17"/>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9 %</w:t>
            </w:r>
          </w:p>
        </w:tc>
        <w:tc>
          <w:tcPr>
            <w:tcW w:w="120" w:type="dxa"/>
            <w:vAlign w:val="bottom"/>
            <w:shd w:val="clear" w:color="auto" w:fill="E5E5E5"/>
          </w:tcPr>
          <w:p>
            <w:pPr>
              <w:spacing w:after="0"/>
              <w:rPr>
                <w:sz w:val="17"/>
                <w:szCs w:val="17"/>
                <w:color w:val="auto"/>
              </w:rPr>
            </w:pPr>
          </w:p>
        </w:tc>
        <w:tc>
          <w:tcPr>
            <w:tcW w:w="420" w:type="dxa"/>
            <w:vAlign w:val="bottom"/>
            <w:tcBorders>
              <w:bottom w:val="single" w:sz="8" w:color="auto"/>
            </w:tcBorders>
            <w:shd w:val="clear" w:color="auto" w:fill="E5E5E5"/>
          </w:tcPr>
          <w:p>
            <w:pPr>
              <w:spacing w:after="0"/>
              <w:rPr>
                <w:sz w:val="17"/>
                <w:szCs w:val="17"/>
                <w:color w:val="auto"/>
              </w:rPr>
            </w:pPr>
          </w:p>
        </w:tc>
        <w:tc>
          <w:tcPr>
            <w:tcW w:w="6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E5E5E5"/>
          </w:tcPr>
          <w:p>
            <w:pPr>
              <w:spacing w:after="0"/>
              <w:rPr>
                <w:sz w:val="17"/>
                <w:szCs w:val="17"/>
                <w:color w:val="auto"/>
              </w:rPr>
            </w:pP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14.3 %</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1,807</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20"/>
        </w:trPr>
        <w:tc>
          <w:tcPr>
            <w:tcW w:w="20" w:type="dxa"/>
            <w:vAlign w:val="bottom"/>
            <w:tcBorders>
              <w:bottom w:val="single" w:sz="8" w:color="E5E5E5"/>
            </w:tcBorders>
          </w:tcPr>
          <w:p>
            <w:pPr>
              <w:spacing w:after="0" w:line="20" w:lineRule="exact"/>
              <w:rPr>
                <w:sz w:val="1"/>
                <w:szCs w:val="1"/>
                <w:color w:val="auto"/>
              </w:rPr>
            </w:pPr>
          </w:p>
        </w:tc>
        <w:tc>
          <w:tcPr>
            <w:tcW w:w="640" w:type="dxa"/>
            <w:vAlign w:val="bottom"/>
            <w:tcBorders>
              <w:bottom w:val="single" w:sz="8" w:color="E5E5E5"/>
            </w:tcBorders>
          </w:tcPr>
          <w:p>
            <w:pPr>
              <w:spacing w:after="0" w:line="20" w:lineRule="exact"/>
              <w:rPr>
                <w:sz w:val="1"/>
                <w:szCs w:val="1"/>
                <w:color w:val="auto"/>
              </w:rPr>
            </w:pPr>
          </w:p>
        </w:tc>
        <w:tc>
          <w:tcPr>
            <w:tcW w:w="302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E5E5E5"/>
          </w:tcPr>
          <w:p>
            <w:pPr>
              <w:spacing w:after="0"/>
              <w:rPr>
                <w:sz w:val="15"/>
                <w:szCs w:val="15"/>
                <w:color w:val="auto"/>
              </w:rPr>
            </w:pPr>
          </w:p>
        </w:tc>
        <w:tc>
          <w:tcPr>
            <w:tcW w:w="640" w:type="dxa"/>
            <w:vAlign w:val="bottom"/>
            <w:shd w:val="clear" w:color="auto" w:fill="E5E5E5"/>
          </w:tcPr>
          <w:p>
            <w:pPr>
              <w:spacing w:after="0"/>
              <w:rPr>
                <w:sz w:val="15"/>
                <w:szCs w:val="15"/>
                <w:color w:val="auto"/>
              </w:rPr>
            </w:pPr>
          </w:p>
        </w:tc>
        <w:tc>
          <w:tcPr>
            <w:tcW w:w="30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11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10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1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6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2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Q4 2021</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E5E5E5"/>
          </w:tcPr>
          <w:p>
            <w:pPr>
              <w:spacing w:after="0"/>
              <w:rPr>
                <w:sz w:val="17"/>
                <w:szCs w:val="17"/>
                <w:color w:val="auto"/>
              </w:rPr>
            </w:pPr>
          </w:p>
        </w:tc>
        <w:tc>
          <w:tcPr>
            <w:tcW w:w="366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Print and Other</w:t>
            </w:r>
          </w:p>
        </w:tc>
        <w:tc>
          <w:tcPr>
            <w:tcW w:w="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1,613</w:t>
            </w: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1,659</w:t>
            </w:r>
          </w:p>
        </w:tc>
        <w:tc>
          <w:tcPr>
            <w:tcW w:w="10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91 %</w:t>
            </w:r>
          </w:p>
        </w:tc>
        <w:tc>
          <w:tcPr>
            <w:tcW w:w="12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E5E5E5"/>
          </w:tcPr>
          <w:p>
            <w:pPr>
              <w:spacing w:after="0"/>
              <w:rPr>
                <w:sz w:val="17"/>
                <w:szCs w:val="17"/>
                <w:color w:val="auto"/>
              </w:rPr>
            </w:pPr>
          </w:p>
        </w:tc>
        <w:tc>
          <w:tcPr>
            <w:tcW w:w="1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198"/>
        </w:trPr>
        <w:tc>
          <w:tcPr>
            <w:tcW w:w="20" w:type="dxa"/>
            <w:vAlign w:val="bottom"/>
            <w:tcBorders>
              <w:bottom w:val="single" w:sz="8" w:color="E5E5E5"/>
            </w:tcBorders>
          </w:tcPr>
          <w:p>
            <w:pPr>
              <w:spacing w:after="0"/>
              <w:rPr>
                <w:sz w:val="17"/>
                <w:szCs w:val="17"/>
                <w:color w:val="auto"/>
              </w:rPr>
            </w:pPr>
          </w:p>
        </w:tc>
        <w:tc>
          <w:tcPr>
            <w:tcW w:w="3660" w:type="dxa"/>
            <w:vAlign w:val="bottom"/>
            <w:tcBorders>
              <w:bottom w:val="single" w:sz="8" w:color="E5E5E5"/>
            </w:tcBorders>
            <w:gridSpan w:val="2"/>
          </w:tcPr>
          <w:p>
            <w:pPr>
              <w:spacing w:after="0"/>
              <w:rPr>
                <w:sz w:val="20"/>
                <w:szCs w:val="20"/>
                <w:color w:val="auto"/>
              </w:rPr>
            </w:pPr>
            <w:r>
              <w:rPr>
                <w:rFonts w:ascii="Arial" w:cs="Arial" w:eastAsia="Arial" w:hAnsi="Arial"/>
                <w:sz w:val="14"/>
                <w:szCs w:val="14"/>
                <w:color w:val="auto"/>
              </w:rPr>
              <w:t>Financing (FITTLE)</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Borders>
              <w:bottom w:val="single" w:sz="8" w:color="E5E5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E5E5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E5E5E5"/>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120" w:type="dxa"/>
            <w:vAlign w:val="bottom"/>
            <w:tcBorders>
              <w:bottom w:val="single" w:sz="8" w:color="E5E5E5"/>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E5E5E5"/>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15.2 %</w:t>
            </w:r>
          </w:p>
        </w:tc>
        <w:tc>
          <w:tcPr>
            <w:tcW w:w="0" w:type="dxa"/>
            <w:vAlign w:val="bottom"/>
          </w:tcPr>
          <w:p>
            <w:pPr>
              <w:spacing w:after="0"/>
              <w:rPr>
                <w:sz w:val="1"/>
                <w:szCs w:val="1"/>
                <w:color w:val="auto"/>
              </w:rPr>
            </w:pPr>
          </w:p>
        </w:tc>
      </w:tr>
      <w:tr>
        <w:trPr>
          <w:trHeight w:val="225"/>
        </w:trPr>
        <w:tc>
          <w:tcPr>
            <w:tcW w:w="20" w:type="dxa"/>
            <w:vAlign w:val="bottom"/>
            <w:tcBorders>
              <w:bottom w:val="single" w:sz="8" w:color="E5E5E5"/>
            </w:tcBorders>
            <w:shd w:val="clear" w:color="auto" w:fill="E5E5E5"/>
          </w:tcPr>
          <w:p>
            <w:pPr>
              <w:spacing w:after="0"/>
              <w:rPr>
                <w:sz w:val="19"/>
                <w:szCs w:val="19"/>
                <w:color w:val="auto"/>
              </w:rPr>
            </w:pPr>
          </w:p>
        </w:tc>
        <w:tc>
          <w:tcPr>
            <w:tcW w:w="366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1,777</w:t>
            </w:r>
          </w:p>
        </w:tc>
        <w:tc>
          <w:tcPr>
            <w:tcW w:w="120" w:type="dxa"/>
            <w:vAlign w:val="bottom"/>
            <w:tcBorders>
              <w:bottom w:val="single" w:sz="8" w:color="E5E5E5"/>
            </w:tcBorders>
            <w:shd w:val="clear" w:color="auto" w:fill="E5E5E5"/>
          </w:tcPr>
          <w:p>
            <w:pPr>
              <w:spacing w:after="0"/>
              <w:rPr>
                <w:sz w:val="19"/>
                <w:szCs w:val="19"/>
                <w:color w:val="auto"/>
              </w:rPr>
            </w:pPr>
          </w:p>
        </w:tc>
        <w:tc>
          <w:tcPr>
            <w:tcW w:w="18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1,826</w:t>
            </w:r>
          </w:p>
        </w:tc>
        <w:tc>
          <w:tcPr>
            <w:tcW w:w="100" w:type="dxa"/>
            <w:vAlign w:val="bottom"/>
            <w:tcBorders>
              <w:bottom w:val="single" w:sz="8" w:color="E5E5E5"/>
            </w:tcBorders>
            <w:shd w:val="clear" w:color="auto" w:fill="E5E5E5"/>
          </w:tcPr>
          <w:p>
            <w:pPr>
              <w:spacing w:after="0"/>
              <w:rPr>
                <w:sz w:val="19"/>
                <w:szCs w:val="19"/>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bottom w:val="single" w:sz="8" w:color="E5E5E5"/>
            </w:tcBorders>
            <w:shd w:val="clear" w:color="auto" w:fill="E5E5E5"/>
          </w:tcPr>
          <w:p>
            <w:pPr>
              <w:spacing w:after="0"/>
              <w:rPr>
                <w:sz w:val="19"/>
                <w:szCs w:val="19"/>
                <w:color w:val="auto"/>
              </w:rPr>
            </w:pPr>
          </w:p>
        </w:tc>
        <w:tc>
          <w:tcPr>
            <w:tcW w:w="420" w:type="dxa"/>
            <w:vAlign w:val="bottom"/>
            <w:tcBorders>
              <w:bottom w:val="single" w:sz="8" w:color="auto"/>
            </w:tcBorders>
            <w:shd w:val="clear" w:color="auto" w:fill="E5E5E5"/>
          </w:tcPr>
          <w:p>
            <w:pPr>
              <w:jc w:val="right"/>
              <w:ind w:right="26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86</w:t>
            </w:r>
          </w:p>
        </w:tc>
        <w:tc>
          <w:tcPr>
            <w:tcW w:w="100" w:type="dxa"/>
            <w:vAlign w:val="bottom"/>
            <w:tcBorders>
              <w:bottom w:val="single" w:sz="8" w:color="E5E5E5"/>
            </w:tcBorders>
            <w:shd w:val="clear" w:color="auto" w:fill="E5E5E5"/>
          </w:tcPr>
          <w:p>
            <w:pPr>
              <w:spacing w:after="0"/>
              <w:rPr>
                <w:sz w:val="19"/>
                <w:szCs w:val="19"/>
                <w:color w:val="auto"/>
              </w:rPr>
            </w:pP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4.8 %</w:t>
            </w:r>
          </w:p>
        </w:tc>
        <w:tc>
          <w:tcPr>
            <w:tcW w:w="0" w:type="dxa"/>
            <w:vAlign w:val="bottom"/>
          </w:tcPr>
          <w:p>
            <w:pPr>
              <w:spacing w:after="0"/>
              <w:rPr>
                <w:sz w:val="1"/>
                <w:szCs w:val="1"/>
                <w:color w:val="auto"/>
              </w:rPr>
            </w:pPr>
          </w:p>
        </w:tc>
      </w:tr>
      <w:tr>
        <w:trPr>
          <w:trHeight w:val="20"/>
        </w:trPr>
        <w:tc>
          <w:tcPr>
            <w:tcW w:w="20" w:type="dxa"/>
            <w:vAlign w:val="bottom"/>
            <w:tcBorders>
              <w:top w:val="single" w:sz="8" w:color="E5E5E5"/>
            </w:tcBorders>
          </w:tcPr>
          <w:p>
            <w:pPr>
              <w:spacing w:after="0" w:line="20" w:lineRule="exact"/>
              <w:rPr>
                <w:sz w:val="1"/>
                <w:szCs w:val="1"/>
                <w:color w:val="auto"/>
              </w:rPr>
            </w:pPr>
          </w:p>
        </w:tc>
        <w:tc>
          <w:tcPr>
            <w:tcW w:w="640" w:type="dxa"/>
            <w:vAlign w:val="bottom"/>
            <w:tcBorders>
              <w:top w:val="single" w:sz="8" w:color="E5E5E5"/>
            </w:tcBorders>
          </w:tcPr>
          <w:p>
            <w:pPr>
              <w:spacing w:after="0" w:line="20" w:lineRule="exact"/>
              <w:rPr>
                <w:sz w:val="1"/>
                <w:szCs w:val="1"/>
                <w:color w:val="auto"/>
              </w:rPr>
            </w:pPr>
          </w:p>
        </w:tc>
        <w:tc>
          <w:tcPr>
            <w:tcW w:w="302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112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100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E5E5E5"/>
              <w:bottom w:val="single" w:sz="8" w:color="auto"/>
            </w:tcBorders>
          </w:tcPr>
          <w:p>
            <w:pPr>
              <w:spacing w:after="0" w:line="20" w:lineRule="exact"/>
              <w:rPr>
                <w:sz w:val="1"/>
                <w:szCs w:val="1"/>
                <w:color w:val="auto"/>
              </w:rPr>
            </w:pPr>
          </w:p>
        </w:tc>
        <w:tc>
          <w:tcPr>
            <w:tcW w:w="9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420" w:type="dxa"/>
            <w:vAlign w:val="bottom"/>
            <w:tcBorders>
              <w:top w:val="single" w:sz="8" w:color="E5E5E5"/>
              <w:bottom w:val="single" w:sz="8" w:color="auto"/>
            </w:tcBorders>
          </w:tcPr>
          <w:p>
            <w:pPr>
              <w:spacing w:after="0" w:line="20" w:lineRule="exact"/>
              <w:rPr>
                <w:sz w:val="1"/>
                <w:szCs w:val="1"/>
                <w:color w:val="auto"/>
              </w:rPr>
            </w:pPr>
          </w:p>
        </w:tc>
        <w:tc>
          <w:tcPr>
            <w:tcW w:w="6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20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6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2021</w:t>
            </w:r>
          </w:p>
        </w:tc>
        <w:tc>
          <w:tcPr>
            <w:tcW w:w="30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2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4"/>
                <w:szCs w:val="14"/>
                <w:color w:val="auto"/>
              </w:rPr>
              <w:t>Print and Other</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6,355</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6,548</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90 %</w:t>
            </w:r>
          </w:p>
        </w:tc>
        <w:tc>
          <w:tcPr>
            <w:tcW w:w="120" w:type="dxa"/>
            <w:vAlign w:val="bottom"/>
          </w:tcPr>
          <w:p>
            <w:pPr>
              <w:spacing w:after="0"/>
              <w:rPr>
                <w:sz w:val="17"/>
                <w:szCs w:val="17"/>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203"/>
        </w:trPr>
        <w:tc>
          <w:tcPr>
            <w:tcW w:w="20" w:type="dxa"/>
            <w:vAlign w:val="bottom"/>
            <w:shd w:val="clear" w:color="auto" w:fill="E5E5E5"/>
          </w:tcPr>
          <w:p>
            <w:pPr>
              <w:spacing w:after="0"/>
              <w:rPr>
                <w:sz w:val="17"/>
                <w:szCs w:val="17"/>
                <w:color w:val="auto"/>
              </w:rPr>
            </w:pPr>
          </w:p>
        </w:tc>
        <w:tc>
          <w:tcPr>
            <w:tcW w:w="366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Financing (FITTLE)</w:t>
            </w:r>
          </w:p>
        </w:tc>
        <w:tc>
          <w:tcPr>
            <w:tcW w:w="180" w:type="dxa"/>
            <w:vAlign w:val="bottom"/>
            <w:tcBorders>
              <w:bottom w:val="single" w:sz="8" w:color="auto"/>
            </w:tcBorders>
            <w:shd w:val="clear" w:color="auto" w:fill="E5E5E5"/>
          </w:tcPr>
          <w:p>
            <w:pPr>
              <w:spacing w:after="0"/>
              <w:rPr>
                <w:sz w:val="17"/>
                <w:szCs w:val="17"/>
                <w:color w:val="auto"/>
              </w:rPr>
            </w:pP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683</w:t>
            </w:r>
          </w:p>
        </w:tc>
        <w:tc>
          <w:tcPr>
            <w:tcW w:w="120" w:type="dxa"/>
            <w:vAlign w:val="bottom"/>
            <w:shd w:val="clear" w:color="auto" w:fill="E5E5E5"/>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695</w:t>
            </w:r>
          </w:p>
        </w:tc>
        <w:tc>
          <w:tcPr>
            <w:tcW w:w="100" w:type="dxa"/>
            <w:vAlign w:val="bottom"/>
            <w:shd w:val="clear" w:color="auto" w:fill="E5E5E5"/>
          </w:tcPr>
          <w:p>
            <w:pPr>
              <w:spacing w:after="0"/>
              <w:rPr>
                <w:sz w:val="17"/>
                <w:szCs w:val="17"/>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10 %</w:t>
            </w:r>
          </w:p>
        </w:tc>
        <w:tc>
          <w:tcPr>
            <w:tcW w:w="120" w:type="dxa"/>
            <w:vAlign w:val="bottom"/>
            <w:shd w:val="clear" w:color="auto" w:fill="E5E5E5"/>
          </w:tcPr>
          <w:p>
            <w:pPr>
              <w:spacing w:after="0"/>
              <w:rPr>
                <w:sz w:val="17"/>
                <w:szCs w:val="17"/>
                <w:color w:val="auto"/>
              </w:rPr>
            </w:pPr>
          </w:p>
        </w:tc>
        <w:tc>
          <w:tcPr>
            <w:tcW w:w="420" w:type="dxa"/>
            <w:vAlign w:val="bottom"/>
            <w:tcBorders>
              <w:bottom w:val="single" w:sz="8" w:color="auto"/>
            </w:tcBorders>
            <w:shd w:val="clear" w:color="auto" w:fill="E5E5E5"/>
          </w:tcPr>
          <w:p>
            <w:pPr>
              <w:spacing w:after="0"/>
              <w:rPr>
                <w:sz w:val="17"/>
                <w:szCs w:val="17"/>
                <w:color w:val="auto"/>
              </w:rPr>
            </w:pPr>
          </w:p>
        </w:tc>
        <w:tc>
          <w:tcPr>
            <w:tcW w:w="6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E5E5E5"/>
          </w:tcPr>
          <w:p>
            <w:pPr>
              <w:spacing w:after="0"/>
              <w:rPr>
                <w:sz w:val="17"/>
                <w:szCs w:val="17"/>
                <w:color w:val="auto"/>
              </w:rPr>
            </w:pP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12.0 %</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7,038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7,243</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27" w:lineRule="exact"/>
        <w:rPr>
          <w:sz w:val="20"/>
          <w:szCs w:val="20"/>
          <w:color w:val="auto"/>
        </w:rPr>
      </w:pPr>
    </w:p>
    <w:p>
      <w:pPr>
        <w:ind w:left="340" w:right="640" w:hanging="332"/>
        <w:spacing w:after="0" w:line="261" w:lineRule="auto"/>
        <w:tabs>
          <w:tab w:leader="none" w:pos="327"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Reflects net revenue, primarily commissions and other payments, made by the Financing segment (FITTLE) to the Print and Other segment for the lease of Xerox equipment placements.</w:t>
      </w:r>
    </w:p>
    <w:p>
      <w:pPr>
        <w:ind w:left="320" w:hanging="312"/>
        <w:spacing w:after="0"/>
        <w:tabs>
          <w:tab w:leader="none" w:pos="32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Segment margin based on external net revenue only.</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gridSpan w:val="3"/>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color w:val="auto"/>
              </w:rPr>
              <w:t>Q1 2021</w:t>
            </w:r>
          </w:p>
        </w:tc>
        <w:tc>
          <w:tcPr>
            <w:tcW w:w="28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Q2 2021</w:t>
            </w:r>
          </w:p>
        </w:tc>
        <w:tc>
          <w:tcPr>
            <w:tcW w:w="26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Q3 2021</w:t>
            </w:r>
          </w:p>
        </w:tc>
        <w:tc>
          <w:tcPr>
            <w:tcW w:w="26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Q4 2021</w:t>
            </w:r>
          </w:p>
        </w:tc>
        <w:tc>
          <w:tcPr>
            <w:tcW w:w="18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Full Year 2021</w:t>
            </w:r>
          </w:p>
        </w:tc>
      </w:tr>
      <w:tr>
        <w:trPr>
          <w:trHeight w:val="20"/>
        </w:trPr>
        <w:tc>
          <w:tcPr>
            <w:tcW w:w="20" w:type="dxa"/>
            <w:vAlign w:val="bottom"/>
            <w:tcBorders>
              <w:bottom w:val="single" w:sz="8" w:color="DBDBDB"/>
            </w:tcBorders>
          </w:tcPr>
          <w:p>
            <w:pPr>
              <w:spacing w:after="0" w:line="20" w:lineRule="exact"/>
              <w:rPr>
                <w:sz w:val="1"/>
                <w:szCs w:val="1"/>
                <w:color w:val="auto"/>
              </w:rPr>
            </w:pPr>
          </w:p>
        </w:tc>
        <w:tc>
          <w:tcPr>
            <w:tcW w:w="640" w:type="dxa"/>
            <w:vAlign w:val="bottom"/>
            <w:tcBorders>
              <w:top w:val="single" w:sz="8" w:color="auto"/>
              <w:bottom w:val="single" w:sz="8" w:color="DBDBDB"/>
            </w:tcBorders>
          </w:tcPr>
          <w:p>
            <w:pPr>
              <w:spacing w:after="0" w:line="20" w:lineRule="exact"/>
              <w:rPr>
                <w:sz w:val="1"/>
                <w:szCs w:val="1"/>
                <w:color w:val="auto"/>
              </w:rPr>
            </w:pPr>
          </w:p>
        </w:tc>
        <w:tc>
          <w:tcPr>
            <w:tcW w:w="860" w:type="dxa"/>
            <w:vAlign w:val="bottom"/>
            <w:tcBorders>
              <w:bottom w:val="single" w:sz="8" w:color="DBDBDB"/>
            </w:tcBorders>
          </w:tcPr>
          <w:p>
            <w:pPr>
              <w:spacing w:after="0" w:line="20" w:lineRule="exact"/>
              <w:rPr>
                <w:sz w:val="1"/>
                <w:szCs w:val="1"/>
                <w:color w:val="auto"/>
              </w:rPr>
            </w:pPr>
          </w:p>
        </w:tc>
        <w:tc>
          <w:tcPr>
            <w:tcW w:w="226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DBDBDB"/>
          </w:tcPr>
          <w:p>
            <w:pPr>
              <w:spacing w:after="0"/>
              <w:rPr>
                <w:sz w:val="12"/>
                <w:szCs w:val="12"/>
                <w:color w:val="auto"/>
              </w:rPr>
            </w:pPr>
          </w:p>
        </w:tc>
        <w:tc>
          <w:tcPr>
            <w:tcW w:w="3760" w:type="dxa"/>
            <w:vAlign w:val="bottom"/>
            <w:gridSpan w:val="3"/>
            <w:shd w:val="clear" w:color="auto" w:fill="DBDBDB"/>
          </w:tcPr>
          <w:p>
            <w:pPr>
              <w:spacing w:after="0" w:line="142" w:lineRule="exact"/>
              <w:rPr>
                <w:sz w:val="20"/>
                <w:szCs w:val="20"/>
                <w:color w:val="auto"/>
              </w:rPr>
            </w:pPr>
            <w:r>
              <w:rPr>
                <w:rFonts w:ascii="Arial" w:cs="Arial" w:eastAsia="Arial" w:hAnsi="Arial"/>
                <w:sz w:val="14"/>
                <w:szCs w:val="14"/>
                <w:b w:val="1"/>
                <w:bCs w:val="1"/>
                <w:color w:val="auto"/>
              </w:rPr>
              <w:t>Pre-tax Income (Loss)</w:t>
            </w:r>
          </w:p>
        </w:tc>
        <w:tc>
          <w:tcPr>
            <w:tcW w:w="280" w:type="dxa"/>
            <w:vAlign w:val="bottom"/>
            <w:shd w:val="clear" w:color="auto" w:fill="DBDBDB"/>
          </w:tcPr>
          <w:p>
            <w:pPr>
              <w:spacing w:after="0"/>
              <w:rPr>
                <w:sz w:val="12"/>
                <w:szCs w:val="12"/>
                <w:color w:val="auto"/>
              </w:rPr>
            </w:pPr>
          </w:p>
        </w:tc>
        <w:tc>
          <w:tcPr>
            <w:tcW w:w="11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11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11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11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1240" w:type="dxa"/>
            <w:vAlign w:val="bottom"/>
            <w:shd w:val="clear" w:color="auto" w:fill="DBDBDB"/>
          </w:tcPr>
          <w:p>
            <w:pPr>
              <w:spacing w:after="0"/>
              <w:rPr>
                <w:sz w:val="12"/>
                <w:szCs w:val="12"/>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640" w:type="dxa"/>
            <w:vAlign w:val="bottom"/>
            <w:tcBorders>
              <w:top w:val="single" w:sz="8" w:color="auto"/>
            </w:tcBorders>
            <w:shd w:val="clear" w:color="auto" w:fill="DBDBDB"/>
          </w:tcPr>
          <w:p>
            <w:pPr>
              <w:spacing w:after="0" w:line="20" w:lineRule="exact"/>
              <w:rPr>
                <w:sz w:val="1"/>
                <w:szCs w:val="1"/>
                <w:color w:val="auto"/>
              </w:rPr>
            </w:pPr>
          </w:p>
        </w:tc>
        <w:tc>
          <w:tcPr>
            <w:tcW w:w="860" w:type="dxa"/>
            <w:vAlign w:val="bottom"/>
            <w:tcBorders>
              <w:top w:val="single" w:sz="8" w:color="auto"/>
            </w:tcBorders>
            <w:shd w:val="clear" w:color="auto" w:fill="DBDBDB"/>
          </w:tcPr>
          <w:p>
            <w:pPr>
              <w:spacing w:after="0" w:line="20" w:lineRule="exact"/>
              <w:rPr>
                <w:sz w:val="1"/>
                <w:szCs w:val="1"/>
                <w:color w:val="auto"/>
              </w:rPr>
            </w:pPr>
          </w:p>
        </w:tc>
        <w:tc>
          <w:tcPr>
            <w:tcW w:w="226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114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11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11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11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240" w:type="dxa"/>
            <w:vAlign w:val="bottom"/>
            <w:tcBorders>
              <w:top w:val="single" w:sz="8" w:color="DBDBDB"/>
            </w:tcBorders>
            <w:shd w:val="clear" w:color="auto" w:fill="DBDBDB"/>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3760" w:type="dxa"/>
            <w:vAlign w:val="bottom"/>
            <w:gridSpan w:val="3"/>
          </w:tcPr>
          <w:p>
            <w:pPr>
              <w:spacing w:after="0"/>
              <w:rPr>
                <w:sz w:val="20"/>
                <w:szCs w:val="20"/>
                <w:color w:val="auto"/>
              </w:rPr>
            </w:pPr>
            <w:r>
              <w:rPr>
                <w:rFonts w:ascii="Arial" w:cs="Arial" w:eastAsia="Arial" w:hAnsi="Arial"/>
                <w:sz w:val="14"/>
                <w:szCs w:val="14"/>
                <w:color w:val="auto"/>
              </w:rPr>
              <w:t>Total reported segments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375</w:t>
            </w:r>
          </w:p>
        </w:tc>
      </w:tr>
      <w:tr>
        <w:trPr>
          <w:trHeight w:val="207"/>
        </w:trPr>
        <w:tc>
          <w:tcPr>
            <w:tcW w:w="20" w:type="dxa"/>
            <w:vAlign w:val="bottom"/>
            <w:shd w:val="clear" w:color="auto" w:fill="DBDBDB"/>
          </w:tcPr>
          <w:p>
            <w:pPr>
              <w:spacing w:after="0"/>
              <w:rPr>
                <w:sz w:val="17"/>
                <w:szCs w:val="17"/>
                <w:color w:val="auto"/>
              </w:rPr>
            </w:pPr>
          </w:p>
        </w:tc>
        <w:tc>
          <w:tcPr>
            <w:tcW w:w="3760" w:type="dxa"/>
            <w:vAlign w:val="bottom"/>
            <w:gridSpan w:val="3"/>
            <w:shd w:val="clear" w:color="auto" w:fill="DBDBDB"/>
          </w:tcPr>
          <w:p>
            <w:pPr>
              <w:spacing w:after="0"/>
              <w:rPr>
                <w:sz w:val="20"/>
                <w:szCs w:val="20"/>
                <w:color w:val="auto"/>
              </w:rPr>
            </w:pPr>
            <w:r>
              <w:rPr>
                <w:rFonts w:ascii="Arial" w:cs="Arial" w:eastAsia="Arial" w:hAnsi="Arial"/>
                <w:sz w:val="14"/>
                <w:szCs w:val="14"/>
                <w:color w:val="auto"/>
              </w:rPr>
              <w:t>Goodwill impairment</w:t>
            </w:r>
          </w:p>
        </w:tc>
        <w:tc>
          <w:tcPr>
            <w:tcW w:w="280" w:type="dxa"/>
            <w:vAlign w:val="bottom"/>
            <w:shd w:val="clear" w:color="auto" w:fill="DBDBDB"/>
          </w:tcPr>
          <w:p>
            <w:pPr>
              <w:spacing w:after="0"/>
              <w:rPr>
                <w:sz w:val="17"/>
                <w:szCs w:val="17"/>
                <w:color w:val="auto"/>
              </w:rPr>
            </w:pPr>
          </w:p>
        </w:tc>
        <w:tc>
          <w:tcPr>
            <w:tcW w:w="122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DBDBDB"/>
          </w:tcPr>
          <w:p>
            <w:pPr>
              <w:spacing w:after="0"/>
              <w:rPr>
                <w:sz w:val="17"/>
                <w:szCs w:val="17"/>
                <w:color w:val="auto"/>
              </w:rPr>
            </w:pPr>
          </w:p>
        </w:tc>
        <w:tc>
          <w:tcPr>
            <w:tcW w:w="124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7"/>
                <w:szCs w:val="17"/>
                <w:color w:val="auto"/>
              </w:rPr>
            </w:pPr>
          </w:p>
        </w:tc>
        <w:tc>
          <w:tcPr>
            <w:tcW w:w="126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(781)</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(781)</w:t>
            </w:r>
          </w:p>
        </w:tc>
      </w:tr>
      <w:tr>
        <w:trPr>
          <w:trHeight w:val="198"/>
        </w:trPr>
        <w:tc>
          <w:tcPr>
            <w:tcW w:w="20" w:type="dxa"/>
            <w:vAlign w:val="bottom"/>
          </w:tcPr>
          <w:p>
            <w:pPr>
              <w:spacing w:after="0"/>
              <w:rPr>
                <w:sz w:val="17"/>
                <w:szCs w:val="17"/>
                <w:color w:val="auto"/>
              </w:rPr>
            </w:pPr>
          </w:p>
        </w:tc>
        <w:tc>
          <w:tcPr>
            <w:tcW w:w="3760" w:type="dxa"/>
            <w:vAlign w:val="bottom"/>
            <w:gridSpan w:val="3"/>
          </w:tcPr>
          <w:p>
            <w:pPr>
              <w:spacing w:after="0"/>
              <w:rPr>
                <w:sz w:val="20"/>
                <w:szCs w:val="20"/>
                <w:color w:val="auto"/>
              </w:rPr>
            </w:pPr>
            <w:r>
              <w:rPr>
                <w:rFonts w:ascii="Arial" w:cs="Arial" w:eastAsia="Arial" w:hAnsi="Arial"/>
                <w:sz w:val="14"/>
                <w:szCs w:val="14"/>
                <w:color w:val="auto"/>
              </w:rPr>
              <w:t>Restructuring and related costs, net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07"/>
        </w:trPr>
        <w:tc>
          <w:tcPr>
            <w:tcW w:w="20" w:type="dxa"/>
            <w:vAlign w:val="bottom"/>
            <w:shd w:val="clear" w:color="auto" w:fill="DBDBDB"/>
          </w:tcPr>
          <w:p>
            <w:pPr>
              <w:spacing w:after="0"/>
              <w:rPr>
                <w:sz w:val="17"/>
                <w:szCs w:val="17"/>
                <w:color w:val="auto"/>
              </w:rPr>
            </w:pPr>
          </w:p>
        </w:tc>
        <w:tc>
          <w:tcPr>
            <w:tcW w:w="3760" w:type="dxa"/>
            <w:vAlign w:val="bottom"/>
            <w:gridSpan w:val="3"/>
            <w:shd w:val="clear" w:color="auto" w:fill="DBDBDB"/>
          </w:tcPr>
          <w:p>
            <w:pPr>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w:t>
            </w:r>
          </w:p>
        </w:tc>
      </w:tr>
      <w:tr>
        <w:trPr>
          <w:trHeight w:val="198"/>
        </w:trPr>
        <w:tc>
          <w:tcPr>
            <w:tcW w:w="20" w:type="dxa"/>
            <w:vAlign w:val="bottom"/>
            <w:tcBorders>
              <w:bottom w:val="single" w:sz="8" w:color="DBDBDB"/>
            </w:tcBorders>
          </w:tcPr>
          <w:p>
            <w:pPr>
              <w:spacing w:after="0"/>
              <w:rPr>
                <w:sz w:val="17"/>
                <w:szCs w:val="17"/>
                <w:color w:val="auto"/>
              </w:rPr>
            </w:pPr>
          </w:p>
        </w:tc>
        <w:tc>
          <w:tcPr>
            <w:tcW w:w="376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color w:val="auto"/>
              </w:rPr>
              <w:t>Other expenses, net</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225"/>
        </w:trPr>
        <w:tc>
          <w:tcPr>
            <w:tcW w:w="20" w:type="dxa"/>
            <w:vAlign w:val="bottom"/>
            <w:tcBorders>
              <w:bottom w:val="single" w:sz="8" w:color="DBDBDB"/>
            </w:tcBorders>
            <w:shd w:val="clear" w:color="auto" w:fill="DBDBDB"/>
          </w:tcPr>
          <w:p>
            <w:pPr>
              <w:spacing w:after="0"/>
              <w:rPr>
                <w:sz w:val="19"/>
                <w:szCs w:val="19"/>
                <w:color w:val="auto"/>
              </w:rPr>
            </w:pPr>
          </w:p>
        </w:tc>
        <w:tc>
          <w:tcPr>
            <w:tcW w:w="3760" w:type="dxa"/>
            <w:vAlign w:val="bottom"/>
            <w:tcBorders>
              <w:bottom w:val="single" w:sz="8" w:color="DBDBDB"/>
            </w:tcBorders>
            <w:gridSpan w:val="3"/>
            <w:shd w:val="clear" w:color="auto" w:fill="DBDBDB"/>
          </w:tcPr>
          <w:p>
            <w:pPr>
              <w:spacing w:after="0"/>
              <w:rPr>
                <w:sz w:val="20"/>
                <w:szCs w:val="20"/>
                <w:color w:val="auto"/>
              </w:rPr>
            </w:pPr>
            <w:r>
              <w:rPr>
                <w:rFonts w:ascii="Arial" w:cs="Arial" w:eastAsia="Arial" w:hAnsi="Arial"/>
                <w:sz w:val="14"/>
                <w:szCs w:val="14"/>
                <w:b w:val="1"/>
                <w:bCs w:val="1"/>
                <w:color w:val="auto"/>
              </w:rPr>
              <w:t>Total Pre-tax income (loss)</w:t>
            </w:r>
          </w:p>
        </w:tc>
        <w:tc>
          <w:tcPr>
            <w:tcW w:w="28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53</w:t>
            </w:r>
          </w:p>
        </w:tc>
        <w:tc>
          <w:tcPr>
            <w:tcW w:w="80" w:type="dxa"/>
            <w:vAlign w:val="bottom"/>
            <w:tcBorders>
              <w:bottom w:val="single" w:sz="8" w:color="DBDBDB"/>
            </w:tcBorders>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(711)</w:t>
            </w:r>
          </w:p>
        </w:tc>
        <w:tc>
          <w:tcPr>
            <w:tcW w:w="10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(475)</w:t>
            </w:r>
          </w:p>
        </w:tc>
      </w:tr>
      <w:tr>
        <w:trPr>
          <w:trHeight w:val="20"/>
        </w:trPr>
        <w:tc>
          <w:tcPr>
            <w:tcW w:w="20" w:type="dxa"/>
            <w:vAlign w:val="bottom"/>
            <w:tcBorders>
              <w:top w:val="single" w:sz="8" w:color="DBDBDB"/>
            </w:tcBorders>
          </w:tcPr>
          <w:p>
            <w:pPr>
              <w:spacing w:after="0" w:line="20" w:lineRule="exact"/>
              <w:rPr>
                <w:sz w:val="1"/>
                <w:szCs w:val="1"/>
                <w:color w:val="auto"/>
              </w:rPr>
            </w:pPr>
          </w:p>
        </w:tc>
        <w:tc>
          <w:tcPr>
            <w:tcW w:w="64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tcBorders>
          </w:tcPr>
          <w:p>
            <w:pPr>
              <w:spacing w:after="0" w:line="20" w:lineRule="exact"/>
              <w:rPr>
                <w:sz w:val="1"/>
                <w:szCs w:val="1"/>
                <w:color w:val="auto"/>
              </w:rPr>
            </w:pPr>
          </w:p>
        </w:tc>
        <w:tc>
          <w:tcPr>
            <w:tcW w:w="22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4" w:name="page55"/>
    <w:bookmarkEnd w:id="54"/>
    <w:p>
      <w:pPr>
        <w:spacing w:after="0"/>
        <w:rPr>
          <w:sz w:val="20"/>
          <w:szCs w:val="20"/>
          <w:color w:val="auto"/>
        </w:rPr>
      </w:pPr>
      <w:r>
        <w:rPr>
          <w:rFonts w:ascii="Arial" w:cs="Arial" w:eastAsia="Arial" w:hAnsi="Arial"/>
          <w:sz w:val="22"/>
          <w:szCs w:val="22"/>
          <w:b w:val="1"/>
          <w:bCs w:val="1"/>
          <w:color w:val="DA2031"/>
        </w:rPr>
        <w:t>Capital Resources and Liquidity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liquidity position:</w:t>
      </w:r>
    </w:p>
    <w:p>
      <w:pPr>
        <w:spacing w:after="0" w:line="63" w:lineRule="exact"/>
        <w:rPr>
          <w:sz w:val="20"/>
          <w:szCs w:val="20"/>
          <w:color w:val="auto"/>
        </w:rPr>
      </w:pPr>
    </w:p>
    <w:p>
      <w:pPr>
        <w:jc w:val="both"/>
        <w:ind w:left="340" w:hanging="332"/>
        <w:spacing w:after="0" w:line="255" w:lineRule="auto"/>
        <w:tabs>
          <w:tab w:leader="none" w:pos="335" w:val="left"/>
        </w:tabs>
        <w:numPr>
          <w:ilvl w:val="0"/>
          <w:numId w:val="44"/>
        </w:numPr>
        <w:rPr>
          <w:rFonts w:ascii="Arial" w:cs="Arial" w:eastAsia="Arial" w:hAnsi="Arial"/>
          <w:sz w:val="18"/>
          <w:szCs w:val="18"/>
          <w:b w:val="1"/>
          <w:bCs w:val="1"/>
          <w:color w:val="DA2031"/>
        </w:rPr>
      </w:pPr>
      <w:r>
        <w:rPr>
          <w:rFonts w:ascii="Arial" w:cs="Arial" w:eastAsia="Arial" w:hAnsi="Arial"/>
          <w:sz w:val="18"/>
          <w:szCs w:val="18"/>
          <w:color w:val="auto"/>
        </w:rPr>
        <w:t>As of March 31, 2022 and December 31, 2021, total cash, cash equivalents and restricted cash were $1,761 million and $1,909 million, respectively, and apart from restricted cash of $80 million and $69 million, respectively, was readily accessible for use. The decrease in total cash, cash equivalents and restricted cashof $148 million primarily reflects payments to shareholders of $159 million (repurchases of $113 million and dividends of $46 million).</w:t>
      </w:r>
    </w:p>
    <w:p>
      <w:pPr>
        <w:spacing w:after="0" w:line="2" w:lineRule="exact"/>
        <w:rPr>
          <w:rFonts w:ascii="Arial" w:cs="Arial" w:eastAsia="Arial" w:hAnsi="Arial"/>
          <w:sz w:val="18"/>
          <w:szCs w:val="18"/>
          <w:b w:val="1"/>
          <w:bCs w:val="1"/>
          <w:color w:val="DA2031"/>
        </w:rPr>
      </w:pPr>
    </w:p>
    <w:p>
      <w:pPr>
        <w:ind w:left="320" w:hanging="312"/>
        <w:spacing w:after="0"/>
        <w:tabs>
          <w:tab w:leader="none" w:pos="320" w:val="left"/>
        </w:tabs>
        <w:numPr>
          <w:ilvl w:val="0"/>
          <w:numId w:val="44"/>
        </w:numPr>
        <w:rPr>
          <w:rFonts w:ascii="Arial" w:cs="Arial" w:eastAsia="Arial" w:hAnsi="Arial"/>
          <w:sz w:val="18"/>
          <w:szCs w:val="18"/>
          <w:b w:val="1"/>
          <w:bCs w:val="1"/>
          <w:color w:val="DA2031"/>
        </w:rPr>
      </w:pPr>
      <w:r>
        <w:rPr>
          <w:rFonts w:ascii="Arial" w:cs="Arial" w:eastAsia="Arial" w:hAnsi="Arial"/>
          <w:sz w:val="18"/>
          <w:szCs w:val="18"/>
          <w:color w:val="auto"/>
        </w:rPr>
        <w:t>No amounts are due under our Senior Note borrowings for the remainder of 2022.</w:t>
      </w:r>
    </w:p>
    <w:p>
      <w:pPr>
        <w:spacing w:after="0" w:line="9" w:lineRule="exact"/>
        <w:rPr>
          <w:rFonts w:ascii="Arial" w:cs="Arial" w:eastAsia="Arial" w:hAnsi="Arial"/>
          <w:sz w:val="18"/>
          <w:szCs w:val="18"/>
          <w:b w:val="1"/>
          <w:bCs w:val="1"/>
          <w:color w:val="DA2031"/>
        </w:rPr>
      </w:pPr>
    </w:p>
    <w:p>
      <w:pPr>
        <w:jc w:val="both"/>
        <w:ind w:left="340" w:hanging="332"/>
        <w:spacing w:after="0" w:line="250" w:lineRule="auto"/>
        <w:tabs>
          <w:tab w:leader="none" w:pos="335" w:val="left"/>
        </w:tabs>
        <w:numPr>
          <w:ilvl w:val="0"/>
          <w:numId w:val="44"/>
        </w:numPr>
        <w:rPr>
          <w:rFonts w:ascii="Arial" w:cs="Arial" w:eastAsia="Arial" w:hAnsi="Arial"/>
          <w:sz w:val="18"/>
          <w:szCs w:val="18"/>
          <w:b w:val="1"/>
          <w:bCs w:val="1"/>
          <w:color w:val="DA2031"/>
        </w:rPr>
      </w:pPr>
      <w:r>
        <w:rPr>
          <w:rFonts w:ascii="Arial" w:cs="Arial" w:eastAsia="Arial" w:hAnsi="Arial"/>
          <w:sz w:val="18"/>
          <w:szCs w:val="18"/>
          <w:color w:val="auto"/>
        </w:rPr>
        <w:t>In March 2022, Xerox and Xerox Holdings entered into Amendment No. 4 to the Credit Facility, which became effective on March 24, 2022. As of March 31, 2022, we have access to an undrawn $1.5 billion Credit Facility that terminates in August 2022. Refer to Note 13 - Debt in the Condensed Consolidated Financial Statements for additional information regarding our Credit Facility.</w:t>
      </w:r>
    </w:p>
    <w:p>
      <w:pPr>
        <w:spacing w:after="0" w:line="1" w:lineRule="exact"/>
        <w:rPr>
          <w:rFonts w:ascii="Arial" w:cs="Arial" w:eastAsia="Arial" w:hAnsi="Arial"/>
          <w:sz w:val="18"/>
          <w:szCs w:val="18"/>
          <w:b w:val="1"/>
          <w:bCs w:val="1"/>
          <w:color w:val="DA2031"/>
        </w:rPr>
      </w:pPr>
    </w:p>
    <w:p>
      <w:pPr>
        <w:jc w:val="both"/>
        <w:ind w:left="340" w:hanging="332"/>
        <w:spacing w:after="0" w:line="253" w:lineRule="auto"/>
        <w:tabs>
          <w:tab w:leader="none" w:pos="335" w:val="left"/>
        </w:tabs>
        <w:numPr>
          <w:ilvl w:val="0"/>
          <w:numId w:val="44"/>
        </w:numPr>
        <w:rPr>
          <w:rFonts w:ascii="Arial" w:cs="Arial" w:eastAsia="Arial" w:hAnsi="Arial"/>
          <w:sz w:val="18"/>
          <w:szCs w:val="18"/>
          <w:b w:val="1"/>
          <w:bCs w:val="1"/>
          <w:color w:val="DA2031"/>
        </w:rPr>
      </w:pPr>
      <w:r>
        <w:rPr>
          <w:rFonts w:ascii="Arial" w:cs="Arial" w:eastAsia="Arial" w:hAnsi="Arial"/>
          <w:sz w:val="18"/>
          <w:szCs w:val="18"/>
          <w:color w:val="auto"/>
        </w:rPr>
        <w:t>The Credit Facility, which as noted above terminates in August 2022, contains various investment grade covenants at a time when the Company is not investment grade rated. The Company may seek to renegotiate or replace such facility, including reducing the size of such facility, or may determine not to replace such facility at all and may instead pursue other forms of liquidity. Any new credit agreement may result in higher borrowing costs and may contain non-investment grade covenants, such as those that would place greater restrictions on how the Company can run its businesses and/or limit the Company from taking certain actions that might otherwise be beneficial to the Company and/or its shareholders, customers, suppliers, partners and/or lenders.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Cash Flow Analysis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cash, cash equivalents and restricted cash:</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00" w:type="dxa"/>
            <w:vAlign w:val="bottom"/>
            <w:gridSpan w:val="5"/>
          </w:tcPr>
          <w:p>
            <w:pPr>
              <w:ind w:left="540"/>
              <w:spacing w:after="0"/>
              <w:rPr>
                <w:sz w:val="20"/>
                <w:szCs w:val="20"/>
                <w:color w:val="auto"/>
              </w:rPr>
            </w:pPr>
            <w:r>
              <w:rPr>
                <w:rFonts w:ascii="Arial" w:cs="Arial" w:eastAsia="Arial" w:hAnsi="Arial"/>
                <w:sz w:val="14"/>
                <w:szCs w:val="14"/>
                <w:color w:val="auto"/>
              </w:rPr>
              <w:t>Three Months Ended</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color w:val="auto"/>
              </w:rPr>
              <w:t>March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64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60" w:type="dxa"/>
            <w:vAlign w:val="bottom"/>
          </w:tcPr>
          <w:p>
            <w:pPr>
              <w:spacing w:after="0"/>
              <w:rPr>
                <w:sz w:val="13"/>
                <w:szCs w:val="13"/>
                <w:color w:val="auto"/>
              </w:rPr>
            </w:pPr>
          </w:p>
        </w:tc>
        <w:tc>
          <w:tcPr>
            <w:tcW w:w="1160" w:type="dxa"/>
            <w:vAlign w:val="bottom"/>
          </w:tcPr>
          <w:p>
            <w:pPr>
              <w:jc w:val="right"/>
              <w:ind w:right="528"/>
              <w:spacing w:after="0" w:line="155"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ind w:right="528"/>
              <w:spacing w:after="0" w:line="155"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right"/>
              <w:ind w:right="448"/>
              <w:spacing w:after="0" w:line="155" w:lineRule="exact"/>
              <w:rPr>
                <w:sz w:val="20"/>
                <w:szCs w:val="20"/>
                <w:color w:val="auto"/>
              </w:rPr>
            </w:pPr>
            <w:r>
              <w:rPr>
                <w:rFonts w:ascii="Arial" w:cs="Arial" w:eastAsia="Arial" w:hAnsi="Arial"/>
                <w:sz w:val="14"/>
                <w:szCs w:val="14"/>
                <w:color w:val="auto"/>
              </w:rPr>
              <w:t>Change</w:t>
            </w:r>
          </w:p>
        </w:tc>
      </w:tr>
      <w:tr>
        <w:trPr>
          <w:trHeight w:val="21"/>
        </w:trPr>
        <w:tc>
          <w:tcPr>
            <w:tcW w:w="20" w:type="dxa"/>
            <w:vAlign w:val="bottom"/>
            <w:tcBorders>
              <w:bottom w:val="single" w:sz="8" w:color="E5E5E5"/>
            </w:tcBorders>
          </w:tcPr>
          <w:p>
            <w:pPr>
              <w:spacing w:after="0" w:line="20" w:lineRule="exact"/>
              <w:rPr>
                <w:sz w:val="1"/>
                <w:szCs w:val="1"/>
                <w:color w:val="auto"/>
              </w:rPr>
            </w:pPr>
          </w:p>
        </w:tc>
        <w:tc>
          <w:tcPr>
            <w:tcW w:w="640" w:type="dxa"/>
            <w:vAlign w:val="bottom"/>
            <w:tcBorders>
              <w:top w:val="single" w:sz="8" w:color="auto"/>
              <w:bottom w:val="single" w:sz="8" w:color="E5E5E5"/>
            </w:tcBorders>
          </w:tcPr>
          <w:p>
            <w:pPr>
              <w:spacing w:after="0" w:line="20" w:lineRule="exact"/>
              <w:rPr>
                <w:sz w:val="1"/>
                <w:szCs w:val="1"/>
                <w:color w:val="auto"/>
              </w:rPr>
            </w:pPr>
          </w:p>
        </w:tc>
        <w:tc>
          <w:tcPr>
            <w:tcW w:w="5780" w:type="dxa"/>
            <w:vAlign w:val="bottom"/>
            <w:tcBorders>
              <w:bottom w:val="single" w:sz="8" w:color="E5E5E5"/>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E5E5E5"/>
          </w:tcPr>
          <w:p>
            <w:pPr>
              <w:spacing w:after="0"/>
              <w:rPr>
                <w:sz w:val="17"/>
                <w:szCs w:val="17"/>
                <w:color w:val="auto"/>
              </w:rPr>
            </w:pPr>
          </w:p>
        </w:tc>
        <w:tc>
          <w:tcPr>
            <w:tcW w:w="642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E5E5E5"/>
          </w:tcPr>
          <w:p>
            <w:pPr>
              <w:spacing w:after="0"/>
              <w:rPr>
                <w:sz w:val="17"/>
                <w:szCs w:val="17"/>
                <w:color w:val="auto"/>
              </w:rPr>
            </w:pPr>
          </w:p>
        </w:tc>
        <w:tc>
          <w:tcPr>
            <w:tcW w:w="30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w:t>
            </w:r>
          </w:p>
        </w:tc>
      </w:tr>
      <w:tr>
        <w:trPr>
          <w:trHeight w:val="198"/>
        </w:trPr>
        <w:tc>
          <w:tcPr>
            <w:tcW w:w="20" w:type="dxa"/>
            <w:vAlign w:val="bottom"/>
          </w:tcPr>
          <w:p>
            <w:pPr>
              <w:spacing w:after="0"/>
              <w:rPr>
                <w:sz w:val="17"/>
                <w:szCs w:val="17"/>
                <w:color w:val="auto"/>
              </w:rPr>
            </w:pPr>
          </w:p>
        </w:tc>
        <w:tc>
          <w:tcPr>
            <w:tcW w:w="6420" w:type="dxa"/>
            <w:vAlign w:val="bottom"/>
            <w:gridSpan w:val="2"/>
          </w:tcPr>
          <w:p>
            <w:pPr>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07"/>
        </w:trPr>
        <w:tc>
          <w:tcPr>
            <w:tcW w:w="20" w:type="dxa"/>
            <w:vAlign w:val="bottom"/>
            <w:shd w:val="clear" w:color="auto" w:fill="E5E5E5"/>
          </w:tcPr>
          <w:p>
            <w:pPr>
              <w:spacing w:after="0"/>
              <w:rPr>
                <w:sz w:val="17"/>
                <w:szCs w:val="17"/>
                <w:color w:val="auto"/>
              </w:rPr>
            </w:pPr>
          </w:p>
        </w:tc>
        <w:tc>
          <w:tcPr>
            <w:tcW w:w="642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Net cash used in financing activities</w:t>
            </w:r>
          </w:p>
        </w:tc>
        <w:tc>
          <w:tcPr>
            <w:tcW w:w="36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169</w:t>
            </w:r>
          </w:p>
        </w:tc>
      </w:tr>
      <w:tr>
        <w:trPr>
          <w:trHeight w:val="198"/>
        </w:trPr>
        <w:tc>
          <w:tcPr>
            <w:tcW w:w="20" w:type="dxa"/>
            <w:vAlign w:val="bottom"/>
            <w:tcBorders>
              <w:bottom w:val="single" w:sz="8" w:color="E5E5E5"/>
            </w:tcBorders>
          </w:tcPr>
          <w:p>
            <w:pPr>
              <w:spacing w:after="0"/>
              <w:rPr>
                <w:sz w:val="17"/>
                <w:szCs w:val="17"/>
                <w:color w:val="auto"/>
              </w:rPr>
            </w:pPr>
          </w:p>
        </w:tc>
        <w:tc>
          <w:tcPr>
            <w:tcW w:w="6420" w:type="dxa"/>
            <w:vAlign w:val="bottom"/>
            <w:tcBorders>
              <w:bottom w:val="single" w:sz="8" w:color="E5E5E5"/>
            </w:tcBorders>
            <w:gridSpan w:val="2"/>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E5E5E5"/>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E5E5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r>
      <w:tr>
        <w:trPr>
          <w:trHeight w:val="200"/>
        </w:trPr>
        <w:tc>
          <w:tcPr>
            <w:tcW w:w="20" w:type="dxa"/>
            <w:vAlign w:val="bottom"/>
            <w:shd w:val="clear" w:color="auto" w:fill="E5E5E5"/>
          </w:tcPr>
          <w:p>
            <w:pPr>
              <w:spacing w:after="0"/>
              <w:rPr>
                <w:sz w:val="17"/>
                <w:szCs w:val="17"/>
                <w:color w:val="auto"/>
              </w:rPr>
            </w:pPr>
          </w:p>
        </w:tc>
        <w:tc>
          <w:tcPr>
            <w:tcW w:w="642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Decrease in cash, cash equivalents and restricted cash</w:t>
            </w:r>
          </w:p>
        </w:tc>
        <w:tc>
          <w:tcPr>
            <w:tcW w:w="36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82</w:t>
            </w:r>
          </w:p>
        </w:tc>
      </w:tr>
      <w:tr>
        <w:trPr>
          <w:trHeight w:val="198"/>
        </w:trPr>
        <w:tc>
          <w:tcPr>
            <w:tcW w:w="20" w:type="dxa"/>
            <w:vAlign w:val="bottom"/>
            <w:tcBorders>
              <w:bottom w:val="single" w:sz="8" w:color="E5E5E5"/>
            </w:tcBorders>
          </w:tcPr>
          <w:p>
            <w:pPr>
              <w:spacing w:after="0"/>
              <w:rPr>
                <w:sz w:val="17"/>
                <w:szCs w:val="17"/>
                <w:color w:val="auto"/>
              </w:rPr>
            </w:pPr>
          </w:p>
        </w:tc>
        <w:tc>
          <w:tcPr>
            <w:tcW w:w="6420" w:type="dxa"/>
            <w:vAlign w:val="bottom"/>
            <w:tcBorders>
              <w:bottom w:val="single" w:sz="8" w:color="E5E5E5"/>
            </w:tcBorders>
            <w:gridSpan w:val="2"/>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1,909</w:t>
            </w:r>
          </w:p>
        </w:tc>
        <w:tc>
          <w:tcPr>
            <w:tcW w:w="100" w:type="dxa"/>
            <w:vAlign w:val="bottom"/>
            <w:tcBorders>
              <w:bottom w:val="single" w:sz="8" w:color="E5E5E5"/>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2,691</w:t>
            </w:r>
          </w:p>
        </w:tc>
        <w:tc>
          <w:tcPr>
            <w:tcW w:w="100" w:type="dxa"/>
            <w:vAlign w:val="bottom"/>
            <w:tcBorders>
              <w:bottom w:val="single" w:sz="8" w:color="E5E5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(782)</w:t>
            </w:r>
          </w:p>
        </w:tc>
      </w:tr>
      <w:tr>
        <w:trPr>
          <w:trHeight w:val="225"/>
        </w:trPr>
        <w:tc>
          <w:tcPr>
            <w:tcW w:w="20" w:type="dxa"/>
            <w:vAlign w:val="bottom"/>
            <w:tcBorders>
              <w:bottom w:val="single" w:sz="8" w:color="E5E5E5"/>
            </w:tcBorders>
            <w:shd w:val="clear" w:color="auto" w:fill="E5E5E5"/>
          </w:tcPr>
          <w:p>
            <w:pPr>
              <w:spacing w:after="0"/>
              <w:rPr>
                <w:sz w:val="19"/>
                <w:szCs w:val="19"/>
                <w:color w:val="auto"/>
              </w:rPr>
            </w:pPr>
          </w:p>
        </w:tc>
        <w:tc>
          <w:tcPr>
            <w:tcW w:w="642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360" w:type="dxa"/>
            <w:vAlign w:val="bottom"/>
            <w:tcBorders>
              <w:bottom w:val="single" w:sz="8" w:color="auto"/>
            </w:tcBorders>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1,761</w:t>
            </w:r>
          </w:p>
        </w:tc>
        <w:tc>
          <w:tcPr>
            <w:tcW w:w="100" w:type="dxa"/>
            <w:vAlign w:val="bottom"/>
            <w:tcBorders>
              <w:bottom w:val="single" w:sz="8" w:color="E5E5E5"/>
            </w:tcBorders>
            <w:shd w:val="clear" w:color="auto" w:fill="E5E5E5"/>
          </w:tcPr>
          <w:p>
            <w:pPr>
              <w:spacing w:after="0"/>
              <w:rPr>
                <w:sz w:val="19"/>
                <w:szCs w:val="19"/>
                <w:color w:val="auto"/>
              </w:rPr>
            </w:pPr>
          </w:p>
        </w:tc>
        <w:tc>
          <w:tcPr>
            <w:tcW w:w="440" w:type="dxa"/>
            <w:vAlign w:val="bottom"/>
            <w:tcBorders>
              <w:bottom w:val="single" w:sz="8" w:color="auto"/>
            </w:tcBorders>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2,461</w:t>
            </w:r>
          </w:p>
        </w:tc>
        <w:tc>
          <w:tcPr>
            <w:tcW w:w="100" w:type="dxa"/>
            <w:vAlign w:val="bottom"/>
            <w:tcBorders>
              <w:bottom w:val="single" w:sz="8" w:color="E5E5E5"/>
            </w:tcBorders>
            <w:shd w:val="clear" w:color="auto" w:fill="E5E5E5"/>
          </w:tcPr>
          <w:p>
            <w:pPr>
              <w:spacing w:after="0"/>
              <w:rPr>
                <w:sz w:val="19"/>
                <w:szCs w:val="19"/>
                <w:color w:val="auto"/>
              </w:rPr>
            </w:pPr>
          </w:p>
        </w:tc>
        <w:tc>
          <w:tcPr>
            <w:tcW w:w="300" w:type="dxa"/>
            <w:vAlign w:val="bottom"/>
            <w:tcBorders>
              <w:bottom w:val="single" w:sz="8" w:color="auto"/>
            </w:tcBorders>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(700)</w:t>
            </w:r>
          </w:p>
        </w:tc>
      </w:tr>
      <w:tr>
        <w:trPr>
          <w:trHeight w:val="20"/>
        </w:trPr>
        <w:tc>
          <w:tcPr>
            <w:tcW w:w="20" w:type="dxa"/>
            <w:vAlign w:val="bottom"/>
            <w:tcBorders>
              <w:top w:val="single" w:sz="8" w:color="E5E5E5"/>
            </w:tcBorders>
          </w:tcPr>
          <w:p>
            <w:pPr>
              <w:spacing w:after="0" w:line="20" w:lineRule="exact"/>
              <w:rPr>
                <w:sz w:val="1"/>
                <w:szCs w:val="1"/>
                <w:color w:val="auto"/>
              </w:rPr>
            </w:pPr>
          </w:p>
        </w:tc>
        <w:tc>
          <w:tcPr>
            <w:tcW w:w="640" w:type="dxa"/>
            <w:vAlign w:val="bottom"/>
            <w:tcBorders>
              <w:top w:val="single" w:sz="8" w:color="E5E5E5"/>
            </w:tcBorders>
          </w:tcPr>
          <w:p>
            <w:pPr>
              <w:spacing w:after="0" w:line="20" w:lineRule="exact"/>
              <w:rPr>
                <w:sz w:val="1"/>
                <w:szCs w:val="1"/>
                <w:color w:val="auto"/>
              </w:rPr>
            </w:pPr>
          </w:p>
        </w:tc>
        <w:tc>
          <w:tcPr>
            <w:tcW w:w="578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4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00" w:type="dxa"/>
            <w:vAlign w:val="bottom"/>
            <w:tcBorders>
              <w:top w:val="single" w:sz="8" w:color="E5E5E5"/>
              <w:bottom w:val="single" w:sz="8" w:color="auto"/>
            </w:tcBorders>
          </w:tcPr>
          <w:p>
            <w:pPr>
              <w:spacing w:after="0" w:line="20" w:lineRule="exact"/>
              <w:rPr>
                <w:sz w:val="1"/>
                <w:szCs w:val="1"/>
                <w:color w:val="auto"/>
              </w:rPr>
            </w:pPr>
          </w:p>
        </w:tc>
        <w:tc>
          <w:tcPr>
            <w:tcW w:w="1240" w:type="dxa"/>
            <w:vAlign w:val="bottom"/>
            <w:tcBorders>
              <w:top w:val="single" w:sz="8" w:color="E5E5E5"/>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Cash Flows from Operating Activities</w:t>
      </w:r>
    </w:p>
    <w:p>
      <w:pPr>
        <w:spacing w:after="0" w:line="10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Net cash provided by operating activities was $66 million in the first quarter 2022. The $51 million decrease in operating cash from the prior year period was primarily due to the following:</w:t>
      </w:r>
    </w:p>
    <w:p>
      <w:pPr>
        <w:spacing w:after="0" w:line="1" w:lineRule="exact"/>
        <w:rPr>
          <w:sz w:val="20"/>
          <w:szCs w:val="20"/>
          <w:color w:val="auto"/>
        </w:rPr>
      </w:pPr>
    </w:p>
    <w:p>
      <w:pPr>
        <w:ind w:left="340" w:hanging="332"/>
        <w:spacing w:after="0" w:line="260" w:lineRule="auto"/>
        <w:tabs>
          <w:tab w:leader="none" w:pos="335" w:val="left"/>
        </w:tabs>
        <w:numPr>
          <w:ilvl w:val="0"/>
          <w:numId w:val="45"/>
        </w:numPr>
        <w:rPr>
          <w:rFonts w:ascii="Arial" w:cs="Arial" w:eastAsia="Arial" w:hAnsi="Arial"/>
          <w:sz w:val="18"/>
          <w:szCs w:val="18"/>
          <w:b w:val="1"/>
          <w:bCs w:val="1"/>
          <w:color w:val="DA2031"/>
        </w:rPr>
      </w:pPr>
      <w:r>
        <w:rPr>
          <w:rFonts w:ascii="Arial" w:cs="Arial" w:eastAsia="Arial" w:hAnsi="Arial"/>
          <w:sz w:val="18"/>
          <w:szCs w:val="18"/>
          <w:color w:val="auto"/>
        </w:rPr>
        <w:t>$109 million decrease in pre-tax income before depreciation and amortization, restructuring and related costs and non-service retirement-related costs.</w:t>
      </w:r>
    </w:p>
    <w:p>
      <w:pPr>
        <w:spacing w:after="0" w:line="1" w:lineRule="exact"/>
        <w:rPr>
          <w:rFonts w:ascii="Arial" w:cs="Arial" w:eastAsia="Arial" w:hAnsi="Arial"/>
          <w:sz w:val="18"/>
          <w:szCs w:val="18"/>
          <w:b w:val="1"/>
          <w:bCs w:val="1"/>
          <w:color w:val="DA2031"/>
        </w:rPr>
      </w:pPr>
    </w:p>
    <w:p>
      <w:pPr>
        <w:ind w:left="340" w:hanging="332"/>
        <w:spacing w:after="0" w:line="250" w:lineRule="auto"/>
        <w:tabs>
          <w:tab w:leader="none" w:pos="335" w:val="left"/>
        </w:tabs>
        <w:numPr>
          <w:ilvl w:val="0"/>
          <w:numId w:val="45"/>
        </w:numPr>
        <w:rPr>
          <w:rFonts w:ascii="Arial" w:cs="Arial" w:eastAsia="Arial" w:hAnsi="Arial"/>
          <w:sz w:val="18"/>
          <w:szCs w:val="18"/>
          <w:b w:val="1"/>
          <w:bCs w:val="1"/>
          <w:color w:val="DA2031"/>
        </w:rPr>
      </w:pPr>
      <w:r>
        <w:rPr>
          <w:rFonts w:ascii="Arial" w:cs="Arial" w:eastAsia="Arial" w:hAnsi="Arial"/>
          <w:sz w:val="18"/>
          <w:szCs w:val="18"/>
          <w:color w:val="auto"/>
        </w:rPr>
        <w:t>$79 million decrease from accounts receivable primarily due to a lower sequential revenue decrease compared to the prior year as well as the timing of collections.</w:t>
      </w:r>
    </w:p>
    <w:p>
      <w:pPr>
        <w:ind w:left="320" w:hanging="312"/>
        <w:spacing w:after="0"/>
        <w:tabs>
          <w:tab w:leader="none" w:pos="320" w:val="left"/>
        </w:tabs>
        <w:numPr>
          <w:ilvl w:val="0"/>
          <w:numId w:val="45"/>
        </w:numPr>
        <w:rPr>
          <w:rFonts w:ascii="Arial" w:cs="Arial" w:eastAsia="Arial" w:hAnsi="Arial"/>
          <w:sz w:val="18"/>
          <w:szCs w:val="18"/>
          <w:b w:val="1"/>
          <w:bCs w:val="1"/>
          <w:color w:val="DA2031"/>
        </w:rPr>
      </w:pPr>
      <w:r>
        <w:rPr>
          <w:rFonts w:ascii="Arial" w:cs="Arial" w:eastAsia="Arial" w:hAnsi="Arial"/>
          <w:sz w:val="18"/>
          <w:szCs w:val="18"/>
          <w:color w:val="auto"/>
        </w:rPr>
        <w:t>$13 million decrease from inventory primarily due to higher non-equipment inventories.</w:t>
      </w:r>
    </w:p>
    <w:p>
      <w:pPr>
        <w:spacing w:after="0" w:line="9" w:lineRule="exact"/>
        <w:rPr>
          <w:rFonts w:ascii="Arial" w:cs="Arial" w:eastAsia="Arial" w:hAnsi="Arial"/>
          <w:sz w:val="18"/>
          <w:szCs w:val="18"/>
          <w:b w:val="1"/>
          <w:bCs w:val="1"/>
          <w:color w:val="DA2031"/>
        </w:rPr>
      </w:pPr>
    </w:p>
    <w:p>
      <w:pPr>
        <w:ind w:left="340" w:hanging="332"/>
        <w:spacing w:after="0" w:line="250" w:lineRule="auto"/>
        <w:tabs>
          <w:tab w:leader="none" w:pos="335" w:val="left"/>
        </w:tabs>
        <w:numPr>
          <w:ilvl w:val="0"/>
          <w:numId w:val="45"/>
        </w:numPr>
        <w:rPr>
          <w:rFonts w:ascii="Arial" w:cs="Arial" w:eastAsia="Arial" w:hAnsi="Arial"/>
          <w:sz w:val="18"/>
          <w:szCs w:val="18"/>
          <w:b w:val="1"/>
          <w:bCs w:val="1"/>
          <w:color w:val="DA2031"/>
        </w:rPr>
      </w:pPr>
      <w:r>
        <w:rPr>
          <w:rFonts w:ascii="Arial" w:cs="Arial" w:eastAsia="Arial" w:hAnsi="Arial"/>
          <w:sz w:val="18"/>
          <w:szCs w:val="18"/>
          <w:color w:val="auto"/>
        </w:rPr>
        <w:t>$142 million increase from accounts payable primarily due to the timing of supplier and vendor payments as payment terms were extended on multiple suppliers.</w:t>
      </w:r>
    </w:p>
    <w:p>
      <w:pPr>
        <w:ind w:left="320" w:hanging="312"/>
        <w:spacing w:after="0"/>
        <w:tabs>
          <w:tab w:leader="none" w:pos="320" w:val="left"/>
        </w:tabs>
        <w:numPr>
          <w:ilvl w:val="0"/>
          <w:numId w:val="45"/>
        </w:numPr>
        <w:rPr>
          <w:rFonts w:ascii="Arial" w:cs="Arial" w:eastAsia="Arial" w:hAnsi="Arial"/>
          <w:sz w:val="18"/>
          <w:szCs w:val="18"/>
          <w:b w:val="1"/>
          <w:bCs w:val="1"/>
          <w:color w:val="DA2031"/>
        </w:rPr>
      </w:pPr>
      <w:r>
        <w:rPr>
          <w:rFonts w:ascii="Arial" w:cs="Arial" w:eastAsia="Arial" w:hAnsi="Arial"/>
          <w:sz w:val="18"/>
          <w:szCs w:val="18"/>
          <w:color w:val="auto"/>
        </w:rPr>
        <w:t>$22 million increase from lower payments for restructuring and related costs.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Cash Flows from Investing Activities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investing activities was $75 million in the first quarter 2022. The $58 million change from the prior year period was primarily due to one acquisition for $54 million in the current year compared to no acquisitions in the prior year. Other investing, net includes $5 million of noncontrolling investments as part of our corporate venture capital fund.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DA2031"/>
        </w:rPr>
        <w:t>Cash Flows from Financing Activities</w:t>
      </w:r>
    </w:p>
    <w:p>
      <w:pPr>
        <w:spacing w:after="0" w:line="117"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Net cash used in financing activities was $149 million in the first quarter 2022. The $169 million decrease in the use of cash from the prior year period was primarily due to the following:</w:t>
      </w:r>
    </w:p>
    <w:p>
      <w:pPr>
        <w:spacing w:after="0" w:line="1" w:lineRule="exact"/>
        <w:rPr>
          <w:sz w:val="20"/>
          <w:szCs w:val="20"/>
          <w:color w:val="auto"/>
        </w:rPr>
      </w:pPr>
    </w:p>
    <w:p>
      <w:pPr>
        <w:jc w:val="both"/>
        <w:ind w:left="340" w:hanging="332"/>
        <w:spacing w:after="0" w:line="235" w:lineRule="auto"/>
        <w:tabs>
          <w:tab w:leader="none" w:pos="335" w:val="left"/>
        </w:tabs>
        <w:numPr>
          <w:ilvl w:val="0"/>
          <w:numId w:val="46"/>
        </w:numPr>
        <w:rPr>
          <w:rFonts w:ascii="Arial" w:cs="Arial" w:eastAsia="Arial" w:hAnsi="Arial"/>
          <w:sz w:val="18"/>
          <w:szCs w:val="18"/>
          <w:b w:val="1"/>
          <w:bCs w:val="1"/>
          <w:color w:val="DA2031"/>
        </w:rPr>
      </w:pPr>
      <w:r>
        <w:rPr>
          <w:rFonts w:ascii="Arial" w:cs="Arial" w:eastAsia="Arial" w:hAnsi="Arial"/>
          <w:sz w:val="18"/>
          <w:szCs w:val="18"/>
          <w:color w:val="auto"/>
        </w:rPr>
        <w:t>$117 million decrease from net debt activity. 2022 reflects proceeds of $668 million on a new secured financing arrangement offset by payments of $346 million on existing secured financing arrangements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$300 million on Senior Notes. 2021 reflects payments of $94 million on secured financing arrangements.</w:t>
      </w:r>
    </w:p>
    <w:p>
      <w:pPr>
        <w:spacing w:after="0" w:line="1" w:lineRule="exact"/>
        <w:rPr>
          <w:rFonts w:ascii="Arial" w:cs="Arial" w:eastAsia="Arial" w:hAnsi="Arial"/>
          <w:sz w:val="18"/>
          <w:szCs w:val="18"/>
          <w:b w:val="1"/>
          <w:bCs w:val="1"/>
          <w:color w:val="DA2031"/>
        </w:rPr>
      </w:pPr>
    </w:p>
    <w:p>
      <w:pPr>
        <w:ind w:left="320" w:hanging="312"/>
        <w:spacing w:after="0"/>
        <w:tabs>
          <w:tab w:leader="none" w:pos="320" w:val="left"/>
        </w:tabs>
        <w:numPr>
          <w:ilvl w:val="0"/>
          <w:numId w:val="46"/>
        </w:numPr>
        <w:rPr>
          <w:rFonts w:ascii="Arial" w:cs="Arial" w:eastAsia="Arial" w:hAnsi="Arial"/>
          <w:sz w:val="18"/>
          <w:szCs w:val="18"/>
          <w:b w:val="1"/>
          <w:bCs w:val="1"/>
          <w:color w:val="DA2031"/>
        </w:rPr>
      </w:pPr>
      <w:r>
        <w:rPr>
          <w:rFonts w:ascii="Arial" w:cs="Arial" w:eastAsia="Arial" w:hAnsi="Arial"/>
          <w:sz w:val="18"/>
          <w:szCs w:val="18"/>
          <w:color w:val="auto"/>
        </w:rPr>
        <w:t>$49 million decrease due to share repurchases in the current year of $113 million compared to share repurchases of $162 million in the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prior year.</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15" w:lineRule="exact"/>
        <w:rPr>
          <w:sz w:val="20"/>
          <w:szCs w:val="20"/>
          <w:color w:val="auto"/>
        </w:rPr>
      </w:pPr>
    </w:p>
    <w:p>
      <w:pPr>
        <w:ind w:left="340" w:right="20" w:hanging="332"/>
        <w:spacing w:after="0" w:line="284" w:lineRule="auto"/>
        <w:tabs>
          <w:tab w:leader="none" w:pos="327"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payments on existing secured financing arrangements of $346 million include $248 million associated with the early extinguishment of an existing arrangement that was funded through the new secured financing arrangement. Refer to Note 13 - Debt for further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Cash, Cash Equivalents and Restricted Cash</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 to Note 7 - Supplementary Financial Information in the Condensed Consolidated Financial Statements for additional information regarding Cash, cash equivalents and restricted cash.</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Operating Leases</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operating leases for real estate and vehicles in our domestic and international operations and for certain equipment in our domestic operations. Additionally, we have identified embedded operating leases within certain supply chain contracts for warehouses, primarily within our domestic operations. Our leases have remaining terms of up to eleven years and a variety of renewal and/or termination options. As of March 31, 2022 and December 31, 2021, total operating lease liabilities were $270 million and $283 million, respectively.</w:t>
      </w:r>
    </w:p>
    <w:p>
      <w:pPr>
        <w:spacing w:after="0" w:line="4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 to Note 11 - Lessee in the Condensed Consolidated Financial Statements for additional information regarding our leases accounted for under lessee accounting.</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Debt and Customer Financing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debt: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4"/>
                <w:szCs w:val="14"/>
                <w:color w:val="auto"/>
              </w:rPr>
            </w:pPr>
          </w:p>
        </w:tc>
        <w:tc>
          <w:tcPr>
            <w:tcW w:w="1760" w:type="dxa"/>
            <w:vAlign w:val="bottom"/>
            <w:gridSpan w:val="2"/>
          </w:tcPr>
          <w:p>
            <w:pPr>
              <w:ind w:left="180"/>
              <w:spacing w:after="0"/>
              <w:rPr>
                <w:sz w:val="20"/>
                <w:szCs w:val="20"/>
                <w:color w:val="auto"/>
              </w:rPr>
            </w:pPr>
            <w:r>
              <w:rPr>
                <w:rFonts w:ascii="Arial" w:cs="Arial" w:eastAsia="Arial" w:hAnsi="Arial"/>
                <w:sz w:val="14"/>
                <w:szCs w:val="14"/>
                <w:color w:val="auto"/>
              </w:rPr>
              <w:t>March 31, 2022</w:t>
            </w:r>
          </w:p>
        </w:tc>
        <w:tc>
          <w:tcPr>
            <w:tcW w:w="220" w:type="dxa"/>
            <w:vAlign w:val="bottom"/>
          </w:tcPr>
          <w:p>
            <w:pPr>
              <w:spacing w:after="0"/>
              <w:rPr>
                <w:sz w:val="14"/>
                <w:szCs w:val="14"/>
                <w:color w:val="auto"/>
              </w:rPr>
            </w:pPr>
          </w:p>
        </w:tc>
        <w:tc>
          <w:tcPr>
            <w:tcW w:w="1700" w:type="dxa"/>
            <w:vAlign w:val="bottom"/>
          </w:tcPr>
          <w:p>
            <w:pPr>
              <w:jc w:val="right"/>
              <w:ind w:right="248"/>
              <w:spacing w:after="0"/>
              <w:rPr>
                <w:sz w:val="20"/>
                <w:szCs w:val="20"/>
                <w:color w:val="auto"/>
              </w:rPr>
            </w:pPr>
            <w:r>
              <w:rPr>
                <w:rFonts w:ascii="Arial" w:cs="Arial" w:eastAsia="Arial" w:hAnsi="Arial"/>
                <w:sz w:val="14"/>
                <w:szCs w:val="14"/>
                <w:color w:val="auto"/>
              </w:rPr>
              <w:t>December 31, 2021</w:t>
            </w:r>
          </w:p>
        </w:tc>
      </w:tr>
      <w:tr>
        <w:trPr>
          <w:trHeight w:val="20"/>
        </w:trPr>
        <w:tc>
          <w:tcPr>
            <w:tcW w:w="20" w:type="dxa"/>
            <w:vAlign w:val="bottom"/>
            <w:tcBorders>
              <w:bottom w:val="single" w:sz="8" w:color="E5E5E5"/>
            </w:tcBorders>
          </w:tcPr>
          <w:p>
            <w:pPr>
              <w:spacing w:after="0" w:line="20" w:lineRule="exact"/>
              <w:rPr>
                <w:sz w:val="1"/>
                <w:szCs w:val="1"/>
                <w:color w:val="auto"/>
              </w:rPr>
            </w:pPr>
          </w:p>
        </w:tc>
        <w:tc>
          <w:tcPr>
            <w:tcW w:w="640" w:type="dxa"/>
            <w:vAlign w:val="bottom"/>
            <w:tcBorders>
              <w:top w:val="single" w:sz="8" w:color="auto"/>
              <w:bottom w:val="single" w:sz="8" w:color="E5E5E5"/>
            </w:tcBorders>
          </w:tcPr>
          <w:p>
            <w:pPr>
              <w:spacing w:after="0" w:line="20" w:lineRule="exact"/>
              <w:rPr>
                <w:sz w:val="1"/>
                <w:szCs w:val="1"/>
                <w:color w:val="auto"/>
              </w:rPr>
            </w:pPr>
          </w:p>
        </w:tc>
        <w:tc>
          <w:tcPr>
            <w:tcW w:w="6580" w:type="dxa"/>
            <w:vAlign w:val="bottom"/>
            <w:tcBorders>
              <w:bottom w:val="single" w:sz="8" w:color="E5E5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E5E5E5"/>
          </w:tcPr>
          <w:p>
            <w:pPr>
              <w:spacing w:after="0"/>
              <w:rPr>
                <w:sz w:val="17"/>
                <w:szCs w:val="17"/>
                <w:color w:val="auto"/>
              </w:rPr>
            </w:pPr>
          </w:p>
        </w:tc>
        <w:tc>
          <w:tcPr>
            <w:tcW w:w="722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Xerox Holdings Corporation</w:t>
            </w:r>
          </w:p>
        </w:tc>
        <w:tc>
          <w:tcPr>
            <w:tcW w:w="2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1,500</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1,500</w:t>
            </w:r>
          </w:p>
        </w:tc>
      </w:tr>
      <w:tr>
        <w:trPr>
          <w:trHeight w:val="198"/>
        </w:trPr>
        <w:tc>
          <w:tcPr>
            <w:tcW w:w="2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4"/>
                <w:szCs w:val="14"/>
                <w:color w:val="auto"/>
              </w:rPr>
              <w:t>Xerox Corporation</w:t>
            </w: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1,900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2,200</w:t>
            </w:r>
          </w:p>
        </w:tc>
      </w:tr>
      <w:tr>
        <w:trPr>
          <w:trHeight w:val="207"/>
        </w:trPr>
        <w:tc>
          <w:tcPr>
            <w:tcW w:w="20" w:type="dxa"/>
            <w:vAlign w:val="bottom"/>
            <w:shd w:val="clear" w:color="auto" w:fill="E5E5E5"/>
          </w:tcPr>
          <w:p>
            <w:pPr>
              <w:spacing w:after="0"/>
              <w:rPr>
                <w:sz w:val="17"/>
                <w:szCs w:val="17"/>
                <w:color w:val="auto"/>
              </w:rPr>
            </w:pPr>
          </w:p>
        </w:tc>
        <w:tc>
          <w:tcPr>
            <w:tcW w:w="722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Xerox - Other Subsidiaries</w:t>
            </w:r>
            <w:r>
              <w:rPr>
                <w:rFonts w:ascii="Arial" w:cs="Arial" w:eastAsia="Arial" w:hAnsi="Arial"/>
                <w:sz w:val="18"/>
                <w:szCs w:val="18"/>
                <w:color w:val="auto"/>
                <w:vertAlign w:val="superscript"/>
              </w:rPr>
              <w:t>(1)</w:t>
            </w:r>
          </w:p>
        </w:tc>
        <w:tc>
          <w:tcPr>
            <w:tcW w:w="260" w:type="dxa"/>
            <w:vAlign w:val="bottom"/>
            <w:tcBorders>
              <w:bottom w:val="single" w:sz="8" w:color="auto"/>
            </w:tcBorders>
            <w:shd w:val="clear" w:color="auto" w:fill="E5E5E5"/>
          </w:tcPr>
          <w:p>
            <w:pPr>
              <w:spacing w:after="0"/>
              <w:rPr>
                <w:sz w:val="17"/>
                <w:szCs w:val="17"/>
                <w:color w:val="auto"/>
              </w:rPr>
            </w:pPr>
          </w:p>
        </w:tc>
        <w:tc>
          <w:tcPr>
            <w:tcW w:w="1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885</w:t>
            </w:r>
          </w:p>
        </w:tc>
        <w:tc>
          <w:tcPr>
            <w:tcW w:w="120" w:type="dxa"/>
            <w:vAlign w:val="bottom"/>
            <w:shd w:val="clear" w:color="auto" w:fill="E5E5E5"/>
          </w:tcPr>
          <w:p>
            <w:pPr>
              <w:spacing w:after="0"/>
              <w:rPr>
                <w:sz w:val="17"/>
                <w:szCs w:val="17"/>
                <w:color w:val="auto"/>
              </w:rPr>
            </w:pPr>
          </w:p>
        </w:tc>
        <w:tc>
          <w:tcPr>
            <w:tcW w:w="220" w:type="dxa"/>
            <w:vAlign w:val="bottom"/>
            <w:tcBorders>
              <w:bottom w:val="single" w:sz="8" w:color="auto"/>
            </w:tcBorders>
            <w:shd w:val="clear" w:color="auto" w:fill="E5E5E5"/>
          </w:tcPr>
          <w:p>
            <w:pPr>
              <w:spacing w:after="0"/>
              <w:rPr>
                <w:sz w:val="17"/>
                <w:szCs w:val="17"/>
                <w:color w:val="auto"/>
              </w:rPr>
            </w:pPr>
          </w:p>
        </w:tc>
        <w:tc>
          <w:tcPr>
            <w:tcW w:w="1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561</w:t>
            </w:r>
          </w:p>
        </w:tc>
      </w:tr>
      <w:tr>
        <w:trPr>
          <w:trHeight w:val="195"/>
        </w:trPr>
        <w:tc>
          <w:tcPr>
            <w:tcW w:w="20" w:type="dxa"/>
            <w:vAlign w:val="bottom"/>
          </w:tcPr>
          <w:p>
            <w:pPr>
              <w:spacing w:after="0"/>
              <w:rPr>
                <w:sz w:val="16"/>
                <w:szCs w:val="16"/>
                <w:color w:val="auto"/>
              </w:rPr>
            </w:pPr>
          </w:p>
        </w:tc>
        <w:tc>
          <w:tcPr>
            <w:tcW w:w="7220" w:type="dxa"/>
            <w:vAlign w:val="bottom"/>
            <w:gridSpan w:val="2"/>
          </w:tcPr>
          <w:p>
            <w:pPr>
              <w:ind w:left="220"/>
              <w:spacing w:after="0"/>
              <w:rPr>
                <w:sz w:val="20"/>
                <w:szCs w:val="20"/>
                <w:color w:val="auto"/>
              </w:rPr>
            </w:pPr>
            <w:r>
              <w:rPr>
                <w:rFonts w:ascii="Arial" w:cs="Arial" w:eastAsia="Arial" w:hAnsi="Arial"/>
                <w:sz w:val="14"/>
                <w:szCs w:val="14"/>
                <w:b w:val="1"/>
                <w:bCs w:val="1"/>
                <w:color w:val="auto"/>
              </w:rPr>
              <w:t>Subtotal - Principal debt balance</w:t>
            </w:r>
          </w:p>
        </w:tc>
        <w:tc>
          <w:tcPr>
            <w:tcW w:w="2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4,285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4,261</w:t>
            </w:r>
          </w:p>
        </w:tc>
      </w:tr>
      <w:tr>
        <w:trPr>
          <w:trHeight w:val="203"/>
        </w:trPr>
        <w:tc>
          <w:tcPr>
            <w:tcW w:w="20" w:type="dxa"/>
            <w:vAlign w:val="bottom"/>
            <w:shd w:val="clear" w:color="auto" w:fill="E5E5E5"/>
          </w:tcPr>
          <w:p>
            <w:pPr>
              <w:spacing w:after="0"/>
              <w:rPr>
                <w:sz w:val="17"/>
                <w:szCs w:val="17"/>
                <w:color w:val="auto"/>
              </w:rPr>
            </w:pPr>
          </w:p>
        </w:tc>
        <w:tc>
          <w:tcPr>
            <w:tcW w:w="722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Debt issuance costs</w:t>
            </w:r>
          </w:p>
        </w:tc>
        <w:tc>
          <w:tcPr>
            <w:tcW w:w="260" w:type="dxa"/>
            <w:vAlign w:val="bottom"/>
            <w:shd w:val="clear" w:color="auto" w:fill="E5E5E5"/>
          </w:tcPr>
          <w:p>
            <w:pPr>
              <w:spacing w:after="0"/>
              <w:rPr>
                <w:sz w:val="17"/>
                <w:szCs w:val="17"/>
                <w:color w:val="auto"/>
              </w:rPr>
            </w:pPr>
          </w:p>
        </w:tc>
        <w:tc>
          <w:tcPr>
            <w:tcW w:w="16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700" w:type="dxa"/>
            <w:vAlign w:val="bottom"/>
            <w:shd w:val="clear" w:color="auto" w:fill="E5E5E5"/>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4"/>
                <w:szCs w:val="14"/>
                <w:color w:val="auto"/>
              </w:rPr>
              <w:t>Xerox Holdings Corporation</w:t>
            </w: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7"/>
        </w:trPr>
        <w:tc>
          <w:tcPr>
            <w:tcW w:w="20" w:type="dxa"/>
            <w:vAlign w:val="bottom"/>
            <w:shd w:val="clear" w:color="auto" w:fill="E5E5E5"/>
          </w:tcPr>
          <w:p>
            <w:pPr>
              <w:spacing w:after="0"/>
              <w:rPr>
                <w:sz w:val="17"/>
                <w:szCs w:val="17"/>
                <w:color w:val="auto"/>
              </w:rPr>
            </w:pPr>
          </w:p>
        </w:tc>
        <w:tc>
          <w:tcPr>
            <w:tcW w:w="722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Xerox Corporation</w:t>
            </w:r>
          </w:p>
        </w:tc>
        <w:tc>
          <w:tcPr>
            <w:tcW w:w="260" w:type="dxa"/>
            <w:vAlign w:val="bottom"/>
            <w:shd w:val="clear" w:color="auto" w:fill="E5E5E5"/>
          </w:tcPr>
          <w:p>
            <w:pPr>
              <w:spacing w:after="0"/>
              <w:rPr>
                <w:sz w:val="17"/>
                <w:szCs w:val="17"/>
                <w:color w:val="auto"/>
              </w:rPr>
            </w:pPr>
          </w:p>
        </w:tc>
        <w:tc>
          <w:tcPr>
            <w:tcW w:w="1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w:t>
            </w:r>
          </w:p>
        </w:tc>
      </w:tr>
      <w:tr>
        <w:trPr>
          <w:trHeight w:val="203"/>
        </w:trPr>
        <w:tc>
          <w:tcPr>
            <w:tcW w:w="20" w:type="dxa"/>
            <w:vAlign w:val="bottom"/>
            <w:tcBorders>
              <w:bottom w:val="single" w:sz="8" w:color="E5E5E5"/>
            </w:tcBorders>
          </w:tcPr>
          <w:p>
            <w:pPr>
              <w:spacing w:after="0"/>
              <w:rPr>
                <w:sz w:val="17"/>
                <w:szCs w:val="17"/>
                <w:color w:val="auto"/>
              </w:rPr>
            </w:pPr>
          </w:p>
        </w:tc>
        <w:tc>
          <w:tcPr>
            <w:tcW w:w="7220" w:type="dxa"/>
            <w:vAlign w:val="bottom"/>
            <w:tcBorders>
              <w:bottom w:val="single" w:sz="8" w:color="E5E5E5"/>
            </w:tcBorders>
            <w:gridSpan w:val="2"/>
          </w:tcPr>
          <w:p>
            <w:pPr>
              <w:spacing w:after="0" w:line="202" w:lineRule="exact"/>
              <w:rPr>
                <w:sz w:val="20"/>
                <w:szCs w:val="20"/>
                <w:color w:val="auto"/>
              </w:rPr>
            </w:pPr>
            <w:r>
              <w:rPr>
                <w:rFonts w:ascii="Arial" w:cs="Arial" w:eastAsia="Arial" w:hAnsi="Arial"/>
                <w:sz w:val="14"/>
                <w:szCs w:val="14"/>
                <w:color w:val="auto"/>
              </w:rPr>
              <w:t>Xerox - Other Subsidiaries</w:t>
            </w:r>
            <w:r>
              <w:rPr>
                <w:rFonts w:ascii="Arial" w:cs="Arial" w:eastAsia="Arial" w:hAnsi="Arial"/>
                <w:sz w:val="18"/>
                <w:szCs w:val="18"/>
                <w:color w:val="auto"/>
                <w:vertAlign w:val="superscript"/>
              </w:rPr>
              <w:t>(1)</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E5E5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20" w:type="dxa"/>
            <w:vAlign w:val="bottom"/>
            <w:shd w:val="clear" w:color="auto" w:fill="E5E5E5"/>
          </w:tcPr>
          <w:p>
            <w:pPr>
              <w:spacing w:after="0"/>
              <w:rPr>
                <w:sz w:val="17"/>
                <w:szCs w:val="17"/>
                <w:color w:val="auto"/>
              </w:rPr>
            </w:pPr>
          </w:p>
        </w:tc>
        <w:tc>
          <w:tcPr>
            <w:tcW w:w="7220" w:type="dxa"/>
            <w:vAlign w:val="bottom"/>
            <w:gridSpan w:val="2"/>
            <w:shd w:val="clear" w:color="auto" w:fill="E5E5E5"/>
          </w:tcPr>
          <w:p>
            <w:pPr>
              <w:ind w:left="220"/>
              <w:spacing w:after="0"/>
              <w:rPr>
                <w:sz w:val="20"/>
                <w:szCs w:val="20"/>
                <w:color w:val="auto"/>
              </w:rPr>
            </w:pPr>
            <w:r>
              <w:rPr>
                <w:rFonts w:ascii="Arial" w:cs="Arial" w:eastAsia="Arial" w:hAnsi="Arial"/>
                <w:sz w:val="14"/>
                <w:szCs w:val="14"/>
                <w:b w:val="1"/>
                <w:bCs w:val="1"/>
                <w:color w:val="auto"/>
              </w:rPr>
              <w:t>Subtotal - Debt issuance costs</w:t>
            </w:r>
          </w:p>
        </w:tc>
        <w:tc>
          <w:tcPr>
            <w:tcW w:w="260" w:type="dxa"/>
            <w:vAlign w:val="bottom"/>
            <w:shd w:val="clear" w:color="auto" w:fill="E5E5E5"/>
          </w:tcPr>
          <w:p>
            <w:pPr>
              <w:spacing w:after="0"/>
              <w:rPr>
                <w:sz w:val="17"/>
                <w:szCs w:val="17"/>
                <w:color w:val="auto"/>
              </w:rPr>
            </w:pPr>
          </w:p>
        </w:tc>
        <w:tc>
          <w:tcPr>
            <w:tcW w:w="1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w:t>
            </w:r>
          </w:p>
        </w:tc>
      </w:tr>
      <w:tr>
        <w:trPr>
          <w:trHeight w:val="198"/>
        </w:trPr>
        <w:tc>
          <w:tcPr>
            <w:tcW w:w="20" w:type="dxa"/>
            <w:vAlign w:val="bottom"/>
            <w:tcBorders>
              <w:bottom w:val="single" w:sz="8" w:color="E5E5E5"/>
            </w:tcBorders>
          </w:tcPr>
          <w:p>
            <w:pPr>
              <w:spacing w:after="0"/>
              <w:rPr>
                <w:sz w:val="17"/>
                <w:szCs w:val="17"/>
                <w:color w:val="auto"/>
              </w:rPr>
            </w:pPr>
          </w:p>
        </w:tc>
        <w:tc>
          <w:tcPr>
            <w:tcW w:w="7220" w:type="dxa"/>
            <w:vAlign w:val="bottom"/>
            <w:tcBorders>
              <w:bottom w:val="single" w:sz="8" w:color="E5E5E5"/>
            </w:tcBorders>
            <w:gridSpan w:val="2"/>
          </w:tcPr>
          <w:p>
            <w:pPr>
              <w:spacing w:after="0"/>
              <w:rPr>
                <w:sz w:val="20"/>
                <w:szCs w:val="20"/>
                <w:color w:val="auto"/>
              </w:rPr>
            </w:pPr>
            <w:r>
              <w:rPr>
                <w:rFonts w:ascii="Arial" w:cs="Arial" w:eastAsia="Arial" w:hAnsi="Arial"/>
                <w:sz w:val="14"/>
                <w:szCs w:val="14"/>
                <w:color w:val="auto"/>
              </w:rPr>
              <w:t>Net unamortized premium</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E5E5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25"/>
        </w:trPr>
        <w:tc>
          <w:tcPr>
            <w:tcW w:w="20" w:type="dxa"/>
            <w:vAlign w:val="bottom"/>
            <w:tcBorders>
              <w:bottom w:val="single" w:sz="8" w:color="E5E5E5"/>
            </w:tcBorders>
            <w:shd w:val="clear" w:color="auto" w:fill="E5E5E5"/>
          </w:tcPr>
          <w:p>
            <w:pPr>
              <w:spacing w:after="0"/>
              <w:rPr>
                <w:sz w:val="19"/>
                <w:szCs w:val="19"/>
                <w:color w:val="auto"/>
              </w:rPr>
            </w:pPr>
          </w:p>
        </w:tc>
        <w:tc>
          <w:tcPr>
            <w:tcW w:w="722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4"/>
                <w:szCs w:val="14"/>
                <w:b w:val="1"/>
                <w:bCs w:val="1"/>
                <w:color w:val="auto"/>
              </w:rPr>
              <w:t>Total Debt</w:t>
            </w:r>
          </w:p>
        </w:tc>
        <w:tc>
          <w:tcPr>
            <w:tcW w:w="260" w:type="dxa"/>
            <w:vAlign w:val="bottom"/>
            <w:tcBorders>
              <w:bottom w:val="single" w:sz="8" w:color="auto"/>
            </w:tcBorders>
            <w:shd w:val="clear" w:color="auto" w:fill="E5E5E5"/>
          </w:tcPr>
          <w:p>
            <w:pPr>
              <w:jc w:val="right"/>
              <w:ind w:right="10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4,271</w:t>
            </w:r>
          </w:p>
        </w:tc>
        <w:tc>
          <w:tcPr>
            <w:tcW w:w="120" w:type="dxa"/>
            <w:vAlign w:val="bottom"/>
            <w:tcBorders>
              <w:bottom w:val="single" w:sz="8" w:color="E5E5E5"/>
            </w:tcBorders>
            <w:shd w:val="clear" w:color="auto" w:fill="E5E5E5"/>
          </w:tcPr>
          <w:p>
            <w:pPr>
              <w:spacing w:after="0"/>
              <w:rPr>
                <w:sz w:val="19"/>
                <w:szCs w:val="19"/>
                <w:color w:val="auto"/>
              </w:rPr>
            </w:pPr>
          </w:p>
        </w:tc>
        <w:tc>
          <w:tcPr>
            <w:tcW w:w="2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4,246</w:t>
            </w:r>
          </w:p>
        </w:tc>
      </w:tr>
      <w:tr>
        <w:trPr>
          <w:trHeight w:val="20"/>
        </w:trPr>
        <w:tc>
          <w:tcPr>
            <w:tcW w:w="20" w:type="dxa"/>
            <w:vAlign w:val="bottom"/>
            <w:tcBorders>
              <w:top w:val="single" w:sz="8" w:color="E5E5E5"/>
            </w:tcBorders>
          </w:tcPr>
          <w:p>
            <w:pPr>
              <w:spacing w:after="0" w:line="20" w:lineRule="exact"/>
              <w:rPr>
                <w:sz w:val="1"/>
                <w:szCs w:val="1"/>
                <w:color w:val="auto"/>
              </w:rPr>
            </w:pPr>
          </w:p>
        </w:tc>
        <w:tc>
          <w:tcPr>
            <w:tcW w:w="640" w:type="dxa"/>
            <w:vAlign w:val="bottom"/>
            <w:tcBorders>
              <w:top w:val="single" w:sz="8" w:color="E5E5E5"/>
            </w:tcBorders>
          </w:tcPr>
          <w:p>
            <w:pPr>
              <w:spacing w:after="0" w:line="20" w:lineRule="exact"/>
              <w:rPr>
                <w:sz w:val="1"/>
                <w:szCs w:val="1"/>
                <w:color w:val="auto"/>
              </w:rPr>
            </w:pPr>
          </w:p>
        </w:tc>
        <w:tc>
          <w:tcPr>
            <w:tcW w:w="658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164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20" w:type="dxa"/>
            <w:vAlign w:val="bottom"/>
            <w:tcBorders>
              <w:top w:val="single" w:sz="8" w:color="E5E5E5"/>
              <w:bottom w:val="single" w:sz="8" w:color="auto"/>
            </w:tcBorders>
          </w:tcPr>
          <w:p>
            <w:pPr>
              <w:spacing w:after="0" w:line="20" w:lineRule="exact"/>
              <w:rPr>
                <w:sz w:val="1"/>
                <w:szCs w:val="1"/>
                <w:color w:val="auto"/>
              </w:rPr>
            </w:pPr>
          </w:p>
        </w:tc>
        <w:tc>
          <w:tcPr>
            <w:tcW w:w="1700" w:type="dxa"/>
            <w:vAlign w:val="bottom"/>
            <w:tcBorders>
              <w:top w:val="single" w:sz="8" w:color="E5E5E5"/>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6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secured debt issued by subsidiaries of Xerox Corporation as part of the securitization of Finance Receivables.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13 - Debt in the Condensed Consolidated Financial Statements for additional information regarding debt.</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Finance Assets and Related Debt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total finance assets, net associated with our lease and finance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4"/>
                <w:szCs w:val="14"/>
                <w:color w:val="auto"/>
              </w:rPr>
            </w:pPr>
          </w:p>
        </w:tc>
        <w:tc>
          <w:tcPr>
            <w:tcW w:w="1760" w:type="dxa"/>
            <w:vAlign w:val="bottom"/>
            <w:gridSpan w:val="2"/>
          </w:tcPr>
          <w:p>
            <w:pPr>
              <w:ind w:left="180"/>
              <w:spacing w:after="0"/>
              <w:rPr>
                <w:sz w:val="20"/>
                <w:szCs w:val="20"/>
                <w:color w:val="auto"/>
              </w:rPr>
            </w:pPr>
            <w:r>
              <w:rPr>
                <w:rFonts w:ascii="Arial" w:cs="Arial" w:eastAsia="Arial" w:hAnsi="Arial"/>
                <w:sz w:val="14"/>
                <w:szCs w:val="14"/>
                <w:color w:val="auto"/>
              </w:rPr>
              <w:t>March 31, 2022</w:t>
            </w:r>
          </w:p>
        </w:tc>
        <w:tc>
          <w:tcPr>
            <w:tcW w:w="220" w:type="dxa"/>
            <w:vAlign w:val="bottom"/>
          </w:tcPr>
          <w:p>
            <w:pPr>
              <w:spacing w:after="0"/>
              <w:rPr>
                <w:sz w:val="14"/>
                <w:szCs w:val="14"/>
                <w:color w:val="auto"/>
              </w:rPr>
            </w:pPr>
          </w:p>
        </w:tc>
        <w:tc>
          <w:tcPr>
            <w:tcW w:w="1700" w:type="dxa"/>
            <w:vAlign w:val="bottom"/>
          </w:tcPr>
          <w:p>
            <w:pPr>
              <w:jc w:val="right"/>
              <w:ind w:right="248"/>
              <w:spacing w:after="0"/>
              <w:rPr>
                <w:sz w:val="20"/>
                <w:szCs w:val="20"/>
                <w:color w:val="auto"/>
              </w:rPr>
            </w:pPr>
            <w:r>
              <w:rPr>
                <w:rFonts w:ascii="Arial" w:cs="Arial" w:eastAsia="Arial" w:hAnsi="Arial"/>
                <w:sz w:val="14"/>
                <w:szCs w:val="14"/>
                <w:color w:val="auto"/>
              </w:rPr>
              <w:t>December 31, 2021</w:t>
            </w:r>
          </w:p>
        </w:tc>
      </w:tr>
      <w:tr>
        <w:trPr>
          <w:trHeight w:val="20"/>
        </w:trPr>
        <w:tc>
          <w:tcPr>
            <w:tcW w:w="20" w:type="dxa"/>
            <w:vAlign w:val="bottom"/>
            <w:tcBorders>
              <w:bottom w:val="single" w:sz="8" w:color="E5E5E5"/>
            </w:tcBorders>
          </w:tcPr>
          <w:p>
            <w:pPr>
              <w:spacing w:after="0" w:line="20" w:lineRule="exact"/>
              <w:rPr>
                <w:sz w:val="1"/>
                <w:szCs w:val="1"/>
                <w:color w:val="auto"/>
              </w:rPr>
            </w:pPr>
          </w:p>
        </w:tc>
        <w:tc>
          <w:tcPr>
            <w:tcW w:w="640" w:type="dxa"/>
            <w:vAlign w:val="bottom"/>
            <w:tcBorders>
              <w:top w:val="single" w:sz="8" w:color="auto"/>
              <w:bottom w:val="single" w:sz="8" w:color="E5E5E5"/>
            </w:tcBorders>
          </w:tcPr>
          <w:p>
            <w:pPr>
              <w:spacing w:after="0" w:line="20" w:lineRule="exact"/>
              <w:rPr>
                <w:sz w:val="1"/>
                <w:szCs w:val="1"/>
                <w:color w:val="auto"/>
              </w:rPr>
            </w:pPr>
          </w:p>
        </w:tc>
        <w:tc>
          <w:tcPr>
            <w:tcW w:w="6580" w:type="dxa"/>
            <w:vAlign w:val="bottom"/>
            <w:tcBorders>
              <w:bottom w:val="single" w:sz="8" w:color="E5E5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E5E5E5"/>
          </w:tcPr>
          <w:p>
            <w:pPr>
              <w:spacing w:after="0"/>
              <w:rPr>
                <w:sz w:val="17"/>
                <w:szCs w:val="17"/>
                <w:color w:val="auto"/>
              </w:rPr>
            </w:pPr>
          </w:p>
        </w:tc>
        <w:tc>
          <w:tcPr>
            <w:tcW w:w="7220" w:type="dxa"/>
            <w:vAlign w:val="bottom"/>
            <w:gridSpan w:val="2"/>
            <w:shd w:val="clear" w:color="auto" w:fill="E5E5E5"/>
          </w:tcPr>
          <w:p>
            <w:pPr>
              <w:spacing w:after="0" w:line="196" w:lineRule="exact"/>
              <w:rPr>
                <w:sz w:val="20"/>
                <w:szCs w:val="20"/>
                <w:color w:val="auto"/>
              </w:rPr>
            </w:pPr>
            <w:r>
              <w:rPr>
                <w:rFonts w:ascii="Arial" w:cs="Arial" w:eastAsia="Arial" w:hAnsi="Arial"/>
                <w:sz w:val="14"/>
                <w:szCs w:val="14"/>
                <w:color w:val="auto"/>
              </w:rPr>
              <w:t>Total finance receivables, net</w:t>
            </w:r>
            <w:r>
              <w:rPr>
                <w:rFonts w:ascii="Arial" w:cs="Arial" w:eastAsia="Arial" w:hAnsi="Arial"/>
                <w:sz w:val="18"/>
                <w:szCs w:val="18"/>
                <w:color w:val="auto"/>
                <w:vertAlign w:val="superscript"/>
              </w:rPr>
              <w:t>(1)</w:t>
            </w:r>
          </w:p>
        </w:tc>
        <w:tc>
          <w:tcPr>
            <w:tcW w:w="2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3,005</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3,070</w:t>
            </w:r>
          </w:p>
        </w:tc>
      </w:tr>
      <w:tr>
        <w:trPr>
          <w:trHeight w:val="198"/>
        </w:trPr>
        <w:tc>
          <w:tcPr>
            <w:tcW w:w="20" w:type="dxa"/>
            <w:vAlign w:val="bottom"/>
            <w:tcBorders>
              <w:bottom w:val="single" w:sz="8" w:color="E5E5E5"/>
            </w:tcBorders>
          </w:tcPr>
          <w:p>
            <w:pPr>
              <w:spacing w:after="0"/>
              <w:rPr>
                <w:sz w:val="17"/>
                <w:szCs w:val="17"/>
                <w:color w:val="auto"/>
              </w:rPr>
            </w:pPr>
          </w:p>
        </w:tc>
        <w:tc>
          <w:tcPr>
            <w:tcW w:w="7220" w:type="dxa"/>
            <w:vAlign w:val="bottom"/>
            <w:tcBorders>
              <w:bottom w:val="single" w:sz="8" w:color="E5E5E5"/>
            </w:tcBorders>
            <w:gridSpan w:val="2"/>
          </w:tcPr>
          <w:p>
            <w:pPr>
              <w:spacing w:after="0"/>
              <w:rPr>
                <w:sz w:val="20"/>
                <w:szCs w:val="20"/>
                <w:color w:val="auto"/>
              </w:rPr>
            </w:pPr>
            <w:r>
              <w:rPr>
                <w:rFonts w:ascii="Arial" w:cs="Arial" w:eastAsia="Arial" w:hAnsi="Arial"/>
                <w:sz w:val="14"/>
                <w:szCs w:val="14"/>
                <w:color w:val="auto"/>
              </w:rPr>
              <w:t>Equipment on operating leases, net</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w:t>
            </w:r>
          </w:p>
        </w:tc>
        <w:tc>
          <w:tcPr>
            <w:tcW w:w="120" w:type="dxa"/>
            <w:vAlign w:val="bottom"/>
            <w:tcBorders>
              <w:bottom w:val="single" w:sz="8" w:color="E5E5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w:t>
            </w:r>
          </w:p>
        </w:tc>
      </w:tr>
      <w:tr>
        <w:trPr>
          <w:trHeight w:val="225"/>
        </w:trPr>
        <w:tc>
          <w:tcPr>
            <w:tcW w:w="20" w:type="dxa"/>
            <w:vAlign w:val="bottom"/>
            <w:tcBorders>
              <w:bottom w:val="single" w:sz="8" w:color="E5E5E5"/>
            </w:tcBorders>
            <w:shd w:val="clear" w:color="auto" w:fill="E5E5E5"/>
          </w:tcPr>
          <w:p>
            <w:pPr>
              <w:spacing w:after="0"/>
              <w:rPr>
                <w:sz w:val="19"/>
                <w:szCs w:val="19"/>
                <w:color w:val="auto"/>
              </w:rPr>
            </w:pPr>
          </w:p>
        </w:tc>
        <w:tc>
          <w:tcPr>
            <w:tcW w:w="7220" w:type="dxa"/>
            <w:vAlign w:val="bottom"/>
            <w:tcBorders>
              <w:bottom w:val="single" w:sz="8" w:color="E5E5E5"/>
            </w:tcBorders>
            <w:gridSpan w:val="2"/>
            <w:shd w:val="clear" w:color="auto" w:fill="E5E5E5"/>
          </w:tcPr>
          <w:p>
            <w:pPr>
              <w:spacing w:after="0" w:line="200" w:lineRule="exact"/>
              <w:rPr>
                <w:sz w:val="20"/>
                <w:szCs w:val="20"/>
                <w:color w:val="auto"/>
              </w:rPr>
            </w:pPr>
            <w:r>
              <w:rPr>
                <w:rFonts w:ascii="Arial" w:cs="Arial" w:eastAsia="Arial" w:hAnsi="Arial"/>
                <w:sz w:val="14"/>
                <w:szCs w:val="14"/>
                <w:b w:val="1"/>
                <w:bCs w:val="1"/>
                <w:color w:val="auto"/>
              </w:rPr>
              <w:t>Total Finance Assets, net</w:t>
            </w:r>
            <w:r>
              <w:rPr>
                <w:rFonts w:ascii="Arial" w:cs="Arial" w:eastAsia="Arial" w:hAnsi="Arial"/>
                <w:sz w:val="18"/>
                <w:szCs w:val="18"/>
                <w:b w:val="1"/>
                <w:bCs w:val="1"/>
                <w:color w:val="auto"/>
                <w:vertAlign w:val="superscript"/>
              </w:rPr>
              <w:t>(2)</w:t>
            </w:r>
          </w:p>
        </w:tc>
        <w:tc>
          <w:tcPr>
            <w:tcW w:w="260" w:type="dxa"/>
            <w:vAlign w:val="bottom"/>
            <w:tcBorders>
              <w:bottom w:val="single" w:sz="8" w:color="auto"/>
            </w:tcBorders>
            <w:shd w:val="clear" w:color="auto" w:fill="E5E5E5"/>
          </w:tcPr>
          <w:p>
            <w:pPr>
              <w:jc w:val="right"/>
              <w:ind w:right="10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3,259</w:t>
            </w:r>
          </w:p>
        </w:tc>
        <w:tc>
          <w:tcPr>
            <w:tcW w:w="120" w:type="dxa"/>
            <w:vAlign w:val="bottom"/>
            <w:tcBorders>
              <w:bottom w:val="single" w:sz="8" w:color="E5E5E5"/>
            </w:tcBorders>
            <w:shd w:val="clear" w:color="auto" w:fill="E5E5E5"/>
          </w:tcPr>
          <w:p>
            <w:pPr>
              <w:spacing w:after="0"/>
              <w:rPr>
                <w:sz w:val="19"/>
                <w:szCs w:val="19"/>
                <w:color w:val="auto"/>
              </w:rPr>
            </w:pPr>
          </w:p>
        </w:tc>
        <w:tc>
          <w:tcPr>
            <w:tcW w:w="2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3,323</w:t>
            </w:r>
          </w:p>
        </w:tc>
      </w:tr>
      <w:tr>
        <w:trPr>
          <w:trHeight w:val="20"/>
        </w:trPr>
        <w:tc>
          <w:tcPr>
            <w:tcW w:w="20" w:type="dxa"/>
            <w:vAlign w:val="bottom"/>
            <w:tcBorders>
              <w:top w:val="single" w:sz="8" w:color="E5E5E5"/>
            </w:tcBorders>
          </w:tcPr>
          <w:p>
            <w:pPr>
              <w:spacing w:after="0" w:line="20" w:lineRule="exact"/>
              <w:rPr>
                <w:sz w:val="1"/>
                <w:szCs w:val="1"/>
                <w:color w:val="auto"/>
              </w:rPr>
            </w:pPr>
          </w:p>
        </w:tc>
        <w:tc>
          <w:tcPr>
            <w:tcW w:w="640" w:type="dxa"/>
            <w:vAlign w:val="bottom"/>
            <w:tcBorders>
              <w:top w:val="single" w:sz="8" w:color="E5E5E5"/>
            </w:tcBorders>
          </w:tcPr>
          <w:p>
            <w:pPr>
              <w:spacing w:after="0" w:line="20" w:lineRule="exact"/>
              <w:rPr>
                <w:sz w:val="1"/>
                <w:szCs w:val="1"/>
                <w:color w:val="auto"/>
              </w:rPr>
            </w:pPr>
          </w:p>
        </w:tc>
        <w:tc>
          <w:tcPr>
            <w:tcW w:w="658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164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20" w:type="dxa"/>
            <w:vAlign w:val="bottom"/>
            <w:tcBorders>
              <w:top w:val="single" w:sz="8" w:color="E5E5E5"/>
              <w:bottom w:val="single" w:sz="8" w:color="auto"/>
            </w:tcBorders>
          </w:tcPr>
          <w:p>
            <w:pPr>
              <w:spacing w:after="0" w:line="20" w:lineRule="exact"/>
              <w:rPr>
                <w:sz w:val="1"/>
                <w:szCs w:val="1"/>
                <w:color w:val="auto"/>
              </w:rPr>
            </w:pPr>
          </w:p>
        </w:tc>
        <w:tc>
          <w:tcPr>
            <w:tcW w:w="1700" w:type="dxa"/>
            <w:vAlign w:val="bottom"/>
            <w:tcBorders>
              <w:top w:val="single" w:sz="8" w:color="E5E5E5"/>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27" w:lineRule="exact"/>
        <w:rPr>
          <w:sz w:val="20"/>
          <w:szCs w:val="20"/>
          <w:color w:val="auto"/>
        </w:rPr>
      </w:pPr>
    </w:p>
    <w:p>
      <w:pPr>
        <w:ind w:left="340" w:right="540" w:hanging="332"/>
        <w:spacing w:after="0" w:line="261" w:lineRule="auto"/>
        <w:tabs>
          <w:tab w:leader="none" w:pos="327"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(i) Billed portion of finance receivables, net, (ii) Finance receivables, net and (iii) Finance receivables due after one year, net as included in our Condensed Consolidated Balance Sheets.</w:t>
      </w:r>
    </w:p>
    <w:p>
      <w:pPr>
        <w:ind w:left="320" w:hanging="312"/>
        <w:spacing w:after="0"/>
        <w:tabs>
          <w:tab w:leader="none" w:pos="32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The change from December 31, 2021 includes a decrease of $14 million due to currency.</w:t>
      </w:r>
    </w:p>
    <w:p>
      <w:pPr>
        <w:sectPr>
          <w:pgSz w:w="11900" w:h="16838" w:orient="portrait"/>
          <w:cols w:equalWidth="0" w:num="1">
            <w:col w:w="11240"/>
          </w:cols>
          <w:pgMar w:left="320" w:top="1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520"/>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56" w:name="page57"/>
    <w:bookmarkEnd w:id="56"/>
    <w:p>
      <w:pPr>
        <w:jc w:val="both"/>
        <w:spacing w:after="0" w:line="262" w:lineRule="auto"/>
        <w:rPr>
          <w:sz w:val="20"/>
          <w:szCs w:val="20"/>
          <w:color w:val="auto"/>
        </w:rPr>
      </w:pPr>
      <w:r>
        <w:rPr>
          <w:rFonts w:ascii="Arial" w:cs="Arial" w:eastAsia="Arial" w:hAnsi="Arial"/>
          <w:sz w:val="18"/>
          <w:szCs w:val="18"/>
          <w:color w:val="auto"/>
        </w:rPr>
        <w:t>Our lease contracts permit customers to pay for equipment over time rather than at the date of installation; therefore, we maintain a certain level of debt (that we refer to as financing debt) to support our investment in these lease contracts, which are reflected in Total finance assets, net. For this financing aspect of our business, we maintain an assumed 7:1 leverage ratio of debt to equity as compared to our finance assets.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Based on this leverage, the following represents the breakdown of total debt between financing debt and core debt: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40" w:type="dxa"/>
            <w:vAlign w:val="bottom"/>
          </w:tcPr>
          <w:p>
            <w:pPr>
              <w:spacing w:after="0"/>
              <w:rPr>
                <w:sz w:val="14"/>
                <w:szCs w:val="14"/>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color w:val="auto"/>
              </w:rPr>
              <w:t>March 31, 2022</w:t>
            </w:r>
          </w:p>
        </w:tc>
        <w:tc>
          <w:tcPr>
            <w:tcW w:w="16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December 31, 2021</w:t>
            </w:r>
          </w:p>
        </w:tc>
      </w:tr>
      <w:tr>
        <w:trPr>
          <w:trHeight w:val="21"/>
        </w:trPr>
        <w:tc>
          <w:tcPr>
            <w:tcW w:w="20" w:type="dxa"/>
            <w:vAlign w:val="bottom"/>
            <w:tcBorders>
              <w:bottom w:val="single" w:sz="8" w:color="E5E5E5"/>
            </w:tcBorders>
          </w:tcPr>
          <w:p>
            <w:pPr>
              <w:spacing w:after="0" w:line="20" w:lineRule="exact"/>
              <w:rPr>
                <w:sz w:val="1"/>
                <w:szCs w:val="1"/>
                <w:color w:val="auto"/>
              </w:rPr>
            </w:pPr>
          </w:p>
        </w:tc>
        <w:tc>
          <w:tcPr>
            <w:tcW w:w="640" w:type="dxa"/>
            <w:vAlign w:val="bottom"/>
            <w:tcBorders>
              <w:top w:val="single" w:sz="8" w:color="auto"/>
              <w:bottom w:val="single" w:sz="8" w:color="E5E5E5"/>
            </w:tcBorders>
          </w:tcPr>
          <w:p>
            <w:pPr>
              <w:spacing w:after="0" w:line="20" w:lineRule="exact"/>
              <w:rPr>
                <w:sz w:val="1"/>
                <w:szCs w:val="1"/>
                <w:color w:val="auto"/>
              </w:rPr>
            </w:pPr>
          </w:p>
        </w:tc>
        <w:tc>
          <w:tcPr>
            <w:tcW w:w="694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line="196" w:lineRule="exact"/>
              <w:rPr>
                <w:sz w:val="20"/>
                <w:szCs w:val="20"/>
                <w:color w:val="auto"/>
              </w:rPr>
            </w:pPr>
            <w:r>
              <w:rPr>
                <w:rFonts w:ascii="Arial" w:cs="Arial" w:eastAsia="Arial" w:hAnsi="Arial"/>
                <w:sz w:val="14"/>
                <w:szCs w:val="14"/>
                <w:color w:val="auto"/>
              </w:rPr>
              <w:t>Finance receivables debt</w:t>
            </w:r>
            <w:r>
              <w:rPr>
                <w:rFonts w:ascii="Arial" w:cs="Arial" w:eastAsia="Arial" w:hAnsi="Arial"/>
                <w:sz w:val="18"/>
                <w:szCs w:val="18"/>
                <w:color w:val="auto"/>
                <w:vertAlign w:val="superscript"/>
              </w:rPr>
              <w:t>(1)</w:t>
            </w: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2,630</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2,687</w:t>
            </w:r>
          </w:p>
        </w:tc>
      </w:tr>
      <w:tr>
        <w:trPr>
          <w:trHeight w:val="198"/>
        </w:trPr>
        <w:tc>
          <w:tcPr>
            <w:tcW w:w="20" w:type="dxa"/>
            <w:vAlign w:val="bottom"/>
            <w:tcBorders>
              <w:bottom w:val="single" w:sz="8" w:color="E5E5E5"/>
            </w:tcBorders>
          </w:tcPr>
          <w:p>
            <w:pPr>
              <w:spacing w:after="0"/>
              <w:rPr>
                <w:sz w:val="17"/>
                <w:szCs w:val="17"/>
                <w:color w:val="auto"/>
              </w:rPr>
            </w:pPr>
          </w:p>
        </w:tc>
        <w:tc>
          <w:tcPr>
            <w:tcW w:w="7580" w:type="dxa"/>
            <w:vAlign w:val="bottom"/>
            <w:tcBorders>
              <w:bottom w:val="single" w:sz="8" w:color="E5E5E5"/>
            </w:tcBorders>
            <w:gridSpan w:val="2"/>
          </w:tcPr>
          <w:p>
            <w:pPr>
              <w:spacing w:after="0"/>
              <w:rPr>
                <w:sz w:val="20"/>
                <w:szCs w:val="20"/>
                <w:color w:val="auto"/>
              </w:rPr>
            </w:pPr>
            <w:r>
              <w:rPr>
                <w:rFonts w:ascii="Arial" w:cs="Arial" w:eastAsia="Arial" w:hAnsi="Arial"/>
                <w:sz w:val="14"/>
                <w:szCs w:val="14"/>
                <w:color w:val="auto"/>
              </w:rPr>
              <w:t>Equipment on operating leases debt</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w:t>
            </w:r>
          </w:p>
        </w:tc>
        <w:tc>
          <w:tcPr>
            <w:tcW w:w="120" w:type="dxa"/>
            <w:vAlign w:val="bottom"/>
            <w:tcBorders>
              <w:bottom w:val="single" w:sz="8" w:color="E5E5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r>
      <w:tr>
        <w:trPr>
          <w:trHeight w:val="200"/>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Financing debt</w:t>
            </w:r>
          </w:p>
        </w:tc>
        <w:tc>
          <w:tcPr>
            <w:tcW w:w="240" w:type="dxa"/>
            <w:vAlign w:val="bottom"/>
            <w:shd w:val="clear" w:color="auto" w:fill="E5E5E5"/>
          </w:tcPr>
          <w:p>
            <w:pPr>
              <w:spacing w:after="0"/>
              <w:rPr>
                <w:sz w:val="17"/>
                <w:szCs w:val="17"/>
                <w:color w:val="auto"/>
              </w:rPr>
            </w:pPr>
          </w:p>
        </w:tc>
        <w:tc>
          <w:tcPr>
            <w:tcW w:w="1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2,852</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6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2,908</w:t>
            </w:r>
          </w:p>
        </w:tc>
      </w:tr>
      <w:tr>
        <w:trPr>
          <w:trHeight w:val="198"/>
        </w:trPr>
        <w:tc>
          <w:tcPr>
            <w:tcW w:w="20" w:type="dxa"/>
            <w:vAlign w:val="bottom"/>
            <w:tcBorders>
              <w:bottom w:val="single" w:sz="8" w:color="E5E5E5"/>
            </w:tcBorders>
          </w:tcPr>
          <w:p>
            <w:pPr>
              <w:spacing w:after="0"/>
              <w:rPr>
                <w:sz w:val="17"/>
                <w:szCs w:val="17"/>
                <w:color w:val="auto"/>
              </w:rPr>
            </w:pPr>
          </w:p>
        </w:tc>
        <w:tc>
          <w:tcPr>
            <w:tcW w:w="7580" w:type="dxa"/>
            <w:vAlign w:val="bottom"/>
            <w:tcBorders>
              <w:bottom w:val="single" w:sz="8" w:color="E5E5E5"/>
            </w:tcBorders>
            <w:gridSpan w:val="2"/>
          </w:tcPr>
          <w:p>
            <w:pPr>
              <w:spacing w:after="0"/>
              <w:rPr>
                <w:sz w:val="20"/>
                <w:szCs w:val="20"/>
                <w:color w:val="auto"/>
              </w:rPr>
            </w:pPr>
            <w:r>
              <w:rPr>
                <w:rFonts w:ascii="Arial" w:cs="Arial" w:eastAsia="Arial" w:hAnsi="Arial"/>
                <w:sz w:val="14"/>
                <w:szCs w:val="14"/>
                <w:color w:val="auto"/>
              </w:rPr>
              <w:t>Core debt</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1,419</w:t>
            </w:r>
          </w:p>
        </w:tc>
        <w:tc>
          <w:tcPr>
            <w:tcW w:w="120" w:type="dxa"/>
            <w:vAlign w:val="bottom"/>
            <w:tcBorders>
              <w:bottom w:val="single" w:sz="8" w:color="E5E5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w:t>
            </w:r>
          </w:p>
        </w:tc>
      </w:tr>
      <w:tr>
        <w:trPr>
          <w:trHeight w:val="225"/>
        </w:trPr>
        <w:tc>
          <w:tcPr>
            <w:tcW w:w="20" w:type="dxa"/>
            <w:vAlign w:val="bottom"/>
            <w:tcBorders>
              <w:bottom w:val="single" w:sz="8" w:color="E5E5E5"/>
            </w:tcBorders>
            <w:shd w:val="clear" w:color="auto" w:fill="E5E5E5"/>
          </w:tcPr>
          <w:p>
            <w:pPr>
              <w:spacing w:after="0"/>
              <w:rPr>
                <w:sz w:val="19"/>
                <w:szCs w:val="19"/>
                <w:color w:val="auto"/>
              </w:rPr>
            </w:pPr>
          </w:p>
        </w:tc>
        <w:tc>
          <w:tcPr>
            <w:tcW w:w="758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4"/>
                <w:szCs w:val="14"/>
                <w:b w:val="1"/>
                <w:bCs w:val="1"/>
                <w:color w:val="auto"/>
              </w:rPr>
              <w:t>Total Debt</w:t>
            </w:r>
          </w:p>
        </w:tc>
        <w:tc>
          <w:tcPr>
            <w:tcW w:w="2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4,271</w:t>
            </w:r>
          </w:p>
        </w:tc>
        <w:tc>
          <w:tcPr>
            <w:tcW w:w="12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4,246</w:t>
            </w:r>
          </w:p>
        </w:tc>
      </w:tr>
      <w:tr>
        <w:trPr>
          <w:trHeight w:val="20"/>
        </w:trPr>
        <w:tc>
          <w:tcPr>
            <w:tcW w:w="20" w:type="dxa"/>
            <w:vAlign w:val="bottom"/>
            <w:tcBorders>
              <w:top w:val="single" w:sz="8" w:color="E5E5E5"/>
            </w:tcBorders>
          </w:tcPr>
          <w:p>
            <w:pPr>
              <w:spacing w:after="0" w:line="20" w:lineRule="exact"/>
              <w:rPr>
                <w:sz w:val="1"/>
                <w:szCs w:val="1"/>
                <w:color w:val="auto"/>
              </w:rPr>
            </w:pPr>
          </w:p>
        </w:tc>
        <w:tc>
          <w:tcPr>
            <w:tcW w:w="640" w:type="dxa"/>
            <w:vAlign w:val="bottom"/>
            <w:tcBorders>
              <w:top w:val="single" w:sz="8" w:color="E5E5E5"/>
            </w:tcBorders>
          </w:tcPr>
          <w:p>
            <w:pPr>
              <w:spacing w:after="0" w:line="20" w:lineRule="exact"/>
              <w:rPr>
                <w:sz w:val="1"/>
                <w:szCs w:val="1"/>
                <w:color w:val="auto"/>
              </w:rPr>
            </w:pPr>
          </w:p>
        </w:tc>
        <w:tc>
          <w:tcPr>
            <w:tcW w:w="694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E5E5E5"/>
              <w:bottom w:val="single" w:sz="8" w:color="auto"/>
            </w:tcBorders>
          </w:tcPr>
          <w:p>
            <w:pPr>
              <w:spacing w:after="0" w:line="20" w:lineRule="exact"/>
              <w:rPr>
                <w:sz w:val="1"/>
                <w:szCs w:val="1"/>
                <w:color w:val="auto"/>
              </w:rPr>
            </w:pPr>
          </w:p>
        </w:tc>
        <w:tc>
          <w:tcPr>
            <w:tcW w:w="152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E5E5E5"/>
              <w:bottom w:val="single" w:sz="8" w:color="auto"/>
            </w:tcBorders>
          </w:tcPr>
          <w:p>
            <w:pPr>
              <w:spacing w:after="0" w:line="20" w:lineRule="exact"/>
              <w:rPr>
                <w:sz w:val="1"/>
                <w:szCs w:val="1"/>
                <w:color w:val="auto"/>
              </w:rPr>
            </w:pPr>
          </w:p>
        </w:tc>
        <w:tc>
          <w:tcPr>
            <w:tcW w:w="1600" w:type="dxa"/>
            <w:vAlign w:val="bottom"/>
            <w:tcBorders>
              <w:top w:val="single" w:sz="8" w:color="E5E5E5"/>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w:t>
      </w:r>
    </w:p>
    <w:p>
      <w:pPr>
        <w:spacing w:after="0" w:line="1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Finance receivables debt is the basis for our calculation of "Cost of financing" expense in the Condensed Consolidated Statements of (Loss) Income.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Sales of Accounts Receivable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sales of accounts receivable is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color w:val="auto"/>
              </w:rPr>
              <w:t>Three Months Ended</w:t>
            </w:r>
          </w:p>
        </w:tc>
        <w:tc>
          <w:tcPr>
            <w:tcW w:w="110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March 31,</w:t>
            </w:r>
          </w:p>
        </w:tc>
        <w:tc>
          <w:tcPr>
            <w:tcW w:w="110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758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2022</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jc w:val="right"/>
              <w:ind w:right="648"/>
              <w:spacing w:after="0" w:line="155" w:lineRule="exact"/>
              <w:rPr>
                <w:sz w:val="20"/>
                <w:szCs w:val="20"/>
                <w:color w:val="auto"/>
              </w:rPr>
            </w:pPr>
            <w:r>
              <w:rPr>
                <w:rFonts w:ascii="Arial" w:cs="Arial" w:eastAsia="Arial" w:hAnsi="Arial"/>
                <w:sz w:val="14"/>
                <w:szCs w:val="14"/>
                <w:color w:val="auto"/>
              </w:rPr>
              <w:t>2021</w:t>
            </w:r>
          </w:p>
        </w:tc>
      </w:tr>
      <w:tr>
        <w:trPr>
          <w:trHeight w:val="21"/>
        </w:trPr>
        <w:tc>
          <w:tcPr>
            <w:tcW w:w="20" w:type="dxa"/>
            <w:vAlign w:val="bottom"/>
            <w:tcBorders>
              <w:bottom w:val="single" w:sz="8" w:color="E5E5E5"/>
            </w:tcBorders>
          </w:tcPr>
          <w:p>
            <w:pPr>
              <w:spacing w:after="0" w:line="20" w:lineRule="exact"/>
              <w:rPr>
                <w:sz w:val="1"/>
                <w:szCs w:val="1"/>
                <w:color w:val="auto"/>
              </w:rPr>
            </w:pPr>
          </w:p>
        </w:tc>
        <w:tc>
          <w:tcPr>
            <w:tcW w:w="640" w:type="dxa"/>
            <w:vAlign w:val="bottom"/>
            <w:tcBorders>
              <w:top w:val="single" w:sz="8" w:color="auto"/>
              <w:bottom w:val="single" w:sz="8" w:color="E5E5E5"/>
            </w:tcBorders>
          </w:tcPr>
          <w:p>
            <w:pPr>
              <w:spacing w:after="0" w:line="20" w:lineRule="exact"/>
              <w:rPr>
                <w:sz w:val="1"/>
                <w:szCs w:val="1"/>
                <w:color w:val="auto"/>
              </w:rPr>
            </w:pPr>
          </w:p>
        </w:tc>
        <w:tc>
          <w:tcPr>
            <w:tcW w:w="6940" w:type="dxa"/>
            <w:vAlign w:val="bottom"/>
            <w:tcBorders>
              <w:bottom w:val="single" w:sz="8" w:color="E5E5E5"/>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E5E5E5"/>
          </w:tcPr>
          <w:p>
            <w:pPr>
              <w:spacing w:after="0"/>
              <w:rPr>
                <w:sz w:val="17"/>
                <w:szCs w:val="17"/>
                <w:color w:val="auto"/>
              </w:rPr>
            </w:pPr>
          </w:p>
        </w:tc>
        <w:tc>
          <w:tcPr>
            <w:tcW w:w="7580" w:type="dxa"/>
            <w:vAlign w:val="bottom"/>
            <w:gridSpan w:val="2"/>
            <w:shd w:val="clear" w:color="auto" w:fill="E5E5E5"/>
          </w:tcPr>
          <w:p>
            <w:pPr>
              <w:spacing w:after="0" w:line="196" w:lineRule="exact"/>
              <w:rPr>
                <w:sz w:val="20"/>
                <w:szCs w:val="20"/>
                <w:color w:val="auto"/>
              </w:rPr>
            </w:pPr>
            <w:r>
              <w:rPr>
                <w:rFonts w:ascii="Arial" w:cs="Arial" w:eastAsia="Arial" w:hAnsi="Arial"/>
                <w:sz w:val="14"/>
                <w:szCs w:val="14"/>
                <w:color w:val="auto"/>
              </w:rPr>
              <w:t>Estimated decrease to net operating cash flows</w:t>
            </w:r>
            <w:r>
              <w:rPr>
                <w:rFonts w:ascii="Arial" w:cs="Arial" w:eastAsia="Arial" w:hAnsi="Arial"/>
                <w:sz w:val="18"/>
                <w:szCs w:val="18"/>
                <w:color w:val="auto"/>
                <w:vertAlign w:val="superscript"/>
              </w:rPr>
              <w:t>(1)</w:t>
            </w:r>
          </w:p>
        </w:tc>
        <w:tc>
          <w:tcPr>
            <w:tcW w:w="1100" w:type="dxa"/>
            <w:vAlign w:val="bottom"/>
            <w:shd w:val="clear" w:color="auto" w:fill="E5E5E5"/>
          </w:tcPr>
          <w:p>
            <w:pPr>
              <w:jc w:val="right"/>
              <w:ind w:right="928"/>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E5E5E5"/>
          </w:tcPr>
          <w:p>
            <w:pPr>
              <w:spacing w:after="0"/>
              <w:rPr>
                <w:sz w:val="17"/>
                <w:szCs w:val="17"/>
                <w:color w:val="auto"/>
              </w:rPr>
            </w:pPr>
          </w:p>
        </w:tc>
        <w:tc>
          <w:tcPr>
            <w:tcW w:w="660" w:type="dxa"/>
            <w:vAlign w:val="bottom"/>
            <w:shd w:val="clear" w:color="auto" w:fill="E5E5E5"/>
          </w:tcPr>
          <w:p>
            <w:pPr>
              <w:jc w:val="right"/>
              <w:ind w:right="50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(27)</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2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the difference between current and prior period accounts receivable sales adjusted for the effects of currency.</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 to Note 8 - Accounts Receivable, Net in the Condensed Consolidated Financial Statements for additional information regarding our accounts receivable sales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Liquidity and Financial Flexibility</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manage our worldwide liquidity using internal cash management practices, which are subject to i) the statutes, regulations and practices of each of the local jurisdictions in which we operate, ii) the legal requirements of the agreements to which we are a party and iii) the policies and cooperation of the financial institutions we utilize to maintain and provide cash management services.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debt maturities are spread over the next five years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color w:val="auto"/>
              </w:rPr>
              <w:t>Xerox Holdings</w:t>
            </w: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color w:val="auto"/>
              </w:rPr>
              <w:t>Xerox Corporation</w:t>
            </w:r>
          </w:p>
        </w:tc>
        <w:tc>
          <w:tcPr>
            <w:tcW w:w="14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Xerox - Other</w:t>
            </w:r>
          </w:p>
        </w:tc>
        <w:tc>
          <w:tcPr>
            <w:tcW w:w="300" w:type="dxa"/>
            <w:vAlign w:val="bottom"/>
          </w:tcPr>
          <w:p>
            <w:pPr>
              <w:spacing w:after="0"/>
              <w:rPr>
                <w:sz w:val="14"/>
                <w:szCs w:val="14"/>
                <w:color w:val="auto"/>
              </w:rPr>
            </w:pPr>
          </w:p>
        </w:tc>
        <w:tc>
          <w:tcPr>
            <w:tcW w:w="1000" w:type="dxa"/>
            <w:vAlign w:val="bottom"/>
            <w:vMerge w:val="restart"/>
          </w:tcPr>
          <w:p>
            <w:pPr>
              <w:jc w:val="right"/>
              <w:ind w:right="4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Corporation</w:t>
            </w:r>
          </w:p>
        </w:tc>
        <w:tc>
          <w:tcPr>
            <w:tcW w:w="14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Subsidiaries</w:t>
            </w:r>
            <w:r>
              <w:rPr>
                <w:rFonts w:ascii="Arial" w:cs="Arial" w:eastAsia="Arial" w:hAnsi="Arial"/>
                <w:sz w:val="9"/>
                <w:szCs w:val="9"/>
                <w:color w:val="auto"/>
              </w:rPr>
              <w:t>(1)</w:t>
            </w: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E5E5E5"/>
            </w:tcBorders>
          </w:tcPr>
          <w:p>
            <w:pPr>
              <w:spacing w:after="0" w:line="20" w:lineRule="exact"/>
              <w:rPr>
                <w:sz w:val="1"/>
                <w:szCs w:val="1"/>
                <w:color w:val="auto"/>
              </w:rPr>
            </w:pPr>
          </w:p>
        </w:tc>
        <w:tc>
          <w:tcPr>
            <w:tcW w:w="640" w:type="dxa"/>
            <w:vAlign w:val="bottom"/>
            <w:tcBorders>
              <w:top w:val="single" w:sz="8" w:color="auto"/>
              <w:bottom w:val="single" w:sz="8" w:color="E5E5E5"/>
            </w:tcBorders>
          </w:tcPr>
          <w:p>
            <w:pPr>
              <w:spacing w:after="0" w:line="20" w:lineRule="exact"/>
              <w:rPr>
                <w:sz w:val="1"/>
                <w:szCs w:val="1"/>
                <w:color w:val="auto"/>
              </w:rPr>
            </w:pPr>
          </w:p>
        </w:tc>
        <w:tc>
          <w:tcPr>
            <w:tcW w:w="5020" w:type="dxa"/>
            <w:vAlign w:val="bottom"/>
            <w:tcBorders>
              <w:bottom w:val="single" w:sz="8" w:color="E5E5E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E5E5E5"/>
          </w:tcPr>
          <w:p>
            <w:pPr>
              <w:spacing w:after="0"/>
              <w:rPr>
                <w:sz w:val="17"/>
                <w:szCs w:val="17"/>
                <w:color w:val="auto"/>
              </w:rPr>
            </w:pPr>
          </w:p>
        </w:tc>
        <w:tc>
          <w:tcPr>
            <w:tcW w:w="566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2022 Q2</w:t>
            </w: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E5E5E5"/>
          </w:tcPr>
          <w:p>
            <w:pPr>
              <w:spacing w:after="0"/>
              <w:rPr>
                <w:sz w:val="17"/>
                <w:szCs w:val="17"/>
                <w:color w:val="auto"/>
              </w:rPr>
            </w:pPr>
          </w:p>
        </w:tc>
        <w:tc>
          <w:tcPr>
            <w:tcW w:w="30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2022 Q3</w:t>
            </w: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6"/>
        </w:trPr>
        <w:tc>
          <w:tcPr>
            <w:tcW w:w="20" w:type="dxa"/>
            <w:vAlign w:val="bottom"/>
            <w:shd w:val="clear" w:color="auto" w:fill="E5E5E5"/>
          </w:tcPr>
          <w:p>
            <w:pPr>
              <w:spacing w:after="0"/>
              <w:rPr>
                <w:sz w:val="17"/>
                <w:szCs w:val="17"/>
                <w:color w:val="auto"/>
              </w:rPr>
            </w:pPr>
          </w:p>
        </w:tc>
        <w:tc>
          <w:tcPr>
            <w:tcW w:w="566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2022 Q4</w:t>
            </w:r>
          </w:p>
        </w:tc>
        <w:tc>
          <w:tcPr>
            <w:tcW w:w="14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7"/>
                <w:szCs w:val="17"/>
                <w:color w:val="auto"/>
              </w:rPr>
            </w:pPr>
          </w:p>
        </w:tc>
        <w:tc>
          <w:tcPr>
            <w:tcW w:w="1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99"/>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2023</w:t>
            </w:r>
          </w:p>
        </w:tc>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1,111</w:t>
            </w:r>
          </w:p>
        </w:tc>
        <w:tc>
          <w:tcPr>
            <w:tcW w:w="0" w:type="dxa"/>
            <w:vAlign w:val="bottom"/>
          </w:tcPr>
          <w:p>
            <w:pPr>
              <w:spacing w:after="0"/>
              <w:rPr>
                <w:sz w:val="1"/>
                <w:szCs w:val="1"/>
                <w:color w:val="auto"/>
              </w:rPr>
            </w:pPr>
          </w:p>
        </w:tc>
      </w:tr>
      <w:tr>
        <w:trPr>
          <w:trHeight w:val="206"/>
        </w:trPr>
        <w:tc>
          <w:tcPr>
            <w:tcW w:w="6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2024</w:t>
            </w:r>
          </w:p>
        </w:tc>
        <w:tc>
          <w:tcPr>
            <w:tcW w:w="50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1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99"/>
        </w:trPr>
        <w:tc>
          <w:tcPr>
            <w:tcW w:w="660" w:type="dxa"/>
            <w:vAlign w:val="bottom"/>
            <w:gridSpan w:val="2"/>
          </w:tcPr>
          <w:p>
            <w:pPr>
              <w:ind w:left="20"/>
              <w:spacing w:after="0"/>
              <w:rPr>
                <w:sz w:val="20"/>
                <w:szCs w:val="20"/>
                <w:color w:val="auto"/>
              </w:rPr>
            </w:pPr>
            <w:r>
              <w:rPr>
                <w:rFonts w:ascii="Arial" w:cs="Arial" w:eastAsia="Arial" w:hAnsi="Arial"/>
                <w:sz w:val="14"/>
                <w:szCs w:val="14"/>
                <w:color w:val="auto"/>
              </w:rPr>
              <w:t>2025</w:t>
            </w:r>
          </w:p>
        </w:tc>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1,079</w:t>
            </w:r>
          </w:p>
        </w:tc>
        <w:tc>
          <w:tcPr>
            <w:tcW w:w="0" w:type="dxa"/>
            <w:vAlign w:val="bottom"/>
          </w:tcPr>
          <w:p>
            <w:pPr>
              <w:spacing w:after="0"/>
              <w:rPr>
                <w:sz w:val="1"/>
                <w:szCs w:val="1"/>
                <w:color w:val="auto"/>
              </w:rPr>
            </w:pPr>
          </w:p>
        </w:tc>
      </w:tr>
      <w:tr>
        <w:trPr>
          <w:trHeight w:val="206"/>
        </w:trPr>
        <w:tc>
          <w:tcPr>
            <w:tcW w:w="6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2026</w:t>
            </w:r>
          </w:p>
        </w:tc>
        <w:tc>
          <w:tcPr>
            <w:tcW w:w="50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2027 and thereafter</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1,350</w:t>
            </w:r>
          </w:p>
        </w:tc>
        <w:tc>
          <w:tcPr>
            <w:tcW w:w="0" w:type="dxa"/>
            <w:vAlign w:val="bottom"/>
          </w:tcPr>
          <w:p>
            <w:pPr>
              <w:spacing w:after="0"/>
              <w:rPr>
                <w:sz w:val="1"/>
                <w:szCs w:val="1"/>
                <w:color w:val="auto"/>
              </w:rPr>
            </w:pPr>
          </w:p>
        </w:tc>
      </w:tr>
      <w:tr>
        <w:trPr>
          <w:trHeight w:val="225"/>
        </w:trPr>
        <w:tc>
          <w:tcPr>
            <w:tcW w:w="20" w:type="dxa"/>
            <w:vAlign w:val="bottom"/>
            <w:tcBorders>
              <w:top w:val="single" w:sz="8" w:color="E5E5E5"/>
              <w:bottom w:val="single" w:sz="8" w:color="E5E5E5"/>
            </w:tcBorders>
            <w:shd w:val="clear" w:color="auto" w:fill="E5E5E5"/>
          </w:tcPr>
          <w:p>
            <w:pPr>
              <w:spacing w:after="0"/>
              <w:rPr>
                <w:sz w:val="19"/>
                <w:szCs w:val="19"/>
                <w:color w:val="auto"/>
              </w:rPr>
            </w:pPr>
          </w:p>
        </w:tc>
        <w:tc>
          <w:tcPr>
            <w:tcW w:w="5660" w:type="dxa"/>
            <w:vAlign w:val="bottom"/>
            <w:tcBorders>
              <w:top w:val="single" w:sz="8" w:color="E5E5E5"/>
              <w:bottom w:val="single" w:sz="8" w:color="E5E5E5"/>
            </w:tcBorders>
            <w:gridSpan w:val="2"/>
            <w:shd w:val="clear" w:color="auto" w:fill="E5E5E5"/>
          </w:tcPr>
          <w:p>
            <w:pPr>
              <w:spacing w:after="0" w:line="200" w:lineRule="exact"/>
              <w:rPr>
                <w:sz w:val="20"/>
                <w:szCs w:val="20"/>
                <w:color w:val="auto"/>
              </w:rPr>
            </w:pPr>
            <w:r>
              <w:rPr>
                <w:rFonts w:ascii="Arial" w:cs="Arial" w:eastAsia="Arial" w:hAnsi="Arial"/>
                <w:sz w:val="14"/>
                <w:szCs w:val="14"/>
                <w:b w:val="1"/>
                <w:bCs w:val="1"/>
                <w:color w:val="auto"/>
              </w:rPr>
              <w:t>Total</w:t>
            </w:r>
            <w:r>
              <w:rPr>
                <w:rFonts w:ascii="Arial" w:cs="Arial" w:eastAsia="Arial" w:hAnsi="Arial"/>
                <w:sz w:val="18"/>
                <w:szCs w:val="18"/>
                <w:b w:val="1"/>
                <w:bCs w:val="1"/>
                <w:color w:val="auto"/>
                <w:vertAlign w:val="superscript"/>
              </w:rPr>
              <w:t>(2)</w:t>
            </w:r>
          </w:p>
        </w:tc>
        <w:tc>
          <w:tcPr>
            <w:tcW w:w="1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Borders>
              <w:top w:val="single" w:sz="8" w:color="E5E5E5"/>
              <w:bottom w:val="single" w:sz="8" w:color="E5E5E5"/>
            </w:tcBorders>
            <w:shd w:val="clear" w:color="auto" w:fill="E5E5E5"/>
          </w:tcPr>
          <w:p>
            <w:pPr>
              <w:spacing w:after="0"/>
              <w:rPr>
                <w:sz w:val="19"/>
                <w:szCs w:val="19"/>
                <w:color w:val="auto"/>
              </w:rPr>
            </w:pPr>
          </w:p>
        </w:tc>
        <w:tc>
          <w:tcPr>
            <w:tcW w:w="500" w:type="dxa"/>
            <w:vAlign w:val="bottom"/>
            <w:tcBorders>
              <w:top w:val="single" w:sz="8" w:color="auto"/>
              <w:bottom w:val="single" w:sz="8" w:color="auto"/>
            </w:tcBorders>
            <w:shd w:val="clear" w:color="auto" w:fill="E5E5E5"/>
          </w:tcPr>
          <w:p>
            <w:pPr>
              <w:jc w:val="right"/>
              <w:ind w:right="3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1,900</w:t>
            </w:r>
          </w:p>
        </w:tc>
        <w:tc>
          <w:tcPr>
            <w:tcW w:w="100" w:type="dxa"/>
            <w:vAlign w:val="bottom"/>
            <w:tcBorders>
              <w:top w:val="single" w:sz="8" w:color="E5E5E5"/>
              <w:bottom w:val="single" w:sz="8" w:color="E5E5E5"/>
            </w:tcBorders>
            <w:shd w:val="clear" w:color="auto" w:fill="E5E5E5"/>
          </w:tcPr>
          <w:p>
            <w:pPr>
              <w:spacing w:after="0"/>
              <w:rPr>
                <w:sz w:val="19"/>
                <w:szCs w:val="19"/>
                <w:color w:val="auto"/>
              </w:rPr>
            </w:pPr>
          </w:p>
        </w:tc>
        <w:tc>
          <w:tcPr>
            <w:tcW w:w="1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885</w:t>
            </w:r>
          </w:p>
        </w:tc>
        <w:tc>
          <w:tcPr>
            <w:tcW w:w="100" w:type="dxa"/>
            <w:vAlign w:val="bottom"/>
            <w:tcBorders>
              <w:top w:val="single" w:sz="8" w:color="E5E5E5"/>
              <w:bottom w:val="single" w:sz="8" w:color="E5E5E5"/>
            </w:tcBorders>
            <w:shd w:val="clear" w:color="auto" w:fill="E5E5E5"/>
          </w:tcPr>
          <w:p>
            <w:pPr>
              <w:spacing w:after="0"/>
              <w:rPr>
                <w:sz w:val="19"/>
                <w:szCs w:val="19"/>
                <w:color w:val="auto"/>
              </w:rPr>
            </w:pPr>
          </w:p>
        </w:tc>
        <w:tc>
          <w:tcPr>
            <w:tcW w:w="300" w:type="dxa"/>
            <w:vAlign w:val="bottom"/>
            <w:tcBorders>
              <w:top w:val="single" w:sz="8" w:color="auto"/>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4,285</w:t>
            </w:r>
          </w:p>
        </w:tc>
        <w:tc>
          <w:tcPr>
            <w:tcW w:w="0" w:type="dxa"/>
            <w:vAlign w:val="bottom"/>
          </w:tcPr>
          <w:p>
            <w:pPr>
              <w:spacing w:after="0"/>
              <w:rPr>
                <w:sz w:val="1"/>
                <w:szCs w:val="1"/>
                <w:color w:val="auto"/>
              </w:rPr>
            </w:pPr>
          </w:p>
        </w:tc>
      </w:tr>
      <w:tr>
        <w:trPr>
          <w:trHeight w:val="20"/>
        </w:trPr>
        <w:tc>
          <w:tcPr>
            <w:tcW w:w="20" w:type="dxa"/>
            <w:vAlign w:val="bottom"/>
            <w:tcBorders>
              <w:top w:val="single" w:sz="8" w:color="E5E5E5"/>
            </w:tcBorders>
          </w:tcPr>
          <w:p>
            <w:pPr>
              <w:spacing w:after="0" w:line="20" w:lineRule="exact"/>
              <w:rPr>
                <w:sz w:val="1"/>
                <w:szCs w:val="1"/>
                <w:color w:val="auto"/>
              </w:rPr>
            </w:pPr>
          </w:p>
        </w:tc>
        <w:tc>
          <w:tcPr>
            <w:tcW w:w="640" w:type="dxa"/>
            <w:vAlign w:val="bottom"/>
            <w:tcBorders>
              <w:top w:val="single" w:sz="8" w:color="E5E5E5"/>
            </w:tcBorders>
          </w:tcPr>
          <w:p>
            <w:pPr>
              <w:spacing w:after="0" w:line="20" w:lineRule="exact"/>
              <w:rPr>
                <w:sz w:val="1"/>
                <w:szCs w:val="1"/>
                <w:color w:val="auto"/>
              </w:rPr>
            </w:pPr>
          </w:p>
        </w:tc>
        <w:tc>
          <w:tcPr>
            <w:tcW w:w="502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E5E5E5"/>
              <w:bottom w:val="single" w:sz="8" w:color="auto"/>
            </w:tcBorders>
          </w:tcPr>
          <w:p>
            <w:pPr>
              <w:spacing w:after="0" w:line="20" w:lineRule="exact"/>
              <w:rPr>
                <w:sz w:val="1"/>
                <w:szCs w:val="1"/>
                <w:color w:val="auto"/>
              </w:rPr>
            </w:pPr>
          </w:p>
        </w:tc>
        <w:tc>
          <w:tcPr>
            <w:tcW w:w="11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500" w:type="dxa"/>
            <w:vAlign w:val="bottom"/>
            <w:tcBorders>
              <w:top w:val="single" w:sz="8" w:color="E5E5E5"/>
              <w:bottom w:val="single" w:sz="8" w:color="auto"/>
            </w:tcBorders>
          </w:tcPr>
          <w:p>
            <w:pPr>
              <w:spacing w:after="0" w:line="20" w:lineRule="exact"/>
              <w:rPr>
                <w:sz w:val="1"/>
                <w:szCs w:val="1"/>
                <w:color w:val="auto"/>
              </w:rPr>
            </w:pPr>
          </w:p>
        </w:tc>
        <w:tc>
          <w:tcPr>
            <w:tcW w:w="8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E5E5E5"/>
              <w:bottom w:val="single" w:sz="8" w:color="auto"/>
            </w:tcBorders>
          </w:tcPr>
          <w:p>
            <w:pPr>
              <w:spacing w:after="0" w:line="20" w:lineRule="exact"/>
              <w:rPr>
                <w:sz w:val="1"/>
                <w:szCs w:val="1"/>
                <w:color w:val="auto"/>
              </w:rPr>
            </w:pPr>
          </w:p>
        </w:tc>
        <w:tc>
          <w:tcPr>
            <w:tcW w:w="11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00" w:type="dxa"/>
            <w:vAlign w:val="bottom"/>
            <w:tcBorders>
              <w:top w:val="single" w:sz="8" w:color="E5E5E5"/>
              <w:bottom w:val="single" w:sz="8" w:color="auto"/>
            </w:tcBorders>
          </w:tcPr>
          <w:p>
            <w:pPr>
              <w:spacing w:after="0" w:line="20" w:lineRule="exact"/>
              <w:rPr>
                <w:sz w:val="1"/>
                <w:szCs w:val="1"/>
                <w:color w:val="auto"/>
              </w:rPr>
            </w:pPr>
          </w:p>
        </w:tc>
        <w:tc>
          <w:tcPr>
            <w:tcW w:w="100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w:t>
      </w:r>
    </w:p>
    <w:p>
      <w:pPr>
        <w:spacing w:after="0" w:line="27"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secured debt issued by subsidiaries of Xerox Corporation as part of securitization of Finance Receivables.</w:t>
      </w:r>
    </w:p>
    <w:p>
      <w:pPr>
        <w:spacing w:after="0" w:line="14" w:lineRule="exact"/>
        <w:rPr>
          <w:rFonts w:ascii="Arial" w:cs="Arial" w:eastAsia="Arial" w:hAnsi="Arial"/>
          <w:sz w:val="14"/>
          <w:szCs w:val="14"/>
          <w:i w:val="1"/>
          <w:iCs w:val="1"/>
          <w:color w:val="auto"/>
        </w:rPr>
      </w:pPr>
    </w:p>
    <w:p>
      <w:pPr>
        <w:ind w:left="320" w:hanging="312"/>
        <w:spacing w:after="0"/>
        <w:tabs>
          <w:tab w:leader="none" w:pos="32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fair value adjustments.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13 - Debt in the Condensed Consolidated Financial Statements for additional information regarding debt.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7" w:name="page58"/>
    <w:bookmarkEnd w:id="57"/>
    <w:p>
      <w:pPr>
        <w:spacing w:after="0"/>
        <w:rPr>
          <w:sz w:val="20"/>
          <w:szCs w:val="20"/>
          <w:color w:val="auto"/>
        </w:rPr>
      </w:pPr>
      <w:r>
        <w:rPr>
          <w:rFonts w:ascii="Arial" w:cs="Arial" w:eastAsia="Arial" w:hAnsi="Arial"/>
          <w:sz w:val="20"/>
          <w:szCs w:val="20"/>
          <w:b w:val="1"/>
          <w:bCs w:val="1"/>
          <w:color w:val="DA2031"/>
        </w:rPr>
        <w:t>Treasury Stock</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Xerox Holdings Corporation repurchased 5.2 million shares of its common stock for an aggregate $ 113 million, including fees, in first quarter 2022. The cumulative total of shares repurchased by Xerox Holdings Corporation under the current share repurchase program is 24.6 million shares for an aggregate cost of approximately $500 million, including fees. As of March 31, 2022, there was no repurchase authority remaining.</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DA2031"/>
        </w:rPr>
        <w:t>Financial Risk Management</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market risk from foreign currency exchange rates and interest rates, which could affect operating results, financial position and cash flows. We manage our exposure to these market risks through our regular operating and financing activities and, when appropriate, through the use of derivative financial instruments. We utilize derivative financial instruments to hedge economic exposures, as well as to reduce earnings and cash flow volatility resulting from shifts in market rates. We enter into limited types of derivative contracts, including interest rate swap agreements, interest rate caps, foreign currency spot, forward and swap contracts and net purchased foreign currency options to manage interest rate and foreign currency exposures. Our primary foreign currency market exposures include the Japanese Yen, Euro and U.K. Pound Sterling. The fair market values of all our derivative contracts change with fluctuations in interest rates and/or currency exchange rates and are designed so that any changes in their values are offset by changes in the values of the underlying exposures. Derivative financial instruments are held solely as risk management tools and not for trading or speculative purposes. The related cash flow impacts of all of our derivative activities are reflected as cash flows from operating activities.</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required to recognize all derivative instruments as either assets or liabilities at fair value in the balance sheet. As permitted, certain of these derivative contracts have been designated for hedge accounting treatment. Certain of our derivatives that do not qualify for hedge accounting are effective as economic hedges. These derivative contracts are likewise required to be recognized each period at fair value and therefore do result in some level of volatility. The level of volatility will vary with the type and amount of derivative hedges outstanding, as well as fluctuations in the currency and interest rate markets during the period. The related cash flow impacts of all of our derivative activities are reflected as cash flows from operating activities.</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By their nature, all derivative instruments involve, to varying degrees, elements of market and credit risk. The market risk associated with these instruments resulting from currency exchange and interest rate movements is expected to offset the market risk of the underlying transactions, assets and liabilities being hedged. We do not believe there is significant risk of loss in the event of non-performance by the counterparties associated with these instruments because these transactions are executed with a diversified group of major financial institutions. Further, our policy is to deal with counterparties having a minimum investment grade or better credit rating. Credit risk is managed through the continuous monitoring of exposures to such counterparties.</w:t>
      </w:r>
    </w:p>
    <w:p>
      <w:pPr>
        <w:spacing w:after="0" w:line="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current market events have not required us to materially modify or change our financial risk management strategies with respect to our exposures to interest rate and foreign currency risk. Refer to Note 14 – Financial Instruments in the Condensed Consolidated Financial Statements for further discussion and information on our financial risk management strategies.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58" w:name="page59"/>
    <w:bookmarkEnd w:id="58"/>
    <w:p>
      <w:pPr>
        <w:spacing w:after="0"/>
        <w:rPr>
          <w:sz w:val="20"/>
          <w:szCs w:val="20"/>
          <w:color w:val="auto"/>
        </w:rPr>
      </w:pPr>
      <w:r>
        <w:rPr>
          <w:rFonts w:ascii="Arial" w:cs="Arial" w:eastAsia="Arial" w:hAnsi="Arial"/>
          <w:sz w:val="22"/>
          <w:szCs w:val="22"/>
          <w:b w:val="1"/>
          <w:bCs w:val="1"/>
          <w:color w:val="DA2031"/>
        </w:rPr>
        <w:t>Non-GAAP Financial Measures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reported our financial results in accordance with generally accepted accounting principles (GAAP). In addition, we have discussed our financial results using the non-GAAP measures described below. We believe these non-GAAP measures allow investors to better understand the trends in our business and to better understand and compare our results. Accordingly, we believe it is necessary to adjust several reported amounts, determined in accordance with GAAP, to exclude the effects of certain items as well as their related income tax effects.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Reconciliations of these non-GAAP financial measures to the most directly comparable financial measures calculated and presented in accordance with GAAP are set forth below as well as in the first quarter 2022 presentation slides available at www.xerox.com/investor.</w:t>
      </w:r>
    </w:p>
    <w:p>
      <w:pPr>
        <w:spacing w:after="0" w:line="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These non-GAAP financial measures should be viewed in addition to, and not as a substitute for, the Company’s reported results prepared in accordance with GAAP.</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Adjusted Earnings Measures</w:t>
      </w:r>
    </w:p>
    <w:p>
      <w:pPr>
        <w:spacing w:after="0" w:line="27"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b w:val="1"/>
          <w:bCs w:val="1"/>
          <w:color w:val="DA2031"/>
        </w:rPr>
      </w:pPr>
      <w:r>
        <w:rPr>
          <w:rFonts w:ascii="Arial" w:cs="Arial" w:eastAsia="Arial" w:hAnsi="Arial"/>
          <w:sz w:val="18"/>
          <w:szCs w:val="18"/>
          <w:color w:val="auto"/>
        </w:rPr>
        <w:t>Net (Loss) Income and EPS</w:t>
      </w:r>
    </w:p>
    <w:p>
      <w:pPr>
        <w:spacing w:after="0" w:line="9" w:lineRule="exact"/>
        <w:rPr>
          <w:rFonts w:ascii="Arial" w:cs="Arial" w:eastAsia="Arial" w:hAnsi="Arial"/>
          <w:sz w:val="18"/>
          <w:szCs w:val="18"/>
          <w:b w:val="1"/>
          <w:bCs w:val="1"/>
          <w:color w:val="DA2031"/>
        </w:rPr>
      </w:pPr>
    </w:p>
    <w:p>
      <w:pPr>
        <w:ind w:left="320" w:hanging="312"/>
        <w:spacing w:after="0"/>
        <w:tabs>
          <w:tab w:leader="none" w:pos="320" w:val="left"/>
        </w:tabs>
        <w:numPr>
          <w:ilvl w:val="0"/>
          <w:numId w:val="50"/>
        </w:numPr>
        <w:rPr>
          <w:rFonts w:ascii="Arial" w:cs="Arial" w:eastAsia="Arial" w:hAnsi="Arial"/>
          <w:sz w:val="18"/>
          <w:szCs w:val="18"/>
          <w:b w:val="1"/>
          <w:bCs w:val="1"/>
          <w:color w:val="DA2031"/>
        </w:rPr>
      </w:pPr>
      <w:r>
        <w:rPr>
          <w:rFonts w:ascii="Arial" w:cs="Arial" w:eastAsia="Arial" w:hAnsi="Arial"/>
          <w:sz w:val="18"/>
          <w:szCs w:val="18"/>
          <w:color w:val="auto"/>
        </w:rPr>
        <w:t>Effective Tax Rate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above measures were adjusted for the following items: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Restructuring and related costs, net:</w:t>
      </w:r>
      <w:r>
        <w:rPr>
          <w:rFonts w:ascii="Arial" w:cs="Arial" w:eastAsia="Arial" w:hAnsi="Arial"/>
          <w:sz w:val="18"/>
          <w:szCs w:val="18"/>
          <w:color w:val="auto"/>
        </w:rPr>
        <w:t xml:space="preserve"> Restructuring and related costs, net include restructuring and asset impairment charges as well as costs associated with our transformation programs beyond those normally included in restructuring and asset impairment charges. Restructuring consists of costs primarily related to severance and benefits paid to employees pursuant to formal restructuring and workforce reduction plans. Asset impairment includes costs incurred for those assets sold, abandoned or made obsolete as a result of our restructuring actions, exiting from a business or other strategic business changes. Additional costs for our transformation programs are primarily related to the implementation of strategic actions and initiatives and include third-party professional service costs as well as one-time incremental costs. All of these costs can vary significantly in terms of amount and frequency based on the nature of the actions as well as the changing needs of the business. Accordingly, due to that significant variability, we will exclude these charges since we do not believe they provide meaningful insight into our current or past operating performance nor do we believe they are reflective of our expected future operating expenses as such charges are expected to yield future benefits and savings with respect to our operational performance.</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Amortization of intangible assets:</w:t>
      </w:r>
      <w:r>
        <w:rPr>
          <w:rFonts w:ascii="Arial" w:cs="Arial" w:eastAsia="Arial" w:hAnsi="Arial"/>
          <w:sz w:val="18"/>
          <w:szCs w:val="18"/>
          <w:color w:val="auto"/>
        </w:rPr>
        <w:t xml:space="preserve"> The amortization of intangible assets is driven by our acquisition activity which can vary in size, nature and timing as compared to other companies within our industry and from period to period. The use of intangible assets contributed to our revenues earned during the periods presented and will contribute to our future period revenues as well. Amortization of intangible assets will recur in future periods.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Non-service retirement-related costs:</w:t>
      </w:r>
      <w:r>
        <w:rPr>
          <w:rFonts w:ascii="Arial" w:cs="Arial" w:eastAsia="Arial" w:hAnsi="Arial"/>
          <w:sz w:val="18"/>
          <w:szCs w:val="18"/>
          <w:color w:val="auto"/>
        </w:rPr>
        <w:t xml:space="preserve"> Our defined benefit pension and retiree health costs include several elements impacted by changes in plan assets and obligations that are primarily driven by changes in the debt and equity markets as well as those that are predominantly legacy in nature and related to employees who are no longer providing current service to the Company (e.g. retirees and ex-employees). These elements include (i) interest cost, (ii) expected return on plan assets, (iii) amortization of prior plan amendments, (iv) amortized actuarial gains/losses and (v) the impacts of any plan settlements/curtailments. Accordingly, we consider these elements of our periodic retirement plan costs to be outside the operational performance of the business or legacy costs and not necessarily indicative of current or future cash flow requirements. This approach is consistent with the classification of these costs as non-operating in Other expenses, net. Adjusted earnings will continue to include the service cost elements of our retirement costs, which is related to current employee service as well as the cost of our defined contribution plans.</w:t>
      </w:r>
    </w:p>
    <w:p>
      <w:pPr>
        <w:spacing w:after="0" w:line="5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u w:val="single" w:color="auto"/>
          <w:color w:val="auto"/>
        </w:rPr>
        <w:t>Other discrete, unusual or infrequent items:</w:t>
      </w:r>
      <w:r>
        <w:rPr>
          <w:rFonts w:ascii="Arial" w:cs="Arial" w:eastAsia="Arial" w:hAnsi="Arial"/>
          <w:sz w:val="18"/>
          <w:szCs w:val="18"/>
          <w:color w:val="auto"/>
        </w:rPr>
        <w:t xml:space="preserve"> We excluded these items, when applicable, given their discrete, unusual or infrequent nature and its impact on our results for the period.</w:t>
      </w:r>
    </w:p>
    <w:p>
      <w:pPr>
        <w:spacing w:after="0" w:line="31"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b w:val="1"/>
          <w:bCs w:val="1"/>
          <w:color w:val="DA2031"/>
        </w:rPr>
      </w:pPr>
      <w:r>
        <w:rPr>
          <w:rFonts w:ascii="Arial" w:cs="Arial" w:eastAsia="Arial" w:hAnsi="Arial"/>
          <w:sz w:val="18"/>
          <w:szCs w:val="18"/>
          <w:color w:val="auto"/>
        </w:rPr>
        <w:t>Contract termination costs - product supply</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believe the exclusion of these items allows investors to better understand and analyze the results for the period as compared to prior periods and expected future trends in our business.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Adjusted Operating (Loss) Income and Margin</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calculate and utilize adjusted operating (loss) income and margin measures by adjusting our reported pre-tax (loss) income and margin amounts. In addition to the costs and expenses noted above as adjustments for our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9" w:name="page60"/>
    <w:bookmarkEnd w:id="59"/>
    <w:p>
      <w:pPr>
        <w:jc w:val="both"/>
        <w:spacing w:after="0" w:line="268" w:lineRule="auto"/>
        <w:rPr>
          <w:sz w:val="20"/>
          <w:szCs w:val="20"/>
          <w:color w:val="auto"/>
        </w:rPr>
      </w:pPr>
      <w:r>
        <w:rPr>
          <w:rFonts w:ascii="Arial" w:cs="Arial" w:eastAsia="Arial" w:hAnsi="Arial"/>
          <w:sz w:val="18"/>
          <w:szCs w:val="18"/>
          <w:color w:val="auto"/>
        </w:rPr>
        <w:t>adjusted earnings measures, adjusted operating income and margin also exclude the remaining amounts included in Other expenses, net, which are primarily non-financing interest expense and certain other non-operating costs and expenses. We exclude these amounts in order to evaluate our current and past operating performance and to better understand the expected future trends in our business.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Constant Currency (CC)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Refer to "Currency Impact" for a discussion of this measure and its use in our analysis of revenue growth.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Summary</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believes that all of these non-GAAP financial measures provide an additional means of analyzing the current period’s results against the corresponding prior period’s results. However, these non-GAAP financial measures should be viewed in addition to, and not as a substitute for, the Company’s reported results prepared in accordance with GAAP. Our non-GAAP financial measures are not meant to be considered in isolation or as a substitute for comparable GAAP measures and should be read only in conjunction with our Condensed Consolidated Financial Statements prepared in accordance with GAAP. Our management regularly uses our supplemental non-GAAP financial measures internally to understand, manage and evaluate our business and make operating decisions. These non-GAAP measures are among the primary factors management uses in planning for and forecasting future periods. Compensation of our executives is based in part on the performance of our business based on these non-GAAP measures.</w:t>
      </w:r>
    </w:p>
    <w:p>
      <w:pPr>
        <w:spacing w:after="0" w:line="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Reconciliations of these non-GAAP financial measures and the most directly comparable measures calculated and presented in accordance with GAAP are set forth on the following tables: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Net (Loss) Income and EPS reconciliation: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2022</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2021</w:t>
            </w:r>
          </w:p>
        </w:tc>
        <w:tc>
          <w:tcPr>
            <w:tcW w:w="1080" w:type="dxa"/>
            <w:vAlign w:val="bottom"/>
            <w:tcBorders>
              <w:bottom w:val="single" w:sz="8" w:color="auto"/>
            </w:tcBorders>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5220" w:type="dxa"/>
            <w:vAlign w:val="bottom"/>
            <w:gridSpan w:val="2"/>
          </w:tcPr>
          <w:p>
            <w:pPr>
              <w:spacing w:after="0"/>
              <w:rPr>
                <w:sz w:val="20"/>
                <w:szCs w:val="20"/>
                <w:color w:val="auto"/>
              </w:rPr>
            </w:pPr>
            <w:r>
              <w:rPr>
                <w:rFonts w:ascii="Arial" w:cs="Arial" w:eastAsia="Arial" w:hAnsi="Arial"/>
                <w:sz w:val="13"/>
                <w:szCs w:val="13"/>
                <w:color w:val="auto"/>
              </w:rPr>
              <w:t>(in millions, except per share amounts)</w:t>
            </w:r>
          </w:p>
        </w:tc>
        <w:tc>
          <w:tcPr>
            <w:tcW w:w="240" w:type="dxa"/>
            <w:vAlign w:val="bottom"/>
          </w:tcPr>
          <w:p>
            <w:pPr>
              <w:spacing w:after="0"/>
              <w:rPr>
                <w:sz w:val="13"/>
                <w:szCs w:val="13"/>
                <w:color w:val="auto"/>
              </w:rPr>
            </w:pPr>
          </w:p>
        </w:tc>
        <w:tc>
          <w:tcPr>
            <w:tcW w:w="1160" w:type="dxa"/>
            <w:vAlign w:val="bottom"/>
          </w:tcPr>
          <w:p>
            <w:pPr>
              <w:jc w:val="right"/>
              <w:ind w:right="328"/>
              <w:spacing w:after="0" w:line="159" w:lineRule="exact"/>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EPS</w:t>
            </w:r>
          </w:p>
        </w:tc>
        <w:tc>
          <w:tcPr>
            <w:tcW w:w="220" w:type="dxa"/>
            <w:vAlign w:val="bottom"/>
          </w:tcPr>
          <w:p>
            <w:pPr>
              <w:spacing w:after="0"/>
              <w:rPr>
                <w:sz w:val="13"/>
                <w:szCs w:val="13"/>
                <w:color w:val="auto"/>
              </w:rPr>
            </w:pPr>
          </w:p>
        </w:tc>
        <w:tc>
          <w:tcPr>
            <w:tcW w:w="1220" w:type="dxa"/>
            <w:vAlign w:val="bottom"/>
          </w:tcPr>
          <w:p>
            <w:pPr>
              <w:jc w:val="right"/>
              <w:ind w:right="288"/>
              <w:spacing w:after="0" w:line="15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88"/>
              <w:spacing w:after="0" w:line="159" w:lineRule="exact"/>
              <w:rPr>
                <w:sz w:val="20"/>
                <w:szCs w:val="20"/>
                <w:color w:val="auto"/>
              </w:rPr>
            </w:pPr>
            <w:r>
              <w:rPr>
                <w:rFonts w:ascii="Arial" w:cs="Arial" w:eastAsia="Arial" w:hAnsi="Arial"/>
                <w:sz w:val="14"/>
                <w:szCs w:val="14"/>
                <w:color w:val="auto"/>
              </w:rPr>
              <w:t>EPS</w:t>
            </w:r>
          </w:p>
        </w:tc>
      </w:tr>
      <w:tr>
        <w:trPr>
          <w:trHeight w:val="20"/>
        </w:trPr>
        <w:tc>
          <w:tcPr>
            <w:tcW w:w="20" w:type="dxa"/>
            <w:vAlign w:val="bottom"/>
            <w:tcBorders>
              <w:bottom w:val="single" w:sz="8" w:color="E5E5E5"/>
            </w:tcBorders>
          </w:tcPr>
          <w:p>
            <w:pPr>
              <w:spacing w:after="0" w:line="20" w:lineRule="exact"/>
              <w:rPr>
                <w:sz w:val="1"/>
                <w:szCs w:val="1"/>
                <w:color w:val="auto"/>
              </w:rPr>
            </w:pPr>
          </w:p>
        </w:tc>
        <w:tc>
          <w:tcPr>
            <w:tcW w:w="2160" w:type="dxa"/>
            <w:vAlign w:val="bottom"/>
            <w:tcBorders>
              <w:top w:val="single" w:sz="8" w:color="auto"/>
              <w:bottom w:val="single" w:sz="8" w:color="E5E5E5"/>
            </w:tcBorders>
          </w:tcPr>
          <w:p>
            <w:pPr>
              <w:spacing w:after="0" w:line="20" w:lineRule="exact"/>
              <w:rPr>
                <w:sz w:val="1"/>
                <w:szCs w:val="1"/>
                <w:color w:val="auto"/>
              </w:rPr>
            </w:pPr>
          </w:p>
        </w:tc>
        <w:tc>
          <w:tcPr>
            <w:tcW w:w="306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E5E5E5"/>
          </w:tcPr>
          <w:p>
            <w:pPr>
              <w:spacing w:after="0"/>
              <w:rPr>
                <w:sz w:val="17"/>
                <w:szCs w:val="17"/>
                <w:color w:val="auto"/>
              </w:rPr>
            </w:pPr>
          </w:p>
        </w:tc>
        <w:tc>
          <w:tcPr>
            <w:tcW w:w="5220" w:type="dxa"/>
            <w:vAlign w:val="bottom"/>
            <w:gridSpan w:val="2"/>
            <w:shd w:val="clear" w:color="auto" w:fill="E5E5E5"/>
          </w:tcPr>
          <w:p>
            <w:pPr>
              <w:spacing w:after="0" w:line="196" w:lineRule="exact"/>
              <w:rPr>
                <w:sz w:val="20"/>
                <w:szCs w:val="20"/>
                <w:color w:val="auto"/>
              </w:rPr>
            </w:pPr>
            <w:r>
              <w:rPr>
                <w:rFonts w:ascii="Arial" w:cs="Arial" w:eastAsia="Arial" w:hAnsi="Arial"/>
                <w:sz w:val="14"/>
                <w:szCs w:val="14"/>
                <w:b w:val="1"/>
                <w:bCs w:val="1"/>
                <w:color w:val="auto"/>
              </w:rPr>
              <w:t>Reported</w:t>
            </w:r>
            <w:r>
              <w:rPr>
                <w:rFonts w:ascii="Arial" w:cs="Arial" w:eastAsia="Arial" w:hAnsi="Arial"/>
                <w:sz w:val="18"/>
                <w:szCs w:val="18"/>
                <w:b w:val="1"/>
                <w:bCs w:val="1"/>
                <w:color w:val="auto"/>
                <w:vertAlign w:val="superscript"/>
              </w:rPr>
              <w:t>(1)</w:t>
            </w: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(56)</w:t>
            </w:r>
          </w:p>
        </w:tc>
        <w:tc>
          <w:tcPr>
            <w:tcW w:w="40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(0.38)</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39</w:t>
            </w:r>
          </w:p>
        </w:tc>
        <w:tc>
          <w:tcPr>
            <w:tcW w:w="44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0.18</w:t>
            </w:r>
          </w:p>
        </w:tc>
      </w:tr>
      <w:tr>
        <w:trPr>
          <w:trHeight w:val="201"/>
        </w:trPr>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4"/>
        </w:trPr>
        <w:tc>
          <w:tcPr>
            <w:tcW w:w="20" w:type="dxa"/>
            <w:vAlign w:val="bottom"/>
            <w:shd w:val="clear" w:color="auto" w:fill="E5E5E5"/>
          </w:tcPr>
          <w:p>
            <w:pPr>
              <w:spacing w:after="0"/>
              <w:rPr>
                <w:sz w:val="17"/>
                <w:szCs w:val="17"/>
                <w:color w:val="auto"/>
              </w:rPr>
            </w:pPr>
          </w:p>
        </w:tc>
        <w:tc>
          <w:tcPr>
            <w:tcW w:w="522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Restructuring and related costs, net</w:t>
            </w:r>
          </w:p>
        </w:tc>
        <w:tc>
          <w:tcPr>
            <w:tcW w:w="24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22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4"/>
                <w:szCs w:val="14"/>
                <w:color w:val="auto"/>
              </w:rPr>
              <w:t>Amortization of intangible assets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6"/>
        </w:trPr>
        <w:tc>
          <w:tcPr>
            <w:tcW w:w="20" w:type="dxa"/>
            <w:vAlign w:val="bottom"/>
            <w:shd w:val="clear" w:color="auto" w:fill="E5E5E5"/>
          </w:tcPr>
          <w:p>
            <w:pPr>
              <w:spacing w:after="0"/>
              <w:rPr>
                <w:sz w:val="17"/>
                <w:szCs w:val="17"/>
                <w:color w:val="auto"/>
              </w:rPr>
            </w:pPr>
          </w:p>
        </w:tc>
        <w:tc>
          <w:tcPr>
            <w:tcW w:w="522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Non-service retirement-related costs</w:t>
            </w:r>
          </w:p>
        </w:tc>
        <w:tc>
          <w:tcPr>
            <w:tcW w:w="240" w:type="dxa"/>
            <w:vAlign w:val="bottom"/>
            <w:shd w:val="clear" w:color="auto" w:fill="E5E5E5"/>
          </w:tcPr>
          <w:p>
            <w:pPr>
              <w:spacing w:after="0"/>
              <w:rPr>
                <w:sz w:val="17"/>
                <w:szCs w:val="17"/>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4"/>
                <w:szCs w:val="14"/>
                <w:color w:val="auto"/>
              </w:rPr>
              <w:t>Contract termination costs - product supply</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20" w:type="dxa"/>
            <w:vAlign w:val="bottom"/>
            <w:shd w:val="clear" w:color="auto" w:fill="E5E5E5"/>
          </w:tcPr>
          <w:p>
            <w:pPr>
              <w:spacing w:after="0"/>
              <w:rPr>
                <w:sz w:val="17"/>
                <w:szCs w:val="17"/>
                <w:color w:val="auto"/>
              </w:rPr>
            </w:pPr>
          </w:p>
        </w:tc>
        <w:tc>
          <w:tcPr>
            <w:tcW w:w="522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Income tax on adjustments</w:t>
            </w:r>
            <w:r>
              <w:rPr>
                <w:rFonts w:ascii="Arial" w:cs="Arial" w:eastAsia="Arial" w:hAnsi="Arial"/>
                <w:sz w:val="18"/>
                <w:szCs w:val="18"/>
                <w:color w:val="auto"/>
                <w:vertAlign w:val="superscript"/>
              </w:rPr>
              <w:t>(2)</w:t>
            </w:r>
          </w:p>
        </w:tc>
        <w:tc>
          <w:tcPr>
            <w:tcW w:w="240" w:type="dxa"/>
            <w:vAlign w:val="bottom"/>
            <w:tcBorders>
              <w:bottom w:val="single" w:sz="8" w:color="auto"/>
            </w:tcBorders>
            <w:shd w:val="clear" w:color="auto" w:fill="E5E5E5"/>
          </w:tcPr>
          <w:p>
            <w:pPr>
              <w:spacing w:after="0"/>
              <w:rPr>
                <w:sz w:val="17"/>
                <w:szCs w:val="17"/>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20" w:type="dxa"/>
            <w:vAlign w:val="bottom"/>
            <w:tcBorders>
              <w:bottom w:val="single" w:sz="8" w:color="auto"/>
            </w:tcBorders>
            <w:shd w:val="clear" w:color="auto" w:fill="E5E5E5"/>
          </w:tcPr>
          <w:p>
            <w:pPr>
              <w:spacing w:after="0"/>
              <w:rPr>
                <w:sz w:val="17"/>
                <w:szCs w:val="17"/>
                <w:color w:val="auto"/>
              </w:rPr>
            </w:pPr>
          </w:p>
        </w:tc>
        <w:tc>
          <w:tcPr>
            <w:tcW w:w="1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Adjusted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0.22</w:t>
            </w:r>
          </w:p>
        </w:tc>
      </w:tr>
      <w:tr>
        <w:trPr>
          <w:trHeight w:val="20"/>
        </w:trPr>
        <w:tc>
          <w:tcPr>
            <w:tcW w:w="20" w:type="dxa"/>
            <w:vAlign w:val="bottom"/>
            <w:tcBorders>
              <w:bottom w:val="single" w:sz="8" w:color="E5E5E5"/>
            </w:tcBorders>
          </w:tcPr>
          <w:p>
            <w:pPr>
              <w:spacing w:after="0" w:line="20" w:lineRule="exact"/>
              <w:rPr>
                <w:sz w:val="1"/>
                <w:szCs w:val="1"/>
                <w:color w:val="auto"/>
              </w:rPr>
            </w:pPr>
          </w:p>
        </w:tc>
        <w:tc>
          <w:tcPr>
            <w:tcW w:w="2160" w:type="dxa"/>
            <w:vAlign w:val="bottom"/>
            <w:tcBorders>
              <w:bottom w:val="single" w:sz="8" w:color="E5E5E5"/>
            </w:tcBorders>
          </w:tcPr>
          <w:p>
            <w:pPr>
              <w:spacing w:after="0" w:line="20" w:lineRule="exact"/>
              <w:rPr>
                <w:sz w:val="1"/>
                <w:szCs w:val="1"/>
                <w:color w:val="auto"/>
              </w:rPr>
            </w:pPr>
          </w:p>
        </w:tc>
        <w:tc>
          <w:tcPr>
            <w:tcW w:w="306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280" w:type="dxa"/>
            <w:vAlign w:val="bottom"/>
            <w:tcBorders>
              <w:bottom w:val="single" w:sz="8" w:color="E5E5E5"/>
            </w:tcBorders>
          </w:tcPr>
          <w:p>
            <w:pPr>
              <w:spacing w:after="0" w:line="20" w:lineRule="exact"/>
              <w:rPr>
                <w:sz w:val="1"/>
                <w:szCs w:val="1"/>
                <w:color w:val="auto"/>
              </w:rPr>
            </w:pPr>
          </w:p>
        </w:tc>
        <w:tc>
          <w:tcPr>
            <w:tcW w:w="114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40" w:type="dxa"/>
            <w:vAlign w:val="bottom"/>
            <w:tcBorders>
              <w:bottom w:val="single" w:sz="8" w:color="E5E5E5"/>
            </w:tcBorders>
          </w:tcPr>
          <w:p>
            <w:pPr>
              <w:spacing w:after="0" w:line="20" w:lineRule="exact"/>
              <w:rPr>
                <w:sz w:val="1"/>
                <w:szCs w:val="1"/>
                <w:color w:val="auto"/>
              </w:rPr>
            </w:pPr>
          </w:p>
        </w:tc>
        <w:tc>
          <w:tcPr>
            <w:tcW w:w="1080" w:type="dxa"/>
            <w:vAlign w:val="bottom"/>
            <w:tcBorders>
              <w:bottom w:val="single" w:sz="8" w:color="E5E5E5"/>
            </w:tcBorders>
          </w:tcPr>
          <w:p>
            <w:pPr>
              <w:spacing w:after="0" w:line="20" w:lineRule="exact"/>
              <w:rPr>
                <w:sz w:val="1"/>
                <w:szCs w:val="1"/>
                <w:color w:val="auto"/>
              </w:rPr>
            </w:pPr>
          </w:p>
        </w:tc>
      </w:tr>
      <w:tr>
        <w:trPr>
          <w:trHeight w:val="183"/>
        </w:trPr>
        <w:tc>
          <w:tcPr>
            <w:tcW w:w="20" w:type="dxa"/>
            <w:vAlign w:val="bottom"/>
            <w:shd w:val="clear" w:color="auto" w:fill="E5E5E5"/>
          </w:tcPr>
          <w:p>
            <w:pPr>
              <w:spacing w:after="0"/>
              <w:rPr>
                <w:sz w:val="15"/>
                <w:szCs w:val="15"/>
                <w:color w:val="auto"/>
              </w:rPr>
            </w:pPr>
          </w:p>
        </w:tc>
        <w:tc>
          <w:tcPr>
            <w:tcW w:w="2160" w:type="dxa"/>
            <w:vAlign w:val="bottom"/>
            <w:shd w:val="clear" w:color="auto" w:fill="E5E5E5"/>
          </w:tcPr>
          <w:p>
            <w:pPr>
              <w:spacing w:after="0"/>
              <w:rPr>
                <w:sz w:val="15"/>
                <w:szCs w:val="15"/>
                <w:color w:val="auto"/>
              </w:rPr>
            </w:pPr>
          </w:p>
        </w:tc>
        <w:tc>
          <w:tcPr>
            <w:tcW w:w="306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11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11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2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1080" w:type="dxa"/>
            <w:vAlign w:val="bottom"/>
            <w:shd w:val="clear" w:color="auto" w:fill="E5E5E5"/>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220" w:type="dxa"/>
            <w:vAlign w:val="bottom"/>
            <w:gridSpan w:val="2"/>
          </w:tcPr>
          <w:p>
            <w:pPr>
              <w:spacing w:after="0" w:line="202" w:lineRule="exact"/>
              <w:rPr>
                <w:sz w:val="20"/>
                <w:szCs w:val="20"/>
                <w:color w:val="auto"/>
              </w:rPr>
            </w:pPr>
            <w:r>
              <w:rPr>
                <w:rFonts w:ascii="Arial" w:cs="Arial" w:eastAsia="Arial" w:hAnsi="Arial"/>
                <w:sz w:val="14"/>
                <w:szCs w:val="14"/>
                <w:color w:val="auto"/>
              </w:rPr>
              <w:t>Dividends on preferred stock used in adjusted EPS calculation</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2"/>
        </w:trPr>
        <w:tc>
          <w:tcPr>
            <w:tcW w:w="20" w:type="dxa"/>
            <w:vAlign w:val="bottom"/>
            <w:shd w:val="clear" w:color="auto" w:fill="E5E5E5"/>
          </w:tcPr>
          <w:p>
            <w:pPr>
              <w:spacing w:after="0"/>
              <w:rPr>
                <w:sz w:val="17"/>
                <w:szCs w:val="17"/>
                <w:color w:val="auto"/>
              </w:rPr>
            </w:pPr>
          </w:p>
        </w:tc>
        <w:tc>
          <w:tcPr>
            <w:tcW w:w="5220" w:type="dxa"/>
            <w:vAlign w:val="bottom"/>
            <w:gridSpan w:val="2"/>
            <w:shd w:val="clear" w:color="auto" w:fill="E5E5E5"/>
          </w:tcPr>
          <w:p>
            <w:pPr>
              <w:spacing w:after="0" w:line="202" w:lineRule="exact"/>
              <w:rPr>
                <w:sz w:val="20"/>
                <w:szCs w:val="20"/>
                <w:color w:val="auto"/>
              </w:rPr>
            </w:pPr>
            <w:r>
              <w:rPr>
                <w:rFonts w:ascii="Arial" w:cs="Arial" w:eastAsia="Arial" w:hAnsi="Arial"/>
                <w:sz w:val="14"/>
                <w:szCs w:val="14"/>
                <w:color w:val="auto"/>
              </w:rPr>
              <w:t>Weighted average shares for adjusted EPS</w:t>
            </w:r>
            <w:r>
              <w:rPr>
                <w:rFonts w:ascii="Arial" w:cs="Arial" w:eastAsia="Arial" w:hAnsi="Arial"/>
                <w:sz w:val="18"/>
                <w:szCs w:val="18"/>
                <w:color w:val="auto"/>
                <w:vertAlign w:val="superscript"/>
              </w:rPr>
              <w:t>(3)</w:t>
            </w:r>
          </w:p>
        </w:tc>
        <w:tc>
          <w:tcPr>
            <w:tcW w:w="24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1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2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198</w:t>
            </w:r>
          </w:p>
        </w:tc>
      </w:tr>
      <w:tr>
        <w:trPr>
          <w:trHeight w:val="252"/>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4"/>
                <w:szCs w:val="14"/>
                <w:color w:val="auto"/>
              </w:rPr>
              <w:t>Fully diluted shares at March 31, 2022</w:t>
            </w:r>
            <w:r>
              <w:rPr>
                <w:rFonts w:ascii="Arial" w:cs="Arial" w:eastAsia="Arial" w:hAnsi="Arial"/>
                <w:sz w:val="18"/>
                <w:szCs w:val="18"/>
                <w:color w:val="auto"/>
                <w:vertAlign w:val="superscript"/>
              </w:rPr>
              <w:t>(4)</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w:t>
      </w:r>
    </w:p>
    <w:p>
      <w:pPr>
        <w:spacing w:after="0" w:line="42"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Net (Loss) Income and EPS attributable to Xerox Holdings.</w:t>
      </w:r>
    </w:p>
    <w:p>
      <w:pPr>
        <w:spacing w:after="0" w:line="26" w:lineRule="exact"/>
        <w:rPr>
          <w:rFonts w:ascii="Arial" w:cs="Arial" w:eastAsia="Arial" w:hAnsi="Arial"/>
          <w:sz w:val="14"/>
          <w:szCs w:val="14"/>
          <w:i w:val="1"/>
          <w:iCs w:val="1"/>
          <w:color w:val="auto"/>
        </w:rPr>
      </w:pPr>
    </w:p>
    <w:p>
      <w:pPr>
        <w:ind w:left="320" w:hanging="312"/>
        <w:spacing w:after="0"/>
        <w:tabs>
          <w:tab w:leader="none" w:pos="32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Refer to Effective Tax Rate reconciliation.</w:t>
      </w:r>
    </w:p>
    <w:p>
      <w:pPr>
        <w:spacing w:after="0" w:line="1" w:lineRule="exact"/>
        <w:rPr>
          <w:rFonts w:ascii="Arial" w:cs="Arial" w:eastAsia="Arial" w:hAnsi="Arial"/>
          <w:sz w:val="14"/>
          <w:szCs w:val="14"/>
          <w:i w:val="1"/>
          <w:iCs w:val="1"/>
          <w:color w:val="auto"/>
        </w:rPr>
      </w:pPr>
    </w:p>
    <w:p>
      <w:pPr>
        <w:ind w:left="340" w:hanging="332"/>
        <w:spacing w:after="0" w:line="261" w:lineRule="auto"/>
        <w:tabs>
          <w:tab w:leader="none" w:pos="327"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For those periods that include the preferred stock dividend, the average shares for the calculations of diluted EPS exclude the 7 million shares associated with Xerox Holdings Corporation's Series A convertible preferred stock.</w:t>
      </w:r>
    </w:p>
    <w:p>
      <w:pPr>
        <w:jc w:val="both"/>
        <w:ind w:left="340" w:hanging="332"/>
        <w:spacing w:after="0" w:line="272" w:lineRule="auto"/>
        <w:tabs>
          <w:tab w:leader="none" w:pos="327"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common shares outstanding at March 31, 2022 and excludes potential dilutive common shares used for the calculation of adjusted diluted earnings per share for the first quarter 2022 as well as shares associated with Xerox Holdings Corporation's Series A convertible preferred stock, all of which were anti-dilutive for the first quarter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0" w:name="page61"/>
    <w:bookmarkEnd w:id="60"/>
    <w:p>
      <w:pPr>
        <w:spacing w:after="0"/>
        <w:rPr>
          <w:sz w:val="20"/>
          <w:szCs w:val="20"/>
          <w:color w:val="auto"/>
        </w:rPr>
      </w:pPr>
      <w:r>
        <w:rPr>
          <w:rFonts w:ascii="Arial" w:cs="Arial" w:eastAsia="Arial" w:hAnsi="Arial"/>
          <w:sz w:val="20"/>
          <w:szCs w:val="20"/>
          <w:b w:val="1"/>
          <w:bCs w:val="1"/>
          <w:color w:val="DA2031"/>
        </w:rPr>
        <w:t>Effective Tax Rate reconciliation: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color w:val="auto"/>
              </w:rPr>
              <w:t>Three Months Ended March 31,</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color w:val="auto"/>
              </w:rPr>
              <w:t>Pre-Tax Loss</w:t>
            </w: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color w:val="auto"/>
              </w:rPr>
              <w:t>Income Tax Benefit</w:t>
            </w:r>
          </w:p>
        </w:tc>
        <w:tc>
          <w:tcPr>
            <w:tcW w:w="120" w:type="dxa"/>
            <w:vAlign w:val="bottom"/>
          </w:tcPr>
          <w:p>
            <w:pPr>
              <w:spacing w:after="0"/>
              <w:rPr>
                <w:sz w:val="12"/>
                <w:szCs w:val="12"/>
                <w:color w:val="auto"/>
              </w:rPr>
            </w:pPr>
          </w:p>
        </w:tc>
        <w:tc>
          <w:tcPr>
            <w:tcW w:w="1500" w:type="dxa"/>
            <w:vAlign w:val="bottom"/>
            <w:gridSpan w:val="2"/>
          </w:tcPr>
          <w:p>
            <w:pPr>
              <w:ind w:left="420"/>
              <w:spacing w:after="0" w:line="146" w:lineRule="exact"/>
              <w:rPr>
                <w:sz w:val="20"/>
                <w:szCs w:val="20"/>
                <w:color w:val="auto"/>
              </w:rPr>
            </w:pPr>
            <w:r>
              <w:rPr>
                <w:rFonts w:ascii="Arial" w:cs="Arial" w:eastAsia="Arial" w:hAnsi="Arial"/>
                <w:sz w:val="14"/>
                <w:szCs w:val="14"/>
                <w:color w:val="auto"/>
              </w:rPr>
              <w:t>Effective</w:t>
            </w:r>
          </w:p>
        </w:tc>
        <w:tc>
          <w:tcPr>
            <w:tcW w:w="100" w:type="dxa"/>
            <w:vAlign w:val="bottom"/>
          </w:tcPr>
          <w:p>
            <w:pPr>
              <w:spacing w:after="0"/>
              <w:rPr>
                <w:sz w:val="12"/>
                <w:szCs w:val="12"/>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color w:val="auto"/>
              </w:rPr>
              <w:t>Pre-Tax Income</w:t>
            </w:r>
          </w:p>
        </w:tc>
        <w:tc>
          <w:tcPr>
            <w:tcW w:w="180" w:type="dxa"/>
            <w:vAlign w:val="bottom"/>
          </w:tcPr>
          <w:p>
            <w:pPr>
              <w:spacing w:after="0"/>
              <w:rPr>
                <w:sz w:val="12"/>
                <w:szCs w:val="12"/>
                <w:color w:val="auto"/>
              </w:rPr>
            </w:pPr>
          </w:p>
        </w:tc>
        <w:tc>
          <w:tcPr>
            <w:tcW w:w="1100" w:type="dxa"/>
            <w:vAlign w:val="bottom"/>
          </w:tcPr>
          <w:p>
            <w:pPr>
              <w:jc w:val="right"/>
              <w:ind w:right="208"/>
              <w:spacing w:after="0" w:line="146" w:lineRule="exact"/>
              <w:rPr>
                <w:sz w:val="20"/>
                <w:szCs w:val="20"/>
                <w:color w:val="auto"/>
              </w:rPr>
            </w:pPr>
            <w:r>
              <w:rPr>
                <w:rFonts w:ascii="Arial" w:cs="Arial" w:eastAsia="Arial" w:hAnsi="Arial"/>
                <w:sz w:val="14"/>
                <w:szCs w:val="14"/>
                <w:color w:val="auto"/>
              </w:rPr>
              <w:t>Income Tax</w:t>
            </w:r>
          </w:p>
        </w:tc>
        <w:tc>
          <w:tcPr>
            <w:tcW w:w="120" w:type="dxa"/>
            <w:vAlign w:val="bottom"/>
          </w:tcPr>
          <w:p>
            <w:pPr>
              <w:spacing w:after="0"/>
              <w:rPr>
                <w:sz w:val="12"/>
                <w:szCs w:val="12"/>
                <w:color w:val="auto"/>
              </w:rPr>
            </w:pPr>
          </w:p>
        </w:tc>
        <w:tc>
          <w:tcPr>
            <w:tcW w:w="1400" w:type="dxa"/>
            <w:vAlign w:val="bottom"/>
          </w:tcPr>
          <w:p>
            <w:pPr>
              <w:jc w:val="right"/>
              <w:ind w:right="348"/>
              <w:spacing w:after="0" w:line="146" w:lineRule="exact"/>
              <w:rPr>
                <w:sz w:val="20"/>
                <w:szCs w:val="20"/>
                <w:color w:val="auto"/>
              </w:rPr>
            </w:pPr>
            <w:r>
              <w:rPr>
                <w:rFonts w:ascii="Arial" w:cs="Arial" w:eastAsia="Arial" w:hAnsi="Arial"/>
                <w:sz w:val="14"/>
                <w:szCs w:val="14"/>
                <w:color w:val="auto"/>
              </w:rPr>
              <w:t>Effective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Tax Rate</w:t>
            </w: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Expense</w:t>
            </w:r>
          </w:p>
        </w:tc>
        <w:tc>
          <w:tcPr>
            <w:tcW w:w="120" w:type="dxa"/>
            <w:vAlign w:val="bottom"/>
          </w:tcPr>
          <w:p>
            <w:pPr>
              <w:spacing w:after="0"/>
              <w:rPr>
                <w:sz w:val="12"/>
                <w:szCs w:val="12"/>
                <w:color w:val="auto"/>
              </w:rPr>
            </w:pPr>
          </w:p>
        </w:tc>
        <w:tc>
          <w:tcPr>
            <w:tcW w:w="140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Tax Rate</w:t>
            </w:r>
          </w:p>
        </w:tc>
        <w:tc>
          <w:tcPr>
            <w:tcW w:w="0" w:type="dxa"/>
            <w:vAlign w:val="bottom"/>
          </w:tcPr>
          <w:p>
            <w:pPr>
              <w:spacing w:after="0"/>
              <w:rPr>
                <w:sz w:val="1"/>
                <w:szCs w:val="1"/>
                <w:color w:val="auto"/>
              </w:rPr>
            </w:pPr>
          </w:p>
        </w:tc>
      </w:tr>
      <w:tr>
        <w:trPr>
          <w:trHeight w:val="21"/>
        </w:trPr>
        <w:tc>
          <w:tcPr>
            <w:tcW w:w="20" w:type="dxa"/>
            <w:vAlign w:val="bottom"/>
            <w:tcBorders>
              <w:bottom w:val="single" w:sz="8" w:color="E5E5E5"/>
            </w:tcBorders>
          </w:tcPr>
          <w:p>
            <w:pPr>
              <w:spacing w:after="0" w:line="20" w:lineRule="exact"/>
              <w:rPr>
                <w:sz w:val="1"/>
                <w:szCs w:val="1"/>
                <w:color w:val="auto"/>
              </w:rPr>
            </w:pPr>
          </w:p>
        </w:tc>
        <w:tc>
          <w:tcPr>
            <w:tcW w:w="640" w:type="dxa"/>
            <w:vAlign w:val="bottom"/>
            <w:tcBorders>
              <w:top w:val="single" w:sz="8" w:color="auto"/>
              <w:bottom w:val="single" w:sz="8" w:color="E5E5E5"/>
            </w:tcBorders>
          </w:tcPr>
          <w:p>
            <w:pPr>
              <w:spacing w:after="0" w:line="20" w:lineRule="exact"/>
              <w:rPr>
                <w:sz w:val="1"/>
                <w:szCs w:val="1"/>
                <w:color w:val="auto"/>
              </w:rPr>
            </w:pPr>
          </w:p>
        </w:tc>
        <w:tc>
          <w:tcPr>
            <w:tcW w:w="210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E5E5E5"/>
          </w:tcPr>
          <w:p>
            <w:pPr>
              <w:spacing w:after="0"/>
              <w:rPr>
                <w:sz w:val="17"/>
                <w:szCs w:val="17"/>
                <w:color w:val="auto"/>
              </w:rPr>
            </w:pPr>
          </w:p>
        </w:tc>
        <w:tc>
          <w:tcPr>
            <w:tcW w:w="2740" w:type="dxa"/>
            <w:vAlign w:val="bottom"/>
            <w:gridSpan w:val="2"/>
            <w:shd w:val="clear" w:color="auto" w:fill="E5E5E5"/>
          </w:tcPr>
          <w:p>
            <w:pPr>
              <w:spacing w:after="0" w:line="196" w:lineRule="exact"/>
              <w:rPr>
                <w:sz w:val="20"/>
                <w:szCs w:val="20"/>
                <w:color w:val="auto"/>
              </w:rPr>
            </w:pPr>
            <w:r>
              <w:rPr>
                <w:rFonts w:ascii="Arial" w:cs="Arial" w:eastAsia="Arial" w:hAnsi="Arial"/>
                <w:sz w:val="14"/>
                <w:szCs w:val="14"/>
                <w:b w:val="1"/>
                <w:bCs w:val="1"/>
                <w:color w:val="auto"/>
              </w:rPr>
              <w:t>Reported</w:t>
            </w:r>
            <w:r>
              <w:rPr>
                <w:rFonts w:ascii="Arial" w:cs="Arial" w:eastAsia="Arial" w:hAnsi="Arial"/>
                <w:sz w:val="18"/>
                <w:szCs w:val="18"/>
                <w:b w:val="1"/>
                <w:bCs w:val="1"/>
                <w:color w:val="auto"/>
                <w:vertAlign w:val="superscript"/>
              </w:rPr>
              <w:t>(1)</w:t>
            </w: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center"/>
              <w:ind w:left="72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E5E5E5"/>
          </w:tcPr>
          <w:p>
            <w:pPr>
              <w:spacing w:after="0"/>
              <w:rPr>
                <w:sz w:val="17"/>
                <w:szCs w:val="17"/>
                <w:color w:val="auto"/>
              </w:rPr>
            </w:pP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(31)</w:t>
            </w:r>
          </w:p>
        </w:tc>
        <w:tc>
          <w:tcPr>
            <w:tcW w:w="15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34.8 %</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w:t>
            </w:r>
          </w:p>
        </w:tc>
        <w:tc>
          <w:tcPr>
            <w:tcW w:w="152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26.4 %</w:t>
            </w:r>
          </w:p>
        </w:tc>
        <w:tc>
          <w:tcPr>
            <w:tcW w:w="0" w:type="dxa"/>
            <w:vAlign w:val="bottom"/>
          </w:tcPr>
          <w:p>
            <w:pPr>
              <w:spacing w:after="0"/>
              <w:rPr>
                <w:sz w:val="1"/>
                <w:szCs w:val="1"/>
                <w:color w:val="auto"/>
              </w:rPr>
            </w:pPr>
          </w:p>
        </w:tc>
      </w:tr>
      <w:tr>
        <w:trPr>
          <w:trHeight w:val="203"/>
        </w:trPr>
        <w:tc>
          <w:tcPr>
            <w:tcW w:w="20" w:type="dxa"/>
            <w:vAlign w:val="bottom"/>
            <w:tcBorders>
              <w:bottom w:val="single" w:sz="8" w:color="E5E5E5"/>
            </w:tcBorders>
          </w:tcPr>
          <w:p>
            <w:pPr>
              <w:spacing w:after="0"/>
              <w:rPr>
                <w:sz w:val="17"/>
                <w:szCs w:val="17"/>
                <w:color w:val="auto"/>
              </w:rPr>
            </w:pPr>
          </w:p>
        </w:tc>
        <w:tc>
          <w:tcPr>
            <w:tcW w:w="2740" w:type="dxa"/>
            <w:vAlign w:val="bottom"/>
            <w:tcBorders>
              <w:bottom w:val="single" w:sz="8" w:color="E5E5E5"/>
            </w:tcBorders>
            <w:gridSpan w:val="2"/>
          </w:tcPr>
          <w:p>
            <w:pPr>
              <w:spacing w:after="0" w:line="202" w:lineRule="exact"/>
              <w:rPr>
                <w:sz w:val="20"/>
                <w:szCs w:val="20"/>
                <w:color w:val="auto"/>
              </w:rPr>
            </w:pPr>
            <w:r>
              <w:rPr>
                <w:rFonts w:ascii="Arial" w:cs="Arial" w:eastAsia="Arial" w:hAnsi="Arial"/>
                <w:sz w:val="14"/>
                <w:szCs w:val="14"/>
                <w:color w:val="auto"/>
              </w:rPr>
              <w:t>Non-GAAP Adjustments</w:t>
            </w:r>
            <w:r>
              <w:rPr>
                <w:rFonts w:ascii="Arial" w:cs="Arial" w:eastAsia="Arial" w:hAnsi="Arial"/>
                <w:sz w:val="18"/>
                <w:szCs w:val="18"/>
                <w:color w:val="auto"/>
                <w:vertAlign w:val="superscript"/>
              </w:rPr>
              <w:t>(2)</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left="748"/>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E5E5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E5E5E5"/>
            </w:tcBorders>
          </w:tcPr>
          <w:p>
            <w:pPr>
              <w:spacing w:after="0"/>
              <w:rPr>
                <w:sz w:val="17"/>
                <w:szCs w:val="17"/>
                <w:color w:val="auto"/>
              </w:rPr>
            </w:pPr>
          </w:p>
        </w:tc>
        <w:tc>
          <w:tcPr>
            <w:tcW w:w="1380" w:type="dxa"/>
            <w:vAlign w:val="bottom"/>
            <w:tcBorders>
              <w:bottom w:val="single" w:sz="8" w:color="E5E5E5"/>
            </w:tcBorders>
          </w:tcPr>
          <w:p>
            <w:pPr>
              <w:spacing w:after="0"/>
              <w:rPr>
                <w:sz w:val="17"/>
                <w:szCs w:val="17"/>
                <w:color w:val="auto"/>
              </w:rPr>
            </w:pPr>
          </w:p>
        </w:tc>
        <w:tc>
          <w:tcPr>
            <w:tcW w:w="120" w:type="dxa"/>
            <w:vAlign w:val="bottom"/>
            <w:tcBorders>
              <w:bottom w:val="single" w:sz="8" w:color="E5E5E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E5E5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E5E5E5"/>
            </w:tcBorders>
          </w:tcPr>
          <w:p>
            <w:pPr>
              <w:spacing w:after="0"/>
              <w:rPr>
                <w:sz w:val="17"/>
                <w:szCs w:val="17"/>
                <w:color w:val="auto"/>
              </w:rPr>
            </w:pPr>
          </w:p>
        </w:tc>
        <w:tc>
          <w:tcPr>
            <w:tcW w:w="1400" w:type="dxa"/>
            <w:vAlign w:val="bottom"/>
            <w:tcBorders>
              <w:bottom w:val="single" w:sz="8" w:color="E5E5E5"/>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E5E5E5"/>
            </w:tcBorders>
            <w:shd w:val="clear" w:color="auto" w:fill="E5E5E5"/>
          </w:tcPr>
          <w:p>
            <w:pPr>
              <w:spacing w:after="0"/>
              <w:rPr>
                <w:sz w:val="18"/>
                <w:szCs w:val="18"/>
                <w:color w:val="auto"/>
              </w:rPr>
            </w:pPr>
          </w:p>
        </w:tc>
        <w:tc>
          <w:tcPr>
            <w:tcW w:w="2740" w:type="dxa"/>
            <w:vAlign w:val="bottom"/>
            <w:tcBorders>
              <w:bottom w:val="single" w:sz="8" w:color="E5E5E5"/>
            </w:tcBorders>
            <w:gridSpan w:val="2"/>
            <w:shd w:val="clear" w:color="auto" w:fill="E5E5E5"/>
          </w:tcPr>
          <w:p>
            <w:pPr>
              <w:spacing w:after="0" w:line="196"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18"/>
                <w:szCs w:val="18"/>
                <w:b w:val="1"/>
                <w:bCs w:val="1"/>
                <w:color w:val="auto"/>
                <w:vertAlign w:val="superscript"/>
              </w:rPr>
              <w:t>(3)</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E5E5E5"/>
          </w:tcPr>
          <w:p>
            <w:pPr>
              <w:jc w:val="center"/>
              <w:ind w:left="728"/>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E5E5E5"/>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(18)</w:t>
            </w:r>
          </w:p>
        </w:tc>
        <w:tc>
          <w:tcPr>
            <w:tcW w:w="150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4"/>
                <w:szCs w:val="14"/>
                <w:color w:val="auto"/>
              </w:rPr>
              <w:t>52.9 %</w:t>
            </w:r>
          </w:p>
        </w:tc>
        <w:tc>
          <w:tcPr>
            <w:tcW w:w="120" w:type="dxa"/>
            <w:vAlign w:val="bottom"/>
            <w:tcBorders>
              <w:bottom w:val="single" w:sz="8" w:color="E5E5E5"/>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E5E5E5"/>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18</w:t>
            </w:r>
          </w:p>
        </w:tc>
        <w:tc>
          <w:tcPr>
            <w:tcW w:w="152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4"/>
                <w:szCs w:val="14"/>
                <w:color w:val="auto"/>
              </w:rPr>
              <w:t>27.7 %</w:t>
            </w:r>
          </w:p>
        </w:tc>
        <w:tc>
          <w:tcPr>
            <w:tcW w:w="0" w:type="dxa"/>
            <w:vAlign w:val="bottom"/>
          </w:tcPr>
          <w:p>
            <w:pPr>
              <w:spacing w:after="0"/>
              <w:rPr>
                <w:sz w:val="1"/>
                <w:szCs w:val="1"/>
                <w:color w:val="auto"/>
              </w:rPr>
            </w:pPr>
          </w:p>
        </w:tc>
      </w:tr>
      <w:tr>
        <w:trPr>
          <w:trHeight w:val="20"/>
        </w:trPr>
        <w:tc>
          <w:tcPr>
            <w:tcW w:w="20" w:type="dxa"/>
            <w:vAlign w:val="bottom"/>
            <w:tcBorders>
              <w:top w:val="single" w:sz="8" w:color="E5E5E5"/>
            </w:tcBorders>
          </w:tcPr>
          <w:p>
            <w:pPr>
              <w:spacing w:after="0" w:line="20" w:lineRule="exact"/>
              <w:rPr>
                <w:sz w:val="1"/>
                <w:szCs w:val="1"/>
                <w:color w:val="auto"/>
              </w:rPr>
            </w:pPr>
          </w:p>
        </w:tc>
        <w:tc>
          <w:tcPr>
            <w:tcW w:w="640" w:type="dxa"/>
            <w:vAlign w:val="bottom"/>
            <w:tcBorders>
              <w:top w:val="single" w:sz="8" w:color="E5E5E5"/>
            </w:tcBorders>
          </w:tcPr>
          <w:p>
            <w:pPr>
              <w:spacing w:after="0" w:line="20" w:lineRule="exact"/>
              <w:rPr>
                <w:sz w:val="1"/>
                <w:szCs w:val="1"/>
                <w:color w:val="auto"/>
              </w:rPr>
            </w:pPr>
          </w:p>
        </w:tc>
        <w:tc>
          <w:tcPr>
            <w:tcW w:w="210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96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38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400" w:type="dxa"/>
            <w:vAlign w:val="bottom"/>
            <w:tcBorders>
              <w:top w:val="single" w:sz="8" w:color="E5E5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55"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Pre-tax (loss) income and Income tax (benefit) expense.</w:t>
      </w:r>
    </w:p>
    <w:p>
      <w:pPr>
        <w:spacing w:after="0" w:line="13" w:lineRule="exact"/>
        <w:rPr>
          <w:rFonts w:ascii="Arial" w:cs="Arial" w:eastAsia="Arial" w:hAnsi="Arial"/>
          <w:sz w:val="14"/>
          <w:szCs w:val="14"/>
          <w:i w:val="1"/>
          <w:iCs w:val="1"/>
          <w:color w:val="auto"/>
        </w:rPr>
      </w:pPr>
    </w:p>
    <w:p>
      <w:pPr>
        <w:ind w:left="320" w:hanging="312"/>
        <w:spacing w:after="0"/>
        <w:tabs>
          <w:tab w:leader="none" w:pos="32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Refer to Net (Loss) Income and EPS reconciliation for details.</w:t>
      </w:r>
    </w:p>
    <w:p>
      <w:pPr>
        <w:spacing w:after="0" w:line="14" w:lineRule="exact"/>
        <w:rPr>
          <w:rFonts w:ascii="Arial" w:cs="Arial" w:eastAsia="Arial" w:hAnsi="Arial"/>
          <w:sz w:val="14"/>
          <w:szCs w:val="14"/>
          <w:i w:val="1"/>
          <w:iCs w:val="1"/>
          <w:color w:val="auto"/>
        </w:rPr>
      </w:pPr>
    </w:p>
    <w:p>
      <w:pPr>
        <w:ind w:left="340" w:right="120" w:hanging="332"/>
        <w:spacing w:after="0" w:line="284" w:lineRule="auto"/>
        <w:tabs>
          <w:tab w:leader="none" w:pos="327"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The tax impact on Adjusted Pre-tax (loss) income is calculated under the same accounting principles applied to the Reported Pre-tax (loss) income under ASC 740, which employs an annual effective tax rate method to the results.</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Operating (Loss) Income and Margin reconciliation: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color w:val="auto"/>
              </w:rPr>
              <w:t>Three Months Ended March 31,</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159"/>
        </w:trPr>
        <w:tc>
          <w:tcPr>
            <w:tcW w:w="20" w:type="dxa"/>
            <w:vAlign w:val="bottom"/>
          </w:tcPr>
          <w:p>
            <w:pPr>
              <w:spacing w:after="0"/>
              <w:rPr>
                <w:sz w:val="13"/>
                <w:szCs w:val="13"/>
                <w:color w:val="auto"/>
              </w:rPr>
            </w:pPr>
          </w:p>
        </w:tc>
        <w:tc>
          <w:tcPr>
            <w:tcW w:w="28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860" w:type="dxa"/>
            <w:vAlign w:val="bottom"/>
          </w:tcPr>
          <w:p>
            <w:pPr>
              <w:jc w:val="right"/>
              <w:ind w:right="28"/>
              <w:spacing w:after="0" w:line="159" w:lineRule="exact"/>
              <w:rPr>
                <w:sz w:val="20"/>
                <w:szCs w:val="20"/>
                <w:color w:val="auto"/>
              </w:rPr>
            </w:pPr>
            <w:r>
              <w:rPr>
                <w:rFonts w:ascii="Arial" w:cs="Arial" w:eastAsia="Arial" w:hAnsi="Arial"/>
                <w:sz w:val="14"/>
                <w:szCs w:val="14"/>
                <w:color w:val="auto"/>
              </w:rPr>
              <w:t>Loss</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68"/>
              <w:spacing w:after="0" w:line="159" w:lineRule="exact"/>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3"/>
                <w:szCs w:val="13"/>
                <w:color w:val="auto"/>
              </w:rPr>
            </w:pPr>
          </w:p>
        </w:tc>
        <w:tc>
          <w:tcPr>
            <w:tcW w:w="148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Margin</w:t>
            </w:r>
          </w:p>
        </w:tc>
        <w:tc>
          <w:tcPr>
            <w:tcW w:w="280" w:type="dxa"/>
            <w:vAlign w:val="bottom"/>
          </w:tcPr>
          <w:p>
            <w:pPr>
              <w:spacing w:after="0"/>
              <w:rPr>
                <w:sz w:val="13"/>
                <w:szCs w:val="13"/>
                <w:color w:val="auto"/>
              </w:rPr>
            </w:pPr>
          </w:p>
        </w:tc>
        <w:tc>
          <w:tcPr>
            <w:tcW w:w="108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Profit</w:t>
            </w:r>
          </w:p>
        </w:tc>
        <w:tc>
          <w:tcPr>
            <w:tcW w:w="220" w:type="dxa"/>
            <w:vAlign w:val="bottom"/>
          </w:tcPr>
          <w:p>
            <w:pPr>
              <w:spacing w:after="0"/>
              <w:rPr>
                <w:sz w:val="13"/>
                <w:szCs w:val="13"/>
                <w:color w:val="auto"/>
              </w:rPr>
            </w:pPr>
          </w:p>
        </w:tc>
        <w:tc>
          <w:tcPr>
            <w:tcW w:w="1060" w:type="dxa"/>
            <w:vAlign w:val="bottom"/>
          </w:tcPr>
          <w:p>
            <w:pPr>
              <w:jc w:val="right"/>
              <w:ind w:right="288"/>
              <w:spacing w:after="0" w:line="159" w:lineRule="exact"/>
              <w:rPr>
                <w:sz w:val="20"/>
                <w:szCs w:val="20"/>
                <w:color w:val="auto"/>
              </w:rPr>
            </w:pPr>
            <w:r>
              <w:rPr>
                <w:rFonts w:ascii="Arial" w:cs="Arial" w:eastAsia="Arial" w:hAnsi="Arial"/>
                <w:sz w:val="14"/>
                <w:szCs w:val="14"/>
                <w:color w:val="auto"/>
              </w:rPr>
              <w:t>Revenue</w:t>
            </w:r>
          </w:p>
        </w:tc>
        <w:tc>
          <w:tcPr>
            <w:tcW w:w="100" w:type="dxa"/>
            <w:vAlign w:val="bottom"/>
          </w:tcPr>
          <w:p>
            <w:pPr>
              <w:spacing w:after="0"/>
              <w:rPr>
                <w:sz w:val="13"/>
                <w:szCs w:val="13"/>
                <w:color w:val="auto"/>
              </w:rPr>
            </w:pPr>
          </w:p>
        </w:tc>
        <w:tc>
          <w:tcPr>
            <w:tcW w:w="1400" w:type="dxa"/>
            <w:vAlign w:val="bottom"/>
          </w:tcPr>
          <w:p>
            <w:pPr>
              <w:jc w:val="right"/>
              <w:ind w:right="408"/>
              <w:spacing w:after="0" w:line="159" w:lineRule="exact"/>
              <w:rPr>
                <w:sz w:val="20"/>
                <w:szCs w:val="20"/>
                <w:color w:val="auto"/>
              </w:rPr>
            </w:pPr>
            <w:r>
              <w:rPr>
                <w:rFonts w:ascii="Arial" w:cs="Arial" w:eastAsia="Arial" w:hAnsi="Arial"/>
                <w:sz w:val="14"/>
                <w:szCs w:val="14"/>
                <w:color w:val="auto"/>
              </w:rPr>
              <w:t>Margin</w:t>
            </w:r>
          </w:p>
        </w:tc>
      </w:tr>
      <w:tr>
        <w:trPr>
          <w:trHeight w:val="21"/>
        </w:trPr>
        <w:tc>
          <w:tcPr>
            <w:tcW w:w="20" w:type="dxa"/>
            <w:vAlign w:val="bottom"/>
            <w:tcBorders>
              <w:bottom w:val="single" w:sz="8" w:color="E5E5E5"/>
            </w:tcBorders>
          </w:tcPr>
          <w:p>
            <w:pPr>
              <w:spacing w:after="0" w:line="20" w:lineRule="exact"/>
              <w:rPr>
                <w:sz w:val="1"/>
                <w:szCs w:val="1"/>
                <w:color w:val="auto"/>
              </w:rPr>
            </w:pPr>
          </w:p>
        </w:tc>
        <w:tc>
          <w:tcPr>
            <w:tcW w:w="640" w:type="dxa"/>
            <w:vAlign w:val="bottom"/>
            <w:tcBorders>
              <w:top w:val="single" w:sz="8" w:color="auto"/>
              <w:bottom w:val="single" w:sz="8" w:color="E5E5E5"/>
            </w:tcBorders>
          </w:tcPr>
          <w:p>
            <w:pPr>
              <w:spacing w:after="0" w:line="20" w:lineRule="exact"/>
              <w:rPr>
                <w:sz w:val="1"/>
                <w:szCs w:val="1"/>
                <w:color w:val="auto"/>
              </w:rPr>
            </w:pPr>
          </w:p>
        </w:tc>
        <w:tc>
          <w:tcPr>
            <w:tcW w:w="2200" w:type="dxa"/>
            <w:vAlign w:val="bottom"/>
            <w:tcBorders>
              <w:bottom w:val="single" w:sz="8" w:color="E5E5E5"/>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E5E5E5"/>
          </w:tcPr>
          <w:p>
            <w:pPr>
              <w:spacing w:after="0"/>
              <w:rPr>
                <w:sz w:val="17"/>
                <w:szCs w:val="17"/>
                <w:color w:val="auto"/>
              </w:rPr>
            </w:pPr>
          </w:p>
        </w:tc>
        <w:tc>
          <w:tcPr>
            <w:tcW w:w="2840" w:type="dxa"/>
            <w:vAlign w:val="bottom"/>
            <w:gridSpan w:val="2"/>
            <w:shd w:val="clear" w:color="auto" w:fill="E5E5E5"/>
          </w:tcPr>
          <w:p>
            <w:pPr>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9"/>
                <w:szCs w:val="9"/>
                <w:b w:val="1"/>
                <w:bCs w:val="1"/>
                <w:color w:val="auto"/>
              </w:rPr>
              <w:t>(1)</w:t>
            </w:r>
          </w:p>
        </w:tc>
        <w:tc>
          <w:tcPr>
            <w:tcW w:w="860" w:type="dxa"/>
            <w:vAlign w:val="bottom"/>
            <w:shd w:val="clear" w:color="auto" w:fill="E5E5E5"/>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1,668</w:t>
            </w:r>
          </w:p>
        </w:tc>
        <w:tc>
          <w:tcPr>
            <w:tcW w:w="15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1,710</w:t>
            </w:r>
          </w:p>
        </w:tc>
        <w:tc>
          <w:tcPr>
            <w:tcW w:w="15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3.1 %</w:t>
            </w:r>
          </w:p>
        </w:tc>
      </w:tr>
      <w:tr>
        <w:trPr>
          <w:trHeight w:val="202"/>
        </w:trPr>
        <w:tc>
          <w:tcPr>
            <w:tcW w:w="20" w:type="dxa"/>
            <w:vAlign w:val="bottom"/>
          </w:tcPr>
          <w:p>
            <w:pPr>
              <w:spacing w:after="0"/>
              <w:rPr>
                <w:sz w:val="17"/>
                <w:szCs w:val="17"/>
                <w:color w:val="auto"/>
              </w:rPr>
            </w:pPr>
          </w:p>
        </w:tc>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20" w:type="dxa"/>
            <w:vAlign w:val="bottom"/>
            <w:shd w:val="clear" w:color="auto" w:fill="E5E5E5"/>
          </w:tcPr>
          <w:p>
            <w:pPr>
              <w:spacing w:after="0"/>
              <w:rPr>
                <w:sz w:val="17"/>
                <w:szCs w:val="17"/>
                <w:color w:val="auto"/>
              </w:rPr>
            </w:pPr>
          </w:p>
        </w:tc>
        <w:tc>
          <w:tcPr>
            <w:tcW w:w="284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Restructuring and related costs, net</w:t>
            </w:r>
          </w:p>
        </w:tc>
        <w:tc>
          <w:tcPr>
            <w:tcW w:w="860" w:type="dxa"/>
            <w:vAlign w:val="bottom"/>
            <w:shd w:val="clear" w:color="auto" w:fill="E5E5E5"/>
          </w:tcPr>
          <w:p>
            <w:pPr>
              <w:spacing w:after="0"/>
              <w:rPr>
                <w:sz w:val="17"/>
                <w:szCs w:val="17"/>
                <w:color w:val="auto"/>
              </w:rPr>
            </w:pPr>
          </w:p>
        </w:tc>
        <w:tc>
          <w:tcPr>
            <w:tcW w:w="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3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400" w:type="dxa"/>
            <w:vAlign w:val="bottom"/>
            <w:shd w:val="clear" w:color="auto" w:fill="E5E5E5"/>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Amortization of intangible assets</w:t>
            </w:r>
          </w:p>
        </w:tc>
        <w:tc>
          <w:tcPr>
            <w:tcW w:w="8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20" w:type="dxa"/>
            <w:vAlign w:val="bottom"/>
            <w:shd w:val="clear" w:color="auto" w:fill="E5E5E5"/>
          </w:tcPr>
          <w:p>
            <w:pPr>
              <w:spacing w:after="0"/>
              <w:rPr>
                <w:sz w:val="17"/>
                <w:szCs w:val="17"/>
                <w:color w:val="auto"/>
              </w:rPr>
            </w:pPr>
          </w:p>
        </w:tc>
        <w:tc>
          <w:tcPr>
            <w:tcW w:w="2840" w:type="dxa"/>
            <w:vAlign w:val="bottom"/>
            <w:gridSpan w:val="2"/>
            <w:shd w:val="clear" w:color="auto" w:fill="E5E5E5"/>
          </w:tcPr>
          <w:p>
            <w:pPr>
              <w:spacing w:after="0"/>
              <w:rPr>
                <w:sz w:val="20"/>
                <w:szCs w:val="20"/>
                <w:color w:val="auto"/>
              </w:rPr>
            </w:pPr>
            <w:r>
              <w:rPr>
                <w:rFonts w:ascii="Arial" w:cs="Arial" w:eastAsia="Arial" w:hAnsi="Arial"/>
                <w:sz w:val="14"/>
                <w:szCs w:val="14"/>
                <w:color w:val="auto"/>
              </w:rPr>
              <w:t>Other expenses, net</w:t>
            </w:r>
          </w:p>
        </w:tc>
        <w:tc>
          <w:tcPr>
            <w:tcW w:w="860" w:type="dxa"/>
            <w:vAlign w:val="bottom"/>
            <w:tcBorders>
              <w:bottom w:val="single" w:sz="8" w:color="auto"/>
            </w:tcBorders>
            <w:shd w:val="clear" w:color="auto" w:fill="E5E5E5"/>
          </w:tcPr>
          <w:p>
            <w:pPr>
              <w:spacing w:after="0"/>
              <w:rPr>
                <w:sz w:val="17"/>
                <w:szCs w:val="17"/>
                <w:color w:val="auto"/>
              </w:rPr>
            </w:pP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E5E5E5"/>
          </w:tcPr>
          <w:p>
            <w:pPr>
              <w:spacing w:after="0"/>
              <w:rPr>
                <w:sz w:val="17"/>
                <w:szCs w:val="17"/>
                <w:color w:val="auto"/>
              </w:rPr>
            </w:pPr>
          </w:p>
        </w:tc>
        <w:tc>
          <w:tcPr>
            <w:tcW w:w="220" w:type="dxa"/>
            <w:vAlign w:val="bottom"/>
            <w:tcBorders>
              <w:bottom w:val="single" w:sz="8" w:color="auto"/>
            </w:tcBorders>
            <w:shd w:val="clear" w:color="auto" w:fill="E5E5E5"/>
          </w:tcPr>
          <w:p>
            <w:pPr>
              <w:spacing w:after="0"/>
              <w:rPr>
                <w:sz w:val="17"/>
                <w:szCs w:val="17"/>
                <w:color w:val="auto"/>
              </w:rPr>
            </w:pPr>
          </w:p>
        </w:tc>
        <w:tc>
          <w:tcPr>
            <w:tcW w:w="1020" w:type="dxa"/>
            <w:vAlign w:val="bottom"/>
            <w:tcBorders>
              <w:bottom w:val="single" w:sz="8" w:color="auto"/>
            </w:tcBorders>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3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80" w:type="dxa"/>
            <w:vAlign w:val="bottom"/>
            <w:tcBorders>
              <w:bottom w:val="single" w:sz="8" w:color="auto"/>
            </w:tcBorders>
            <w:shd w:val="clear" w:color="auto" w:fill="E5E5E5"/>
          </w:tcPr>
          <w:p>
            <w:pPr>
              <w:spacing w:after="0"/>
              <w:rPr>
                <w:sz w:val="17"/>
                <w:szCs w:val="17"/>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5E5E5"/>
          </w:tcPr>
          <w:p>
            <w:pPr>
              <w:spacing w:after="0"/>
              <w:rPr>
                <w:sz w:val="17"/>
                <w:szCs w:val="17"/>
                <w:color w:val="auto"/>
              </w:rPr>
            </w:pPr>
          </w:p>
        </w:tc>
        <w:tc>
          <w:tcPr>
            <w:tcW w:w="220" w:type="dxa"/>
            <w:vAlign w:val="bottom"/>
            <w:tcBorders>
              <w:bottom w:val="single" w:sz="8" w:color="auto"/>
            </w:tcBorders>
            <w:shd w:val="clear" w:color="auto" w:fill="E5E5E5"/>
          </w:tcPr>
          <w:p>
            <w:pPr>
              <w:spacing w:after="0"/>
              <w:rPr>
                <w:sz w:val="17"/>
                <w:szCs w:val="17"/>
                <w:color w:val="auto"/>
              </w:rPr>
            </w:pPr>
          </w:p>
        </w:tc>
        <w:tc>
          <w:tcPr>
            <w:tcW w:w="1060" w:type="dxa"/>
            <w:vAlign w:val="bottom"/>
            <w:tcBorders>
              <w:bottom w:val="single" w:sz="8" w:color="auto"/>
            </w:tcBorders>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400" w:type="dxa"/>
            <w:vAlign w:val="bottom"/>
            <w:shd w:val="clear" w:color="auto" w:fill="E5E5E5"/>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Adjusted</w:t>
            </w: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1,668</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1,710</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5.2 %</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4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Pre-tax (loss) income.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DA2031"/>
        </w:rPr>
        <w:t>ITEM 3 — QUANTITATIVE AND QUALITATIVE DISCLOSURES ABOUT MARKET RISK</w:t>
      </w:r>
    </w:p>
    <w:p>
      <w:pPr>
        <w:spacing w:after="0" w:line="10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set forth under the “Financial Risk Management” section of this Quarterly Report on Form 10-Q is hereby incorporated by reference in answer to this Item.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ITEM 4 — CONTROLS AND PROCEDURES</w:t>
      </w:r>
    </w:p>
    <w:p>
      <w:pPr>
        <w:spacing w:after="0" w:line="104" w:lineRule="exact"/>
        <w:rPr>
          <w:sz w:val="20"/>
          <w:szCs w:val="20"/>
          <w:color w:val="auto"/>
        </w:rPr>
      </w:pPr>
    </w:p>
    <w:p>
      <w:pPr>
        <w:ind w:right="6620" w:firstLine="8"/>
        <w:spacing w:after="0" w:line="360" w:lineRule="auto"/>
        <w:tabs>
          <w:tab w:leader="none" w:pos="314" w:val="left"/>
        </w:tabs>
        <w:numPr>
          <w:ilvl w:val="0"/>
          <w:numId w:val="54"/>
        </w:numPr>
        <w:rPr>
          <w:rFonts w:ascii="Arial" w:cs="Arial" w:eastAsia="Arial" w:hAnsi="Arial"/>
          <w:sz w:val="18"/>
          <w:szCs w:val="18"/>
          <w:b w:val="1"/>
          <w:bCs w:val="1"/>
          <w:color w:val="DA2031"/>
        </w:rPr>
      </w:pPr>
      <w:r>
        <w:rPr>
          <w:rFonts w:ascii="Arial" w:cs="Arial" w:eastAsia="Arial" w:hAnsi="Arial"/>
          <w:sz w:val="18"/>
          <w:szCs w:val="18"/>
          <w:b w:val="1"/>
          <w:bCs w:val="1"/>
          <w:color w:val="DA2031"/>
        </w:rPr>
        <w:t>Evaluation of Disclosure Controls and Procedures Xerox Holdings Corporation</w:t>
      </w:r>
    </w:p>
    <w:p>
      <w:pPr>
        <w:jc w:val="both"/>
        <w:spacing w:after="0" w:line="254" w:lineRule="auto"/>
        <w:rPr>
          <w:sz w:val="20"/>
          <w:szCs w:val="20"/>
          <w:color w:val="auto"/>
        </w:rPr>
      </w:pPr>
      <w:r>
        <w:rPr>
          <w:rFonts w:ascii="Arial" w:cs="Arial" w:eastAsia="Arial" w:hAnsi="Arial"/>
          <w:sz w:val="18"/>
          <w:szCs w:val="18"/>
          <w:color w:val="auto"/>
        </w:rPr>
        <w:t>The management of Xerox Holdings Corporation evaluated, with the participation of its principal executive officer and principal financial officer, or persons performing similar functions, the effectiveness of its disclosure controls and procedures, as defined in Rules 13a-15(e) and 15d-15(e) under the Securities Exchange Act of 1934, as of the end of the period covered by this report. Based on this evaluation, the principal executive officer and principal financial officer of Xerox Holdings Corporation have concluded that, as of the end of the period covered by this report, the disclosure controls and procedures of Xerox Holdings Corporation were effective to ensure that information required to be disclosed in the reports filed or submitted under the Securities Exchange Act of 1934, as amended, is recorded, processed, summarized and reported within the time periods specified in the Securities and Exchange Commission’s rules and forms relating to Xerox Holdings Corporation, including its consolidated subsidiaries, and was accumulated and communicated to the management of Xerox Holdings Corporation, including the principal executive officer and principal financial officer, or persons performing similar functions, as appropriate to allow timely decisions regarding required disclosure.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Xerox Corporation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management of Xerox Corporation evaluated, with the participation of its principal executive officer and principal financial officer, or persons performing similar functions, the effectiveness of its disclosure controls and procedures, as defined in Rules 13a-15(e) and 15d-15(e) under the Securities Exchange Act of 1934, as of the end of the period covered by this report. Based on this evaluation, the principal executive officer and principal financial officer of Xerox Corporation have concluded that, as of the end of the period covered by this report, the disclosure controls and procedures of Xerox Corporation were effective to ensure that information required to be disclosed in the reports that or submitted under the Securities Exchange Act of 1934, as amended, is recorded, processed, summarized and reported within the time periods specified in the Securities and Exchange Commission’s rules and forms relating to Xerox Corporation, including its consolidated subsidiaries, and was accumulated and communicated to the management of Xerox Corporation, including the principal executive officer and principal financial officer, or persons performing similar functions, as appropriate to allow timely decisions regarding required disclosure.</w:t>
      </w:r>
    </w:p>
    <w:p>
      <w:pPr>
        <w:spacing w:after="0" w:line="59" w:lineRule="exact"/>
        <w:rPr>
          <w:sz w:val="20"/>
          <w:szCs w:val="20"/>
          <w:color w:val="auto"/>
        </w:rPr>
      </w:pPr>
    </w:p>
    <w:p>
      <w:pPr>
        <w:ind w:right="8460" w:firstLine="8"/>
        <w:spacing w:after="0" w:line="360" w:lineRule="auto"/>
        <w:tabs>
          <w:tab w:leader="none" w:pos="311" w:val="left"/>
        </w:tabs>
        <w:numPr>
          <w:ilvl w:val="0"/>
          <w:numId w:val="55"/>
        </w:numPr>
        <w:rPr>
          <w:rFonts w:ascii="Arial" w:cs="Arial" w:eastAsia="Arial" w:hAnsi="Arial"/>
          <w:sz w:val="18"/>
          <w:szCs w:val="18"/>
          <w:b w:val="1"/>
          <w:bCs w:val="1"/>
          <w:color w:val="DA2031"/>
        </w:rPr>
      </w:pPr>
      <w:r>
        <w:rPr>
          <w:rFonts w:ascii="Arial" w:cs="Arial" w:eastAsia="Arial" w:hAnsi="Arial"/>
          <w:sz w:val="18"/>
          <w:szCs w:val="18"/>
          <w:b w:val="1"/>
          <w:bCs w:val="1"/>
          <w:color w:val="DA2031"/>
        </w:rPr>
        <w:t>Changes in Internal Controls Xerox Holdings Corporation</w:t>
      </w:r>
    </w:p>
    <w:p>
      <w:pPr>
        <w:jc w:val="both"/>
        <w:ind w:right="20"/>
        <w:spacing w:after="0" w:line="268" w:lineRule="auto"/>
        <w:rPr>
          <w:sz w:val="20"/>
          <w:szCs w:val="20"/>
          <w:color w:val="auto"/>
        </w:rPr>
      </w:pPr>
      <w:r>
        <w:rPr>
          <w:rFonts w:ascii="Arial" w:cs="Arial" w:eastAsia="Arial" w:hAnsi="Arial"/>
          <w:sz w:val="18"/>
          <w:szCs w:val="18"/>
          <w:color w:val="auto"/>
        </w:rPr>
        <w:t>As required by paragraph (d) of Rule 13a-15 under the Exchange Act, we evaluated changes in our internal control over financial reporting during the last fiscal quarter. There were no changes identified in our internal control over financial reporting that occurred during the last fiscal quarter that have materially affected, or are reasonably likely to materially affect, our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Xerox Corporation</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required by paragraph (d) of Rule 13a-15 under the Exchange Act, we evaluated changes in our internal control over financial reporting during the last fiscal quarter. There were no changes identified in our internal control over financial reporting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DA2031"/>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ITEM 1 — LEGAL PROCEEDINGS</w:t>
      </w:r>
    </w:p>
    <w:p>
      <w:pPr>
        <w:spacing w:after="0" w:line="10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set forth under Note 21 – Contingencies and Litigation in the Condensed Consolidated Financial Statements of this Quarterly Report on Form 10-Q is incorporated by reference in answer to this item.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ITEM 1A — RISK FACTORS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Reference is made to the Risk Factors set forth in Part I, Item 1A of the combined Xerox Holdings Corporation and Xerox Corporation Annual Report on Form 10-K for the year ended December 31,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ITEM 2 — UNREGISTERED SALES OF EQUITY SECURITIES AND USE OF PROCEEDS</w:t>
      </w:r>
    </w:p>
    <w:p>
      <w:pPr>
        <w:spacing w:after="0" w:line="90" w:lineRule="exact"/>
        <w:rPr>
          <w:sz w:val="20"/>
          <w:szCs w:val="20"/>
          <w:color w:val="auto"/>
        </w:rPr>
      </w:pPr>
    </w:p>
    <w:p>
      <w:pPr>
        <w:ind w:left="480" w:hanging="472"/>
        <w:spacing w:after="0"/>
        <w:tabs>
          <w:tab w:leader="none" w:pos="480" w:val="left"/>
        </w:tabs>
        <w:numPr>
          <w:ilvl w:val="0"/>
          <w:numId w:val="56"/>
        </w:numPr>
        <w:rPr>
          <w:rFonts w:ascii="Arial" w:cs="Arial" w:eastAsia="Arial" w:hAnsi="Arial"/>
          <w:sz w:val="18"/>
          <w:szCs w:val="18"/>
          <w:b w:val="1"/>
          <w:bCs w:val="1"/>
          <w:color w:val="DA2031"/>
        </w:rPr>
      </w:pPr>
      <w:r>
        <w:rPr>
          <w:rFonts w:ascii="Arial" w:cs="Arial" w:eastAsia="Arial" w:hAnsi="Arial"/>
          <w:sz w:val="18"/>
          <w:szCs w:val="18"/>
          <w:b w:val="1"/>
          <w:bCs w:val="1"/>
          <w:color w:val="DA2031"/>
        </w:rPr>
        <w:t>Sales of Unregistered Securities during the Quarter ended March 31, 2022</w:t>
      </w:r>
    </w:p>
    <w:p>
      <w:pPr>
        <w:spacing w:after="0" w:line="63" w:lineRule="exact"/>
        <w:rPr>
          <w:rFonts w:ascii="Arial" w:cs="Arial" w:eastAsia="Arial" w:hAnsi="Arial"/>
          <w:sz w:val="18"/>
          <w:szCs w:val="18"/>
          <w:b w:val="1"/>
          <w:bCs w:val="1"/>
          <w:color w:val="DA2031"/>
        </w:rPr>
      </w:pPr>
    </w:p>
    <w:p>
      <w:pPr>
        <w:ind w:left="500" w:right="20"/>
        <w:spacing w:after="0" w:line="287" w:lineRule="auto"/>
        <w:rPr>
          <w:rFonts w:ascii="Arial" w:cs="Arial" w:eastAsia="Arial" w:hAnsi="Arial"/>
          <w:sz w:val="18"/>
          <w:szCs w:val="18"/>
          <w:b w:val="1"/>
          <w:bCs w:val="1"/>
          <w:color w:val="DA2031"/>
        </w:rPr>
      </w:pPr>
      <w:r>
        <w:rPr>
          <w:rFonts w:ascii="Arial" w:cs="Arial" w:eastAsia="Arial" w:hAnsi="Arial"/>
          <w:sz w:val="18"/>
          <w:szCs w:val="18"/>
          <w:color w:val="auto"/>
        </w:rPr>
        <w:t>During the quarter ended March 31, 2022, Xerox Holdings Corporation issued the following securities in transactions that were not registered under the Securities Act of 1933, as amended (the Act).</w:t>
      </w:r>
    </w:p>
    <w:p>
      <w:pPr>
        <w:spacing w:after="0" w:line="44" w:lineRule="exact"/>
        <w:rPr>
          <w:rFonts w:ascii="Arial" w:cs="Arial" w:eastAsia="Arial" w:hAnsi="Arial"/>
          <w:sz w:val="18"/>
          <w:szCs w:val="18"/>
          <w:b w:val="1"/>
          <w:bCs w:val="1"/>
          <w:color w:val="DA2031"/>
        </w:rPr>
      </w:pPr>
    </w:p>
    <w:p>
      <w:pPr>
        <w:ind w:left="500"/>
        <w:spacing w:after="0"/>
        <w:rPr>
          <w:rFonts w:ascii="Arial" w:cs="Arial" w:eastAsia="Arial" w:hAnsi="Arial"/>
          <w:sz w:val="18"/>
          <w:szCs w:val="18"/>
          <w:b w:val="1"/>
          <w:bCs w:val="1"/>
          <w:color w:val="DA2031"/>
        </w:rPr>
      </w:pPr>
      <w:r>
        <w:rPr>
          <w:rFonts w:ascii="Arial" w:cs="Arial" w:eastAsia="Arial" w:hAnsi="Arial"/>
          <w:sz w:val="18"/>
          <w:szCs w:val="18"/>
          <w:b w:val="1"/>
          <w:bCs w:val="1"/>
          <w:u w:val="single" w:color="auto"/>
          <w:color w:val="DA2031"/>
        </w:rPr>
        <w:t>Annual Director Fees:</w:t>
      </w:r>
    </w:p>
    <w:p>
      <w:pPr>
        <w:spacing w:after="0" w:line="63" w:lineRule="exact"/>
        <w:rPr>
          <w:rFonts w:ascii="Arial" w:cs="Arial" w:eastAsia="Arial" w:hAnsi="Arial"/>
          <w:sz w:val="18"/>
          <w:szCs w:val="18"/>
          <w:b w:val="1"/>
          <w:bCs w:val="1"/>
          <w:color w:val="DA2031"/>
        </w:rPr>
      </w:pPr>
    </w:p>
    <w:p>
      <w:pPr>
        <w:jc w:val="both"/>
        <w:ind w:left="820" w:hanging="326"/>
        <w:spacing w:after="0" w:line="257" w:lineRule="auto"/>
        <w:tabs>
          <w:tab w:leader="none" w:pos="810" w:val="left"/>
        </w:tabs>
        <w:numPr>
          <w:ilvl w:val="1"/>
          <w:numId w:val="56"/>
        </w:numPr>
        <w:rPr>
          <w:rFonts w:ascii="Arial" w:cs="Arial" w:eastAsia="Arial" w:hAnsi="Arial"/>
          <w:sz w:val="18"/>
          <w:szCs w:val="18"/>
          <w:color w:val="auto"/>
        </w:rPr>
      </w:pPr>
      <w:r>
        <w:rPr>
          <w:rFonts w:ascii="Arial" w:cs="Arial" w:eastAsia="Arial" w:hAnsi="Arial"/>
          <w:sz w:val="18"/>
          <w:szCs w:val="18"/>
          <w:color w:val="auto"/>
        </w:rPr>
        <w:t>Securities issued on February 17, 2022: Xerox Holdings Corporation issued an aggregate of 520 units - 371 deferred stock units (DSUs) and 149 restricted stock units (RSUs), representing the right to receive shares of Common Stock, par value $1 per share, at a future date.</w:t>
      </w:r>
    </w:p>
    <w:p>
      <w:pPr>
        <w:spacing w:after="0" w:line="1" w:lineRule="exact"/>
        <w:rPr>
          <w:rFonts w:ascii="Arial" w:cs="Arial" w:eastAsia="Arial" w:hAnsi="Arial"/>
          <w:sz w:val="18"/>
          <w:szCs w:val="18"/>
          <w:color w:val="auto"/>
        </w:rPr>
      </w:pPr>
    </w:p>
    <w:p>
      <w:pPr>
        <w:ind w:left="820" w:hanging="326"/>
        <w:spacing w:after="0" w:line="250" w:lineRule="auto"/>
        <w:tabs>
          <w:tab w:leader="none" w:pos="810" w:val="left"/>
        </w:tabs>
        <w:numPr>
          <w:ilvl w:val="1"/>
          <w:numId w:val="56"/>
        </w:numPr>
        <w:rPr>
          <w:rFonts w:ascii="Arial" w:cs="Arial" w:eastAsia="Arial" w:hAnsi="Arial"/>
          <w:sz w:val="18"/>
          <w:szCs w:val="18"/>
          <w:color w:val="auto"/>
        </w:rPr>
      </w:pPr>
      <w:r>
        <w:rPr>
          <w:rFonts w:ascii="Arial" w:cs="Arial" w:eastAsia="Arial" w:hAnsi="Arial"/>
          <w:sz w:val="18"/>
          <w:szCs w:val="18"/>
          <w:color w:val="auto"/>
        </w:rPr>
        <w:t>No underwriters participated. The DSUs were issued to Scott Letier and Steven D. Miller and the RSUs were issued to James L. Nelson, non-employee Directors of Xerox Holdings Corporation.</w:t>
      </w:r>
    </w:p>
    <w:p>
      <w:pPr>
        <w:jc w:val="both"/>
        <w:ind w:left="820" w:hanging="326"/>
        <w:spacing w:after="0" w:line="238" w:lineRule="auto"/>
        <w:tabs>
          <w:tab w:leader="none" w:pos="812" w:val="left"/>
        </w:tabs>
        <w:numPr>
          <w:ilvl w:val="1"/>
          <w:numId w:val="56"/>
        </w:numPr>
        <w:rPr>
          <w:rFonts w:ascii="Calibri" w:cs="Calibri" w:eastAsia="Calibri" w:hAnsi="Calibri"/>
          <w:sz w:val="20"/>
          <w:szCs w:val="20"/>
          <w:color w:val="auto"/>
        </w:rPr>
      </w:pPr>
      <w:r>
        <w:rPr>
          <w:rFonts w:ascii="Arial" w:cs="Arial" w:eastAsia="Arial" w:hAnsi="Arial"/>
          <w:sz w:val="18"/>
          <w:szCs w:val="18"/>
          <w:color w:val="auto"/>
        </w:rPr>
        <w:t>The DSUs and RSUs were issued at a deemed purchase price of $22.54 per DSU or RSU (aggregate price $11,721), based upon the market value of our Common Stock on the date of issuance, in payment of the Annual Director's fees pursuant to Xerox Holdings Corporation's 2004 Equity Compensation Plan for Non-Employee Directors (as amended and restated in 2021 (the 2021 Restatement)). The number of DSUs and RSUs awarded were prorated to reflect payment of their fees for serving on the newly formed Technology Committee (February 2022 - May 2022).</w:t>
      </w:r>
    </w:p>
    <w:p>
      <w:pPr>
        <w:spacing w:after="0" w:line="3" w:lineRule="exact"/>
        <w:rPr>
          <w:rFonts w:ascii="Calibri" w:cs="Calibri" w:eastAsia="Calibri" w:hAnsi="Calibri"/>
          <w:sz w:val="20"/>
          <w:szCs w:val="20"/>
          <w:color w:val="auto"/>
        </w:rPr>
      </w:pPr>
    </w:p>
    <w:p>
      <w:pPr>
        <w:ind w:left="820" w:right="20" w:hanging="326"/>
        <w:spacing w:after="0" w:line="266" w:lineRule="auto"/>
        <w:tabs>
          <w:tab w:leader="none" w:pos="81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Exemption from registration under the Act was claimed based upon Section 4(2) as a sale by an issuer not involving a public offering.</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DA2031"/>
        </w:rPr>
        <w:t>Dividend Equivalents:</w:t>
      </w:r>
    </w:p>
    <w:p>
      <w:pPr>
        <w:spacing w:after="0" w:line="63" w:lineRule="exact"/>
        <w:rPr>
          <w:sz w:val="20"/>
          <w:szCs w:val="20"/>
          <w:color w:val="auto"/>
        </w:rPr>
      </w:pPr>
    </w:p>
    <w:p>
      <w:pPr>
        <w:ind w:left="820" w:hanging="326"/>
        <w:spacing w:after="0" w:line="260" w:lineRule="auto"/>
        <w:tabs>
          <w:tab w:leader="none" w:pos="81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Securities issued on January 31, 2022: Xerox Holdings Corporation issued 2,798 DSUs, representing the right to receive shares of Common Stock, par value $1 per share, at a future date.</w:t>
      </w:r>
    </w:p>
    <w:p>
      <w:pPr>
        <w:spacing w:after="0" w:line="1" w:lineRule="exact"/>
        <w:rPr>
          <w:rFonts w:ascii="Arial" w:cs="Arial" w:eastAsia="Arial" w:hAnsi="Arial"/>
          <w:sz w:val="18"/>
          <w:szCs w:val="18"/>
          <w:color w:val="auto"/>
        </w:rPr>
      </w:pPr>
    </w:p>
    <w:p>
      <w:pPr>
        <w:jc w:val="both"/>
        <w:ind w:left="820" w:hanging="326"/>
        <w:spacing w:after="0" w:line="250" w:lineRule="auto"/>
        <w:tabs>
          <w:tab w:leader="none" w:pos="81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underwriters participated. The DSUs were issued to each of the non-employee Directors of Xerox Holdings Corporation and to two former non-employee Directors of Xerox Corporation: Jonathan Christodoro, Keith Cozza, Joseph J. Echevarria, Nicholas Graziano, Cheryl Gordon Krongard, Scott Letier, Jesse A. Lynn, Nichelle Maynard-Elliott, Steven D. Miller, and Margarita Paláu-Hernández.</w:t>
      </w:r>
    </w:p>
    <w:p>
      <w:pPr>
        <w:spacing w:after="0" w:line="1" w:lineRule="exact"/>
        <w:rPr>
          <w:rFonts w:ascii="Arial" w:cs="Arial" w:eastAsia="Arial" w:hAnsi="Arial"/>
          <w:sz w:val="18"/>
          <w:szCs w:val="18"/>
          <w:color w:val="auto"/>
        </w:rPr>
      </w:pPr>
    </w:p>
    <w:p>
      <w:pPr>
        <w:jc w:val="both"/>
        <w:ind w:left="820" w:hanging="326"/>
        <w:spacing w:after="0" w:line="239" w:lineRule="auto"/>
        <w:tabs>
          <w:tab w:leader="none" w:pos="812" w:val="left"/>
        </w:tabs>
        <w:numPr>
          <w:ilvl w:val="0"/>
          <w:numId w:val="57"/>
        </w:numPr>
        <w:rPr>
          <w:rFonts w:ascii="Calibri" w:cs="Calibri" w:eastAsia="Calibri" w:hAnsi="Calibri"/>
          <w:sz w:val="20"/>
          <w:szCs w:val="20"/>
          <w:color w:val="auto"/>
        </w:rPr>
      </w:pPr>
      <w:r>
        <w:rPr>
          <w:rFonts w:ascii="Arial" w:cs="Arial" w:eastAsia="Arial" w:hAnsi="Arial"/>
          <w:sz w:val="18"/>
          <w:szCs w:val="18"/>
          <w:color w:val="auto"/>
        </w:rPr>
        <w:t>The DSUs were issued at a deemed purchase price of $22.795 per DSU (aggregate price $63,780), based upon the market value of our Common Stock on the date of record, in payment of the dividend equivalents due to DSU holders pursuant to Xerox Holdings Corporation's 2004 Equity Compensation Plan for Non-Employee Directors (as amended and restated in 2021 (the 2021 Restatement)).</w:t>
      </w:r>
    </w:p>
    <w:p>
      <w:pPr>
        <w:spacing w:after="0" w:line="2" w:lineRule="exact"/>
        <w:rPr>
          <w:rFonts w:ascii="Calibri" w:cs="Calibri" w:eastAsia="Calibri" w:hAnsi="Calibri"/>
          <w:sz w:val="20"/>
          <w:szCs w:val="20"/>
          <w:color w:val="auto"/>
        </w:rPr>
      </w:pPr>
    </w:p>
    <w:p>
      <w:pPr>
        <w:ind w:left="820" w:right="20" w:hanging="326"/>
        <w:spacing w:after="0" w:line="266" w:lineRule="auto"/>
        <w:tabs>
          <w:tab w:leader="none" w:pos="81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Exemption from registration under the Act was claimed based upon Section 4(2) as a sale by an issuer not involving a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DA2031"/>
        </w:rPr>
        <w:t>(b) Issuer Purchases of Equity Securities during the Quarter ended March 31, 2022</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Repurchases of Xerox Holdings Corporation's Common Stock, par value $1 per share, include the following: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DA2031"/>
        </w:rPr>
        <w:t>Board Authorized Share Repurchase Program:</w:t>
      </w:r>
    </w:p>
    <w:p>
      <w:pPr>
        <w:spacing w:after="0" w:line="137"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Total Number of Shares</w:t>
            </w:r>
          </w:p>
        </w:tc>
        <w:tc>
          <w:tcPr>
            <w:tcW w:w="80" w:type="dxa"/>
            <w:vAlign w:val="bottom"/>
          </w:tcPr>
          <w:p>
            <w:pPr>
              <w:spacing w:after="0"/>
              <w:rPr>
                <w:sz w:val="14"/>
                <w:szCs w:val="14"/>
                <w:color w:val="auto"/>
              </w:rPr>
            </w:pPr>
          </w:p>
        </w:tc>
        <w:tc>
          <w:tcPr>
            <w:tcW w:w="2020" w:type="dxa"/>
            <w:vAlign w:val="bottom"/>
            <w:gridSpan w:val="2"/>
          </w:tcPr>
          <w:p>
            <w:pPr>
              <w:jc w:val="center"/>
              <w:spacing w:after="0"/>
              <w:rPr>
                <w:sz w:val="20"/>
                <w:szCs w:val="20"/>
                <w:color w:val="auto"/>
              </w:rPr>
            </w:pPr>
            <w:r>
              <w:rPr>
                <w:rFonts w:ascii="Arial" w:cs="Arial" w:eastAsia="Arial" w:hAnsi="Arial"/>
                <w:sz w:val="14"/>
                <w:szCs w:val="14"/>
                <w:color w:val="auto"/>
              </w:rPr>
              <w:t>Maximum Approximate Dollar</w:t>
            </w:r>
          </w:p>
        </w:tc>
      </w:tr>
      <w:tr>
        <w:trPr>
          <w:trHeight w:val="139"/>
        </w:trPr>
        <w:tc>
          <w:tcPr>
            <w:tcW w:w="24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jc w:val="center"/>
              <w:spacing w:after="0" w:line="139" w:lineRule="exact"/>
              <w:rPr>
                <w:sz w:val="20"/>
                <w:szCs w:val="20"/>
                <w:color w:val="auto"/>
              </w:rPr>
            </w:pPr>
            <w:r>
              <w:rPr>
                <w:rFonts w:ascii="Arial" w:cs="Arial" w:eastAsia="Arial" w:hAnsi="Arial"/>
                <w:sz w:val="14"/>
                <w:szCs w:val="14"/>
                <w:color w:val="auto"/>
              </w:rPr>
              <w:t>Purchased as Part of Publicly</w:t>
            </w:r>
          </w:p>
        </w:tc>
        <w:tc>
          <w:tcPr>
            <w:tcW w:w="80" w:type="dxa"/>
            <w:vAlign w:val="bottom"/>
          </w:tcPr>
          <w:p>
            <w:pPr>
              <w:spacing w:after="0"/>
              <w:rPr>
                <w:sz w:val="12"/>
                <w:szCs w:val="12"/>
                <w:color w:val="auto"/>
              </w:rPr>
            </w:pPr>
          </w:p>
        </w:tc>
        <w:tc>
          <w:tcPr>
            <w:tcW w:w="2020" w:type="dxa"/>
            <w:vAlign w:val="bottom"/>
            <w:gridSpan w:val="2"/>
          </w:tcPr>
          <w:p>
            <w:pPr>
              <w:jc w:val="center"/>
              <w:spacing w:after="0" w:line="139" w:lineRule="exact"/>
              <w:rPr>
                <w:sz w:val="20"/>
                <w:szCs w:val="20"/>
                <w:color w:val="auto"/>
              </w:rPr>
            </w:pPr>
            <w:r>
              <w:rPr>
                <w:rFonts w:ascii="Arial" w:cs="Arial" w:eastAsia="Arial" w:hAnsi="Arial"/>
                <w:sz w:val="14"/>
                <w:szCs w:val="14"/>
                <w:color w:val="auto"/>
              </w:rPr>
              <w:t>Value of Shares That May Yet</w:t>
            </w:r>
          </w:p>
        </w:tc>
      </w:tr>
      <w:tr>
        <w:trPr>
          <w:trHeight w:val="158"/>
        </w:trPr>
        <w:tc>
          <w:tcPr>
            <w:tcW w:w="2480" w:type="dxa"/>
            <w:vAlign w:val="bottom"/>
          </w:tcPr>
          <w:p>
            <w:pPr>
              <w:spacing w:after="0"/>
              <w:rPr>
                <w:sz w:val="13"/>
                <w:szCs w:val="13"/>
                <w:color w:val="auto"/>
              </w:rPr>
            </w:pPr>
          </w:p>
        </w:tc>
        <w:tc>
          <w:tcPr>
            <w:tcW w:w="1820" w:type="dxa"/>
            <w:vAlign w:val="bottom"/>
          </w:tcPr>
          <w:p>
            <w:pPr>
              <w:jc w:val="right"/>
              <w:ind w:right="88"/>
              <w:spacing w:after="0" w:line="158" w:lineRule="exact"/>
              <w:rPr>
                <w:sz w:val="20"/>
                <w:szCs w:val="20"/>
                <w:color w:val="auto"/>
              </w:rPr>
            </w:pPr>
            <w:r>
              <w:rPr>
                <w:rFonts w:ascii="Arial" w:cs="Arial" w:eastAsia="Arial" w:hAnsi="Arial"/>
                <w:sz w:val="14"/>
                <w:szCs w:val="14"/>
                <w:color w:val="auto"/>
              </w:rPr>
              <w:t>Total Number of 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2"/>
          </w:tcPr>
          <w:p>
            <w:pPr>
              <w:ind w:left="20"/>
              <w:spacing w:after="0" w:line="158" w:lineRule="exact"/>
              <w:rPr>
                <w:sz w:val="20"/>
                <w:szCs w:val="20"/>
                <w:color w:val="auto"/>
              </w:rPr>
            </w:pPr>
            <w:r>
              <w:rPr>
                <w:rFonts w:ascii="Arial" w:cs="Arial" w:eastAsia="Arial" w:hAnsi="Arial"/>
                <w:sz w:val="14"/>
                <w:szCs w:val="14"/>
                <w:color w:val="auto"/>
              </w:rPr>
              <w:t>Average Price Paid per</w:t>
            </w:r>
          </w:p>
        </w:tc>
        <w:tc>
          <w:tcPr>
            <w:tcW w:w="2020" w:type="dxa"/>
            <w:vAlign w:val="bottom"/>
          </w:tcPr>
          <w:p>
            <w:pPr>
              <w:jc w:val="center"/>
              <w:spacing w:after="0" w:line="158" w:lineRule="exact"/>
              <w:rPr>
                <w:sz w:val="20"/>
                <w:szCs w:val="20"/>
                <w:color w:val="auto"/>
              </w:rPr>
            </w:pPr>
            <w:r>
              <w:rPr>
                <w:rFonts w:ascii="Arial" w:cs="Arial" w:eastAsia="Arial" w:hAnsi="Arial"/>
                <w:sz w:val="14"/>
                <w:szCs w:val="14"/>
                <w:color w:val="auto"/>
              </w:rPr>
              <w:t>Announced Plans or</w:t>
            </w:r>
          </w:p>
        </w:tc>
        <w:tc>
          <w:tcPr>
            <w:tcW w:w="80" w:type="dxa"/>
            <w:vAlign w:val="bottom"/>
          </w:tcPr>
          <w:p>
            <w:pPr>
              <w:spacing w:after="0"/>
              <w:rPr>
                <w:sz w:val="13"/>
                <w:szCs w:val="13"/>
                <w:color w:val="auto"/>
              </w:rPr>
            </w:pPr>
          </w:p>
        </w:tc>
        <w:tc>
          <w:tcPr>
            <w:tcW w:w="2020" w:type="dxa"/>
            <w:vAlign w:val="bottom"/>
            <w:gridSpan w:val="2"/>
          </w:tcPr>
          <w:p>
            <w:pPr>
              <w:jc w:val="center"/>
              <w:spacing w:after="0" w:line="158" w:lineRule="exact"/>
              <w:rPr>
                <w:sz w:val="20"/>
                <w:szCs w:val="20"/>
                <w:color w:val="auto"/>
              </w:rPr>
            </w:pPr>
            <w:r>
              <w:rPr>
                <w:rFonts w:ascii="Arial" w:cs="Arial" w:eastAsia="Arial" w:hAnsi="Arial"/>
                <w:sz w:val="14"/>
                <w:szCs w:val="14"/>
                <w:color w:val="auto"/>
              </w:rPr>
              <w:t>Be Purchased Under the Plans</w:t>
            </w:r>
          </w:p>
        </w:tc>
      </w:tr>
      <w:tr>
        <w:trPr>
          <w:trHeight w:val="189"/>
        </w:trPr>
        <w:tc>
          <w:tcPr>
            <w:tcW w:w="2480" w:type="dxa"/>
            <w:vAlign w:val="bottom"/>
            <w:tcBorders>
              <w:bottom w:val="single" w:sz="8" w:color="DDDDDD"/>
            </w:tcBorders>
          </w:tcPr>
          <w:p>
            <w:pPr>
              <w:spacing w:after="0"/>
              <w:rPr>
                <w:sz w:val="16"/>
                <w:szCs w:val="16"/>
                <w:color w:val="auto"/>
              </w:rPr>
            </w:pPr>
          </w:p>
        </w:tc>
        <w:tc>
          <w:tcPr>
            <w:tcW w:w="18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Purchased</w:t>
            </w:r>
          </w:p>
        </w:tc>
        <w:tc>
          <w:tcPr>
            <w:tcW w:w="100" w:type="dxa"/>
            <w:vAlign w:val="bottom"/>
            <w:tcBorders>
              <w:bottom w:val="single" w:sz="8" w:color="DDDDDD"/>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Share</w:t>
            </w:r>
            <w:r>
              <w:rPr>
                <w:rFonts w:ascii="Arial" w:cs="Arial" w:eastAsia="Arial" w:hAnsi="Arial"/>
                <w:sz w:val="9"/>
                <w:szCs w:val="9"/>
                <w:color w:val="auto"/>
              </w:rPr>
              <w:t>(1)</w:t>
            </w:r>
          </w:p>
        </w:tc>
        <w:tc>
          <w:tcPr>
            <w:tcW w:w="100" w:type="dxa"/>
            <w:vAlign w:val="bottom"/>
            <w:tcBorders>
              <w:bottom w:val="single" w:sz="8" w:color="DDDDDD"/>
            </w:tcBorders>
          </w:tcPr>
          <w:p>
            <w:pPr>
              <w:spacing w:after="0"/>
              <w:rPr>
                <w:sz w:val="16"/>
                <w:szCs w:val="16"/>
                <w:color w:val="auto"/>
              </w:rPr>
            </w:pPr>
          </w:p>
        </w:tc>
        <w:tc>
          <w:tcPr>
            <w:tcW w:w="20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color w:val="auto"/>
                <w:w w:val="98"/>
              </w:rPr>
              <w:t>Programs</w:t>
            </w:r>
            <w:r>
              <w:rPr>
                <w:rFonts w:ascii="Arial" w:cs="Arial" w:eastAsia="Arial" w:hAnsi="Arial"/>
                <w:sz w:val="18"/>
                <w:szCs w:val="18"/>
                <w:color w:val="auto"/>
                <w:w w:val="98"/>
                <w:vertAlign w:val="superscript"/>
              </w:rPr>
              <w:t>(2)</w:t>
            </w:r>
          </w:p>
        </w:tc>
        <w:tc>
          <w:tcPr>
            <w:tcW w:w="80" w:type="dxa"/>
            <w:vAlign w:val="bottom"/>
            <w:tcBorders>
              <w:bottom w:val="single" w:sz="8" w:color="DDDDDD"/>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268"/>
              <w:spacing w:after="0" w:line="189" w:lineRule="exact"/>
              <w:rPr>
                <w:sz w:val="20"/>
                <w:szCs w:val="20"/>
                <w:color w:val="auto"/>
              </w:rPr>
            </w:pPr>
            <w:r>
              <w:rPr>
                <w:rFonts w:ascii="Arial" w:cs="Arial" w:eastAsia="Arial" w:hAnsi="Arial"/>
                <w:sz w:val="14"/>
                <w:szCs w:val="14"/>
                <w:color w:val="auto"/>
                <w:w w:val="98"/>
              </w:rPr>
              <w:t>or Programs</w:t>
            </w:r>
            <w:r>
              <w:rPr>
                <w:rFonts w:ascii="Arial" w:cs="Arial" w:eastAsia="Arial" w:hAnsi="Arial"/>
                <w:sz w:val="18"/>
                <w:szCs w:val="18"/>
                <w:color w:val="auto"/>
                <w:w w:val="98"/>
                <w:vertAlign w:val="superscript"/>
              </w:rPr>
              <w:t>(2)</w:t>
            </w:r>
          </w:p>
        </w:tc>
      </w:tr>
      <w:tr>
        <w:trPr>
          <w:trHeight w:val="196"/>
        </w:trPr>
        <w:tc>
          <w:tcPr>
            <w:tcW w:w="2480" w:type="dxa"/>
            <w:vAlign w:val="bottom"/>
            <w:shd w:val="clear" w:color="auto" w:fill="DDDDDD"/>
          </w:tcPr>
          <w:p>
            <w:pPr>
              <w:ind w:left="20"/>
              <w:spacing w:after="0"/>
              <w:rPr>
                <w:sz w:val="20"/>
                <w:szCs w:val="20"/>
                <w:color w:val="auto"/>
              </w:rPr>
            </w:pPr>
            <w:r>
              <w:rPr>
                <w:rFonts w:ascii="Arial" w:cs="Arial" w:eastAsia="Arial" w:hAnsi="Arial"/>
                <w:sz w:val="14"/>
                <w:szCs w:val="14"/>
                <w:color w:val="auto"/>
              </w:rPr>
              <w:t>January 1 through 31</w:t>
            </w:r>
          </w:p>
        </w:tc>
        <w:tc>
          <w:tcPr>
            <w:tcW w:w="18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3,666,387</w:t>
            </w:r>
          </w:p>
        </w:tc>
        <w:tc>
          <w:tcPr>
            <w:tcW w:w="220" w:type="dxa"/>
            <w:vAlign w:val="bottom"/>
            <w:gridSpan w:val="2"/>
            <w:shd w:val="clear" w:color="auto" w:fill="DDDDDD"/>
          </w:tcPr>
          <w:p>
            <w:pPr>
              <w:jc w:val="right"/>
              <w:ind w:right="20"/>
              <w:spacing w:after="0"/>
              <w:rPr>
                <w:sz w:val="20"/>
                <w:szCs w:val="20"/>
                <w:color w:val="auto"/>
              </w:rPr>
            </w:pPr>
            <w:r>
              <w:rPr>
                <w:rFonts w:ascii="Arial" w:cs="Arial" w:eastAsia="Arial" w:hAnsi="Arial"/>
                <w:sz w:val="14"/>
                <w:szCs w:val="14"/>
                <w:color w:val="auto"/>
              </w:rPr>
              <w:t>$</w:t>
            </w:r>
          </w:p>
        </w:tc>
        <w:tc>
          <w:tcPr>
            <w:tcW w:w="16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22.06</w:t>
            </w:r>
          </w:p>
        </w:tc>
        <w:tc>
          <w:tcPr>
            <w:tcW w:w="100" w:type="dxa"/>
            <w:vAlign w:val="bottom"/>
            <w:shd w:val="clear" w:color="auto" w:fill="DDDDDD"/>
          </w:tcPr>
          <w:p>
            <w:pPr>
              <w:spacing w:after="0"/>
              <w:rPr>
                <w:sz w:val="17"/>
                <w:szCs w:val="17"/>
                <w:color w:val="auto"/>
              </w:rPr>
            </w:pPr>
          </w:p>
        </w:tc>
        <w:tc>
          <w:tcPr>
            <w:tcW w:w="2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3,666,387</w:t>
            </w:r>
          </w:p>
        </w:tc>
        <w:tc>
          <w:tcPr>
            <w:tcW w:w="420" w:type="dxa"/>
            <w:vAlign w:val="bottom"/>
            <w:gridSpan w:val="2"/>
            <w:shd w:val="clear" w:color="auto" w:fill="DDDDDD"/>
          </w:tcPr>
          <w:p>
            <w:pPr>
              <w:jc w:val="right"/>
              <w:ind w:right="1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31,823,523</w:t>
            </w:r>
          </w:p>
        </w:tc>
      </w:tr>
      <w:tr>
        <w:trPr>
          <w:trHeight w:val="199"/>
        </w:trPr>
        <w:tc>
          <w:tcPr>
            <w:tcW w:w="2480" w:type="dxa"/>
            <w:vAlign w:val="bottom"/>
          </w:tcPr>
          <w:p>
            <w:pPr>
              <w:ind w:left="20"/>
              <w:spacing w:after="0"/>
              <w:rPr>
                <w:sz w:val="20"/>
                <w:szCs w:val="20"/>
                <w:color w:val="auto"/>
              </w:rPr>
            </w:pPr>
            <w:r>
              <w:rPr>
                <w:rFonts w:ascii="Arial" w:cs="Arial" w:eastAsia="Arial" w:hAnsi="Arial"/>
                <w:sz w:val="14"/>
                <w:szCs w:val="14"/>
                <w:color w:val="auto"/>
              </w:rPr>
              <w:t>February 1 through 28</w:t>
            </w:r>
          </w:p>
        </w:tc>
        <w:tc>
          <w:tcPr>
            <w:tcW w:w="1820" w:type="dxa"/>
            <w:vAlign w:val="bottom"/>
          </w:tcPr>
          <w:p>
            <w:pPr>
              <w:jc w:val="right"/>
              <w:spacing w:after="0"/>
              <w:rPr>
                <w:sz w:val="20"/>
                <w:szCs w:val="20"/>
                <w:color w:val="auto"/>
              </w:rPr>
            </w:pPr>
            <w:r>
              <w:rPr>
                <w:rFonts w:ascii="Arial" w:cs="Arial" w:eastAsia="Arial" w:hAnsi="Arial"/>
                <w:sz w:val="14"/>
                <w:szCs w:val="14"/>
                <w:color w:val="auto"/>
              </w:rPr>
              <w:t>1,507,539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21.11</w:t>
            </w:r>
          </w:p>
        </w:tc>
        <w:tc>
          <w:tcPr>
            <w:tcW w:w="100" w:type="dxa"/>
            <w:vAlign w:val="bottom"/>
          </w:tcPr>
          <w:p>
            <w:pPr>
              <w:spacing w:after="0"/>
              <w:rPr>
                <w:sz w:val="17"/>
                <w:szCs w:val="17"/>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1,507,539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480" w:type="dxa"/>
            <w:vAlign w:val="bottom"/>
            <w:shd w:val="clear" w:color="auto" w:fill="DDDDDD"/>
          </w:tcPr>
          <w:p>
            <w:pPr>
              <w:ind w:left="20"/>
              <w:spacing w:after="0"/>
              <w:rPr>
                <w:sz w:val="20"/>
                <w:szCs w:val="20"/>
                <w:color w:val="auto"/>
              </w:rPr>
            </w:pPr>
            <w:r>
              <w:rPr>
                <w:rFonts w:ascii="Arial" w:cs="Arial" w:eastAsia="Arial" w:hAnsi="Arial"/>
                <w:sz w:val="14"/>
                <w:szCs w:val="14"/>
                <w:color w:val="auto"/>
              </w:rPr>
              <w:t>March 1 through 31</w:t>
            </w:r>
          </w:p>
        </w:tc>
        <w:tc>
          <w:tcPr>
            <w:tcW w:w="18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76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16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24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5,173,926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5,173,926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24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76" w:lineRule="exact"/>
        <w:rPr>
          <w:sz w:val="20"/>
          <w:szCs w:val="20"/>
          <w:color w:val="auto"/>
        </w:rPr>
      </w:pPr>
    </w:p>
    <w:p>
      <w:pPr>
        <w:ind w:left="440"/>
        <w:spacing w:after="0"/>
        <w:rPr>
          <w:sz w:val="20"/>
          <w:szCs w:val="20"/>
          <w:color w:val="auto"/>
        </w:rPr>
      </w:pPr>
      <w:r>
        <w:rPr>
          <w:rFonts w:ascii="Arial" w:cs="Arial" w:eastAsia="Arial" w:hAnsi="Arial"/>
          <w:sz w:val="11"/>
          <w:szCs w:val="11"/>
          <w:color w:val="auto"/>
        </w:rPr>
        <w:t>____________________________</w:t>
      </w:r>
    </w:p>
    <w:p>
      <w:pPr>
        <w:spacing w:after="0" w:line="42" w:lineRule="exact"/>
        <w:rPr>
          <w:sz w:val="20"/>
          <w:szCs w:val="20"/>
          <w:color w:val="auto"/>
        </w:rPr>
      </w:pPr>
    </w:p>
    <w:p>
      <w:pPr>
        <w:ind w:left="640" w:hanging="227"/>
        <w:spacing w:after="0"/>
        <w:tabs>
          <w:tab w:leader="none" w:pos="64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Exclusive of fees and expenses.</w:t>
      </w:r>
    </w:p>
    <w:p>
      <w:pPr>
        <w:spacing w:after="0" w:line="41" w:lineRule="exact"/>
        <w:rPr>
          <w:rFonts w:ascii="Arial" w:cs="Arial" w:eastAsia="Arial" w:hAnsi="Arial"/>
          <w:sz w:val="14"/>
          <w:szCs w:val="14"/>
          <w:i w:val="1"/>
          <w:iCs w:val="1"/>
          <w:color w:val="auto"/>
        </w:rPr>
      </w:pPr>
    </w:p>
    <w:p>
      <w:pPr>
        <w:jc w:val="both"/>
        <w:ind w:left="660" w:hanging="247"/>
        <w:spacing w:after="0" w:line="268" w:lineRule="auto"/>
        <w:tabs>
          <w:tab w:leader="none" w:pos="647"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Of the $500 million of share repurchase authority previously granted by Xerox Holdings Corporation's Board of Directors, exclusive of fees and expenses, approximately $500 million has been used through March 31, 2022. Repurchases may be made on the open market, or through derivative or negotiated contracts. Open-market repurchases will be made in compliance with the Securities and Exchange Commission's Rule 10b-18, and are subject to market conditions, as well as applicable legal and other considerations.</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DA2031"/>
        </w:rPr>
        <w:t>Repurchases Related to Stock Compensation Programs</w:t>
      </w:r>
      <w:r>
        <w:rPr>
          <w:rFonts w:ascii="Arial" w:cs="Arial" w:eastAsia="Arial" w:hAnsi="Arial"/>
          <w:sz w:val="23"/>
          <w:szCs w:val="23"/>
          <w:b w:val="1"/>
          <w:bCs w:val="1"/>
          <w:color w:val="DA2031"/>
          <w:vertAlign w:val="superscript"/>
        </w:rPr>
        <w:t>(1)</w:t>
      </w:r>
      <w:r>
        <w:rPr>
          <w:rFonts w:ascii="Arial" w:cs="Arial" w:eastAsia="Arial" w:hAnsi="Arial"/>
          <w:sz w:val="18"/>
          <w:szCs w:val="18"/>
          <w:b w:val="1"/>
          <w:bCs w:val="1"/>
          <w:color w:val="DA2031"/>
        </w:rPr>
        <w:t>:</w:t>
      </w:r>
    </w:p>
    <w:p>
      <w:pPr>
        <w:spacing w:after="0" w:line="93"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Total Number of Shares</w:t>
            </w:r>
          </w:p>
        </w:tc>
        <w:tc>
          <w:tcPr>
            <w:tcW w:w="2020" w:type="dxa"/>
            <w:vAlign w:val="bottom"/>
          </w:tcPr>
          <w:p>
            <w:pPr>
              <w:jc w:val="center"/>
              <w:spacing w:after="0"/>
              <w:rPr>
                <w:sz w:val="20"/>
                <w:szCs w:val="20"/>
                <w:color w:val="auto"/>
              </w:rPr>
            </w:pPr>
            <w:r>
              <w:rPr>
                <w:rFonts w:ascii="Arial" w:cs="Arial" w:eastAsia="Arial" w:hAnsi="Arial"/>
                <w:sz w:val="14"/>
                <w:szCs w:val="14"/>
                <w:color w:val="auto"/>
              </w:rPr>
              <w:t>Maximum Approximate Dollar</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840" w:type="dxa"/>
            <w:vAlign w:val="bottom"/>
            <w:vMerge w:val="restart"/>
          </w:tcPr>
          <w:p>
            <w:pPr>
              <w:jc w:val="right"/>
              <w:ind w:right="88"/>
              <w:spacing w:after="0"/>
              <w:rPr>
                <w:sz w:val="20"/>
                <w:szCs w:val="20"/>
                <w:color w:val="auto"/>
              </w:rPr>
            </w:pPr>
            <w:r>
              <w:rPr>
                <w:rFonts w:ascii="Arial" w:cs="Arial" w:eastAsia="Arial" w:hAnsi="Arial"/>
                <w:sz w:val="14"/>
                <w:szCs w:val="14"/>
                <w:color w:val="auto"/>
              </w:rPr>
              <w:t>Total 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vMerge w:val="restart"/>
          </w:tcPr>
          <w:p>
            <w:pPr>
              <w:ind w:left="20"/>
              <w:spacing w:after="0"/>
              <w:rPr>
                <w:sz w:val="20"/>
                <w:szCs w:val="20"/>
                <w:color w:val="auto"/>
              </w:rPr>
            </w:pPr>
            <w:r>
              <w:rPr>
                <w:rFonts w:ascii="Arial" w:cs="Arial" w:eastAsia="Arial" w:hAnsi="Arial"/>
                <w:sz w:val="14"/>
                <w:szCs w:val="14"/>
                <w:color w:val="auto"/>
              </w:rPr>
              <w:t>Average Price Paid per</w:t>
            </w:r>
          </w:p>
        </w:tc>
        <w:tc>
          <w:tcPr>
            <w:tcW w:w="2140" w:type="dxa"/>
            <w:vAlign w:val="bottom"/>
            <w:gridSpan w:val="2"/>
            <w:vMerge w:val="continue"/>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rPr>
              <w:t>Value of Shares That May Yet</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Purchased as Part of Publicly</w:t>
            </w: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rPr>
              <w:t>Be Purchased Under the Plans</w:t>
            </w:r>
          </w:p>
        </w:tc>
        <w:tc>
          <w:tcPr>
            <w:tcW w:w="0" w:type="dxa"/>
            <w:vAlign w:val="bottom"/>
          </w:tcPr>
          <w:p>
            <w:pPr>
              <w:spacing w:after="0"/>
              <w:rPr>
                <w:sz w:val="1"/>
                <w:szCs w:val="1"/>
                <w:color w:val="auto"/>
              </w:rPr>
            </w:pPr>
          </w:p>
        </w:tc>
      </w:tr>
      <w:tr>
        <w:trPr>
          <w:trHeight w:val="189"/>
        </w:trPr>
        <w:tc>
          <w:tcPr>
            <w:tcW w:w="2820" w:type="dxa"/>
            <w:vAlign w:val="bottom"/>
            <w:tcBorders>
              <w:bottom w:val="single" w:sz="8" w:color="E5E5E5"/>
            </w:tcBorders>
          </w:tcPr>
          <w:p>
            <w:pPr>
              <w:spacing w:after="0"/>
              <w:rPr>
                <w:sz w:val="16"/>
                <w:szCs w:val="16"/>
                <w:color w:val="auto"/>
              </w:rPr>
            </w:pPr>
          </w:p>
        </w:tc>
        <w:tc>
          <w:tcPr>
            <w:tcW w:w="18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Purchased</w:t>
            </w:r>
          </w:p>
        </w:tc>
        <w:tc>
          <w:tcPr>
            <w:tcW w:w="120" w:type="dxa"/>
            <w:vAlign w:val="bottom"/>
            <w:tcBorders>
              <w:bottom w:val="single" w:sz="8" w:color="E5E5E5"/>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Share</w:t>
            </w:r>
            <w:r>
              <w:rPr>
                <w:rFonts w:ascii="Arial" w:cs="Arial" w:eastAsia="Arial" w:hAnsi="Arial"/>
                <w:sz w:val="9"/>
                <w:szCs w:val="9"/>
                <w:color w:val="auto"/>
              </w:rPr>
              <w:t>(2)</w:t>
            </w:r>
          </w:p>
        </w:tc>
        <w:tc>
          <w:tcPr>
            <w:tcW w:w="100" w:type="dxa"/>
            <w:vAlign w:val="bottom"/>
            <w:tcBorders>
              <w:bottom w:val="single" w:sz="8" w:color="E5E5E5"/>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Announced Plans or Programs</w:t>
            </w:r>
          </w:p>
        </w:tc>
        <w:tc>
          <w:tcPr>
            <w:tcW w:w="100" w:type="dxa"/>
            <w:vAlign w:val="bottom"/>
            <w:tcBorders>
              <w:bottom w:val="single" w:sz="8" w:color="E5E5E5"/>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or Programs</w:t>
            </w:r>
          </w:p>
        </w:tc>
        <w:tc>
          <w:tcPr>
            <w:tcW w:w="0" w:type="dxa"/>
            <w:vAlign w:val="bottom"/>
          </w:tcPr>
          <w:p>
            <w:pPr>
              <w:spacing w:after="0"/>
              <w:rPr>
                <w:sz w:val="1"/>
                <w:szCs w:val="1"/>
                <w:color w:val="auto"/>
              </w:rPr>
            </w:pPr>
          </w:p>
        </w:tc>
      </w:tr>
      <w:tr>
        <w:trPr>
          <w:trHeight w:val="196"/>
        </w:trPr>
        <w:tc>
          <w:tcPr>
            <w:tcW w:w="2820" w:type="dxa"/>
            <w:vAlign w:val="bottom"/>
            <w:shd w:val="clear" w:color="auto" w:fill="E5E5E5"/>
          </w:tcPr>
          <w:p>
            <w:pPr>
              <w:ind w:left="20"/>
              <w:spacing w:after="0"/>
              <w:rPr>
                <w:sz w:val="20"/>
                <w:szCs w:val="20"/>
                <w:color w:val="auto"/>
              </w:rPr>
            </w:pPr>
            <w:r>
              <w:rPr>
                <w:rFonts w:ascii="Arial" w:cs="Arial" w:eastAsia="Arial" w:hAnsi="Arial"/>
                <w:sz w:val="14"/>
                <w:szCs w:val="14"/>
                <w:color w:val="auto"/>
              </w:rPr>
              <w:t>January 1 through 31</w:t>
            </w:r>
          </w:p>
        </w:tc>
        <w:tc>
          <w:tcPr>
            <w:tcW w:w="1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403,142</w:t>
            </w:r>
          </w:p>
        </w:tc>
        <w:tc>
          <w:tcPr>
            <w:tcW w:w="240" w:type="dxa"/>
            <w:vAlign w:val="bottom"/>
            <w:gridSpan w:val="2"/>
            <w:shd w:val="clear" w:color="auto" w:fill="E5E5E5"/>
          </w:tcPr>
          <w:p>
            <w:pPr>
              <w:jc w:val="right"/>
              <w:ind w:right="20"/>
              <w:spacing w:after="0"/>
              <w:rPr>
                <w:sz w:val="20"/>
                <w:szCs w:val="20"/>
                <w:color w:val="auto"/>
              </w:rPr>
            </w:pPr>
            <w:r>
              <w:rPr>
                <w:rFonts w:ascii="Arial" w:cs="Arial" w:eastAsia="Arial" w:hAnsi="Arial"/>
                <w:sz w:val="14"/>
                <w:szCs w:val="14"/>
                <w:color w:val="auto"/>
              </w:rPr>
              <w:t>$</w:t>
            </w:r>
          </w:p>
        </w:tc>
        <w:tc>
          <w:tcPr>
            <w:tcW w:w="16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23.82</w:t>
            </w:r>
          </w:p>
        </w:tc>
        <w:tc>
          <w:tcPr>
            <w:tcW w:w="100" w:type="dxa"/>
            <w:vAlign w:val="bottom"/>
            <w:shd w:val="clear" w:color="auto" w:fill="E5E5E5"/>
          </w:tcPr>
          <w:p>
            <w:pPr>
              <w:spacing w:after="0"/>
              <w:rPr>
                <w:sz w:val="17"/>
                <w:szCs w:val="17"/>
                <w:color w:val="auto"/>
              </w:rPr>
            </w:pPr>
          </w:p>
        </w:tc>
        <w:tc>
          <w:tcPr>
            <w:tcW w:w="2140" w:type="dxa"/>
            <w:vAlign w:val="bottom"/>
            <w:gridSpan w:val="2"/>
            <w:shd w:val="clear" w:color="auto" w:fill="E5E5E5"/>
          </w:tcPr>
          <w:p>
            <w:pPr>
              <w:jc w:val="center"/>
              <w:ind w:right="100"/>
              <w:spacing w:after="0"/>
              <w:rPr>
                <w:sz w:val="20"/>
                <w:szCs w:val="20"/>
                <w:color w:val="auto"/>
              </w:rPr>
            </w:pPr>
            <w:r>
              <w:rPr>
                <w:rFonts w:ascii="Arial" w:cs="Arial" w:eastAsia="Arial" w:hAnsi="Arial"/>
                <w:sz w:val="14"/>
                <w:szCs w:val="14"/>
                <w:color w:val="auto"/>
              </w:rPr>
              <w:t>n/a</w:t>
            </w:r>
          </w:p>
        </w:tc>
        <w:tc>
          <w:tcPr>
            <w:tcW w:w="20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8"/>
        </w:trPr>
        <w:tc>
          <w:tcPr>
            <w:tcW w:w="2820" w:type="dxa"/>
            <w:vAlign w:val="bottom"/>
          </w:tcPr>
          <w:p>
            <w:pPr>
              <w:ind w:left="20"/>
              <w:spacing w:after="0"/>
              <w:rPr>
                <w:sz w:val="20"/>
                <w:szCs w:val="20"/>
                <w:color w:val="auto"/>
              </w:rPr>
            </w:pPr>
            <w:r>
              <w:rPr>
                <w:rFonts w:ascii="Arial" w:cs="Arial" w:eastAsia="Arial" w:hAnsi="Arial"/>
                <w:sz w:val="14"/>
                <w:szCs w:val="14"/>
                <w:color w:val="auto"/>
              </w:rPr>
              <w:t>February 1 through 28</w:t>
            </w:r>
          </w:p>
        </w:tc>
        <w:tc>
          <w:tcPr>
            <w:tcW w:w="1840" w:type="dxa"/>
            <w:vAlign w:val="bottom"/>
          </w:tcPr>
          <w:p>
            <w:pPr>
              <w:jc w:val="right"/>
              <w:spacing w:after="0"/>
              <w:rPr>
                <w:sz w:val="20"/>
                <w:szCs w:val="20"/>
                <w:color w:val="auto"/>
              </w:rPr>
            </w:pPr>
            <w:r>
              <w:rPr>
                <w:rFonts w:ascii="Arial" w:cs="Arial" w:eastAsia="Arial" w:hAnsi="Arial"/>
                <w:sz w:val="14"/>
                <w:szCs w:val="14"/>
                <w:color w:val="auto"/>
              </w:rPr>
              <w:t>3,889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22.26</w:t>
            </w:r>
          </w:p>
        </w:tc>
        <w:tc>
          <w:tcPr>
            <w:tcW w:w="100" w:type="dxa"/>
            <w:vAlign w:val="bottom"/>
          </w:tcPr>
          <w:p>
            <w:pPr>
              <w:spacing w:after="0"/>
              <w:rPr>
                <w:sz w:val="17"/>
                <w:szCs w:val="17"/>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202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3"/>
        </w:trPr>
        <w:tc>
          <w:tcPr>
            <w:tcW w:w="2820" w:type="dxa"/>
            <w:vAlign w:val="bottom"/>
            <w:shd w:val="clear" w:color="auto" w:fill="E5E5E5"/>
          </w:tcPr>
          <w:p>
            <w:pPr>
              <w:ind w:left="20"/>
              <w:spacing w:after="0"/>
              <w:rPr>
                <w:sz w:val="20"/>
                <w:szCs w:val="20"/>
                <w:color w:val="auto"/>
              </w:rPr>
            </w:pPr>
            <w:r>
              <w:rPr>
                <w:rFonts w:ascii="Arial" w:cs="Arial" w:eastAsia="Arial" w:hAnsi="Arial"/>
                <w:sz w:val="14"/>
                <w:szCs w:val="14"/>
                <w:color w:val="auto"/>
              </w:rPr>
              <w:t>March 1 through 31</w:t>
            </w:r>
          </w:p>
        </w:tc>
        <w:tc>
          <w:tcPr>
            <w:tcW w:w="1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514</w:t>
            </w: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19.71</w:t>
            </w:r>
          </w:p>
        </w:tc>
        <w:tc>
          <w:tcPr>
            <w:tcW w:w="100" w:type="dxa"/>
            <w:vAlign w:val="bottom"/>
            <w:shd w:val="clear" w:color="auto" w:fill="E5E5E5"/>
          </w:tcPr>
          <w:p>
            <w:pPr>
              <w:spacing w:after="0"/>
              <w:rPr>
                <w:sz w:val="17"/>
                <w:szCs w:val="17"/>
                <w:color w:val="auto"/>
              </w:rPr>
            </w:pPr>
          </w:p>
        </w:tc>
        <w:tc>
          <w:tcPr>
            <w:tcW w:w="2140" w:type="dxa"/>
            <w:vAlign w:val="bottom"/>
            <w:gridSpan w:val="2"/>
            <w:shd w:val="clear" w:color="auto" w:fill="E5E5E5"/>
          </w:tcPr>
          <w:p>
            <w:pPr>
              <w:jc w:val="center"/>
              <w:ind w:right="100"/>
              <w:spacing w:after="0"/>
              <w:rPr>
                <w:sz w:val="20"/>
                <w:szCs w:val="20"/>
                <w:color w:val="auto"/>
              </w:rPr>
            </w:pPr>
            <w:r>
              <w:rPr>
                <w:rFonts w:ascii="Arial" w:cs="Arial" w:eastAsia="Arial" w:hAnsi="Arial"/>
                <w:sz w:val="14"/>
                <w:szCs w:val="14"/>
                <w:color w:val="auto"/>
              </w:rPr>
              <w:t>n/a</w:t>
            </w:r>
          </w:p>
        </w:tc>
        <w:tc>
          <w:tcPr>
            <w:tcW w:w="20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0"/>
        </w:trPr>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407,545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440"/>
        <w:spacing w:after="0"/>
        <w:rPr>
          <w:sz w:val="20"/>
          <w:szCs w:val="20"/>
          <w:color w:val="auto"/>
        </w:rPr>
      </w:pPr>
      <w:r>
        <w:rPr>
          <w:rFonts w:ascii="Arial" w:cs="Arial" w:eastAsia="Arial" w:hAnsi="Arial"/>
          <w:sz w:val="11"/>
          <w:szCs w:val="11"/>
          <w:color w:val="auto"/>
        </w:rPr>
        <w:t>____________________________</w:t>
      </w:r>
    </w:p>
    <w:p>
      <w:pPr>
        <w:spacing w:after="0" w:line="55" w:lineRule="exact"/>
        <w:rPr>
          <w:sz w:val="20"/>
          <w:szCs w:val="20"/>
          <w:color w:val="auto"/>
        </w:rPr>
      </w:pPr>
    </w:p>
    <w:p>
      <w:pPr>
        <w:ind w:left="660" w:hanging="247"/>
        <w:spacing w:after="0" w:line="281" w:lineRule="auto"/>
        <w:tabs>
          <w:tab w:leader="none" w:pos="647" w:val="left"/>
        </w:tabs>
        <w:numPr>
          <w:ilvl w:val="0"/>
          <w:numId w:val="59"/>
        </w:numPr>
        <w:rPr>
          <w:rFonts w:ascii="Arial" w:cs="Arial" w:eastAsia="Arial" w:hAnsi="Arial"/>
          <w:sz w:val="14"/>
          <w:szCs w:val="14"/>
          <w:i w:val="1"/>
          <w:iCs w:val="1"/>
          <w:color w:val="auto"/>
        </w:rPr>
      </w:pPr>
      <w:r>
        <w:rPr>
          <w:rFonts w:ascii="Arial" w:cs="Arial" w:eastAsia="Arial" w:hAnsi="Arial"/>
          <w:sz w:val="14"/>
          <w:szCs w:val="14"/>
          <w:i w:val="1"/>
          <w:iCs w:val="1"/>
          <w:color w:val="auto"/>
        </w:rPr>
        <w:t>These repurchases are made under a provision in our restricted stock compensation programs for the indirect repurchase of shares through a net-settlement feature upon the vesting of shares in order to satisfy minimum statutory tax-withholding requirements.</w:t>
      </w:r>
    </w:p>
    <w:p>
      <w:pPr>
        <w:spacing w:after="0" w:line="1" w:lineRule="exact"/>
        <w:rPr>
          <w:rFonts w:ascii="Arial" w:cs="Arial" w:eastAsia="Arial" w:hAnsi="Arial"/>
          <w:sz w:val="14"/>
          <w:szCs w:val="14"/>
          <w:i w:val="1"/>
          <w:iCs w:val="1"/>
          <w:color w:val="auto"/>
        </w:rPr>
      </w:pPr>
    </w:p>
    <w:p>
      <w:pPr>
        <w:ind w:left="640" w:hanging="227"/>
        <w:spacing w:after="0"/>
        <w:tabs>
          <w:tab w:leader="none" w:pos="640" w:val="left"/>
        </w:tabs>
        <w:numPr>
          <w:ilvl w:val="0"/>
          <w:numId w:val="59"/>
        </w:numPr>
        <w:rPr>
          <w:rFonts w:ascii="Arial" w:cs="Arial" w:eastAsia="Arial" w:hAnsi="Arial"/>
          <w:sz w:val="14"/>
          <w:szCs w:val="14"/>
          <w:i w:val="1"/>
          <w:iCs w:val="1"/>
          <w:color w:val="auto"/>
        </w:rPr>
      </w:pPr>
      <w:r>
        <w:rPr>
          <w:rFonts w:ascii="Arial" w:cs="Arial" w:eastAsia="Arial" w:hAnsi="Arial"/>
          <w:sz w:val="14"/>
          <w:szCs w:val="14"/>
          <w:i w:val="1"/>
          <w:iCs w:val="1"/>
          <w:color w:val="auto"/>
        </w:rPr>
        <w:t>Exclusive of fees and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ITEM 3 — DEFAULTS UPON SENIOR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ITEM 4 — MINE SAFETY DISCLOSURES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ITEM 5 —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DA2031"/>
        </w:rPr>
        <w:t>ITEM 6 — EXHIBITS</w:t>
      </w:r>
    </w:p>
    <w:p>
      <w:pPr>
        <w:spacing w:after="0" w:line="158" w:lineRule="exact"/>
        <w:rPr>
          <w:sz w:val="20"/>
          <w:szCs w:val="20"/>
          <w:color w:val="auto"/>
        </w:rPr>
      </w:pPr>
    </w:p>
    <w:p>
      <w:pPr>
        <w:ind w:left="20"/>
        <w:spacing w:after="0"/>
        <w:tabs>
          <w:tab w:leader="none" w:pos="1280" w:val="left"/>
        </w:tabs>
        <w:rPr>
          <w:rFonts w:ascii="Arial" w:cs="Arial" w:eastAsia="Arial" w:hAnsi="Arial"/>
          <w:sz w:val="17"/>
          <w:szCs w:val="17"/>
          <w:u w:val="single" w:color="auto"/>
          <w:color w:val="0000FF"/>
        </w:rPr>
      </w:pPr>
      <w:hyperlink r:id="rId75">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r:id="rId75">
        <w:r>
          <w:rPr>
            <w:rFonts w:ascii="Arial" w:cs="Arial" w:eastAsia="Arial" w:hAnsi="Arial"/>
            <w:sz w:val="17"/>
            <w:szCs w:val="17"/>
            <w:u w:val="single" w:color="auto"/>
            <w:color w:val="0000FF"/>
          </w:rPr>
          <w:t>First Amendment dated February 17, 2022 to By-Laws of Xerox Holdings Corporation.</w:t>
        </w:r>
      </w:hyperlink>
    </w:p>
    <w:p>
      <w:pPr>
        <w:spacing w:after="0" w:line="36" w:lineRule="exact"/>
        <w:rPr>
          <w:sz w:val="20"/>
          <w:szCs w:val="20"/>
          <w:color w:val="auto"/>
        </w:rPr>
      </w:pPr>
    </w:p>
    <w:p>
      <w:pPr>
        <w:ind w:left="1300" w:right="140"/>
        <w:spacing w:after="0" w:line="256" w:lineRule="auto"/>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Incorporated by reference to Exhibit 3.2 to Xerox Holdings Corporation’s and Xerox Corporation’s combined Current Report</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on Form 8-K dated February 17, 2022. See SEC File Numbers 001-39013 and 001-04471.</w:t>
        </w:r>
      </w:hyperlink>
    </w:p>
    <w:p>
      <w:pPr>
        <w:spacing w:after="0" w:line="4" w:lineRule="exact"/>
        <w:rPr>
          <w:sz w:val="20"/>
          <w:szCs w:val="20"/>
          <w:color w:val="auto"/>
        </w:rPr>
      </w:pPr>
    </w:p>
    <w:p>
      <w:pPr>
        <w:ind w:left="20"/>
        <w:spacing w:after="0"/>
        <w:tabs>
          <w:tab w:leader="none" w:pos="1280" w:val="left"/>
        </w:tabs>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r:id="rId76">
        <w:r>
          <w:rPr>
            <w:rFonts w:ascii="Arial" w:cs="Arial" w:eastAsia="Arial" w:hAnsi="Arial"/>
            <w:sz w:val="18"/>
            <w:szCs w:val="18"/>
            <w:u w:val="single" w:color="auto"/>
            <w:color w:val="0000FF"/>
          </w:rPr>
          <w:t>Amended and Restated By-Laws of Xerox Holdings Corporation dated February 17, 2022.</w:t>
        </w:r>
      </w:hyperlink>
    </w:p>
    <w:p>
      <w:pPr>
        <w:spacing w:after="0" w:line="36" w:lineRule="exact"/>
        <w:rPr>
          <w:sz w:val="20"/>
          <w:szCs w:val="20"/>
          <w:color w:val="auto"/>
        </w:rPr>
      </w:pPr>
    </w:p>
    <w:p>
      <w:pPr>
        <w:jc w:val="both"/>
        <w:ind w:left="1300" w:right="460"/>
        <w:spacing w:after="0" w:line="256" w:lineRule="auto"/>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Incorporated by reference to Exhibit 3(b)(2) to Xerox Holdings Corporation’s and Xerox Corporation’s combined Annual</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Report on Form 10-K for the fiscal year ended December 31, 2021. See SEC File Numbers 001-39013 and 001-04471.</w:t>
        </w:r>
      </w:hyperlink>
    </w:p>
    <w:p>
      <w:pPr>
        <w:spacing w:after="0" w:line="4" w:lineRule="exact"/>
        <w:rPr>
          <w:sz w:val="20"/>
          <w:szCs w:val="20"/>
          <w:color w:val="auto"/>
        </w:rPr>
      </w:pPr>
    </w:p>
    <w:p>
      <w:pPr>
        <w:ind w:left="1300" w:right="20" w:hanging="1274"/>
        <w:spacing w:after="0"/>
        <w:tabs>
          <w:tab w:leader="none" w:pos="1300" w:val="left"/>
        </w:tabs>
        <w:numPr>
          <w:ilvl w:val="0"/>
          <w:numId w:val="60"/>
        </w:numPr>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Amendment No. 4 to Credit Agreement, dated as of March 24, 2022, among Xerox Corporation, Xerox Holdings</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Corporation, certain Lenders signatory thereto, and Citibank, N.A., as administrative agent.</w:t>
        </w:r>
      </w:hyperlink>
    </w:p>
    <w:p>
      <w:pPr>
        <w:spacing w:after="0" w:line="4" w:lineRule="exact"/>
        <w:rPr>
          <w:rFonts w:ascii="Arial" w:cs="Arial" w:eastAsia="Arial" w:hAnsi="Arial"/>
          <w:sz w:val="18"/>
          <w:szCs w:val="18"/>
          <w:u w:val="single" w:color="auto"/>
          <w:color w:val="0000FF"/>
        </w:rPr>
      </w:pPr>
    </w:p>
    <w:p>
      <w:pPr>
        <w:ind w:left="1300" w:right="140"/>
        <w:spacing w:after="0" w:line="256" w:lineRule="auto"/>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Incorporated by reference to Exhibit 4.1 to Xerox Holdings Corporation’s and Xerox Corporation’s combined Current Report</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on Form 8-K dated March 24, 2022. See SEC File Numbers 001-39013 and 001-04471.</w:t>
        </w:r>
      </w:hyperlink>
    </w:p>
    <w:tbl>
      <w:tblPr>
        <w:tblLayout w:type="fixed"/>
        <w:tblInd w:w="20" w:type="dxa"/>
        <w:tblCellMar>
          <w:top w:w="0" w:type="dxa"/>
          <w:left w:w="0" w:type="dxa"/>
          <w:bottom w:w="0" w:type="dxa"/>
          <w:right w:w="0" w:type="dxa"/>
        </w:tblCellMar>
      </w:tblPr>
      <w:tr>
        <w:trPr>
          <w:trHeight w:val="198"/>
        </w:trPr>
        <w:tc>
          <w:tcPr>
            <w:tcW w:w="360" w:type="dxa"/>
            <w:vAlign w:val="bottom"/>
          </w:tcPr>
          <w:p>
            <w:pPr>
              <w:spacing w:after="0" w:line="198" w:lineRule="exact"/>
              <w:rPr>
                <w:rFonts w:ascii="Arial" w:cs="Arial" w:eastAsia="Arial" w:hAnsi="Arial"/>
                <w:sz w:val="18"/>
                <w:szCs w:val="18"/>
                <w:color w:val="0000FF"/>
                <w:w w:val="96"/>
              </w:rPr>
            </w:pPr>
            <w:hyperlink r:id="rId78">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940" w:type="dxa"/>
            <w:vAlign w:val="bottom"/>
            <w:gridSpan w:val="17"/>
          </w:tcPr>
          <w:p>
            <w:pPr>
              <w:spacing w:after="0" w:line="198" w:lineRule="exact"/>
              <w:rPr>
                <w:rFonts w:ascii="Arial" w:cs="Arial" w:eastAsia="Arial" w:hAnsi="Arial"/>
                <w:sz w:val="18"/>
                <w:szCs w:val="18"/>
                <w:color w:val="0000FF"/>
              </w:rPr>
            </w:pPr>
            <w:hyperlink r:id="rId78">
              <w:r>
                <w:rPr>
                  <w:rFonts w:ascii="Arial" w:cs="Arial" w:eastAsia="Arial" w:hAnsi="Arial"/>
                  <w:sz w:val="18"/>
                  <w:szCs w:val="18"/>
                  <w:color w:val="0000FF"/>
                </w:rPr>
                <w:t>Management Incentive Plan for 2021.</w:t>
              </w:r>
            </w:hyperlink>
          </w:p>
        </w:tc>
      </w:tr>
      <w:tr>
        <w:trPr>
          <w:trHeight w:val="20"/>
        </w:trPr>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40" w:type="dxa"/>
            <w:vAlign w:val="bottom"/>
            <w:gridSpan w:val="17"/>
          </w:tcPr>
          <w:p>
            <w:pPr>
              <w:spacing w:after="0"/>
              <w:rPr>
                <w:rFonts w:ascii="Arial" w:cs="Arial" w:eastAsia="Arial" w:hAnsi="Arial"/>
                <w:sz w:val="18"/>
                <w:szCs w:val="18"/>
                <w:color w:val="0000FF"/>
              </w:rPr>
            </w:pPr>
            <w:hyperlink r:id="rId78">
              <w:r>
                <w:rPr>
                  <w:rFonts w:ascii="Arial" w:cs="Arial" w:eastAsia="Arial" w:hAnsi="Arial"/>
                  <w:sz w:val="18"/>
                  <w:szCs w:val="18"/>
                  <w:color w:val="0000FF"/>
                </w:rPr>
                <w:t>Incorporated by reference to Exhibit 10(f)(14) to Xerox Holdings Corporation’s and Xerox Corporation’s combined Annual</w:t>
              </w:r>
            </w:hyperlink>
          </w:p>
        </w:tc>
      </w:tr>
      <w:tr>
        <w:trPr>
          <w:trHeight w:val="169"/>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80" w:type="dxa"/>
            <w:vAlign w:val="bottom"/>
            <w:tcBorders>
              <w:top w:val="single" w:sz="8" w:color="0000FF"/>
              <w:bottom w:val="single" w:sz="8" w:color="0000FF"/>
            </w:tcBorders>
            <w:gridSpan w:val="12"/>
          </w:tcPr>
          <w:p>
            <w:pPr>
              <w:spacing w:after="0" w:line="169" w:lineRule="exact"/>
              <w:rPr>
                <w:rFonts w:ascii="Arial" w:cs="Arial" w:eastAsia="Arial" w:hAnsi="Arial"/>
                <w:sz w:val="18"/>
                <w:szCs w:val="18"/>
                <w:color w:val="0000FF"/>
                <w:w w:val="99"/>
              </w:rPr>
            </w:pPr>
            <w:hyperlink r:id="rId78">
              <w:r>
                <w:rPr>
                  <w:rFonts w:ascii="Arial" w:cs="Arial" w:eastAsia="Arial" w:hAnsi="Arial"/>
                  <w:sz w:val="18"/>
                  <w:szCs w:val="18"/>
                  <w:color w:val="0000FF"/>
                  <w:w w:val="99"/>
                </w:rPr>
                <w:t>Report on Form 10-K for the fiscal year ended December 31, 2021. See SEC File Numbers 001-39013 and 001-04471.</w:t>
              </w:r>
            </w:hyperlink>
          </w:p>
        </w:tc>
        <w:tc>
          <w:tcPr>
            <w:tcW w:w="120" w:type="dxa"/>
            <w:vAlign w:val="bottom"/>
            <w:tcBorders>
              <w:top w:val="single" w:sz="8" w:color="0000FF"/>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420" w:type="dxa"/>
            <w:vAlign w:val="bottom"/>
            <w:gridSpan w:val="2"/>
          </w:tcPr>
          <w:p>
            <w:pPr>
              <w:spacing w:after="0"/>
              <w:rPr>
                <w:rFonts w:ascii="Arial" w:cs="Arial" w:eastAsia="Arial" w:hAnsi="Arial"/>
                <w:sz w:val="18"/>
                <w:szCs w:val="18"/>
                <w:color w:val="0000FF"/>
              </w:rPr>
            </w:pPr>
            <w:hyperlink r:id="rId79">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40" w:type="dxa"/>
            <w:vAlign w:val="bottom"/>
            <w:gridSpan w:val="17"/>
          </w:tcPr>
          <w:p>
            <w:pPr>
              <w:spacing w:after="0"/>
              <w:rPr>
                <w:rFonts w:ascii="Arial" w:cs="Arial" w:eastAsia="Arial" w:hAnsi="Arial"/>
                <w:sz w:val="18"/>
                <w:szCs w:val="18"/>
                <w:color w:val="0000FF"/>
              </w:rPr>
            </w:pPr>
            <w:hyperlink r:id="rId79">
              <w:r>
                <w:rPr>
                  <w:rFonts w:ascii="Arial" w:cs="Arial" w:eastAsia="Arial" w:hAnsi="Arial"/>
                  <w:sz w:val="18"/>
                  <w:szCs w:val="18"/>
                  <w:color w:val="0000FF"/>
                </w:rPr>
                <w:t>Form of E-LTIP Performance Share Unit (“PSU”) Award Agreement (2022) under Xerox Holdings Corporation Performance</w:t>
              </w:r>
            </w:hyperlink>
          </w:p>
        </w:tc>
      </w:tr>
      <w:tr>
        <w:trPr>
          <w:trHeight w:val="169"/>
        </w:trPr>
        <w:tc>
          <w:tcPr>
            <w:tcW w:w="36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76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79">
              <w:r>
                <w:rPr>
                  <w:rFonts w:ascii="Arial" w:cs="Arial" w:eastAsia="Arial" w:hAnsi="Arial"/>
                  <w:sz w:val="18"/>
                  <w:szCs w:val="18"/>
                  <w:color w:val="0000FF"/>
                </w:rPr>
                <w:t>Incentive Plan (“XHCPIP”).</w:t>
              </w:r>
            </w:hyperlink>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40" w:type="dxa"/>
            <w:vAlign w:val="bottom"/>
            <w:gridSpan w:val="17"/>
          </w:tcPr>
          <w:p>
            <w:pPr>
              <w:spacing w:after="0"/>
              <w:rPr>
                <w:rFonts w:ascii="Arial" w:cs="Arial" w:eastAsia="Arial" w:hAnsi="Arial"/>
                <w:sz w:val="18"/>
                <w:szCs w:val="18"/>
                <w:color w:val="0000FF"/>
              </w:rPr>
            </w:pPr>
            <w:hyperlink r:id="rId79">
              <w:r>
                <w:rPr>
                  <w:rFonts w:ascii="Arial" w:cs="Arial" w:eastAsia="Arial" w:hAnsi="Arial"/>
                  <w:sz w:val="18"/>
                  <w:szCs w:val="18"/>
                  <w:color w:val="0000FF"/>
                </w:rPr>
                <w:t>Incorporated by reference to Exhibit 10(f)(17) to Xerox Holdings Corporation’s and Xerox Corporation’s combined Annual</w:t>
              </w:r>
            </w:hyperlink>
          </w:p>
        </w:tc>
      </w:tr>
      <w:tr>
        <w:trPr>
          <w:trHeight w:val="169"/>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79">
              <w:r>
                <w:rPr>
                  <w:rFonts w:ascii="Arial" w:cs="Arial" w:eastAsia="Arial" w:hAnsi="Arial"/>
                  <w:sz w:val="18"/>
                  <w:szCs w:val="18"/>
                  <w:color w:val="0000FF"/>
                </w:rPr>
                <w:t>Report on Form 10-K for the fiscal year ended December 31, 2021. See SEC File Numbers 001-39013 and 001-04471.</w:t>
              </w:r>
            </w:hyperlink>
          </w:p>
        </w:tc>
        <w:tc>
          <w:tcPr>
            <w:tcW w:w="3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6"/>
        </w:trPr>
        <w:tc>
          <w:tcPr>
            <w:tcW w:w="360" w:type="dxa"/>
            <w:vAlign w:val="bottom"/>
          </w:tcPr>
          <w:p>
            <w:pPr>
              <w:spacing w:after="0"/>
              <w:rPr>
                <w:rFonts w:ascii="Arial" w:cs="Arial" w:eastAsia="Arial" w:hAnsi="Arial"/>
                <w:sz w:val="18"/>
                <w:szCs w:val="18"/>
                <w:color w:val="0000FF"/>
                <w:w w:val="96"/>
              </w:rPr>
            </w:pPr>
            <w:hyperlink r:id="rId80">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3</w:t>
              </w:r>
            </w:hyperlink>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60" w:type="dxa"/>
            <w:vAlign w:val="bottom"/>
            <w:tcBorders>
              <w:top w:val="single" w:sz="8" w:color="0000FF"/>
            </w:tcBorders>
            <w:gridSpan w:val="11"/>
          </w:tcPr>
          <w:p>
            <w:pPr>
              <w:spacing w:after="0"/>
              <w:rPr>
                <w:rFonts w:ascii="Arial" w:cs="Arial" w:eastAsia="Arial" w:hAnsi="Arial"/>
                <w:sz w:val="18"/>
                <w:szCs w:val="18"/>
                <w:color w:val="0000FF"/>
              </w:rPr>
            </w:pPr>
            <w:hyperlink r:id="rId80">
              <w:r>
                <w:rPr>
                  <w:rFonts w:ascii="Arial" w:cs="Arial" w:eastAsia="Arial" w:hAnsi="Arial"/>
                  <w:sz w:val="18"/>
                  <w:szCs w:val="18"/>
                  <w:color w:val="0000FF"/>
                </w:rPr>
                <w:t>Form of E-LTIP Restricted Stock Unit (“RSU”) Graduated-Vesting Award Agreement (2022) under XHCPIP.</w:t>
              </w:r>
            </w:hyperlink>
          </w:p>
        </w:tc>
        <w:tc>
          <w:tcPr>
            <w:tcW w:w="480" w:type="dxa"/>
            <w:vAlign w:val="bottom"/>
            <w:gridSpan w:val="6"/>
          </w:tcPr>
          <w:p>
            <w:pPr>
              <w:spacing w:after="0"/>
              <w:rPr>
                <w:sz w:val="20"/>
                <w:szCs w:val="20"/>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40" w:type="dxa"/>
            <w:vAlign w:val="bottom"/>
            <w:gridSpan w:val="17"/>
          </w:tcPr>
          <w:p>
            <w:pPr>
              <w:spacing w:after="0"/>
              <w:rPr>
                <w:rFonts w:ascii="Arial" w:cs="Arial" w:eastAsia="Arial" w:hAnsi="Arial"/>
                <w:sz w:val="18"/>
                <w:szCs w:val="18"/>
                <w:color w:val="0000FF"/>
              </w:rPr>
            </w:pPr>
            <w:hyperlink r:id="rId80">
              <w:r>
                <w:rPr>
                  <w:rFonts w:ascii="Arial" w:cs="Arial" w:eastAsia="Arial" w:hAnsi="Arial"/>
                  <w:sz w:val="18"/>
                  <w:szCs w:val="18"/>
                  <w:color w:val="0000FF"/>
                </w:rPr>
                <w:t>Incorporated by reference to Exhibit 10(f)(18) to Xerox Holdings Corporation’s and Xerox Corporation’s combined Annual</w:t>
              </w:r>
            </w:hyperlink>
          </w:p>
        </w:tc>
      </w:tr>
      <w:tr>
        <w:trPr>
          <w:trHeight w:val="169"/>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80">
              <w:r>
                <w:rPr>
                  <w:rFonts w:ascii="Arial" w:cs="Arial" w:eastAsia="Arial" w:hAnsi="Arial"/>
                  <w:sz w:val="18"/>
                  <w:szCs w:val="18"/>
                  <w:color w:val="0000FF"/>
                </w:rPr>
                <w:t>Report on Form 10-K for the fiscal year ended December 31, 2021. See SEC File Numbers 001-39013 and 001-04471.</w:t>
              </w:r>
            </w:hyperlink>
          </w:p>
        </w:tc>
        <w:tc>
          <w:tcPr>
            <w:tcW w:w="3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360" w:type="dxa"/>
            <w:vAlign w:val="bottom"/>
          </w:tcPr>
          <w:p>
            <w:pPr>
              <w:spacing w:after="0"/>
              <w:rPr>
                <w:rFonts w:ascii="Arial" w:cs="Arial" w:eastAsia="Arial" w:hAnsi="Arial"/>
                <w:sz w:val="18"/>
                <w:szCs w:val="18"/>
                <w:color w:val="0000FF"/>
                <w:w w:val="96"/>
              </w:rPr>
            </w:pPr>
            <w:hyperlink r:id="rId81">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4</w:t>
              </w:r>
            </w:hyperlink>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60" w:type="dxa"/>
            <w:vAlign w:val="bottom"/>
            <w:tcBorders>
              <w:top w:val="single" w:sz="8" w:color="0000FF"/>
            </w:tcBorders>
            <w:gridSpan w:val="11"/>
          </w:tcPr>
          <w:p>
            <w:pPr>
              <w:spacing w:after="0"/>
              <w:rPr>
                <w:rFonts w:ascii="Arial" w:cs="Arial" w:eastAsia="Arial" w:hAnsi="Arial"/>
                <w:sz w:val="18"/>
                <w:szCs w:val="18"/>
                <w:color w:val="0000FF"/>
              </w:rPr>
            </w:pPr>
            <w:hyperlink r:id="rId81">
              <w:r>
                <w:rPr>
                  <w:rFonts w:ascii="Arial" w:cs="Arial" w:eastAsia="Arial" w:hAnsi="Arial"/>
                  <w:sz w:val="18"/>
                  <w:szCs w:val="18"/>
                  <w:color w:val="0000FF"/>
                </w:rPr>
                <w:t>Form of E-LTIP RSU Cliff-Vesting Award Agreement (2022) under XHCPIP.</w:t>
              </w:r>
            </w:hyperlink>
          </w:p>
        </w:tc>
        <w:tc>
          <w:tcPr>
            <w:tcW w:w="480" w:type="dxa"/>
            <w:vAlign w:val="bottom"/>
            <w:gridSpan w:val="6"/>
          </w:tcPr>
          <w:p>
            <w:pPr>
              <w:spacing w:after="0"/>
              <w:rPr>
                <w:sz w:val="20"/>
                <w:szCs w:val="20"/>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40" w:type="dxa"/>
            <w:vAlign w:val="bottom"/>
            <w:gridSpan w:val="17"/>
          </w:tcPr>
          <w:p>
            <w:pPr>
              <w:spacing w:after="0"/>
              <w:rPr>
                <w:rFonts w:ascii="Arial" w:cs="Arial" w:eastAsia="Arial" w:hAnsi="Arial"/>
                <w:sz w:val="18"/>
                <w:szCs w:val="18"/>
                <w:color w:val="0000FF"/>
              </w:rPr>
            </w:pPr>
            <w:hyperlink r:id="rId81">
              <w:r>
                <w:rPr>
                  <w:rFonts w:ascii="Arial" w:cs="Arial" w:eastAsia="Arial" w:hAnsi="Arial"/>
                  <w:sz w:val="18"/>
                  <w:szCs w:val="18"/>
                  <w:color w:val="0000FF"/>
                </w:rPr>
                <w:t>Incorporated by reference to Exhibit 10(f)(19) to Xerox Holdings Corporation’s and Xerox Corporation’s combined Annual</w:t>
              </w:r>
            </w:hyperlink>
          </w:p>
        </w:tc>
      </w:tr>
      <w:tr>
        <w:trPr>
          <w:trHeight w:val="169"/>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81">
              <w:r>
                <w:rPr>
                  <w:rFonts w:ascii="Arial" w:cs="Arial" w:eastAsia="Arial" w:hAnsi="Arial"/>
                  <w:sz w:val="18"/>
                  <w:szCs w:val="18"/>
                  <w:color w:val="0000FF"/>
                </w:rPr>
                <w:t>Report on Form 10-K for the fiscal year ended December 31, 2021. See SEC File Numbers 001-39013 and 001-04471.</w:t>
              </w:r>
            </w:hyperlink>
          </w:p>
        </w:tc>
        <w:tc>
          <w:tcPr>
            <w:tcW w:w="3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6"/>
        </w:trPr>
        <w:tc>
          <w:tcPr>
            <w:tcW w:w="360" w:type="dxa"/>
            <w:vAlign w:val="bottom"/>
          </w:tcPr>
          <w:p>
            <w:pPr>
              <w:spacing w:after="0"/>
              <w:rPr>
                <w:rFonts w:ascii="Arial" w:cs="Arial" w:eastAsia="Arial" w:hAnsi="Arial"/>
                <w:sz w:val="18"/>
                <w:szCs w:val="18"/>
                <w:color w:val="0000FF"/>
                <w:w w:val="96"/>
              </w:rPr>
            </w:pPr>
            <w:hyperlink r:id="rId82">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5</w:t>
              </w:r>
            </w:hyperlink>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60" w:type="dxa"/>
            <w:vAlign w:val="bottom"/>
            <w:tcBorders>
              <w:top w:val="single" w:sz="8" w:color="0000FF"/>
            </w:tcBorders>
            <w:gridSpan w:val="11"/>
          </w:tcPr>
          <w:p>
            <w:pPr>
              <w:spacing w:after="0"/>
              <w:rPr>
                <w:rFonts w:ascii="Arial" w:cs="Arial" w:eastAsia="Arial" w:hAnsi="Arial"/>
                <w:sz w:val="18"/>
                <w:szCs w:val="18"/>
                <w:color w:val="0000FF"/>
              </w:rPr>
            </w:pPr>
            <w:hyperlink r:id="rId82">
              <w:r>
                <w:rPr>
                  <w:rFonts w:ascii="Arial" w:cs="Arial" w:eastAsia="Arial" w:hAnsi="Arial"/>
                  <w:sz w:val="18"/>
                  <w:szCs w:val="18"/>
                  <w:color w:val="0000FF"/>
                </w:rPr>
                <w:t>Form of International Appendix to E-LTIP PSU and RSU Award Agreements (2022) under XHCPIP.</w:t>
              </w:r>
            </w:hyperlink>
          </w:p>
        </w:tc>
        <w:tc>
          <w:tcPr>
            <w:tcW w:w="480" w:type="dxa"/>
            <w:vAlign w:val="bottom"/>
            <w:gridSpan w:val="6"/>
          </w:tcPr>
          <w:p>
            <w:pPr>
              <w:spacing w:after="0"/>
              <w:rPr>
                <w:sz w:val="20"/>
                <w:szCs w:val="20"/>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40" w:type="dxa"/>
            <w:vAlign w:val="bottom"/>
            <w:gridSpan w:val="17"/>
          </w:tcPr>
          <w:p>
            <w:pPr>
              <w:spacing w:after="0"/>
              <w:rPr>
                <w:rFonts w:ascii="Arial" w:cs="Arial" w:eastAsia="Arial" w:hAnsi="Arial"/>
                <w:sz w:val="18"/>
                <w:szCs w:val="18"/>
                <w:color w:val="0000FF"/>
              </w:rPr>
            </w:pPr>
            <w:hyperlink r:id="rId82">
              <w:r>
                <w:rPr>
                  <w:rFonts w:ascii="Arial" w:cs="Arial" w:eastAsia="Arial" w:hAnsi="Arial"/>
                  <w:sz w:val="18"/>
                  <w:szCs w:val="18"/>
                  <w:color w:val="0000FF"/>
                </w:rPr>
                <w:t>Incorporated by reference to Exhibit 10(f)(20) to Xerox Holdings Corporation’s and Xerox Corporation’s combined Annual</w:t>
              </w:r>
            </w:hyperlink>
          </w:p>
        </w:tc>
      </w:tr>
      <w:tr>
        <w:trPr>
          <w:trHeight w:val="169"/>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82">
              <w:r>
                <w:rPr>
                  <w:rFonts w:ascii="Arial" w:cs="Arial" w:eastAsia="Arial" w:hAnsi="Arial"/>
                  <w:sz w:val="18"/>
                  <w:szCs w:val="18"/>
                  <w:color w:val="0000FF"/>
                </w:rPr>
                <w:t>Report on Form 10-K for the fiscal year ended December 31, 2021. See SEC File Numbers 001-39013 and 001-04471.</w:t>
              </w:r>
            </w:hyperlink>
          </w:p>
        </w:tc>
        <w:tc>
          <w:tcPr>
            <w:tcW w:w="3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360" w:type="dxa"/>
            <w:vAlign w:val="bottom"/>
          </w:tcPr>
          <w:p>
            <w:pPr>
              <w:spacing w:after="0"/>
              <w:rPr>
                <w:rFonts w:ascii="Arial" w:cs="Arial" w:eastAsia="Arial" w:hAnsi="Arial"/>
                <w:sz w:val="18"/>
                <w:szCs w:val="18"/>
                <w:color w:val="0000FF"/>
                <w:w w:val="96"/>
              </w:rPr>
            </w:pPr>
            <w:hyperlink r:id="rId83">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6</w:t>
              </w:r>
            </w:hyperlink>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60" w:type="dxa"/>
            <w:vAlign w:val="bottom"/>
            <w:tcBorders>
              <w:top w:val="single" w:sz="8" w:color="0000FF"/>
            </w:tcBorders>
            <w:gridSpan w:val="11"/>
          </w:tcPr>
          <w:p>
            <w:pPr>
              <w:spacing w:after="0"/>
              <w:rPr>
                <w:rFonts w:ascii="Arial" w:cs="Arial" w:eastAsia="Arial" w:hAnsi="Arial"/>
                <w:sz w:val="18"/>
                <w:szCs w:val="18"/>
                <w:color w:val="0000FF"/>
              </w:rPr>
            </w:pPr>
            <w:hyperlink r:id="rId83">
              <w:r>
                <w:rPr>
                  <w:rFonts w:ascii="Arial" w:cs="Arial" w:eastAsia="Arial" w:hAnsi="Arial"/>
                  <w:sz w:val="18"/>
                  <w:szCs w:val="18"/>
                  <w:color w:val="0000FF"/>
                </w:rPr>
                <w:t>Management Incentive Plan for 2022.</w:t>
              </w:r>
            </w:hyperlink>
          </w:p>
        </w:tc>
        <w:tc>
          <w:tcPr>
            <w:tcW w:w="480" w:type="dxa"/>
            <w:vAlign w:val="bottom"/>
            <w:gridSpan w:val="6"/>
          </w:tcPr>
          <w:p>
            <w:pPr>
              <w:spacing w:after="0"/>
              <w:rPr>
                <w:sz w:val="20"/>
                <w:szCs w:val="20"/>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40" w:type="dxa"/>
            <w:vAlign w:val="bottom"/>
            <w:gridSpan w:val="17"/>
          </w:tcPr>
          <w:p>
            <w:pPr>
              <w:spacing w:after="0"/>
              <w:rPr>
                <w:rFonts w:ascii="Arial" w:cs="Arial" w:eastAsia="Arial" w:hAnsi="Arial"/>
                <w:sz w:val="18"/>
                <w:szCs w:val="18"/>
                <w:color w:val="0000FF"/>
              </w:rPr>
            </w:pPr>
            <w:hyperlink r:id="rId83">
              <w:r>
                <w:rPr>
                  <w:rFonts w:ascii="Arial" w:cs="Arial" w:eastAsia="Arial" w:hAnsi="Arial"/>
                  <w:sz w:val="18"/>
                  <w:szCs w:val="18"/>
                  <w:color w:val="0000FF"/>
                </w:rPr>
                <w:t>Incorporated by reference to Exhibit 10(f)(21) to Xerox Holdings Corporation’s and Xerox Corporation’s combined Annual</w:t>
              </w:r>
            </w:hyperlink>
          </w:p>
        </w:tc>
      </w:tr>
      <w:tr>
        <w:trPr>
          <w:trHeight w:val="169"/>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83">
              <w:r>
                <w:rPr>
                  <w:rFonts w:ascii="Arial" w:cs="Arial" w:eastAsia="Arial" w:hAnsi="Arial"/>
                  <w:sz w:val="18"/>
                  <w:szCs w:val="18"/>
                  <w:color w:val="0000FF"/>
                </w:rPr>
                <w:t>Report on Form 10-K for the fiscal year ended December 31, 2021. See SEC File Numbers 001-39013 and 001-04471.</w:t>
              </w:r>
            </w:hyperlink>
          </w:p>
        </w:tc>
        <w:tc>
          <w:tcPr>
            <w:tcW w:w="3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360" w:type="dxa"/>
            <w:vAlign w:val="bottom"/>
          </w:tcPr>
          <w:p>
            <w:pPr>
              <w:spacing w:after="0"/>
              <w:rPr>
                <w:rFonts w:ascii="Arial" w:cs="Arial" w:eastAsia="Arial" w:hAnsi="Arial"/>
                <w:sz w:val="18"/>
                <w:szCs w:val="18"/>
                <w:color w:val="0000FF"/>
                <w:w w:val="96"/>
              </w:rPr>
            </w:pPr>
            <w:hyperlink r:id="rId84">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7</w:t>
              </w:r>
            </w:hyperlink>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60" w:type="dxa"/>
            <w:vAlign w:val="bottom"/>
            <w:tcBorders>
              <w:top w:val="single" w:sz="8" w:color="0000FF"/>
            </w:tcBorders>
            <w:gridSpan w:val="11"/>
          </w:tcPr>
          <w:p>
            <w:pPr>
              <w:spacing w:after="0"/>
              <w:rPr>
                <w:rFonts w:ascii="Arial" w:cs="Arial" w:eastAsia="Arial" w:hAnsi="Arial"/>
                <w:sz w:val="18"/>
                <w:szCs w:val="18"/>
                <w:color w:val="0000FF"/>
              </w:rPr>
            </w:pPr>
            <w:hyperlink r:id="rId84">
              <w:r>
                <w:rPr>
                  <w:rFonts w:ascii="Arial" w:cs="Arial" w:eastAsia="Arial" w:hAnsi="Arial"/>
                  <w:sz w:val="18"/>
                  <w:szCs w:val="18"/>
                  <w:color w:val="0000FF"/>
                </w:rPr>
                <w:t>Performance Elements for 2022 Executive Long-Term Incentive Program.</w:t>
              </w:r>
            </w:hyperlink>
          </w:p>
        </w:tc>
        <w:tc>
          <w:tcPr>
            <w:tcW w:w="480" w:type="dxa"/>
            <w:vAlign w:val="bottom"/>
            <w:gridSpan w:val="6"/>
          </w:tcPr>
          <w:p>
            <w:pPr>
              <w:spacing w:after="0"/>
              <w:rPr>
                <w:sz w:val="20"/>
                <w:szCs w:val="20"/>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40" w:type="dxa"/>
            <w:vAlign w:val="bottom"/>
            <w:gridSpan w:val="17"/>
          </w:tcPr>
          <w:p>
            <w:pPr>
              <w:spacing w:after="0"/>
              <w:rPr>
                <w:rFonts w:ascii="Arial" w:cs="Arial" w:eastAsia="Arial" w:hAnsi="Arial"/>
                <w:sz w:val="18"/>
                <w:szCs w:val="18"/>
                <w:color w:val="0000FF"/>
              </w:rPr>
            </w:pPr>
            <w:hyperlink r:id="rId84">
              <w:r>
                <w:rPr>
                  <w:rFonts w:ascii="Arial" w:cs="Arial" w:eastAsia="Arial" w:hAnsi="Arial"/>
                  <w:sz w:val="18"/>
                  <w:szCs w:val="18"/>
                  <w:color w:val="0000FF"/>
                </w:rPr>
                <w:t>Incorporated by reference to Exhibit 10(f)(22) to Xerox Holdings Corporation’s and Xerox Corporation’s combined Annual</w:t>
              </w:r>
            </w:hyperlink>
          </w:p>
        </w:tc>
      </w:tr>
      <w:tr>
        <w:trPr>
          <w:trHeight w:val="169"/>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84">
              <w:r>
                <w:rPr>
                  <w:rFonts w:ascii="Arial" w:cs="Arial" w:eastAsia="Arial" w:hAnsi="Arial"/>
                  <w:sz w:val="18"/>
                  <w:szCs w:val="18"/>
                  <w:color w:val="0000FF"/>
                </w:rPr>
                <w:t>Report on Form 10-K for the fiscal year ended December 31, 2021. See SEC File Numbers 001-39013 and 001-04471.</w:t>
              </w:r>
            </w:hyperlink>
          </w:p>
        </w:tc>
        <w:tc>
          <w:tcPr>
            <w:tcW w:w="3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6"/>
        </w:trPr>
        <w:tc>
          <w:tcPr>
            <w:tcW w:w="640" w:type="dxa"/>
            <w:vAlign w:val="bottom"/>
            <w:gridSpan w:val="3"/>
          </w:tcPr>
          <w:p>
            <w:pPr>
              <w:spacing w:after="0"/>
              <w:rPr>
                <w:sz w:val="20"/>
                <w:szCs w:val="20"/>
                <w:color w:val="auto"/>
              </w:rPr>
            </w:pPr>
            <w:r>
              <w:rPr>
                <w:rFonts w:ascii="Arial" w:cs="Arial" w:eastAsia="Arial" w:hAnsi="Arial"/>
                <w:sz w:val="18"/>
                <w:szCs w:val="18"/>
                <w:color w:val="0000FF"/>
                <w:w w:val="93"/>
              </w:rPr>
              <w:t>31(a)(1)</w:t>
            </w:r>
          </w:p>
        </w:tc>
        <w:tc>
          <w:tcPr>
            <w:tcW w:w="660" w:type="dxa"/>
            <w:vAlign w:val="bottom"/>
          </w:tcPr>
          <w:p>
            <w:pPr>
              <w:spacing w:after="0"/>
              <w:rPr>
                <w:sz w:val="20"/>
                <w:szCs w:val="20"/>
                <w:color w:val="auto"/>
              </w:rPr>
            </w:pPr>
          </w:p>
        </w:tc>
        <w:tc>
          <w:tcPr>
            <w:tcW w:w="946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Certification of Xerox Holdings Corporation CEO pursuant to Rule 13a-14(a) or Rule 15d-14(a).</w:t>
            </w:r>
          </w:p>
        </w:tc>
        <w:tc>
          <w:tcPr>
            <w:tcW w:w="480" w:type="dxa"/>
            <w:vAlign w:val="bottom"/>
            <w:gridSpan w:val="6"/>
          </w:tcPr>
          <w:p>
            <w:pPr>
              <w:spacing w:after="0"/>
              <w:rPr>
                <w:sz w:val="20"/>
                <w:szCs w:val="20"/>
                <w:color w:val="auto"/>
              </w:rPr>
            </w:pPr>
          </w:p>
        </w:tc>
      </w:tr>
      <w:tr>
        <w:trPr>
          <w:trHeight w:val="20"/>
        </w:trPr>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360" w:type="dxa"/>
            <w:vAlign w:val="bottom"/>
            <w:tcBorders>
              <w:left w:val="single" w:sz="8" w:color="0000FF"/>
            </w:tcBorders>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0" w:type="dxa"/>
            <w:vAlign w:val="bottom"/>
            <w:gridSpan w:val="3"/>
          </w:tcPr>
          <w:p>
            <w:pPr>
              <w:spacing w:after="0"/>
              <w:rPr>
                <w:sz w:val="20"/>
                <w:szCs w:val="20"/>
                <w:color w:val="auto"/>
              </w:rPr>
            </w:pPr>
            <w:r>
              <w:rPr>
                <w:rFonts w:ascii="Arial" w:cs="Arial" w:eastAsia="Arial" w:hAnsi="Arial"/>
                <w:sz w:val="18"/>
                <w:szCs w:val="18"/>
                <w:color w:val="0000FF"/>
                <w:w w:val="93"/>
              </w:rPr>
              <w:t>31(a)(2)</w:t>
            </w:r>
          </w:p>
        </w:tc>
        <w:tc>
          <w:tcPr>
            <w:tcW w:w="660" w:type="dxa"/>
            <w:vAlign w:val="bottom"/>
          </w:tcPr>
          <w:p>
            <w:pPr>
              <w:spacing w:after="0"/>
              <w:rPr>
                <w:sz w:val="18"/>
                <w:szCs w:val="18"/>
                <w:color w:val="auto"/>
              </w:rPr>
            </w:pPr>
          </w:p>
        </w:tc>
        <w:tc>
          <w:tcPr>
            <w:tcW w:w="9940" w:type="dxa"/>
            <w:vAlign w:val="bottom"/>
            <w:gridSpan w:val="17"/>
          </w:tcPr>
          <w:p>
            <w:pPr>
              <w:spacing w:after="0"/>
              <w:rPr>
                <w:sz w:val="20"/>
                <w:szCs w:val="20"/>
                <w:color w:val="auto"/>
              </w:rPr>
            </w:pPr>
            <w:r>
              <w:rPr>
                <w:rFonts w:ascii="Arial" w:cs="Arial" w:eastAsia="Arial" w:hAnsi="Arial"/>
                <w:sz w:val="18"/>
                <w:szCs w:val="18"/>
                <w:color w:val="0000FF"/>
              </w:rPr>
              <w:t>Certification of Xerox Corporation CEO pursuant to Rule 13a-14(a) or Rule 15d-14(a).</w:t>
            </w:r>
          </w:p>
        </w:tc>
      </w:tr>
      <w:tr>
        <w:trPr>
          <w:trHeight w:val="20"/>
        </w:trPr>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0" w:type="dxa"/>
            <w:vAlign w:val="bottom"/>
            <w:gridSpan w:val="3"/>
          </w:tcPr>
          <w:p>
            <w:pPr>
              <w:spacing w:after="0"/>
              <w:rPr>
                <w:sz w:val="20"/>
                <w:szCs w:val="20"/>
                <w:color w:val="auto"/>
              </w:rPr>
            </w:pPr>
            <w:r>
              <w:rPr>
                <w:rFonts w:ascii="Arial" w:cs="Arial" w:eastAsia="Arial" w:hAnsi="Arial"/>
                <w:sz w:val="18"/>
                <w:szCs w:val="18"/>
                <w:color w:val="0000FF"/>
                <w:w w:val="93"/>
              </w:rPr>
              <w:t>31(b)(1)</w:t>
            </w:r>
          </w:p>
        </w:tc>
        <w:tc>
          <w:tcPr>
            <w:tcW w:w="660" w:type="dxa"/>
            <w:vAlign w:val="bottom"/>
          </w:tcPr>
          <w:p>
            <w:pPr>
              <w:spacing w:after="0"/>
              <w:rPr>
                <w:sz w:val="18"/>
                <w:szCs w:val="18"/>
                <w:color w:val="auto"/>
              </w:rPr>
            </w:pPr>
          </w:p>
        </w:tc>
        <w:tc>
          <w:tcPr>
            <w:tcW w:w="9940" w:type="dxa"/>
            <w:vAlign w:val="bottom"/>
            <w:gridSpan w:val="17"/>
          </w:tcPr>
          <w:p>
            <w:pPr>
              <w:spacing w:after="0"/>
              <w:rPr>
                <w:sz w:val="20"/>
                <w:szCs w:val="20"/>
                <w:color w:val="auto"/>
              </w:rPr>
            </w:pPr>
            <w:r>
              <w:rPr>
                <w:rFonts w:ascii="Arial" w:cs="Arial" w:eastAsia="Arial" w:hAnsi="Arial"/>
                <w:sz w:val="18"/>
                <w:szCs w:val="18"/>
                <w:color w:val="0000FF"/>
              </w:rPr>
              <w:t>Certification of Xerox Holdings Corporation CFO pursuant to Rule 13a-14(a) or Rule 15d-14(a).</w:t>
            </w:r>
          </w:p>
        </w:tc>
      </w:tr>
      <w:tr>
        <w:trPr>
          <w:trHeight w:val="20"/>
        </w:trPr>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40" w:type="dxa"/>
            <w:vAlign w:val="bottom"/>
            <w:gridSpan w:val="3"/>
          </w:tcPr>
          <w:p>
            <w:pPr>
              <w:spacing w:after="0"/>
              <w:rPr>
                <w:sz w:val="20"/>
                <w:szCs w:val="20"/>
                <w:color w:val="auto"/>
              </w:rPr>
            </w:pPr>
            <w:r>
              <w:rPr>
                <w:rFonts w:ascii="Arial" w:cs="Arial" w:eastAsia="Arial" w:hAnsi="Arial"/>
                <w:sz w:val="18"/>
                <w:szCs w:val="18"/>
                <w:color w:val="0000FF"/>
                <w:w w:val="93"/>
              </w:rPr>
              <w:t>31(b)(2)</w:t>
            </w:r>
          </w:p>
        </w:tc>
        <w:tc>
          <w:tcPr>
            <w:tcW w:w="660" w:type="dxa"/>
            <w:vAlign w:val="bottom"/>
          </w:tcPr>
          <w:p>
            <w:pPr>
              <w:spacing w:after="0"/>
              <w:rPr>
                <w:sz w:val="18"/>
                <w:szCs w:val="18"/>
                <w:color w:val="auto"/>
              </w:rPr>
            </w:pPr>
          </w:p>
        </w:tc>
        <w:tc>
          <w:tcPr>
            <w:tcW w:w="9940" w:type="dxa"/>
            <w:vAlign w:val="bottom"/>
            <w:gridSpan w:val="17"/>
          </w:tcPr>
          <w:p>
            <w:pPr>
              <w:spacing w:after="0"/>
              <w:rPr>
                <w:sz w:val="20"/>
                <w:szCs w:val="20"/>
                <w:color w:val="auto"/>
              </w:rPr>
            </w:pPr>
            <w:r>
              <w:rPr>
                <w:rFonts w:ascii="Arial" w:cs="Arial" w:eastAsia="Arial" w:hAnsi="Arial"/>
                <w:sz w:val="18"/>
                <w:szCs w:val="18"/>
                <w:color w:val="0000FF"/>
              </w:rPr>
              <w:t>Certification of Xerox Corporation CFO pursuant to Rule 13a-14(a) or Rule 15d-14(a).</w:t>
            </w:r>
          </w:p>
        </w:tc>
      </w:tr>
      <w:tr>
        <w:trPr>
          <w:trHeight w:val="20"/>
        </w:trPr>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0" w:type="dxa"/>
            <w:vAlign w:val="bottom"/>
            <w:gridSpan w:val="3"/>
          </w:tcPr>
          <w:p>
            <w:pPr>
              <w:spacing w:after="0"/>
              <w:rPr>
                <w:sz w:val="20"/>
                <w:szCs w:val="20"/>
                <w:color w:val="auto"/>
              </w:rPr>
            </w:pPr>
            <w:r>
              <w:rPr>
                <w:rFonts w:ascii="Arial" w:cs="Arial" w:eastAsia="Arial" w:hAnsi="Arial"/>
                <w:sz w:val="18"/>
                <w:szCs w:val="18"/>
                <w:color w:val="0000FF"/>
              </w:rPr>
              <w:t>32(a)</w:t>
            </w:r>
          </w:p>
        </w:tc>
        <w:tc>
          <w:tcPr>
            <w:tcW w:w="660" w:type="dxa"/>
            <w:vAlign w:val="bottom"/>
          </w:tcPr>
          <w:p>
            <w:pPr>
              <w:spacing w:after="0"/>
              <w:rPr>
                <w:sz w:val="18"/>
                <w:szCs w:val="18"/>
                <w:color w:val="auto"/>
              </w:rPr>
            </w:pPr>
          </w:p>
        </w:tc>
        <w:tc>
          <w:tcPr>
            <w:tcW w:w="9940" w:type="dxa"/>
            <w:vAlign w:val="bottom"/>
            <w:gridSpan w:val="17"/>
          </w:tcPr>
          <w:p>
            <w:pPr>
              <w:spacing w:after="0"/>
              <w:rPr>
                <w:sz w:val="20"/>
                <w:szCs w:val="20"/>
                <w:color w:val="auto"/>
              </w:rPr>
            </w:pPr>
            <w:r>
              <w:rPr>
                <w:rFonts w:ascii="Arial" w:cs="Arial" w:eastAsia="Arial" w:hAnsi="Arial"/>
                <w:sz w:val="18"/>
                <w:szCs w:val="18"/>
                <w:color w:val="0000FF"/>
              </w:rPr>
              <w:t>Certification of Xerox Holdings Corporation CEO and CFO pursuant to 18 U.S.C. Section 1350, as adopted pursuant to</w:t>
            </w:r>
          </w:p>
        </w:tc>
      </w:tr>
      <w:tr>
        <w:trPr>
          <w:trHeight w:val="155"/>
        </w:trPr>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920" w:type="dxa"/>
            <w:vAlign w:val="bottom"/>
            <w:tcBorders>
              <w:top w:val="single" w:sz="8" w:color="0000FF"/>
            </w:tcBorders>
            <w:gridSpan w:val="16"/>
          </w:tcPr>
          <w:p>
            <w:pPr>
              <w:spacing w:after="0" w:line="156" w:lineRule="exact"/>
              <w:rPr>
                <w:sz w:val="20"/>
                <w:szCs w:val="20"/>
                <w:color w:val="auto"/>
              </w:rPr>
            </w:pPr>
            <w:r>
              <w:rPr>
                <w:rFonts w:ascii="Arial" w:cs="Arial" w:eastAsia="Arial" w:hAnsi="Arial"/>
                <w:sz w:val="18"/>
                <w:szCs w:val="18"/>
                <w:color w:val="0000FF"/>
              </w:rPr>
              <w:t>Section 906 of the Sarbanes-Oxley Act of 2002.</w:t>
            </w:r>
          </w:p>
        </w:tc>
        <w:tc>
          <w:tcPr>
            <w:tcW w:w="20" w:type="dxa"/>
            <w:vAlign w:val="bottom"/>
          </w:tcPr>
          <w:p>
            <w:pPr>
              <w:spacing w:after="0"/>
              <w:rPr>
                <w:sz w:val="13"/>
                <w:szCs w:val="13"/>
                <w:color w:val="auto"/>
              </w:rPr>
            </w:pPr>
          </w:p>
        </w:tc>
      </w:tr>
      <w:tr>
        <w:trPr>
          <w:trHeight w:val="20"/>
        </w:trPr>
        <w:tc>
          <w:tcPr>
            <w:tcW w:w="1300" w:type="dxa"/>
            <w:vAlign w:val="bottom"/>
            <w:tcBorders>
              <w:right w:val="single" w:sz="8" w:color="0000FF"/>
            </w:tcBorders>
            <w:gridSpan w:val="4"/>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612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300" w:type="dxa"/>
            <w:vAlign w:val="bottom"/>
            <w:gridSpan w:val="4"/>
          </w:tcPr>
          <w:p>
            <w:pPr>
              <w:spacing w:after="0"/>
              <w:rPr>
                <w:sz w:val="20"/>
                <w:szCs w:val="20"/>
                <w:color w:val="auto"/>
              </w:rPr>
            </w:pPr>
            <w:r>
              <w:rPr>
                <w:rFonts w:ascii="Arial" w:cs="Arial" w:eastAsia="Arial" w:hAnsi="Arial"/>
                <w:sz w:val="18"/>
                <w:szCs w:val="18"/>
                <w:color w:val="0000FF"/>
              </w:rPr>
              <w:t>32(b)</w:t>
            </w:r>
          </w:p>
        </w:tc>
        <w:tc>
          <w:tcPr>
            <w:tcW w:w="9940" w:type="dxa"/>
            <w:vAlign w:val="bottom"/>
            <w:gridSpan w:val="17"/>
          </w:tcPr>
          <w:p>
            <w:pPr>
              <w:spacing w:after="0"/>
              <w:rPr>
                <w:sz w:val="20"/>
                <w:szCs w:val="20"/>
                <w:color w:val="auto"/>
              </w:rPr>
            </w:pPr>
            <w:r>
              <w:rPr>
                <w:rFonts w:ascii="Arial" w:cs="Arial" w:eastAsia="Arial" w:hAnsi="Arial"/>
                <w:sz w:val="18"/>
                <w:szCs w:val="18"/>
                <w:color w:val="0000FF"/>
              </w:rPr>
              <w:t>Certification of Xerox Corporation CEO and CFO pursuant to 18 U.S.C. Section 1350, as adopted pursuant to Section 906 of</w:t>
            </w:r>
          </w:p>
        </w:tc>
      </w:tr>
      <w:tr>
        <w:trPr>
          <w:trHeight w:val="156"/>
        </w:trPr>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900" w:type="dxa"/>
            <w:vAlign w:val="bottom"/>
            <w:tcBorders>
              <w:top w:val="single" w:sz="8" w:color="0000FF"/>
            </w:tcBorders>
            <w:gridSpan w:val="15"/>
          </w:tcPr>
          <w:p>
            <w:pPr>
              <w:spacing w:after="0" w:line="156" w:lineRule="exact"/>
              <w:rPr>
                <w:sz w:val="20"/>
                <w:szCs w:val="20"/>
                <w:color w:val="auto"/>
              </w:rPr>
            </w:pPr>
            <w:r>
              <w:rPr>
                <w:rFonts w:ascii="Arial" w:cs="Arial" w:eastAsia="Arial" w:hAnsi="Arial"/>
                <w:sz w:val="18"/>
                <w:szCs w:val="18"/>
                <w:color w:val="0000FF"/>
              </w:rPr>
              <w:t>the Sarbanes-Oxley Act of 2002.</w:t>
            </w:r>
          </w:p>
        </w:tc>
        <w:tc>
          <w:tcPr>
            <w:tcW w:w="40" w:type="dxa"/>
            <w:vAlign w:val="bottom"/>
            <w:gridSpan w:val="2"/>
          </w:tcPr>
          <w:p>
            <w:pPr>
              <w:spacing w:after="0"/>
              <w:rPr>
                <w:sz w:val="13"/>
                <w:szCs w:val="13"/>
                <w:color w:val="auto"/>
              </w:rPr>
            </w:pPr>
          </w:p>
        </w:tc>
      </w:tr>
      <w:tr>
        <w:trPr>
          <w:trHeight w:val="20"/>
        </w:trPr>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5" w:name="page66"/>
    <w:bookmarkEnd w:id="65"/>
    <w:p>
      <w:pPr>
        <w:jc w:val="both"/>
        <w:ind w:left="1280" w:right="20" w:hanging="1274"/>
        <w:spacing w:after="0" w:line="221" w:lineRule="auto"/>
        <w:tabs>
          <w:tab w:leader="none" w:pos="1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following financial information from Xerox Holdings Corporation and Xerox Corporation's combined Quarterly Report on Form 10-Q for the quarter ended March 31, 2022 was formatted in iXBRL (Inline eXtensible Business Reporting Language):</w:t>
      </w:r>
    </w:p>
    <w:p>
      <w:pPr>
        <w:spacing w:after="0" w:line="1" w:lineRule="exact"/>
        <w:rPr>
          <w:rFonts w:ascii="Arial" w:cs="Arial" w:eastAsia="Arial" w:hAnsi="Arial"/>
          <w:sz w:val="18"/>
          <w:szCs w:val="18"/>
          <w:color w:val="auto"/>
        </w:rPr>
      </w:pPr>
    </w:p>
    <w:p>
      <w:pPr>
        <w:jc w:val="both"/>
        <w:ind w:left="1280" w:right="20" w:firstLine="8"/>
        <w:spacing w:after="0" w:line="215" w:lineRule="auto"/>
        <w:tabs>
          <w:tab w:leader="none" w:pos="1528" w:val="left"/>
        </w:tabs>
        <w:numPr>
          <w:ilvl w:val="1"/>
          <w:numId w:val="61"/>
        </w:numPr>
        <w:rPr>
          <w:rFonts w:ascii="Arial" w:cs="Arial" w:eastAsia="Arial" w:hAnsi="Arial"/>
          <w:sz w:val="18"/>
          <w:szCs w:val="18"/>
          <w:color w:val="auto"/>
        </w:rPr>
      </w:pPr>
      <w:r>
        <w:rPr>
          <w:rFonts w:ascii="Arial" w:cs="Arial" w:eastAsia="Arial" w:hAnsi="Arial"/>
          <w:sz w:val="18"/>
          <w:szCs w:val="18"/>
          <w:color w:val="auto"/>
        </w:rPr>
        <w:t>Xerox Holdings Corporation Condensed Consolidated Statements of (Loss) Income, (ii) Xerox Holdings Corporation Condensed Consolidated Statements of Comprehensive (Loss) Income, (iii) Xerox Holdings Corporation Condensed Consolidated Balance Sheets, (iv) Xerox Holdings Corporation Condensed Consolidated Statements of Cash Flows, (v) Xerox Corporation Condensed Consolidated Statements of (Loss) Income, (vi) Xerox Corporation Condensed Consolidated Statements of Comprehensive (Loss) Income, (vii) Xerox Corporation Condensed Consolidated Balance Sheets, (viii) Xerox Corporation Condensed Consolidated Statements of Cash Flows, and (ix) Notes to the Condensed Consolidated Financial Statements.</w:t>
      </w:r>
    </w:p>
    <w:p>
      <w:pPr>
        <w:spacing w:after="0" w:line="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this Quarterly Report on Form 10-Q,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80645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60"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DA2031"/>
        </w:rPr>
        <w:t>SIGNATURES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 The signatures for each undersigned shall be deemed to relate only to matters having reference to such company and its subsidiaries.</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XEROX HOLDINGS CORPORATION</w:t>
      </w:r>
    </w:p>
    <w:p>
      <w:pPr>
        <w:ind w:left="20"/>
        <w:spacing w:after="0"/>
        <w:rPr>
          <w:sz w:val="20"/>
          <w:szCs w:val="20"/>
          <w:color w:val="auto"/>
        </w:rPr>
      </w:pPr>
      <w:r>
        <w:rPr>
          <w:rFonts w:ascii="Arial" w:cs="Arial" w:eastAsia="Arial" w:hAnsi="Arial"/>
          <w:sz w:val="18"/>
          <w:szCs w:val="18"/>
          <w:color w:val="auto"/>
        </w:rPr>
        <w:t>(Registrant)</w:t>
      </w:r>
    </w:p>
    <w:p>
      <w:pPr>
        <w:spacing w:after="0" w:line="86"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OSEPH</w:t>
      </w:r>
      <w:r>
        <w:rPr>
          <w:rFonts w:ascii="Arial" w:cs="Arial" w:eastAsia="Arial" w:hAnsi="Arial"/>
          <w:sz w:val="18"/>
          <w:szCs w:val="18"/>
          <w:color w:val="auto"/>
        </w:rPr>
        <w:t xml:space="preserve"> H. M</w:t>
      </w:r>
      <w:r>
        <w:rPr>
          <w:rFonts w:ascii="Arial" w:cs="Arial" w:eastAsia="Arial" w:hAnsi="Arial"/>
          <w:sz w:val="14"/>
          <w:szCs w:val="14"/>
          <w:color w:val="auto"/>
        </w:rPr>
        <w:t>ANCINI</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17780</wp:posOffset>
            </wp:positionV>
            <wp:extent cx="22974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Joseph H. Mancini, Jr.</w:t>
      </w:r>
    </w:p>
    <w:p>
      <w:pPr>
        <w:ind w:left="540"/>
        <w:spacing w:after="0" w:line="203" w:lineRule="auto"/>
        <w:rPr>
          <w:sz w:val="20"/>
          <w:szCs w:val="20"/>
          <w:color w:val="auto"/>
        </w:rPr>
      </w:pPr>
      <w:r>
        <w:rPr>
          <w:rFonts w:ascii="Arial" w:cs="Arial" w:eastAsia="Arial" w:hAnsi="Arial"/>
          <w:sz w:val="14"/>
          <w:szCs w:val="14"/>
          <w:b w:val="1"/>
          <w:bCs w:val="1"/>
          <w:color w:val="auto"/>
        </w:rPr>
        <w:t>Vice President and</w:t>
      </w:r>
    </w:p>
    <w:p>
      <w:pPr>
        <w:ind w:left="540"/>
        <w:spacing w:after="0" w:line="221" w:lineRule="auto"/>
        <w:rPr>
          <w:sz w:val="20"/>
          <w:szCs w:val="20"/>
          <w:color w:val="auto"/>
        </w:rPr>
      </w:pPr>
      <w:r>
        <w:rPr>
          <w:rFonts w:ascii="Arial" w:cs="Arial" w:eastAsia="Arial" w:hAnsi="Arial"/>
          <w:sz w:val="14"/>
          <w:szCs w:val="14"/>
          <w:b w:val="1"/>
          <w:bCs w:val="1"/>
          <w:color w:val="auto"/>
        </w:rPr>
        <w:t>Chief Accounting Officer</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(Principal Accounting Officer)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XEROX CORPORATION</w:t>
      </w:r>
    </w:p>
    <w:p>
      <w:pPr>
        <w:ind w:left="80"/>
        <w:spacing w:after="0"/>
        <w:rPr>
          <w:sz w:val="20"/>
          <w:szCs w:val="20"/>
          <w:color w:val="auto"/>
        </w:rPr>
      </w:pPr>
      <w:r>
        <w:rPr>
          <w:rFonts w:ascii="Arial" w:cs="Arial" w:eastAsia="Arial" w:hAnsi="Arial"/>
          <w:sz w:val="18"/>
          <w:szCs w:val="18"/>
          <w:color w:val="auto"/>
        </w:rPr>
        <w:t>(Registrant)</w:t>
      </w:r>
    </w:p>
    <w:p>
      <w:pPr>
        <w:spacing w:after="0" w:line="72"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OSEPH</w:t>
      </w:r>
      <w:r>
        <w:rPr>
          <w:rFonts w:ascii="Arial" w:cs="Arial" w:eastAsia="Arial" w:hAnsi="Arial"/>
          <w:sz w:val="18"/>
          <w:szCs w:val="18"/>
          <w:color w:val="auto"/>
        </w:rPr>
        <w:t xml:space="preserve"> H. M</w:t>
      </w:r>
      <w:r>
        <w:rPr>
          <w:rFonts w:ascii="Arial" w:cs="Arial" w:eastAsia="Arial" w:hAnsi="Arial"/>
          <w:sz w:val="14"/>
          <w:szCs w:val="14"/>
          <w:color w:val="auto"/>
        </w:rPr>
        <w:t>ANCINI</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17780</wp:posOffset>
            </wp:positionV>
            <wp:extent cx="22974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Joseph H. Mancini, Jr.</w:t>
      </w:r>
    </w:p>
    <w:p>
      <w:pPr>
        <w:ind w:left="580"/>
        <w:spacing w:after="0" w:line="223" w:lineRule="auto"/>
        <w:rPr>
          <w:sz w:val="20"/>
          <w:szCs w:val="20"/>
          <w:color w:val="auto"/>
        </w:rPr>
      </w:pPr>
      <w:r>
        <w:rPr>
          <w:rFonts w:ascii="Arial" w:cs="Arial" w:eastAsia="Arial" w:hAnsi="Arial"/>
          <w:sz w:val="14"/>
          <w:szCs w:val="14"/>
          <w:b w:val="1"/>
          <w:bCs w:val="1"/>
          <w:color w:val="auto"/>
        </w:rPr>
        <w:t>Vice President and</w:t>
      </w:r>
    </w:p>
    <w:p>
      <w:pPr>
        <w:ind w:left="580"/>
        <w:spacing w:after="0" w:line="201" w:lineRule="auto"/>
        <w:rPr>
          <w:sz w:val="20"/>
          <w:szCs w:val="20"/>
          <w:color w:val="auto"/>
        </w:rPr>
      </w:pPr>
      <w:r>
        <w:rPr>
          <w:rFonts w:ascii="Arial" w:cs="Arial" w:eastAsia="Arial" w:hAnsi="Arial"/>
          <w:sz w:val="14"/>
          <w:szCs w:val="14"/>
          <w:b w:val="1"/>
          <w:bCs w:val="1"/>
          <w:color w:val="auto"/>
        </w:rPr>
        <w:t>Chief Accounting Officer</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(Principal Accounting Officer)</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DA2031"/>
        </w:rPr>
        <w:t>EXHIBIT INDEX</w:t>
      </w:r>
    </w:p>
    <w:p>
      <w:pPr>
        <w:spacing w:after="0" w:line="212" w:lineRule="exact"/>
        <w:rPr>
          <w:sz w:val="20"/>
          <w:szCs w:val="20"/>
          <w:color w:val="auto"/>
        </w:rPr>
      </w:pPr>
    </w:p>
    <w:p>
      <w:pPr>
        <w:ind w:left="20"/>
        <w:spacing w:after="0"/>
        <w:tabs>
          <w:tab w:leader="none" w:pos="1280" w:val="left"/>
        </w:tabs>
        <w:rPr>
          <w:rFonts w:ascii="Arial" w:cs="Arial" w:eastAsia="Arial" w:hAnsi="Arial"/>
          <w:sz w:val="17"/>
          <w:szCs w:val="17"/>
          <w:u w:val="single" w:color="auto"/>
          <w:color w:val="0000FF"/>
        </w:rPr>
      </w:pPr>
      <w:hyperlink r:id="rId75">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r:id="rId75">
        <w:r>
          <w:rPr>
            <w:rFonts w:ascii="Arial" w:cs="Arial" w:eastAsia="Arial" w:hAnsi="Arial"/>
            <w:sz w:val="17"/>
            <w:szCs w:val="17"/>
            <w:u w:val="single" w:color="auto"/>
            <w:color w:val="0000FF"/>
          </w:rPr>
          <w:t>First Amendment dated February 17, 2022 to By-Laws of Xerox Holdings Corporation.</w:t>
        </w:r>
      </w:hyperlink>
    </w:p>
    <w:p>
      <w:pPr>
        <w:spacing w:after="0" w:line="36" w:lineRule="exact"/>
        <w:rPr>
          <w:sz w:val="20"/>
          <w:szCs w:val="20"/>
          <w:color w:val="auto"/>
        </w:rPr>
      </w:pPr>
    </w:p>
    <w:p>
      <w:pPr>
        <w:ind w:left="1300" w:right="140"/>
        <w:spacing w:after="0" w:line="256" w:lineRule="auto"/>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Incorporated by reference to Exhibit 3.2 to Xerox Holdings Corporation’s and Xerox Corporation’s combined Current Report</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on Form 8-K dated February 17, 2022. See SEC File Numbers 001-39013 and 001-04471.</w:t>
        </w:r>
      </w:hyperlink>
    </w:p>
    <w:p>
      <w:pPr>
        <w:spacing w:after="0" w:line="4" w:lineRule="exact"/>
        <w:rPr>
          <w:sz w:val="20"/>
          <w:szCs w:val="20"/>
          <w:color w:val="auto"/>
        </w:rPr>
      </w:pPr>
    </w:p>
    <w:p>
      <w:pPr>
        <w:ind w:left="20"/>
        <w:spacing w:after="0"/>
        <w:tabs>
          <w:tab w:leader="none" w:pos="1280" w:val="left"/>
        </w:tabs>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r:id="rId76">
        <w:r>
          <w:rPr>
            <w:rFonts w:ascii="Arial" w:cs="Arial" w:eastAsia="Arial" w:hAnsi="Arial"/>
            <w:sz w:val="18"/>
            <w:szCs w:val="18"/>
            <w:u w:val="single" w:color="auto"/>
            <w:color w:val="0000FF"/>
          </w:rPr>
          <w:t>Amended and Restated By-Laws of Xerox Holdings Corporation dated February 17, 2022.</w:t>
        </w:r>
      </w:hyperlink>
    </w:p>
    <w:p>
      <w:pPr>
        <w:spacing w:after="0" w:line="36" w:lineRule="exact"/>
        <w:rPr>
          <w:sz w:val="20"/>
          <w:szCs w:val="20"/>
          <w:color w:val="auto"/>
        </w:rPr>
      </w:pPr>
    </w:p>
    <w:p>
      <w:pPr>
        <w:jc w:val="both"/>
        <w:ind w:left="1300" w:right="460"/>
        <w:spacing w:after="0" w:line="256" w:lineRule="auto"/>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Incorporated by reference to Exhibit 3(b)(2) to Xerox Holdings Corporation’s and Xerox Corporation’s combined Annual</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Report on Form 10-K for the fiscal year ended December 31, 2021. See SEC File Numbers 001-39013 and 001-04471.</w:t>
        </w:r>
      </w:hyperlink>
    </w:p>
    <w:p>
      <w:pPr>
        <w:spacing w:after="0" w:line="4" w:lineRule="exact"/>
        <w:rPr>
          <w:sz w:val="20"/>
          <w:szCs w:val="20"/>
          <w:color w:val="auto"/>
        </w:rPr>
      </w:pPr>
    </w:p>
    <w:p>
      <w:pPr>
        <w:ind w:left="1300" w:right="20" w:hanging="1274"/>
        <w:spacing w:after="0"/>
        <w:tabs>
          <w:tab w:leader="none" w:pos="1300" w:val="left"/>
        </w:tabs>
        <w:numPr>
          <w:ilvl w:val="0"/>
          <w:numId w:val="62"/>
        </w:numPr>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Amendment No. 4 to Credit Agreement, dated as of March 24, 2022, among Xerox Corporation, Xerox Holdings</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Corporation, certain Lenders signatory thereto, and Citibank, N.A., as administrative agent.</w:t>
        </w:r>
      </w:hyperlink>
    </w:p>
    <w:p>
      <w:pPr>
        <w:spacing w:after="0" w:line="4" w:lineRule="exact"/>
        <w:rPr>
          <w:rFonts w:ascii="Arial" w:cs="Arial" w:eastAsia="Arial" w:hAnsi="Arial"/>
          <w:sz w:val="18"/>
          <w:szCs w:val="18"/>
          <w:u w:val="single" w:color="auto"/>
          <w:color w:val="0000FF"/>
        </w:rPr>
      </w:pPr>
    </w:p>
    <w:p>
      <w:pPr>
        <w:ind w:left="1300" w:right="140"/>
        <w:spacing w:after="0" w:line="256" w:lineRule="auto"/>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Incorporated by reference to Exhibit 4.1 to Xerox Holdings Corporation’s and Xerox Corporation’s combined Current Report</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on Form 8-K dated March 24, 2022. See SEC File Numbers 001-39013 and 001-04471.</w:t>
        </w:r>
      </w:hyperlink>
    </w:p>
    <w:tbl>
      <w:tblPr>
        <w:tblLayout w:type="fixed"/>
        <w:tblInd w:w="20" w:type="dxa"/>
        <w:tblCellMar>
          <w:top w:w="0" w:type="dxa"/>
          <w:left w:w="0" w:type="dxa"/>
          <w:bottom w:w="0" w:type="dxa"/>
          <w:right w:w="0" w:type="dxa"/>
        </w:tblCellMar>
      </w:tblPr>
      <w:tr>
        <w:trPr>
          <w:trHeight w:val="198"/>
        </w:trPr>
        <w:tc>
          <w:tcPr>
            <w:tcW w:w="360" w:type="dxa"/>
            <w:vAlign w:val="bottom"/>
          </w:tcPr>
          <w:p>
            <w:pPr>
              <w:spacing w:after="0" w:line="198" w:lineRule="exact"/>
              <w:rPr>
                <w:rFonts w:ascii="Arial" w:cs="Arial" w:eastAsia="Arial" w:hAnsi="Arial"/>
                <w:sz w:val="18"/>
                <w:szCs w:val="18"/>
                <w:color w:val="0000FF"/>
                <w:w w:val="96"/>
              </w:rPr>
            </w:pPr>
            <w:hyperlink r:id="rId78">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940" w:type="dxa"/>
            <w:vAlign w:val="bottom"/>
            <w:gridSpan w:val="17"/>
          </w:tcPr>
          <w:p>
            <w:pPr>
              <w:spacing w:after="0" w:line="198" w:lineRule="exact"/>
              <w:rPr>
                <w:rFonts w:ascii="Arial" w:cs="Arial" w:eastAsia="Arial" w:hAnsi="Arial"/>
                <w:sz w:val="18"/>
                <w:szCs w:val="18"/>
                <w:color w:val="0000FF"/>
              </w:rPr>
            </w:pPr>
            <w:hyperlink r:id="rId78">
              <w:r>
                <w:rPr>
                  <w:rFonts w:ascii="Arial" w:cs="Arial" w:eastAsia="Arial" w:hAnsi="Arial"/>
                  <w:sz w:val="18"/>
                  <w:szCs w:val="18"/>
                  <w:color w:val="0000FF"/>
                </w:rPr>
                <w:t>Management Incentive Plan for 2021.</w:t>
              </w:r>
            </w:hyperlink>
          </w:p>
        </w:tc>
      </w:tr>
      <w:tr>
        <w:trPr>
          <w:trHeight w:val="20"/>
        </w:trPr>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40" w:type="dxa"/>
            <w:vAlign w:val="bottom"/>
            <w:gridSpan w:val="17"/>
          </w:tcPr>
          <w:p>
            <w:pPr>
              <w:spacing w:after="0"/>
              <w:rPr>
                <w:rFonts w:ascii="Arial" w:cs="Arial" w:eastAsia="Arial" w:hAnsi="Arial"/>
                <w:sz w:val="18"/>
                <w:szCs w:val="18"/>
                <w:color w:val="0000FF"/>
              </w:rPr>
            </w:pPr>
            <w:hyperlink r:id="rId78">
              <w:r>
                <w:rPr>
                  <w:rFonts w:ascii="Arial" w:cs="Arial" w:eastAsia="Arial" w:hAnsi="Arial"/>
                  <w:sz w:val="18"/>
                  <w:szCs w:val="18"/>
                  <w:color w:val="0000FF"/>
                </w:rPr>
                <w:t>Incorporated by reference to Exhibit 10(f)(14) to Xerox Holdings Corporation’s and Xerox Corporation’s combined Annual</w:t>
              </w:r>
            </w:hyperlink>
          </w:p>
        </w:tc>
      </w:tr>
      <w:tr>
        <w:trPr>
          <w:trHeight w:val="169"/>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80" w:type="dxa"/>
            <w:vAlign w:val="bottom"/>
            <w:tcBorders>
              <w:top w:val="single" w:sz="8" w:color="0000FF"/>
              <w:bottom w:val="single" w:sz="8" w:color="0000FF"/>
            </w:tcBorders>
            <w:gridSpan w:val="12"/>
          </w:tcPr>
          <w:p>
            <w:pPr>
              <w:spacing w:after="0" w:line="169" w:lineRule="exact"/>
              <w:rPr>
                <w:rFonts w:ascii="Arial" w:cs="Arial" w:eastAsia="Arial" w:hAnsi="Arial"/>
                <w:sz w:val="18"/>
                <w:szCs w:val="18"/>
                <w:color w:val="0000FF"/>
                <w:w w:val="99"/>
              </w:rPr>
            </w:pPr>
            <w:hyperlink r:id="rId78">
              <w:r>
                <w:rPr>
                  <w:rFonts w:ascii="Arial" w:cs="Arial" w:eastAsia="Arial" w:hAnsi="Arial"/>
                  <w:sz w:val="18"/>
                  <w:szCs w:val="18"/>
                  <w:color w:val="0000FF"/>
                  <w:w w:val="99"/>
                </w:rPr>
                <w:t>Report on Form 10-K for the fiscal year ended December 31, 2021. See SEC File Numbers 001-39013 and 001-04471.</w:t>
              </w:r>
            </w:hyperlink>
          </w:p>
        </w:tc>
        <w:tc>
          <w:tcPr>
            <w:tcW w:w="120" w:type="dxa"/>
            <w:vAlign w:val="bottom"/>
            <w:tcBorders>
              <w:top w:val="single" w:sz="8" w:color="0000FF"/>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420" w:type="dxa"/>
            <w:vAlign w:val="bottom"/>
            <w:gridSpan w:val="2"/>
          </w:tcPr>
          <w:p>
            <w:pPr>
              <w:spacing w:after="0"/>
              <w:rPr>
                <w:rFonts w:ascii="Arial" w:cs="Arial" w:eastAsia="Arial" w:hAnsi="Arial"/>
                <w:sz w:val="18"/>
                <w:szCs w:val="18"/>
                <w:color w:val="0000FF"/>
              </w:rPr>
            </w:pPr>
            <w:hyperlink r:id="rId79">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40" w:type="dxa"/>
            <w:vAlign w:val="bottom"/>
            <w:gridSpan w:val="17"/>
          </w:tcPr>
          <w:p>
            <w:pPr>
              <w:spacing w:after="0"/>
              <w:rPr>
                <w:rFonts w:ascii="Arial" w:cs="Arial" w:eastAsia="Arial" w:hAnsi="Arial"/>
                <w:sz w:val="18"/>
                <w:szCs w:val="18"/>
                <w:color w:val="0000FF"/>
              </w:rPr>
            </w:pPr>
            <w:hyperlink r:id="rId79">
              <w:r>
                <w:rPr>
                  <w:rFonts w:ascii="Arial" w:cs="Arial" w:eastAsia="Arial" w:hAnsi="Arial"/>
                  <w:sz w:val="18"/>
                  <w:szCs w:val="18"/>
                  <w:color w:val="0000FF"/>
                </w:rPr>
                <w:t>Form of E-LTIP Performance Share Unit (“PSU”) Award Agreement (2022) under Xerox Holdings Corporation Performance</w:t>
              </w:r>
            </w:hyperlink>
          </w:p>
        </w:tc>
      </w:tr>
      <w:tr>
        <w:trPr>
          <w:trHeight w:val="169"/>
        </w:trPr>
        <w:tc>
          <w:tcPr>
            <w:tcW w:w="36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76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79">
              <w:r>
                <w:rPr>
                  <w:rFonts w:ascii="Arial" w:cs="Arial" w:eastAsia="Arial" w:hAnsi="Arial"/>
                  <w:sz w:val="18"/>
                  <w:szCs w:val="18"/>
                  <w:color w:val="0000FF"/>
                </w:rPr>
                <w:t>Incentive Plan (“XHCPIP”).</w:t>
              </w:r>
            </w:hyperlink>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40" w:type="dxa"/>
            <w:vAlign w:val="bottom"/>
            <w:gridSpan w:val="17"/>
          </w:tcPr>
          <w:p>
            <w:pPr>
              <w:spacing w:after="0"/>
              <w:rPr>
                <w:rFonts w:ascii="Arial" w:cs="Arial" w:eastAsia="Arial" w:hAnsi="Arial"/>
                <w:sz w:val="18"/>
                <w:szCs w:val="18"/>
                <w:color w:val="0000FF"/>
              </w:rPr>
            </w:pPr>
            <w:hyperlink r:id="rId79">
              <w:r>
                <w:rPr>
                  <w:rFonts w:ascii="Arial" w:cs="Arial" w:eastAsia="Arial" w:hAnsi="Arial"/>
                  <w:sz w:val="18"/>
                  <w:szCs w:val="18"/>
                  <w:color w:val="0000FF"/>
                </w:rPr>
                <w:t>Incorporated by reference to Exhibit 10(f)(17) to Xerox Holdings Corporation’s and Xerox Corporation’s combined Annual</w:t>
              </w:r>
            </w:hyperlink>
          </w:p>
        </w:tc>
      </w:tr>
      <w:tr>
        <w:trPr>
          <w:trHeight w:val="169"/>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79">
              <w:r>
                <w:rPr>
                  <w:rFonts w:ascii="Arial" w:cs="Arial" w:eastAsia="Arial" w:hAnsi="Arial"/>
                  <w:sz w:val="18"/>
                  <w:szCs w:val="18"/>
                  <w:color w:val="0000FF"/>
                </w:rPr>
                <w:t>Report on Form 10-K for the fiscal year ended December 31, 2021. See SEC File Numbers 001-39013 and 001-04471.</w:t>
              </w:r>
            </w:hyperlink>
          </w:p>
        </w:tc>
        <w:tc>
          <w:tcPr>
            <w:tcW w:w="3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6"/>
        </w:trPr>
        <w:tc>
          <w:tcPr>
            <w:tcW w:w="360" w:type="dxa"/>
            <w:vAlign w:val="bottom"/>
          </w:tcPr>
          <w:p>
            <w:pPr>
              <w:spacing w:after="0"/>
              <w:rPr>
                <w:rFonts w:ascii="Arial" w:cs="Arial" w:eastAsia="Arial" w:hAnsi="Arial"/>
                <w:sz w:val="18"/>
                <w:szCs w:val="18"/>
                <w:color w:val="0000FF"/>
                <w:w w:val="96"/>
              </w:rPr>
            </w:pPr>
            <w:hyperlink r:id="rId80">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3</w:t>
              </w:r>
            </w:hyperlink>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60" w:type="dxa"/>
            <w:vAlign w:val="bottom"/>
            <w:tcBorders>
              <w:top w:val="single" w:sz="8" w:color="0000FF"/>
            </w:tcBorders>
            <w:gridSpan w:val="11"/>
          </w:tcPr>
          <w:p>
            <w:pPr>
              <w:spacing w:after="0"/>
              <w:rPr>
                <w:rFonts w:ascii="Arial" w:cs="Arial" w:eastAsia="Arial" w:hAnsi="Arial"/>
                <w:sz w:val="18"/>
                <w:szCs w:val="18"/>
                <w:color w:val="0000FF"/>
              </w:rPr>
            </w:pPr>
            <w:hyperlink r:id="rId80">
              <w:r>
                <w:rPr>
                  <w:rFonts w:ascii="Arial" w:cs="Arial" w:eastAsia="Arial" w:hAnsi="Arial"/>
                  <w:sz w:val="18"/>
                  <w:szCs w:val="18"/>
                  <w:color w:val="0000FF"/>
                </w:rPr>
                <w:t>Form of E-LTIP Restricted Stock Unit (“RSU”) Graduated-Vesting Award Agreement (2022) under XHCPIP.</w:t>
              </w:r>
            </w:hyperlink>
          </w:p>
        </w:tc>
        <w:tc>
          <w:tcPr>
            <w:tcW w:w="480" w:type="dxa"/>
            <w:vAlign w:val="bottom"/>
            <w:gridSpan w:val="6"/>
          </w:tcPr>
          <w:p>
            <w:pPr>
              <w:spacing w:after="0"/>
              <w:rPr>
                <w:sz w:val="20"/>
                <w:szCs w:val="20"/>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40" w:type="dxa"/>
            <w:vAlign w:val="bottom"/>
            <w:gridSpan w:val="17"/>
          </w:tcPr>
          <w:p>
            <w:pPr>
              <w:spacing w:after="0"/>
              <w:rPr>
                <w:rFonts w:ascii="Arial" w:cs="Arial" w:eastAsia="Arial" w:hAnsi="Arial"/>
                <w:sz w:val="18"/>
                <w:szCs w:val="18"/>
                <w:color w:val="0000FF"/>
              </w:rPr>
            </w:pPr>
            <w:hyperlink r:id="rId80">
              <w:r>
                <w:rPr>
                  <w:rFonts w:ascii="Arial" w:cs="Arial" w:eastAsia="Arial" w:hAnsi="Arial"/>
                  <w:sz w:val="18"/>
                  <w:szCs w:val="18"/>
                  <w:color w:val="0000FF"/>
                </w:rPr>
                <w:t>Incorporated by reference to Exhibit 10(f)(18) to Xerox Holdings Corporation’s and Xerox Corporation’s combined Annual</w:t>
              </w:r>
            </w:hyperlink>
          </w:p>
        </w:tc>
      </w:tr>
      <w:tr>
        <w:trPr>
          <w:trHeight w:val="169"/>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80">
              <w:r>
                <w:rPr>
                  <w:rFonts w:ascii="Arial" w:cs="Arial" w:eastAsia="Arial" w:hAnsi="Arial"/>
                  <w:sz w:val="18"/>
                  <w:szCs w:val="18"/>
                  <w:color w:val="0000FF"/>
                </w:rPr>
                <w:t>Report on Form 10-K for the fiscal year ended December 31, 2021. See SEC File Numbers 001-39013 and 001-04471.</w:t>
              </w:r>
            </w:hyperlink>
          </w:p>
        </w:tc>
        <w:tc>
          <w:tcPr>
            <w:tcW w:w="3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360" w:type="dxa"/>
            <w:vAlign w:val="bottom"/>
          </w:tcPr>
          <w:p>
            <w:pPr>
              <w:spacing w:after="0"/>
              <w:rPr>
                <w:rFonts w:ascii="Arial" w:cs="Arial" w:eastAsia="Arial" w:hAnsi="Arial"/>
                <w:sz w:val="18"/>
                <w:szCs w:val="18"/>
                <w:color w:val="0000FF"/>
                <w:w w:val="96"/>
              </w:rPr>
            </w:pPr>
            <w:hyperlink r:id="rId81">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4</w:t>
              </w:r>
            </w:hyperlink>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60" w:type="dxa"/>
            <w:vAlign w:val="bottom"/>
            <w:tcBorders>
              <w:top w:val="single" w:sz="8" w:color="0000FF"/>
            </w:tcBorders>
            <w:gridSpan w:val="11"/>
          </w:tcPr>
          <w:p>
            <w:pPr>
              <w:spacing w:after="0"/>
              <w:rPr>
                <w:rFonts w:ascii="Arial" w:cs="Arial" w:eastAsia="Arial" w:hAnsi="Arial"/>
                <w:sz w:val="18"/>
                <w:szCs w:val="18"/>
                <w:color w:val="0000FF"/>
              </w:rPr>
            </w:pPr>
            <w:hyperlink r:id="rId81">
              <w:r>
                <w:rPr>
                  <w:rFonts w:ascii="Arial" w:cs="Arial" w:eastAsia="Arial" w:hAnsi="Arial"/>
                  <w:sz w:val="18"/>
                  <w:szCs w:val="18"/>
                  <w:color w:val="0000FF"/>
                </w:rPr>
                <w:t>Form of E-LTIP RSU Cliff-Vesting Award Agreement (2022) under XHCPIP.</w:t>
              </w:r>
            </w:hyperlink>
          </w:p>
        </w:tc>
        <w:tc>
          <w:tcPr>
            <w:tcW w:w="480" w:type="dxa"/>
            <w:vAlign w:val="bottom"/>
            <w:gridSpan w:val="6"/>
          </w:tcPr>
          <w:p>
            <w:pPr>
              <w:spacing w:after="0"/>
              <w:rPr>
                <w:sz w:val="20"/>
                <w:szCs w:val="20"/>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40" w:type="dxa"/>
            <w:vAlign w:val="bottom"/>
            <w:gridSpan w:val="17"/>
          </w:tcPr>
          <w:p>
            <w:pPr>
              <w:spacing w:after="0"/>
              <w:rPr>
                <w:rFonts w:ascii="Arial" w:cs="Arial" w:eastAsia="Arial" w:hAnsi="Arial"/>
                <w:sz w:val="18"/>
                <w:szCs w:val="18"/>
                <w:color w:val="0000FF"/>
              </w:rPr>
            </w:pPr>
            <w:hyperlink r:id="rId81">
              <w:r>
                <w:rPr>
                  <w:rFonts w:ascii="Arial" w:cs="Arial" w:eastAsia="Arial" w:hAnsi="Arial"/>
                  <w:sz w:val="18"/>
                  <w:szCs w:val="18"/>
                  <w:color w:val="0000FF"/>
                </w:rPr>
                <w:t>Incorporated by reference to Exhibit 10(f)(19) to Xerox Holdings Corporation’s and Xerox Corporation’s combined Annual</w:t>
              </w:r>
            </w:hyperlink>
          </w:p>
        </w:tc>
      </w:tr>
      <w:tr>
        <w:trPr>
          <w:trHeight w:val="169"/>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81">
              <w:r>
                <w:rPr>
                  <w:rFonts w:ascii="Arial" w:cs="Arial" w:eastAsia="Arial" w:hAnsi="Arial"/>
                  <w:sz w:val="18"/>
                  <w:szCs w:val="18"/>
                  <w:color w:val="0000FF"/>
                </w:rPr>
                <w:t>Report on Form 10-K for the fiscal year ended December 31, 2021. See SEC File Numbers 001-39013 and 001-04471.</w:t>
              </w:r>
            </w:hyperlink>
          </w:p>
        </w:tc>
        <w:tc>
          <w:tcPr>
            <w:tcW w:w="3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360" w:type="dxa"/>
            <w:vAlign w:val="bottom"/>
          </w:tcPr>
          <w:p>
            <w:pPr>
              <w:spacing w:after="0"/>
              <w:rPr>
                <w:rFonts w:ascii="Arial" w:cs="Arial" w:eastAsia="Arial" w:hAnsi="Arial"/>
                <w:sz w:val="18"/>
                <w:szCs w:val="18"/>
                <w:color w:val="0000FF"/>
                <w:w w:val="96"/>
              </w:rPr>
            </w:pPr>
            <w:hyperlink r:id="rId82">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5</w:t>
              </w:r>
            </w:hyperlink>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60" w:type="dxa"/>
            <w:vAlign w:val="bottom"/>
            <w:tcBorders>
              <w:top w:val="single" w:sz="8" w:color="0000FF"/>
            </w:tcBorders>
            <w:gridSpan w:val="11"/>
          </w:tcPr>
          <w:p>
            <w:pPr>
              <w:spacing w:after="0"/>
              <w:rPr>
                <w:rFonts w:ascii="Arial" w:cs="Arial" w:eastAsia="Arial" w:hAnsi="Arial"/>
                <w:sz w:val="18"/>
                <w:szCs w:val="18"/>
                <w:color w:val="0000FF"/>
              </w:rPr>
            </w:pPr>
            <w:hyperlink r:id="rId82">
              <w:r>
                <w:rPr>
                  <w:rFonts w:ascii="Arial" w:cs="Arial" w:eastAsia="Arial" w:hAnsi="Arial"/>
                  <w:sz w:val="18"/>
                  <w:szCs w:val="18"/>
                  <w:color w:val="0000FF"/>
                </w:rPr>
                <w:t>Form of International Appendix to E-LTIP PSU and RSU Award Agreements (2022) under XHCPIP.</w:t>
              </w:r>
            </w:hyperlink>
          </w:p>
        </w:tc>
        <w:tc>
          <w:tcPr>
            <w:tcW w:w="480" w:type="dxa"/>
            <w:vAlign w:val="bottom"/>
            <w:gridSpan w:val="6"/>
          </w:tcPr>
          <w:p>
            <w:pPr>
              <w:spacing w:after="0"/>
              <w:rPr>
                <w:sz w:val="20"/>
                <w:szCs w:val="20"/>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40" w:type="dxa"/>
            <w:vAlign w:val="bottom"/>
            <w:gridSpan w:val="17"/>
          </w:tcPr>
          <w:p>
            <w:pPr>
              <w:spacing w:after="0"/>
              <w:rPr>
                <w:rFonts w:ascii="Arial" w:cs="Arial" w:eastAsia="Arial" w:hAnsi="Arial"/>
                <w:sz w:val="18"/>
                <w:szCs w:val="18"/>
                <w:color w:val="0000FF"/>
              </w:rPr>
            </w:pPr>
            <w:hyperlink r:id="rId82">
              <w:r>
                <w:rPr>
                  <w:rFonts w:ascii="Arial" w:cs="Arial" w:eastAsia="Arial" w:hAnsi="Arial"/>
                  <w:sz w:val="18"/>
                  <w:szCs w:val="18"/>
                  <w:color w:val="0000FF"/>
                </w:rPr>
                <w:t>Incorporated by reference to Exhibit 10(f)(20) to Xerox Holdings Corporation’s and Xerox Corporation’s combined Annual</w:t>
              </w:r>
            </w:hyperlink>
          </w:p>
        </w:tc>
      </w:tr>
      <w:tr>
        <w:trPr>
          <w:trHeight w:val="169"/>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82">
              <w:r>
                <w:rPr>
                  <w:rFonts w:ascii="Arial" w:cs="Arial" w:eastAsia="Arial" w:hAnsi="Arial"/>
                  <w:sz w:val="18"/>
                  <w:szCs w:val="18"/>
                  <w:color w:val="0000FF"/>
                </w:rPr>
                <w:t>Report on Form 10-K for the fiscal year ended December 31, 2021. See SEC File Numbers 001-39013 and 001-04471.</w:t>
              </w:r>
            </w:hyperlink>
          </w:p>
        </w:tc>
        <w:tc>
          <w:tcPr>
            <w:tcW w:w="3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6"/>
        </w:trPr>
        <w:tc>
          <w:tcPr>
            <w:tcW w:w="360" w:type="dxa"/>
            <w:vAlign w:val="bottom"/>
          </w:tcPr>
          <w:p>
            <w:pPr>
              <w:spacing w:after="0"/>
              <w:rPr>
                <w:rFonts w:ascii="Arial" w:cs="Arial" w:eastAsia="Arial" w:hAnsi="Arial"/>
                <w:sz w:val="18"/>
                <w:szCs w:val="18"/>
                <w:color w:val="0000FF"/>
                <w:w w:val="96"/>
              </w:rPr>
            </w:pPr>
            <w:hyperlink r:id="rId83">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6</w:t>
              </w:r>
            </w:hyperlink>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60" w:type="dxa"/>
            <w:vAlign w:val="bottom"/>
            <w:tcBorders>
              <w:top w:val="single" w:sz="8" w:color="0000FF"/>
            </w:tcBorders>
            <w:gridSpan w:val="11"/>
          </w:tcPr>
          <w:p>
            <w:pPr>
              <w:spacing w:after="0"/>
              <w:rPr>
                <w:rFonts w:ascii="Arial" w:cs="Arial" w:eastAsia="Arial" w:hAnsi="Arial"/>
                <w:sz w:val="18"/>
                <w:szCs w:val="18"/>
                <w:color w:val="0000FF"/>
              </w:rPr>
            </w:pPr>
            <w:hyperlink r:id="rId83">
              <w:r>
                <w:rPr>
                  <w:rFonts w:ascii="Arial" w:cs="Arial" w:eastAsia="Arial" w:hAnsi="Arial"/>
                  <w:sz w:val="18"/>
                  <w:szCs w:val="18"/>
                  <w:color w:val="0000FF"/>
                </w:rPr>
                <w:t>Management Incentive Plan for 2022.</w:t>
              </w:r>
            </w:hyperlink>
          </w:p>
        </w:tc>
        <w:tc>
          <w:tcPr>
            <w:tcW w:w="480" w:type="dxa"/>
            <w:vAlign w:val="bottom"/>
            <w:gridSpan w:val="6"/>
          </w:tcPr>
          <w:p>
            <w:pPr>
              <w:spacing w:after="0"/>
              <w:rPr>
                <w:sz w:val="20"/>
                <w:szCs w:val="20"/>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40" w:type="dxa"/>
            <w:vAlign w:val="bottom"/>
            <w:gridSpan w:val="17"/>
          </w:tcPr>
          <w:p>
            <w:pPr>
              <w:spacing w:after="0"/>
              <w:rPr>
                <w:rFonts w:ascii="Arial" w:cs="Arial" w:eastAsia="Arial" w:hAnsi="Arial"/>
                <w:sz w:val="18"/>
                <w:szCs w:val="18"/>
                <w:color w:val="0000FF"/>
              </w:rPr>
            </w:pPr>
            <w:hyperlink r:id="rId83">
              <w:r>
                <w:rPr>
                  <w:rFonts w:ascii="Arial" w:cs="Arial" w:eastAsia="Arial" w:hAnsi="Arial"/>
                  <w:sz w:val="18"/>
                  <w:szCs w:val="18"/>
                  <w:color w:val="0000FF"/>
                </w:rPr>
                <w:t>Incorporated by reference to Exhibit 10(f)(21) to Xerox Holdings Corporation’s and Xerox Corporation’s combined Annual</w:t>
              </w:r>
            </w:hyperlink>
          </w:p>
        </w:tc>
      </w:tr>
      <w:tr>
        <w:trPr>
          <w:trHeight w:val="169"/>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83">
              <w:r>
                <w:rPr>
                  <w:rFonts w:ascii="Arial" w:cs="Arial" w:eastAsia="Arial" w:hAnsi="Arial"/>
                  <w:sz w:val="18"/>
                  <w:szCs w:val="18"/>
                  <w:color w:val="0000FF"/>
                </w:rPr>
                <w:t>Report on Form 10-K for the fiscal year ended December 31, 2021. See SEC File Numbers 001-39013 and 001-04471.</w:t>
              </w:r>
            </w:hyperlink>
          </w:p>
        </w:tc>
        <w:tc>
          <w:tcPr>
            <w:tcW w:w="3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360" w:type="dxa"/>
            <w:vAlign w:val="bottom"/>
          </w:tcPr>
          <w:p>
            <w:pPr>
              <w:spacing w:after="0"/>
              <w:rPr>
                <w:rFonts w:ascii="Arial" w:cs="Arial" w:eastAsia="Arial" w:hAnsi="Arial"/>
                <w:sz w:val="18"/>
                <w:szCs w:val="18"/>
                <w:color w:val="0000FF"/>
                <w:w w:val="96"/>
              </w:rPr>
            </w:pPr>
            <w:hyperlink r:id="rId84">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7</w:t>
              </w:r>
            </w:hyperlink>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60" w:type="dxa"/>
            <w:vAlign w:val="bottom"/>
            <w:tcBorders>
              <w:top w:val="single" w:sz="8" w:color="0000FF"/>
            </w:tcBorders>
            <w:gridSpan w:val="11"/>
          </w:tcPr>
          <w:p>
            <w:pPr>
              <w:spacing w:after="0"/>
              <w:rPr>
                <w:rFonts w:ascii="Arial" w:cs="Arial" w:eastAsia="Arial" w:hAnsi="Arial"/>
                <w:sz w:val="18"/>
                <w:szCs w:val="18"/>
                <w:color w:val="0000FF"/>
              </w:rPr>
            </w:pPr>
            <w:hyperlink r:id="rId84">
              <w:r>
                <w:rPr>
                  <w:rFonts w:ascii="Arial" w:cs="Arial" w:eastAsia="Arial" w:hAnsi="Arial"/>
                  <w:sz w:val="18"/>
                  <w:szCs w:val="18"/>
                  <w:color w:val="0000FF"/>
                </w:rPr>
                <w:t>Performance Elements for 2022 Executive Long-Term Incentive Program.</w:t>
              </w:r>
            </w:hyperlink>
          </w:p>
        </w:tc>
        <w:tc>
          <w:tcPr>
            <w:tcW w:w="480" w:type="dxa"/>
            <w:vAlign w:val="bottom"/>
            <w:gridSpan w:val="6"/>
          </w:tcPr>
          <w:p>
            <w:pPr>
              <w:spacing w:after="0"/>
              <w:rPr>
                <w:sz w:val="20"/>
                <w:szCs w:val="20"/>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40" w:type="dxa"/>
            <w:vAlign w:val="bottom"/>
            <w:gridSpan w:val="17"/>
          </w:tcPr>
          <w:p>
            <w:pPr>
              <w:spacing w:after="0"/>
              <w:rPr>
                <w:rFonts w:ascii="Arial" w:cs="Arial" w:eastAsia="Arial" w:hAnsi="Arial"/>
                <w:sz w:val="18"/>
                <w:szCs w:val="18"/>
                <w:color w:val="0000FF"/>
              </w:rPr>
            </w:pPr>
            <w:hyperlink r:id="rId84">
              <w:r>
                <w:rPr>
                  <w:rFonts w:ascii="Arial" w:cs="Arial" w:eastAsia="Arial" w:hAnsi="Arial"/>
                  <w:sz w:val="18"/>
                  <w:szCs w:val="18"/>
                  <w:color w:val="0000FF"/>
                </w:rPr>
                <w:t>Incorporated by reference to Exhibit 10(f)(22) to Xerox Holdings Corporation’s and Xerox Corporation’s combined Annual</w:t>
              </w:r>
            </w:hyperlink>
          </w:p>
        </w:tc>
      </w:tr>
      <w:tr>
        <w:trPr>
          <w:trHeight w:val="169"/>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84">
              <w:r>
                <w:rPr>
                  <w:rFonts w:ascii="Arial" w:cs="Arial" w:eastAsia="Arial" w:hAnsi="Arial"/>
                  <w:sz w:val="18"/>
                  <w:szCs w:val="18"/>
                  <w:color w:val="0000FF"/>
                </w:rPr>
                <w:t>Report on Form 10-K for the fiscal year ended December 31, 2021. See SEC File Numbers 001-39013 and 001-04471.</w:t>
              </w:r>
            </w:hyperlink>
          </w:p>
        </w:tc>
        <w:tc>
          <w:tcPr>
            <w:tcW w:w="3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640" w:type="dxa"/>
            <w:vAlign w:val="bottom"/>
            <w:gridSpan w:val="3"/>
          </w:tcPr>
          <w:p>
            <w:pPr>
              <w:spacing w:after="0"/>
              <w:rPr>
                <w:sz w:val="20"/>
                <w:szCs w:val="20"/>
                <w:color w:val="auto"/>
              </w:rPr>
            </w:pPr>
            <w:r>
              <w:rPr>
                <w:rFonts w:ascii="Arial" w:cs="Arial" w:eastAsia="Arial" w:hAnsi="Arial"/>
                <w:sz w:val="18"/>
                <w:szCs w:val="18"/>
                <w:color w:val="0000FF"/>
                <w:w w:val="93"/>
              </w:rPr>
              <w:t>31(a)(1)</w:t>
            </w:r>
          </w:p>
        </w:tc>
        <w:tc>
          <w:tcPr>
            <w:tcW w:w="660" w:type="dxa"/>
            <w:vAlign w:val="bottom"/>
          </w:tcPr>
          <w:p>
            <w:pPr>
              <w:spacing w:after="0"/>
              <w:rPr>
                <w:sz w:val="20"/>
                <w:szCs w:val="20"/>
                <w:color w:val="auto"/>
              </w:rPr>
            </w:pPr>
          </w:p>
        </w:tc>
        <w:tc>
          <w:tcPr>
            <w:tcW w:w="946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Certification of Xerox Holdings Corporation CEO pursuant to Rule 13a-14(a) or Rule 15d-14(a).</w:t>
            </w:r>
          </w:p>
        </w:tc>
        <w:tc>
          <w:tcPr>
            <w:tcW w:w="480" w:type="dxa"/>
            <w:vAlign w:val="bottom"/>
            <w:gridSpan w:val="6"/>
          </w:tcPr>
          <w:p>
            <w:pPr>
              <w:spacing w:after="0"/>
              <w:rPr>
                <w:sz w:val="20"/>
                <w:szCs w:val="20"/>
                <w:color w:val="auto"/>
              </w:rPr>
            </w:pPr>
          </w:p>
        </w:tc>
      </w:tr>
      <w:tr>
        <w:trPr>
          <w:trHeight w:val="20"/>
        </w:trPr>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360" w:type="dxa"/>
            <w:vAlign w:val="bottom"/>
            <w:tcBorders>
              <w:left w:val="single" w:sz="8" w:color="0000FF"/>
            </w:tcBorders>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0" w:type="dxa"/>
            <w:vAlign w:val="bottom"/>
            <w:gridSpan w:val="3"/>
          </w:tcPr>
          <w:p>
            <w:pPr>
              <w:spacing w:after="0"/>
              <w:rPr>
                <w:sz w:val="20"/>
                <w:szCs w:val="20"/>
                <w:color w:val="auto"/>
              </w:rPr>
            </w:pPr>
            <w:r>
              <w:rPr>
                <w:rFonts w:ascii="Arial" w:cs="Arial" w:eastAsia="Arial" w:hAnsi="Arial"/>
                <w:sz w:val="18"/>
                <w:szCs w:val="18"/>
                <w:color w:val="0000FF"/>
                <w:w w:val="93"/>
              </w:rPr>
              <w:t>31(a)(2)</w:t>
            </w:r>
          </w:p>
        </w:tc>
        <w:tc>
          <w:tcPr>
            <w:tcW w:w="660" w:type="dxa"/>
            <w:vAlign w:val="bottom"/>
          </w:tcPr>
          <w:p>
            <w:pPr>
              <w:spacing w:after="0"/>
              <w:rPr>
                <w:sz w:val="18"/>
                <w:szCs w:val="18"/>
                <w:color w:val="auto"/>
              </w:rPr>
            </w:pPr>
          </w:p>
        </w:tc>
        <w:tc>
          <w:tcPr>
            <w:tcW w:w="9940" w:type="dxa"/>
            <w:vAlign w:val="bottom"/>
            <w:gridSpan w:val="17"/>
          </w:tcPr>
          <w:p>
            <w:pPr>
              <w:spacing w:after="0"/>
              <w:rPr>
                <w:sz w:val="20"/>
                <w:szCs w:val="20"/>
                <w:color w:val="auto"/>
              </w:rPr>
            </w:pPr>
            <w:r>
              <w:rPr>
                <w:rFonts w:ascii="Arial" w:cs="Arial" w:eastAsia="Arial" w:hAnsi="Arial"/>
                <w:sz w:val="18"/>
                <w:szCs w:val="18"/>
                <w:color w:val="0000FF"/>
              </w:rPr>
              <w:t>Certification of Xerox Corporation CEO pursuant to Rule 13a-14(a) or Rule 15d-14(a).</w:t>
            </w:r>
          </w:p>
        </w:tc>
      </w:tr>
      <w:tr>
        <w:trPr>
          <w:trHeight w:val="20"/>
        </w:trPr>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0" w:type="dxa"/>
            <w:vAlign w:val="bottom"/>
            <w:gridSpan w:val="3"/>
          </w:tcPr>
          <w:p>
            <w:pPr>
              <w:spacing w:after="0"/>
              <w:rPr>
                <w:sz w:val="20"/>
                <w:szCs w:val="20"/>
                <w:color w:val="auto"/>
              </w:rPr>
            </w:pPr>
            <w:r>
              <w:rPr>
                <w:rFonts w:ascii="Arial" w:cs="Arial" w:eastAsia="Arial" w:hAnsi="Arial"/>
                <w:sz w:val="18"/>
                <w:szCs w:val="18"/>
                <w:color w:val="0000FF"/>
                <w:w w:val="93"/>
              </w:rPr>
              <w:t>31(b)(1)</w:t>
            </w:r>
          </w:p>
        </w:tc>
        <w:tc>
          <w:tcPr>
            <w:tcW w:w="660" w:type="dxa"/>
            <w:vAlign w:val="bottom"/>
          </w:tcPr>
          <w:p>
            <w:pPr>
              <w:spacing w:after="0"/>
              <w:rPr>
                <w:sz w:val="18"/>
                <w:szCs w:val="18"/>
                <w:color w:val="auto"/>
              </w:rPr>
            </w:pPr>
          </w:p>
        </w:tc>
        <w:tc>
          <w:tcPr>
            <w:tcW w:w="9940" w:type="dxa"/>
            <w:vAlign w:val="bottom"/>
            <w:gridSpan w:val="17"/>
          </w:tcPr>
          <w:p>
            <w:pPr>
              <w:spacing w:after="0"/>
              <w:rPr>
                <w:sz w:val="20"/>
                <w:szCs w:val="20"/>
                <w:color w:val="auto"/>
              </w:rPr>
            </w:pPr>
            <w:r>
              <w:rPr>
                <w:rFonts w:ascii="Arial" w:cs="Arial" w:eastAsia="Arial" w:hAnsi="Arial"/>
                <w:sz w:val="18"/>
                <w:szCs w:val="18"/>
                <w:color w:val="0000FF"/>
              </w:rPr>
              <w:t>Certification of Xerox Holdings Corporation CFO pursuant to Rule 13a-14(a) or Rule 15d-14(a).</w:t>
            </w:r>
          </w:p>
        </w:tc>
      </w:tr>
      <w:tr>
        <w:trPr>
          <w:trHeight w:val="20"/>
        </w:trPr>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40" w:type="dxa"/>
            <w:vAlign w:val="bottom"/>
            <w:gridSpan w:val="3"/>
          </w:tcPr>
          <w:p>
            <w:pPr>
              <w:spacing w:after="0"/>
              <w:rPr>
                <w:sz w:val="20"/>
                <w:szCs w:val="20"/>
                <w:color w:val="auto"/>
              </w:rPr>
            </w:pPr>
            <w:r>
              <w:rPr>
                <w:rFonts w:ascii="Arial" w:cs="Arial" w:eastAsia="Arial" w:hAnsi="Arial"/>
                <w:sz w:val="18"/>
                <w:szCs w:val="18"/>
                <w:color w:val="0000FF"/>
                <w:w w:val="93"/>
              </w:rPr>
              <w:t>31(b)(2)</w:t>
            </w:r>
          </w:p>
        </w:tc>
        <w:tc>
          <w:tcPr>
            <w:tcW w:w="660" w:type="dxa"/>
            <w:vAlign w:val="bottom"/>
          </w:tcPr>
          <w:p>
            <w:pPr>
              <w:spacing w:after="0"/>
              <w:rPr>
                <w:sz w:val="18"/>
                <w:szCs w:val="18"/>
                <w:color w:val="auto"/>
              </w:rPr>
            </w:pPr>
          </w:p>
        </w:tc>
        <w:tc>
          <w:tcPr>
            <w:tcW w:w="9940" w:type="dxa"/>
            <w:vAlign w:val="bottom"/>
            <w:gridSpan w:val="17"/>
          </w:tcPr>
          <w:p>
            <w:pPr>
              <w:spacing w:after="0"/>
              <w:rPr>
                <w:sz w:val="20"/>
                <w:szCs w:val="20"/>
                <w:color w:val="auto"/>
              </w:rPr>
            </w:pPr>
            <w:r>
              <w:rPr>
                <w:rFonts w:ascii="Arial" w:cs="Arial" w:eastAsia="Arial" w:hAnsi="Arial"/>
                <w:sz w:val="18"/>
                <w:szCs w:val="18"/>
                <w:color w:val="0000FF"/>
              </w:rPr>
              <w:t>Certification of Xerox Corporation CFO pursuant to Rule 13a-14(a) or Rule 15d-14(a).</w:t>
            </w:r>
          </w:p>
        </w:tc>
      </w:tr>
      <w:tr>
        <w:trPr>
          <w:trHeight w:val="20"/>
        </w:trPr>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0" w:type="dxa"/>
            <w:vAlign w:val="bottom"/>
            <w:gridSpan w:val="3"/>
          </w:tcPr>
          <w:p>
            <w:pPr>
              <w:spacing w:after="0"/>
              <w:rPr>
                <w:sz w:val="20"/>
                <w:szCs w:val="20"/>
                <w:color w:val="auto"/>
              </w:rPr>
            </w:pPr>
            <w:r>
              <w:rPr>
                <w:rFonts w:ascii="Arial" w:cs="Arial" w:eastAsia="Arial" w:hAnsi="Arial"/>
                <w:sz w:val="18"/>
                <w:szCs w:val="18"/>
                <w:color w:val="0000FF"/>
              </w:rPr>
              <w:t>32(a)</w:t>
            </w:r>
          </w:p>
        </w:tc>
        <w:tc>
          <w:tcPr>
            <w:tcW w:w="660" w:type="dxa"/>
            <w:vAlign w:val="bottom"/>
          </w:tcPr>
          <w:p>
            <w:pPr>
              <w:spacing w:after="0"/>
              <w:rPr>
                <w:sz w:val="18"/>
                <w:szCs w:val="18"/>
                <w:color w:val="auto"/>
              </w:rPr>
            </w:pPr>
          </w:p>
        </w:tc>
        <w:tc>
          <w:tcPr>
            <w:tcW w:w="9940" w:type="dxa"/>
            <w:vAlign w:val="bottom"/>
            <w:gridSpan w:val="17"/>
          </w:tcPr>
          <w:p>
            <w:pPr>
              <w:spacing w:after="0"/>
              <w:rPr>
                <w:sz w:val="20"/>
                <w:szCs w:val="20"/>
                <w:color w:val="auto"/>
              </w:rPr>
            </w:pPr>
            <w:r>
              <w:rPr>
                <w:rFonts w:ascii="Arial" w:cs="Arial" w:eastAsia="Arial" w:hAnsi="Arial"/>
                <w:sz w:val="18"/>
                <w:szCs w:val="18"/>
                <w:color w:val="0000FF"/>
              </w:rPr>
              <w:t>Certification of Xerox Holdings Corporation CEO and CFO pursuant to 18 U.S.C. Section 1350, as adopted pursuant to</w:t>
            </w:r>
          </w:p>
        </w:tc>
      </w:tr>
      <w:tr>
        <w:trPr>
          <w:trHeight w:val="155"/>
        </w:trPr>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920" w:type="dxa"/>
            <w:vAlign w:val="bottom"/>
            <w:tcBorders>
              <w:top w:val="single" w:sz="8" w:color="0000FF"/>
            </w:tcBorders>
            <w:gridSpan w:val="16"/>
          </w:tcPr>
          <w:p>
            <w:pPr>
              <w:spacing w:after="0" w:line="156" w:lineRule="exact"/>
              <w:rPr>
                <w:sz w:val="20"/>
                <w:szCs w:val="20"/>
                <w:color w:val="auto"/>
              </w:rPr>
            </w:pPr>
            <w:r>
              <w:rPr>
                <w:rFonts w:ascii="Arial" w:cs="Arial" w:eastAsia="Arial" w:hAnsi="Arial"/>
                <w:sz w:val="18"/>
                <w:szCs w:val="18"/>
                <w:color w:val="0000FF"/>
              </w:rPr>
              <w:t>Section 906 of the Sarbanes-Oxley Act of 2002.</w:t>
            </w:r>
          </w:p>
        </w:tc>
        <w:tc>
          <w:tcPr>
            <w:tcW w:w="20" w:type="dxa"/>
            <w:vAlign w:val="bottom"/>
          </w:tcPr>
          <w:p>
            <w:pPr>
              <w:spacing w:after="0"/>
              <w:rPr>
                <w:sz w:val="13"/>
                <w:szCs w:val="13"/>
                <w:color w:val="auto"/>
              </w:rPr>
            </w:pPr>
          </w:p>
        </w:tc>
      </w:tr>
      <w:tr>
        <w:trPr>
          <w:trHeight w:val="20"/>
        </w:trPr>
        <w:tc>
          <w:tcPr>
            <w:tcW w:w="1300" w:type="dxa"/>
            <w:vAlign w:val="bottom"/>
            <w:tcBorders>
              <w:right w:val="single" w:sz="8" w:color="0000FF"/>
            </w:tcBorders>
            <w:gridSpan w:val="4"/>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612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300" w:type="dxa"/>
            <w:vAlign w:val="bottom"/>
            <w:gridSpan w:val="4"/>
          </w:tcPr>
          <w:p>
            <w:pPr>
              <w:spacing w:after="0"/>
              <w:rPr>
                <w:sz w:val="20"/>
                <w:szCs w:val="20"/>
                <w:color w:val="auto"/>
              </w:rPr>
            </w:pPr>
            <w:r>
              <w:rPr>
                <w:rFonts w:ascii="Arial" w:cs="Arial" w:eastAsia="Arial" w:hAnsi="Arial"/>
                <w:sz w:val="18"/>
                <w:szCs w:val="18"/>
                <w:color w:val="0000FF"/>
              </w:rPr>
              <w:t>32(b)</w:t>
            </w:r>
          </w:p>
        </w:tc>
        <w:tc>
          <w:tcPr>
            <w:tcW w:w="9940" w:type="dxa"/>
            <w:vAlign w:val="bottom"/>
            <w:gridSpan w:val="17"/>
          </w:tcPr>
          <w:p>
            <w:pPr>
              <w:spacing w:after="0"/>
              <w:rPr>
                <w:sz w:val="20"/>
                <w:szCs w:val="20"/>
                <w:color w:val="auto"/>
              </w:rPr>
            </w:pPr>
            <w:r>
              <w:rPr>
                <w:rFonts w:ascii="Arial" w:cs="Arial" w:eastAsia="Arial" w:hAnsi="Arial"/>
                <w:sz w:val="18"/>
                <w:szCs w:val="18"/>
                <w:color w:val="0000FF"/>
              </w:rPr>
              <w:t>Certification of Xerox Corporation CEO and CFO pursuant to 18 U.S.C. Section 1350, as adopted pursuant to Section 906 of</w:t>
            </w:r>
          </w:p>
        </w:tc>
      </w:tr>
      <w:tr>
        <w:trPr>
          <w:trHeight w:val="156"/>
        </w:trPr>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900" w:type="dxa"/>
            <w:vAlign w:val="bottom"/>
            <w:tcBorders>
              <w:top w:val="single" w:sz="8" w:color="0000FF"/>
            </w:tcBorders>
            <w:gridSpan w:val="15"/>
          </w:tcPr>
          <w:p>
            <w:pPr>
              <w:spacing w:after="0" w:line="156" w:lineRule="exact"/>
              <w:rPr>
                <w:sz w:val="20"/>
                <w:szCs w:val="20"/>
                <w:color w:val="auto"/>
              </w:rPr>
            </w:pPr>
            <w:r>
              <w:rPr>
                <w:rFonts w:ascii="Arial" w:cs="Arial" w:eastAsia="Arial" w:hAnsi="Arial"/>
                <w:sz w:val="18"/>
                <w:szCs w:val="18"/>
                <w:color w:val="0000FF"/>
              </w:rPr>
              <w:t>the Sarbanes-Oxley Act of 2002.</w:t>
            </w:r>
          </w:p>
        </w:tc>
        <w:tc>
          <w:tcPr>
            <w:tcW w:w="40" w:type="dxa"/>
            <w:vAlign w:val="bottom"/>
            <w:gridSpan w:val="2"/>
          </w:tcPr>
          <w:p>
            <w:pPr>
              <w:spacing w:after="0"/>
              <w:rPr>
                <w:sz w:val="13"/>
                <w:szCs w:val="13"/>
                <w:color w:val="auto"/>
              </w:rPr>
            </w:pPr>
          </w:p>
        </w:tc>
      </w:tr>
      <w:tr>
        <w:trPr>
          <w:trHeight w:val="20"/>
        </w:trPr>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8" w:name="page69"/>
    <w:bookmarkEnd w:id="68"/>
    <w:p>
      <w:pPr>
        <w:jc w:val="both"/>
        <w:ind w:left="1280" w:right="20" w:hanging="1274"/>
        <w:spacing w:after="0" w:line="221" w:lineRule="auto"/>
        <w:tabs>
          <w:tab w:leader="none" w:pos="1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following financial information from Xerox Holdings Corporation and Xerox Corporation's combined Quarterly Report on Form 10-Q for the quarter ended March 31, 2022 was formatted in iXBRL (Inline eXtensible Business Reporting Language):</w:t>
      </w:r>
    </w:p>
    <w:p>
      <w:pPr>
        <w:spacing w:after="0" w:line="1" w:lineRule="exact"/>
        <w:rPr>
          <w:rFonts w:ascii="Arial" w:cs="Arial" w:eastAsia="Arial" w:hAnsi="Arial"/>
          <w:sz w:val="18"/>
          <w:szCs w:val="18"/>
          <w:color w:val="auto"/>
        </w:rPr>
      </w:pPr>
    </w:p>
    <w:p>
      <w:pPr>
        <w:jc w:val="both"/>
        <w:ind w:left="1280" w:right="20" w:firstLine="8"/>
        <w:spacing w:after="0" w:line="215" w:lineRule="auto"/>
        <w:tabs>
          <w:tab w:leader="none" w:pos="1528" w:val="left"/>
        </w:tabs>
        <w:numPr>
          <w:ilvl w:val="1"/>
          <w:numId w:val="63"/>
        </w:numPr>
        <w:rPr>
          <w:rFonts w:ascii="Arial" w:cs="Arial" w:eastAsia="Arial" w:hAnsi="Arial"/>
          <w:sz w:val="18"/>
          <w:szCs w:val="18"/>
          <w:color w:val="auto"/>
        </w:rPr>
      </w:pPr>
      <w:r>
        <w:rPr>
          <w:rFonts w:ascii="Arial" w:cs="Arial" w:eastAsia="Arial" w:hAnsi="Arial"/>
          <w:sz w:val="18"/>
          <w:szCs w:val="18"/>
          <w:color w:val="auto"/>
        </w:rPr>
        <w:t>Xerox Holdings Corporation Condensed Consolidated Statements of (Loss) Income, (ii) Xerox Holdings Corporation Condensed Consolidated Statements of Comprehensive (Loss) Income, (iii) Xerox Holdings Corporation Condensed Consolidated Balance Sheets, (iv) Xerox Holdings Corporation Condensed Consolidated Statements of Cash Flows, (v) Xerox Corporation Condensed Consolidated Statements of (Loss) Income, (vi) Xerox Corporation Condensed Consolidated Statements of Comprehensive (Loss) Income, (vii) Xerox Corporation Condensed Consolidated Balance Sheets, (viii) Xerox Corporation Condensed Consolidated Statements of Cash Flows, and (ix) Notes to the Condensed Consolidated Financial Statements.</w:t>
      </w:r>
    </w:p>
    <w:p>
      <w:pPr>
        <w:spacing w:after="0" w:line="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this Quarterly Report on Form 10-Q,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4"/>
          <w:szCs w:val="14"/>
          <w:color w:val="DA2031"/>
        </w:rPr>
        <w:t xml:space="preserve">Xerox 2022 Form 10-Q </w:t>
      </w:r>
      <w:r>
        <w:rPr>
          <w:rFonts w:ascii="Arial" w:cs="Arial" w:eastAsia="Arial" w:hAnsi="Arial"/>
          <w:sz w:val="17"/>
          <w:szCs w:val="17"/>
          <w:color w:val="DA2031"/>
        </w:rPr>
        <w:t>68</w:t>
      </w:r>
    </w:p>
    <w:p>
      <w:pPr>
        <w:sectPr>
          <w:pgSz w:w="11900" w:h="16838" w:orient="portrait"/>
          <w:cols w:equalWidth="0" w:num="1">
            <w:col w:w="11220"/>
          </w:cols>
          <w:pgMar w:left="340" w:top="890"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DA2031"/>
        </w:rPr>
        <w:t>EXHIBIT 31(a)(1)</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DA2031"/>
        </w:rPr>
        <w:t>Xerox Holdings Corporation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CEO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Giovanni Visentin, certify that:</w:t>
      </w:r>
    </w:p>
    <w:p>
      <w:pPr>
        <w:spacing w:after="0" w:line="171" w:lineRule="exact"/>
        <w:rPr>
          <w:sz w:val="20"/>
          <w:szCs w:val="20"/>
          <w:color w:val="auto"/>
        </w:rPr>
      </w:pPr>
    </w:p>
    <w:p>
      <w:pPr>
        <w:ind w:left="640" w:hanging="632"/>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Xerox Holdings Corporation;</w:t>
      </w:r>
    </w:p>
    <w:p>
      <w:pPr>
        <w:spacing w:after="0" w:line="117"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4"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644"/>
        <w:spacing w:after="0" w:line="287" w:lineRule="auto"/>
        <w:tabs>
          <w:tab w:leader="none" w:pos="129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May 3, 2022</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w:t>
      </w:r>
      <w:r>
        <w:rPr>
          <w:rFonts w:ascii="Arial" w:cs="Arial" w:eastAsia="Arial" w:hAnsi="Arial"/>
          <w:sz w:val="14"/>
          <w:szCs w:val="14"/>
          <w:color w:val="auto"/>
        </w:rPr>
        <w:t>IOVANNI</w:t>
      </w:r>
      <w:r>
        <w:rPr>
          <w:rFonts w:ascii="Arial" w:cs="Arial" w:eastAsia="Arial" w:hAnsi="Arial"/>
          <w:sz w:val="18"/>
          <w:szCs w:val="18"/>
          <w:color w:val="auto"/>
        </w:rPr>
        <w:t xml:space="preserve"> V</w:t>
      </w:r>
      <w:r>
        <w:rPr>
          <w:rFonts w:ascii="Arial" w:cs="Arial" w:eastAsia="Arial" w:hAnsi="Arial"/>
          <w:sz w:val="14"/>
          <w:szCs w:val="14"/>
          <w:color w:val="auto"/>
        </w:rPr>
        <w:t>ISENTIN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6116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Giovanni Visentin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122"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DA2031"/>
        </w:rPr>
        <w:t>EXHIBIT 31(a)(2)</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DA2031"/>
        </w:rPr>
        <w:t>Xerox Corporation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CEO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Giovanni Visentin, certify that:</w:t>
      </w:r>
    </w:p>
    <w:p>
      <w:pPr>
        <w:spacing w:after="0" w:line="171" w:lineRule="exact"/>
        <w:rPr>
          <w:sz w:val="20"/>
          <w:szCs w:val="20"/>
          <w:color w:val="auto"/>
        </w:rPr>
      </w:pPr>
    </w:p>
    <w:p>
      <w:pPr>
        <w:ind w:left="640" w:hanging="632"/>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Xerox Corporation;</w:t>
      </w:r>
    </w:p>
    <w:p>
      <w:pPr>
        <w:spacing w:after="0" w:line="117"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4"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644"/>
        <w:spacing w:after="0" w:line="287" w:lineRule="auto"/>
        <w:tabs>
          <w:tab w:leader="none" w:pos="129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May 3, 2022</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w:t>
      </w:r>
      <w:r>
        <w:rPr>
          <w:rFonts w:ascii="Arial" w:cs="Arial" w:eastAsia="Arial" w:hAnsi="Arial"/>
          <w:sz w:val="14"/>
          <w:szCs w:val="14"/>
          <w:color w:val="auto"/>
        </w:rPr>
        <w:t>IOVANNI</w:t>
      </w:r>
      <w:r>
        <w:rPr>
          <w:rFonts w:ascii="Arial" w:cs="Arial" w:eastAsia="Arial" w:hAnsi="Arial"/>
          <w:sz w:val="18"/>
          <w:szCs w:val="18"/>
          <w:color w:val="auto"/>
        </w:rPr>
        <w:t xml:space="preserve"> V</w:t>
      </w:r>
      <w:r>
        <w:rPr>
          <w:rFonts w:ascii="Arial" w:cs="Arial" w:eastAsia="Arial" w:hAnsi="Arial"/>
          <w:sz w:val="14"/>
          <w:szCs w:val="14"/>
          <w:color w:val="auto"/>
        </w:rPr>
        <w:t>ISENTIN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6116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Giovanni Visentin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122"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DA2031"/>
        </w:rPr>
        <w:t>EXHIBIT 31(b)(1)</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DA2031"/>
        </w:rPr>
        <w:t>Xerox Holdings Corporation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CFO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Xavier Heiss, certify that:</w:t>
      </w:r>
    </w:p>
    <w:p>
      <w:pPr>
        <w:spacing w:after="0" w:line="225" w:lineRule="exact"/>
        <w:rPr>
          <w:sz w:val="20"/>
          <w:szCs w:val="20"/>
          <w:color w:val="auto"/>
        </w:rPr>
      </w:pPr>
    </w:p>
    <w:p>
      <w:pPr>
        <w:ind w:left="640" w:hanging="632"/>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Xerox Holdings Corporation;</w:t>
      </w:r>
    </w:p>
    <w:p>
      <w:pPr>
        <w:spacing w:after="0" w:line="117"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4" w:val="left"/>
        </w:tabs>
        <w:numPr>
          <w:ilvl w:val="1"/>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644"/>
        <w:spacing w:after="0" w:line="287" w:lineRule="auto"/>
        <w:tabs>
          <w:tab w:leader="none" w:pos="129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May 3, 2022</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w:t>
      </w:r>
      <w:r>
        <w:rPr>
          <w:rFonts w:ascii="Arial" w:cs="Arial" w:eastAsia="Arial" w:hAnsi="Arial"/>
          <w:sz w:val="14"/>
          <w:szCs w:val="14"/>
          <w:color w:val="auto"/>
        </w:rPr>
        <w:t>AVIER</w:t>
      </w:r>
      <w:r>
        <w:rPr>
          <w:rFonts w:ascii="Arial" w:cs="Arial" w:eastAsia="Arial" w:hAnsi="Arial"/>
          <w:sz w:val="18"/>
          <w:szCs w:val="18"/>
          <w:color w:val="auto"/>
        </w:rPr>
        <w:t xml:space="preserve"> H</w:t>
      </w:r>
      <w:r>
        <w:rPr>
          <w:rFonts w:ascii="Arial" w:cs="Arial" w:eastAsia="Arial" w:hAnsi="Arial"/>
          <w:sz w:val="14"/>
          <w:szCs w:val="14"/>
          <w:color w:val="auto"/>
        </w:rPr>
        <w:t>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427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Xavier Heiss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122"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DA2031"/>
        </w:rPr>
        <w:t>EXHIBIT 31(b)(2)</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DA2031"/>
        </w:rPr>
        <w:t>Xerox Corporation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CFO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Xavier Heiss, certify that:</w:t>
      </w:r>
    </w:p>
    <w:p>
      <w:pPr>
        <w:spacing w:after="0" w:line="198" w:lineRule="exact"/>
        <w:rPr>
          <w:sz w:val="20"/>
          <w:szCs w:val="20"/>
          <w:color w:val="auto"/>
        </w:rPr>
      </w:pPr>
    </w:p>
    <w:p>
      <w:pPr>
        <w:ind w:left="640" w:hanging="632"/>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Xerox Corporation;</w:t>
      </w:r>
    </w:p>
    <w:p>
      <w:pPr>
        <w:spacing w:after="0" w:line="117"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4" w:val="left"/>
        </w:tabs>
        <w:numPr>
          <w:ilvl w:val="1"/>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644"/>
        <w:spacing w:after="0" w:line="287" w:lineRule="auto"/>
        <w:tabs>
          <w:tab w:leader="none" w:pos="129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May 3, 2022</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w:t>
      </w:r>
      <w:r>
        <w:rPr>
          <w:rFonts w:ascii="Arial" w:cs="Arial" w:eastAsia="Arial" w:hAnsi="Arial"/>
          <w:sz w:val="14"/>
          <w:szCs w:val="14"/>
          <w:color w:val="auto"/>
        </w:rPr>
        <w:t>AVIER</w:t>
      </w:r>
      <w:r>
        <w:rPr>
          <w:rFonts w:ascii="Arial" w:cs="Arial" w:eastAsia="Arial" w:hAnsi="Arial"/>
          <w:sz w:val="18"/>
          <w:szCs w:val="18"/>
          <w:color w:val="auto"/>
        </w:rPr>
        <w:t xml:space="preserve"> H</w:t>
      </w:r>
      <w:r>
        <w:rPr>
          <w:rFonts w:ascii="Arial" w:cs="Arial" w:eastAsia="Arial" w:hAnsi="Arial"/>
          <w:sz w:val="14"/>
          <w:szCs w:val="14"/>
          <w:color w:val="auto"/>
        </w:rPr>
        <w:t>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427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Xavier Heiss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122"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DA2031"/>
        </w:rPr>
        <w:t>EXHIBIT 32(a)</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DA2031"/>
        </w:rPr>
        <w:t>Xerox Holdings Corporation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CERTIFICATION OF CEO AND CFO PURSUANT TO 18 U.S.C. § 1350,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AS ADOPTED PURSUANT TO § 906 OF THE SARBANES-OXLEY ACT OF 2002</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Form 10-Q of Xerox Holdings Corporation, a New York corporation (the “Company”), for the quarter ended March 31, 2022, as filed with the Securities and Exchange Commission on the date hereof (the “Report”), Giovanni Visentin, Vice Chairman and Chief Executive Officer of the Company, and Xavier Heiss, Executive Vice President and Chief Financial Officer of the Company, each hereby certifies, pursuant to 18 U.S.C. § 1350, as adopted pursuant to § 906 of the Sarbanes-Oxley Act of 2002, to the best of his/her knowledge, that:</w:t>
      </w:r>
    </w:p>
    <w:p>
      <w:pPr>
        <w:spacing w:after="0" w:line="152" w:lineRule="exact"/>
        <w:rPr>
          <w:sz w:val="20"/>
          <w:szCs w:val="20"/>
          <w:color w:val="auto"/>
        </w:rPr>
      </w:pPr>
    </w:p>
    <w:p>
      <w:pPr>
        <w:ind w:left="320" w:hanging="312"/>
        <w:spacing w:after="0"/>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340" w:hanging="332"/>
        <w:spacing w:after="0" w:line="266" w:lineRule="auto"/>
        <w:tabs>
          <w:tab w:leader="none" w:pos="33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w:t>
      </w:r>
      <w:r>
        <w:rPr>
          <w:rFonts w:ascii="Arial" w:cs="Arial" w:eastAsia="Arial" w:hAnsi="Arial"/>
          <w:sz w:val="14"/>
          <w:szCs w:val="14"/>
          <w:color w:val="auto"/>
        </w:rPr>
        <w:t>IOVANNI</w:t>
      </w:r>
      <w:r>
        <w:rPr>
          <w:rFonts w:ascii="Arial" w:cs="Arial" w:eastAsia="Arial" w:hAnsi="Arial"/>
          <w:sz w:val="18"/>
          <w:szCs w:val="18"/>
          <w:color w:val="auto"/>
        </w:rPr>
        <w:t xml:space="preserve"> V</w:t>
      </w:r>
      <w:r>
        <w:rPr>
          <w:rFonts w:ascii="Arial" w:cs="Arial" w:eastAsia="Arial" w:hAnsi="Arial"/>
          <w:sz w:val="14"/>
          <w:szCs w:val="14"/>
          <w:color w:val="auto"/>
        </w:rPr>
        <w:t>ISENTIN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173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Giovanni Visentin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Chief Executive Officer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May 3, 2022</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w:t>
      </w:r>
      <w:r>
        <w:rPr>
          <w:rFonts w:ascii="Arial" w:cs="Arial" w:eastAsia="Arial" w:hAnsi="Arial"/>
          <w:sz w:val="14"/>
          <w:szCs w:val="14"/>
          <w:color w:val="auto"/>
        </w:rPr>
        <w:t>AVIER</w:t>
      </w:r>
      <w:r>
        <w:rPr>
          <w:rFonts w:ascii="Arial" w:cs="Arial" w:eastAsia="Arial" w:hAnsi="Arial"/>
          <w:sz w:val="18"/>
          <w:szCs w:val="18"/>
          <w:color w:val="auto"/>
        </w:rPr>
        <w:t xml:space="preserve"> H</w:t>
      </w:r>
      <w:r>
        <w:rPr>
          <w:rFonts w:ascii="Arial" w:cs="Arial" w:eastAsia="Arial" w:hAnsi="Arial"/>
          <w:sz w:val="14"/>
          <w:szCs w:val="14"/>
          <w:color w:val="auto"/>
        </w:rPr>
        <w:t>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173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Xavier Heiss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Chief Financial Officer</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May 3, 2022</w:t>
      </w:r>
    </w:p>
    <w:p>
      <w:pPr>
        <w:spacing w:after="0" w:line="3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 906 has been provided to Xerox Holdings Corporation and will be retained by Xerox Holdings Corporation and furnished to the Securities and Exchange Commission or its staff upon request.</w:t>
      </w:r>
    </w:p>
    <w:p>
      <w:pPr>
        <w:sectPr>
          <w:pgSz w:w="11900" w:h="16838" w:orient="portrait"/>
          <w:cols w:equalWidth="0" w:num="1">
            <w:col w:w="11240"/>
          </w:cols>
          <w:pgMar w:left="320" w:top="122"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DA2031"/>
        </w:rPr>
        <w:t>EXHIBIT 32(b)</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DA2031"/>
        </w:rPr>
        <w:t>Xerox Corporation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CERTIFICATION OF CEO AND CFO PURSUANT TO 18 U.S.C. § 1350,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AS ADOPTED PURSUANT TO § 906 OF THE SARBANES-OXLEY ACT OF 2002</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Form 10-Q of Xerox Corporation, a New York corporation (the “Company”), for the quarter ended March 31, 2022, as filed with the Securities and Exchange Commission on the date hereof (the “Report”), Giovanni Visentin, Vice Chairman and Chief Executive Officer of the Company, and Xavier Heiss, Executive Vice President and Chief Financial Officer of the Company, each hereby certifies, pursuant to 18 U.S.C. § 1350, as adopted pursuant to § 906 of the Sarbanes-Oxley Act of 2002, to the best of his/her knowledge, that:</w:t>
      </w:r>
    </w:p>
    <w:p>
      <w:pPr>
        <w:spacing w:after="0" w:line="176"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340" w:hanging="332"/>
        <w:spacing w:after="0" w:line="266" w:lineRule="auto"/>
        <w:tabs>
          <w:tab w:leader="none" w:pos="33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IOVANNI</w:t>
      </w:r>
      <w:r>
        <w:rPr>
          <w:rFonts w:ascii="Arial" w:cs="Arial" w:eastAsia="Arial" w:hAnsi="Arial"/>
          <w:sz w:val="18"/>
          <w:szCs w:val="18"/>
          <w:color w:val="auto"/>
        </w:rPr>
        <w:t xml:space="preserve"> V</w:t>
      </w:r>
      <w:r>
        <w:rPr>
          <w:rFonts w:ascii="Arial" w:cs="Arial" w:eastAsia="Arial" w:hAnsi="Arial"/>
          <w:sz w:val="14"/>
          <w:szCs w:val="14"/>
          <w:color w:val="auto"/>
        </w:rPr>
        <w:t>ISENTIN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599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Giovanni Visentin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Chief Executive Officer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May 3, 2022</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X</w:t>
      </w:r>
      <w:r>
        <w:rPr>
          <w:rFonts w:ascii="Arial" w:cs="Arial" w:eastAsia="Arial" w:hAnsi="Arial"/>
          <w:sz w:val="14"/>
          <w:szCs w:val="14"/>
          <w:color w:val="auto"/>
        </w:rPr>
        <w:t>AVIER</w:t>
      </w:r>
      <w:r>
        <w:rPr>
          <w:rFonts w:ascii="Arial" w:cs="Arial" w:eastAsia="Arial" w:hAnsi="Arial"/>
          <w:sz w:val="18"/>
          <w:szCs w:val="18"/>
          <w:color w:val="auto"/>
        </w:rPr>
        <w:t xml:space="preserve"> H</w:t>
      </w:r>
      <w:r>
        <w:rPr>
          <w:rFonts w:ascii="Arial" w:cs="Arial" w:eastAsia="Arial" w:hAnsi="Arial"/>
          <w:sz w:val="14"/>
          <w:szCs w:val="14"/>
          <w:color w:val="auto"/>
        </w:rPr>
        <w:t>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599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Xavier Heiss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Chief Financial Officer</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May 3, 2022</w:t>
      </w:r>
    </w:p>
    <w:p>
      <w:pPr>
        <w:spacing w:after="0" w:line="3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 906 has been provided to Xerox Corporation and will be retained by Xerox Corporation and furnished to the Securities and Exchange Commission or its staff upon request.</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1)"/>
      <w:numFmt w:val="decimal"/>
      <w:start w:val="1"/>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1)"/>
      <w:numFmt w:val="decimal"/>
      <w:start w:val="1"/>
    </w:lvl>
  </w:abstractNum>
  <w:abstractNum w:abstractNumId="13">
    <w:nsid w:val="3855585C"/>
    <w:multiLevelType w:val="hybridMultilevel"/>
    <w:lvl w:ilvl="0">
      <w:lvlJc w:val="left"/>
      <w:lvlText w:val="(%1)"/>
      <w:numFmt w:val="decimal"/>
      <w:start w:val="1"/>
    </w:lvl>
  </w:abstractNum>
  <w:abstractNum w:abstractNumId="14">
    <w:nsid w:val="70A64E2A"/>
    <w:multiLevelType w:val="hybridMultilevel"/>
    <w:lvl w:ilvl="0">
      <w:lvlJc w:val="left"/>
      <w:lvlText w:val="(%1)"/>
      <w:numFmt w:val="decimal"/>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1)"/>
      <w:numFmt w:val="decimal"/>
      <w:start w:val="1"/>
    </w:lvl>
  </w:abstractNum>
  <w:abstractNum w:abstractNumId="18">
    <w:nsid w:val="725A06FB"/>
    <w:multiLevelType w:val="hybridMultilevel"/>
    <w:lvl w:ilvl="0">
      <w:lvlJc w:val="left"/>
      <w:lvlText w:val="(%1)"/>
      <w:numFmt w:val="decimal"/>
      <w:start w:val="1"/>
    </w:lvl>
    <w:lvl w:ilvl="1">
      <w:lvlJc w:val="left"/>
      <w:lvlText w:val="%2."/>
      <w:numFmt w:val="lowerLetter"/>
      <w:start w:val="1"/>
    </w:lvl>
  </w:abstractNum>
  <w:abstractNum w:abstractNumId="19">
    <w:nsid w:val="2CD89A32"/>
    <w:multiLevelType w:val="hybridMultilevel"/>
    <w:lvl w:ilvl="0">
      <w:lvlJc w:val="left"/>
      <w:lvlText w:val="(%1)"/>
      <w:numFmt w:val="decimal"/>
      <w:start w:val="1"/>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1)"/>
      <w:numFmt w:val="decimal"/>
      <w:start w:val="1"/>
    </w:lvl>
  </w:abstractNum>
  <w:abstractNum w:abstractNumId="23">
    <w:nsid w:val="542289EC"/>
    <w:multiLevelType w:val="hybridMultilevel"/>
    <w:lvl w:ilvl="0">
      <w:lvlJc w:val="left"/>
      <w:lvlText w:val="(%1)"/>
      <w:numFmt w:val="decimal"/>
      <w:start w:val="1"/>
    </w:lvl>
  </w:abstractNum>
  <w:abstractNum w:abstractNumId="24">
    <w:nsid w:val="6DE91B18"/>
    <w:multiLevelType w:val="hybridMultilevel"/>
    <w:lvl w:ilvl="0">
      <w:lvlJc w:val="left"/>
      <w:lvlText w:val="(%1)"/>
      <w:numFmt w:val="decimal"/>
      <w:start w:val="1"/>
    </w:lvl>
  </w:abstractNum>
  <w:abstractNum w:abstractNumId="25">
    <w:nsid w:val="38437FDB"/>
    <w:multiLevelType w:val="hybridMultilevel"/>
    <w:lvl w:ilvl="0">
      <w:lvlJc w:val="left"/>
      <w:lvlText w:val="%1)"/>
      <w:numFmt w:val="lowerRoman"/>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1)"/>
      <w:numFmt w:val="decimal"/>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1)"/>
      <w:numFmt w:val="decimal"/>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1)"/>
      <w:numFmt w:val="decimal"/>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1)"/>
      <w:numFmt w:val="decimal"/>
      <w:start w:val="1"/>
    </w:lvl>
  </w:abstractNum>
  <w:abstractNum w:abstractNumId="36">
    <w:nsid w:val="70C6A529"/>
    <w:multiLevelType w:val="hybridMultilevel"/>
    <w:lvl w:ilvl="0">
      <w:lvlJc w:val="left"/>
      <w:lvlText w:val="(%1)"/>
      <w:numFmt w:val="decimal"/>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1)"/>
      <w:numFmt w:val="decimal"/>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1)"/>
      <w:numFmt w:val="decimal"/>
      <w:start w:val="1"/>
    </w:lvl>
  </w:abstractNum>
  <w:abstractNum w:abstractNumId="47">
    <w:nsid w:val="47398C89"/>
    <w:multiLevelType w:val="hybridMultilevel"/>
    <w:lvl w:ilvl="0">
      <w:lvlJc w:val="left"/>
      <w:lvlText w:val="(%1)"/>
      <w:numFmt w:val="decimal"/>
      <w:start w:val="1"/>
    </w:lvl>
  </w:abstractNum>
  <w:abstractNum w:abstractNumId="48">
    <w:nsid w:val="354FE9F9"/>
    <w:multiLevelType w:val="hybridMultilevel"/>
    <w:lvl w:ilvl="0">
      <w:lvlJc w:val="left"/>
      <w:lvlText w:val="(%1)"/>
      <w:numFmt w:val="decimal"/>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1)"/>
      <w:numFmt w:val="decimal"/>
      <w:start w:val="1"/>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1)"/>
      <w:numFmt w:val="lowerLetter"/>
      <w:start w:val="1"/>
    </w:lvl>
  </w:abstractNum>
  <w:abstractNum w:abstractNumId="54">
    <w:nsid w:val="61574095"/>
    <w:multiLevelType w:val="hybridMultilevel"/>
    <w:lvl w:ilvl="0">
      <w:lvlJc w:val="left"/>
      <w:lvlText w:val="(%1)"/>
      <w:numFmt w:val="lowerLetter"/>
      <w:start w:val="2"/>
    </w:lvl>
  </w:abstractNum>
  <w:abstractNum w:abstractNumId="55">
    <w:nsid w:val="7E0C57B1"/>
    <w:multiLevelType w:val="hybridMultilevel"/>
    <w:lvl w:ilvl="0">
      <w:lvlJc w:val="left"/>
      <w:lvlText w:val="(%1)"/>
      <w:numFmt w:val="lowerLetter"/>
      <w:start w:val="1"/>
    </w:lvl>
    <w:lvl w:ilvl="1">
      <w:lvlJc w:val="left"/>
      <w:lvlText w:val="(%2)"/>
      <w:numFmt w:val="lowerLetter"/>
      <w:start w:val="1"/>
    </w:lvl>
  </w:abstractNum>
  <w:abstractNum w:abstractNumId="56">
    <w:nsid w:val="77AE35EB"/>
    <w:multiLevelType w:val="hybridMultilevel"/>
    <w:lvl w:ilvl="0">
      <w:lvlJc w:val="left"/>
      <w:lvlText w:val="(%1)"/>
      <w:numFmt w:val="lowerLetter"/>
      <w:start w:val="1"/>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decimal"/>
      <w:start w:val="1"/>
    </w:lvl>
  </w:abstractNum>
  <w:abstractNum w:abstractNumId="59">
    <w:nsid w:val="5FF87E05"/>
    <w:multiLevelType w:val="hybridMultilevel"/>
    <w:lvl w:ilvl="0">
      <w:lvlJc w:val="left"/>
      <w:lvlText w:val="4"/>
      <w:numFmt w:val="bullet"/>
      <w:start w:val="1"/>
    </w:lvl>
  </w:abstractNum>
  <w:abstractNum w:abstractNumId="60">
    <w:nsid w:val="2F305DEF"/>
    <w:multiLevelType w:val="hybridMultilevel"/>
    <w:lvl w:ilvl="0">
      <w:lvlJc w:val="left"/>
      <w:lvlText w:val="%1"/>
      <w:numFmt w:val="decimal"/>
      <w:start w:val="101"/>
    </w:lvl>
    <w:lvl w:ilvl="1">
      <w:lvlJc w:val="left"/>
      <w:lvlText w:val="(%2)"/>
      <w:numFmt w:val="lowerRoman"/>
      <w:start w:val="1"/>
    </w:lvl>
  </w:abstractNum>
  <w:abstractNum w:abstractNumId="61">
    <w:nsid w:val="25A70BF7"/>
    <w:multiLevelType w:val="hybridMultilevel"/>
    <w:lvl w:ilvl="0">
      <w:lvlJc w:val="left"/>
      <w:lvlText w:val="4"/>
      <w:numFmt w:val="bullet"/>
      <w:start w:val="1"/>
    </w:lvl>
  </w:abstractNum>
  <w:abstractNum w:abstractNumId="62">
    <w:nsid w:val="1DBABF00"/>
    <w:multiLevelType w:val="hybridMultilevel"/>
    <w:lvl w:ilvl="0">
      <w:lvlJc w:val="left"/>
      <w:lvlText w:val="%1"/>
      <w:numFmt w:val="decimal"/>
      <w:start w:val="101"/>
    </w:lvl>
    <w:lvl w:ilvl="1">
      <w:lvlJc w:val="left"/>
      <w:lvlText w:val="(%2)"/>
      <w:numFmt w:val="lowerRoman"/>
      <w:start w:val="1"/>
    </w:lvl>
  </w:abstractNum>
  <w:abstractNum w:abstractNumId="63">
    <w:nsid w:val="4AD084E9"/>
    <w:multiLevelType w:val="hybridMultilevel"/>
    <w:lvl w:ilvl="0">
      <w:lvlJc w:val="left"/>
      <w:lvlText w:val="%1."/>
      <w:numFmt w:val="decimal"/>
      <w:start w:val="1"/>
    </w:lvl>
    <w:lvl w:ilvl="1">
      <w:lvlJc w:val="left"/>
      <w:lvlText w:val="(%2)"/>
      <w:numFmt w:val="lowerLetter"/>
      <w:start w:val="1"/>
    </w:lvl>
  </w:abstractNum>
  <w:abstractNum w:abstractNumId="64">
    <w:nsid w:val="1F48EAA1"/>
    <w:multiLevelType w:val="hybridMultilevel"/>
    <w:lvl w:ilvl="0">
      <w:lvlJc w:val="left"/>
      <w:lvlText w:val="%1."/>
      <w:numFmt w:val="decimal"/>
      <w:start w:val="1"/>
    </w:lvl>
    <w:lvl w:ilvl="1">
      <w:lvlJc w:val="left"/>
      <w:lvlText w:val="(%2)"/>
      <w:numFmt w:val="lowerLetter"/>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75" Type="http://schemas.openxmlformats.org/officeDocument/2006/relationships/hyperlink" Target="http://www.sec.gov/Archives/edgar/data/108772/000119312522046690/d390268dex32.htm" TargetMode="External"/><Relationship Id="rId76" Type="http://schemas.openxmlformats.org/officeDocument/2006/relationships/hyperlink" Target="http://www.sec.gov/Archives/edgar/data/108772/000177045022000010/xrx-123121xex3b2xeroxholdi.htm" TargetMode="External"/><Relationship Id="rId77" Type="http://schemas.openxmlformats.org/officeDocument/2006/relationships/hyperlink" Target="http://www.sec.gov/Archives/edgar/data/108772/000119312522085238/d286795dex41.htm" TargetMode="External"/><Relationship Id="rId78" Type="http://schemas.openxmlformats.org/officeDocument/2006/relationships/hyperlink" Target="http://www.sec.gov/Archives/edgar/data/108772/000177045022000010/xrx-123121xex10f142021mip.htm" TargetMode="External"/><Relationship Id="rId79" Type="http://schemas.openxmlformats.org/officeDocument/2006/relationships/hyperlink" Target="http://www.sec.gov/Archives/edgar/data/108772/000177045022000010/xrx-123121xex10f17exltipps.htm" TargetMode="External"/><Relationship Id="rId80" Type="http://schemas.openxmlformats.org/officeDocument/2006/relationships/hyperlink" Target="http://www.sec.gov/Archives/edgar/data/108772/000177045022000010/xrx-123121xex10f18exltiprs.htm" TargetMode="External"/><Relationship Id="rId81" Type="http://schemas.openxmlformats.org/officeDocument/2006/relationships/hyperlink" Target="http://www.sec.gov/Archives/edgar/data/108772/000177045022000010/xrx-123121xex10f19exltiprs.htm" TargetMode="External"/><Relationship Id="rId82" Type="http://schemas.openxmlformats.org/officeDocument/2006/relationships/hyperlink" Target="http://www.sec.gov/Archives/edgar/data/108772/000177045022000010/xrx-123121xex10f202022inte.htm" TargetMode="External"/><Relationship Id="rId83" Type="http://schemas.openxmlformats.org/officeDocument/2006/relationships/hyperlink" Target="http://www.sec.gov/Archives/edgar/data/108772/000177045022000010/xrx-123121xex10f212022mip.htm" TargetMode="External"/><Relationship Id="rId84" Type="http://schemas.openxmlformats.org/officeDocument/2006/relationships/hyperlink" Target="http://www.sec.gov/Archives/edgar/data/108772/000177045022000010/xrx-123121xex10f222022exl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2022-05-03T16:01:23Z</dcterms:created>
  <dcterms:modified xsi:type="dcterms:W3CDTF">2022-05-03T16:01:23Z</dcterms:modified>
</cp:coreProperties>
</file>