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PASTOR LOUIS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XEROX HOLDINGS CORPORATION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P.O. BOX 4505 401 MERITT 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NORWALK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0651-10156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Xerox Holdings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XRX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See Remarks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09/11/2026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7"/>
        <w:gridCol w:w="900"/>
        <w:gridCol w:w="771"/>
        <w:gridCol w:w="598"/>
        <w:gridCol w:w="345"/>
        <w:gridCol w:w="965"/>
        <w:gridCol w:w="447"/>
        <w:gridCol w:w="663"/>
        <w:gridCol w:w="1267"/>
        <w:gridCol w:w="987"/>
        <w:gridCol w:w="91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7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6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6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Stock Unit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19,655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2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1,493,519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19,655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2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230,803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6,160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3.43</w:t>
            </w:r>
          </w:p>
        </w:tc>
        <w:tc>
          <w:tcPr>
            <w:tcW w:w="12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224,643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On May 21, 2025 the reporting person was granted an award of 235,850 Restricted Stock Units, which vests in in nine installments with one-third (33.33%) vesting on March 11, 2026, and the remainder vesting equally over the following eight (8) quarters.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Restricted Stock Units convert into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Of the 19,655 Restricted Stock Units that vested, 6,160 were withheld and disposed of for taxes.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Chief Executive Officer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Eric Risi,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19344" TargetMode="External"/><Relationship Id="rId5" Type="http://schemas.openxmlformats.org/officeDocument/2006/relationships/hyperlink" Target="http://www.sec.gov/cgi-bin/browse-edgar?action=getcompany&amp;CIK=000177045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661</Words>
  <Characters>3571</Characters>
  <CharactersWithSpaces>4144</CharactersWithSpaces>
  <Paragraphs>117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