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Twomey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XEROX HOLDINGS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4505 401 MERITT 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0651-10156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Xerox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5"/>
        <w:gridCol w:w="902"/>
        <w:gridCol w:w="771"/>
        <w:gridCol w:w="599"/>
        <w:gridCol w:w="350"/>
        <w:gridCol w:w="892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141,389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May 21, 2025 the reporting person was granted an award of 58,056 Restricted Stock Units, which vests in in nine installments with one-third (33.33%) vesting on March 11, 2026, and the remainder vesting equally over the following eight (8) quarters.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4,839 Restricted Stock Units that vested, 2,083 were withheld and disposed of for taxes.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Accounting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Risi,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4169" TargetMode="External"/><Relationship Id="rId5" Type="http://schemas.openxmlformats.org/officeDocument/2006/relationships/hyperlink" Target="http://www.sec.gov/cgi-bin/browse-edgar?action=getcompany&amp;CIK=0001770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3566</Characters>
  <CharactersWithSpaces>4139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